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Integrity (Lobbyists)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Integrity (Lobbyists)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Integrity (Lobbyists)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_Toc469048442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_Toc469048443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</w:pPr>
      <w:r>
        <w:t>3.</w:t>
      </w:r>
      <w:r>
        <w:tab/>
        <w:t>Government representative (Act s. 3(1))</w:t>
      </w:r>
      <w:r>
        <w:tab/>
      </w:r>
      <w:r>
        <w:fldChar w:fldCharType="begin"/>
      </w:r>
      <w:r>
        <w:instrText xml:space="preserve"> PAGEREF _Toc469048444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Senior public sector executive (Act s. 3(1))</w:t>
      </w:r>
      <w:r>
        <w:tab/>
      </w:r>
      <w:r>
        <w:fldChar w:fldCharType="begin"/>
      </w:r>
      <w:r>
        <w:instrText xml:space="preserve"> PAGEREF _Toc469048445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Relevant office (Act s. 14(1))</w:t>
      </w:r>
      <w:r>
        <w:tab/>
      </w:r>
      <w:r>
        <w:fldChar w:fldCharType="begin"/>
      </w:r>
      <w:r>
        <w:instrText xml:space="preserve"> PAGEREF _Toc469048446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Integrity (Lobbyists) Act 2016</w:t>
      </w:r>
    </w:p>
    <w:p>
      <w:pPr>
        <w:pStyle w:val="NameofActReg"/>
      </w:pPr>
      <w:r>
        <w:t>Integrity (Lobbyists) Regulations 2016</w:t>
      </w:r>
    </w:p>
    <w:p>
      <w:pPr>
        <w:pStyle w:val="Heading5"/>
      </w:pPr>
      <w:bookmarkStart w:id="3" w:name="_Toc467768893"/>
      <w:bookmarkStart w:id="4" w:name="_Toc46904844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Integrity (Lobbyists) Regulations 2016</w:t>
      </w:r>
      <w:r>
        <w:t>.</w:t>
      </w:r>
    </w:p>
    <w:p>
      <w:pPr>
        <w:pStyle w:val="Heading5"/>
        <w:rPr>
          <w:spacing w:val="-2"/>
        </w:rPr>
      </w:pPr>
      <w:bookmarkStart w:id="6" w:name="_Toc467768894"/>
      <w:bookmarkStart w:id="7" w:name="_Toc4690484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Integrity (Lobbyists) Act 2016</w:t>
      </w:r>
      <w:r>
        <w:t xml:space="preserve"> section 25 comes into operation.</w:t>
      </w:r>
    </w:p>
    <w:p>
      <w:pPr>
        <w:pStyle w:val="Heading5"/>
      </w:pPr>
      <w:bookmarkStart w:id="8" w:name="_Toc467768895"/>
      <w:bookmarkStart w:id="9" w:name="_Toc469048444"/>
      <w:r>
        <w:rPr>
          <w:rStyle w:val="CharSectno"/>
        </w:rPr>
        <w:t>3</w:t>
      </w:r>
      <w:r>
        <w:t>.</w:t>
      </w:r>
      <w:r>
        <w:tab/>
        <w:t>Government representative (Act s. 3(1))</w:t>
      </w:r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paragraph (a)(v) of the definition of </w:t>
      </w:r>
      <w:r>
        <w:rPr>
          <w:b/>
          <w:i/>
        </w:rPr>
        <w:t>government representative</w:t>
      </w:r>
      <w:r>
        <w:t xml:space="preserve"> in section 3(1) of the Act, the following entities are prescribed — </w:t>
      </w:r>
    </w:p>
    <w:p>
      <w:pPr>
        <w:pStyle w:val="Indenta"/>
      </w:pPr>
      <w:r>
        <w:tab/>
        <w:t>(a)</w:t>
      </w:r>
      <w:r>
        <w:tab/>
        <w:t xml:space="preserve">Gold Corporation established under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Goldcorp Australia established under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Mint within the meaning of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Racing and Wagering Western Australia established under the </w:t>
      </w:r>
      <w:r>
        <w:rPr>
          <w:i/>
        </w:rPr>
        <w:t>Racing and Wagering Western Australia Act 2003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a port authority established under the </w:t>
      </w:r>
      <w:r>
        <w:rPr>
          <w:i/>
        </w:rPr>
        <w:t>Port Authorities Act 1999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Western Australian Land Authority established by the </w:t>
      </w:r>
      <w:r>
        <w:rPr>
          <w:i/>
        </w:rPr>
        <w:t>Western Australian Land Authority Act 1992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Western Australian Treasury Corporation established by the </w:t>
      </w:r>
      <w:r>
        <w:rPr>
          <w:i/>
        </w:rPr>
        <w:t>Western Australian Treasury Corporation Act 1986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a body established by or under the </w:t>
      </w:r>
      <w:r>
        <w:rPr>
          <w:i/>
        </w:rPr>
        <w:t>Water Corporations Act 1995</w:t>
      </w:r>
      <w:r>
        <w:t xml:space="preserve"> section 4;</w:t>
      </w:r>
    </w:p>
    <w:p>
      <w:pPr>
        <w:pStyle w:val="Indenta"/>
      </w:pPr>
      <w:r>
        <w:tab/>
        <w:t>(i)</w:t>
      </w:r>
      <w:r>
        <w:tab/>
        <w:t xml:space="preserve">the Western Australian Greyhound Racing Association established by the </w:t>
      </w:r>
      <w:r>
        <w:rPr>
          <w:i/>
        </w:rPr>
        <w:t>Western Australian Greyhound Racing Association Act 1981</w:t>
      </w:r>
      <w:r>
        <w:t>;</w:t>
      </w:r>
    </w:p>
    <w:p>
      <w:pPr>
        <w:pStyle w:val="Indenta"/>
      </w:pPr>
      <w:r>
        <w:tab/>
        <w:t>(j)</w:t>
      </w:r>
      <w:r>
        <w:tab/>
        <w:t xml:space="preserve">a body established by the </w:t>
      </w:r>
      <w:r>
        <w:rPr>
          <w:i/>
        </w:rPr>
        <w:t>Electricity Corporations Act 2005</w:t>
      </w:r>
      <w:r>
        <w:t xml:space="preserve"> section 4(1).</w:t>
      </w:r>
    </w:p>
    <w:p>
      <w:pPr>
        <w:pStyle w:val="Heading5"/>
      </w:pPr>
      <w:bookmarkStart w:id="10" w:name="_Toc467768896"/>
      <w:bookmarkStart w:id="11" w:name="_Toc469048445"/>
      <w:r>
        <w:rPr>
          <w:rStyle w:val="CharSectno"/>
        </w:rPr>
        <w:t>4</w:t>
      </w:r>
      <w:r>
        <w:t>.</w:t>
      </w:r>
      <w:r>
        <w:tab/>
        <w:t>Senior public sector executive (Act s. 3(1))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For the purposes of paragraph (a)(iii) of the definition of </w:t>
      </w:r>
      <w:r>
        <w:rPr>
          <w:b/>
          <w:i/>
        </w:rPr>
        <w:t>senior public sector executive</w:t>
      </w:r>
      <w:r>
        <w:t xml:space="preserve"> in section 3(1) of the Act, the offices constituting the Senior Executive Service (as defined in the </w:t>
      </w:r>
      <w:r>
        <w:rPr>
          <w:i/>
        </w:rPr>
        <w:t>Public Sector Management Act 1994</w:t>
      </w:r>
      <w:r>
        <w:t xml:space="preserve"> section 3(1)) are prescribed.</w:t>
      </w:r>
    </w:p>
    <w:p>
      <w:pPr>
        <w:pStyle w:val="Subsection"/>
      </w:pPr>
      <w:r>
        <w:tab/>
        <w:t>(2)</w:t>
      </w:r>
      <w:r>
        <w:tab/>
        <w:t xml:space="preserve">For the purposes of paragraph (a)(iii) of the definition of </w:t>
      </w:r>
      <w:r>
        <w:rPr>
          <w:b/>
          <w:i/>
        </w:rPr>
        <w:t>senior public sector executive</w:t>
      </w:r>
      <w:r>
        <w:t xml:space="preserve"> in section 3(1) of the Act, the offices, other than the offices referred to in subregulation (1), that meet the following criteria</w:t>
      </w:r>
      <w:r>
        <w:rPr>
          <w:i/>
        </w:rPr>
        <w:t xml:space="preserve"> </w:t>
      </w:r>
      <w:r>
        <w:t xml:space="preserve">are prescribed — </w:t>
      </w:r>
    </w:p>
    <w:p>
      <w:pPr>
        <w:pStyle w:val="Indenta"/>
      </w:pPr>
      <w:r>
        <w:tab/>
        <w:t>(a)</w:t>
      </w:r>
      <w:r>
        <w:tab/>
        <w:t>that the primary functions of the office are the provision of policy advice and the undertaking of managerial responsibilities; and</w:t>
      </w:r>
    </w:p>
    <w:p>
      <w:pPr>
        <w:pStyle w:val="Indenta"/>
      </w:pPr>
      <w:r>
        <w:tab/>
        <w:t>(b)</w:t>
      </w:r>
      <w:r>
        <w:tab/>
        <w:t xml:space="preserve">that the annual salary attached to the office is equal to or greater than the level prescribed for the purposes of the </w:t>
      </w:r>
      <w:r>
        <w:rPr>
          <w:i/>
        </w:rPr>
        <w:t>Public Sector Management Act 1994</w:t>
      </w:r>
      <w:r>
        <w:t xml:space="preserve"> section 43(1).</w:t>
      </w:r>
    </w:p>
    <w:p>
      <w:pPr>
        <w:pStyle w:val="Subsection"/>
      </w:pPr>
      <w:r>
        <w:tab/>
        <w:t>(3)</w:t>
      </w:r>
      <w:r>
        <w:tab/>
        <w:t xml:space="preserve">For the purposes of paragraph (a)(iv) of the definition of </w:t>
      </w:r>
      <w:r>
        <w:rPr>
          <w:b/>
          <w:i/>
        </w:rPr>
        <w:t>senior public sector executive</w:t>
      </w:r>
      <w:r>
        <w:t xml:space="preserve"> in section 3(1) of the Act, the criteria are — </w:t>
      </w:r>
    </w:p>
    <w:p>
      <w:pPr>
        <w:pStyle w:val="Indenta"/>
      </w:pPr>
      <w:r>
        <w:tab/>
        <w:t>(a)</w:t>
      </w:r>
      <w:r>
        <w:tab/>
        <w:t>that the primary functions of the person are the provision of policy advice and the undertaking of managerial responsibilities; and</w:t>
      </w:r>
    </w:p>
    <w:p>
      <w:pPr>
        <w:pStyle w:val="Indenta"/>
      </w:pPr>
      <w:r>
        <w:tab/>
        <w:t>(b)</w:t>
      </w:r>
      <w:r>
        <w:tab/>
        <w:t xml:space="preserve">that the person’s annual salary is equal to or greater than the level prescribed for the purposes of the </w:t>
      </w:r>
      <w:r>
        <w:rPr>
          <w:i/>
        </w:rPr>
        <w:t>Public Sector Management Act 1994</w:t>
      </w:r>
      <w:r>
        <w:t xml:space="preserve"> section 43(1) or, if the person does not work full</w:t>
      </w:r>
      <w:r>
        <w:noBreakHyphen/>
        <w:t>time, would exceed that level if the person worked full</w:t>
      </w:r>
      <w:r>
        <w:noBreakHyphen/>
        <w:t>time.</w:t>
      </w:r>
    </w:p>
    <w:p>
      <w:pPr>
        <w:pStyle w:val="Heading5"/>
      </w:pPr>
      <w:bookmarkStart w:id="12" w:name="_Toc467768897"/>
      <w:bookmarkStart w:id="13" w:name="_Toc469048446"/>
      <w:r>
        <w:rPr>
          <w:rStyle w:val="CharSectno"/>
        </w:rPr>
        <w:t>5</w:t>
      </w:r>
      <w:r>
        <w:t>.</w:t>
      </w:r>
      <w:r>
        <w:tab/>
        <w:t>Relevant office (Act s. 14(1))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b/>
          <w:i/>
        </w:rPr>
        <w:t>relevant office</w:t>
      </w:r>
      <w:r>
        <w:t xml:space="preserve"> in section 14(1) of the Act, the office of chief executive officer or managing director (whichever is relevant) of the following entities is prescribed — </w:t>
      </w:r>
    </w:p>
    <w:p>
      <w:pPr>
        <w:pStyle w:val="Indenta"/>
      </w:pPr>
      <w:r>
        <w:tab/>
        <w:t>(a)</w:t>
      </w:r>
      <w:r>
        <w:tab/>
        <w:t xml:space="preserve">Gold Corporation established under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Goldcorp Australia established under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Mint within the meaning of the </w:t>
      </w:r>
      <w:r>
        <w:rPr>
          <w:i/>
        </w:rPr>
        <w:t>Gold Corporation Act 1987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Racing and Wagering Western Australia established under the </w:t>
      </w:r>
      <w:r>
        <w:rPr>
          <w:i/>
        </w:rPr>
        <w:t>Racing and Wagering Western Australia Act 2003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a port authority established under the </w:t>
      </w:r>
      <w:r>
        <w:rPr>
          <w:i/>
        </w:rPr>
        <w:t>Port Authorities Act 1999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Western Australian Land Authority established by the </w:t>
      </w:r>
      <w:r>
        <w:rPr>
          <w:i/>
        </w:rPr>
        <w:t>Western Australian Land Authority Act 1992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Western Australian Treasury Corporation established by the </w:t>
      </w:r>
      <w:r>
        <w:rPr>
          <w:i/>
        </w:rPr>
        <w:t>Western Australian Treasury Corporation Act 1986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a body established by or under the </w:t>
      </w:r>
      <w:r>
        <w:rPr>
          <w:i/>
        </w:rPr>
        <w:t>Water Corporations Act 1995</w:t>
      </w:r>
      <w:r>
        <w:t xml:space="preserve"> section 4;</w:t>
      </w:r>
    </w:p>
    <w:p>
      <w:pPr>
        <w:pStyle w:val="Indenta"/>
      </w:pPr>
      <w:r>
        <w:tab/>
        <w:t>(i)</w:t>
      </w:r>
      <w:r>
        <w:tab/>
        <w:t xml:space="preserve">the Western Australian Greyhound Racing Association established by the </w:t>
      </w:r>
      <w:r>
        <w:rPr>
          <w:i/>
        </w:rPr>
        <w:t>Western Australian Greyhound Racing Association Act 1981</w:t>
      </w:r>
      <w:r>
        <w:t>;</w:t>
      </w:r>
    </w:p>
    <w:p>
      <w:pPr>
        <w:pStyle w:val="Indenta"/>
      </w:pPr>
      <w:r>
        <w:tab/>
        <w:t>(j)</w:t>
      </w:r>
      <w:r>
        <w:tab/>
        <w:t xml:space="preserve">a body established by the </w:t>
      </w:r>
      <w:r>
        <w:rPr>
          <w:i/>
        </w:rPr>
        <w:t>Electricity Corporations Act 2005</w:t>
      </w:r>
      <w:r>
        <w:t xml:space="preserve"> section 4(1).</w:t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r>
        <w:t>Notes</w:t>
      </w:r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Integrity (Lobbyists) Regulations 2016</w:t>
      </w:r>
      <w:r>
        <w:t>.  The following table contains information about those regulations.</w:t>
      </w:r>
    </w:p>
    <w:p>
      <w:pPr>
        <w:pStyle w:val="nHeading3"/>
      </w:pPr>
      <w:r>
        <w:t>Compilation table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Integrity (Lobbyists)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2016 p. 5568-70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12 Dec 2016 (see r. 2 and </w:t>
            </w:r>
            <w:r>
              <w:rPr>
                <w:i/>
              </w:rPr>
              <w:t>Gazette</w:t>
            </w:r>
            <w:r>
              <w:t xml:space="preserve"> 9 Dec 2016 p. 5558)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Integrity (Lobbyists)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112209581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1103095616" w:val="RemoveTocBookmarks,RemoveUnusedBookmarks,RemoveLanguageTags,UsedStyles,ResetPageSize"/>
    <w:docVar w:name="WAFER_20161103095616_GUID" w:val="2018cae2-4864-4461-aa9a-59db6784a10f"/>
    <w:docVar w:name="WAFER_20161122095817" w:val="RemoveTocBookmarks,RemoveUnusedBookmarks,RemoveLanguageTags,UsedStyles,ResetPageSize"/>
    <w:docVar w:name="WAFER_20161122095817_GUID" w:val="92af1bdf-295c-4e7b-8e9a-ccccd9a5f4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E7C0-13AC-47AD-9052-A322A06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792</Words>
  <Characters>4389</Characters>
  <Application>Microsoft Office Word</Application>
  <DocSecurity>0</DocSecurity>
  <Lines>137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(Lobbyists) Regulations 2016 - 00-a0-02</dc:title>
  <dc:subject/>
  <dc:creator/>
  <cp:keywords/>
  <dc:description/>
  <cp:lastModifiedBy>svcMRProcess</cp:lastModifiedBy>
  <cp:revision>4</cp:revision>
  <cp:lastPrinted>2016-11-24T08:39:00Z</cp:lastPrinted>
  <dcterms:created xsi:type="dcterms:W3CDTF">2019-01-16T08:16:00Z</dcterms:created>
  <dcterms:modified xsi:type="dcterms:W3CDTF">2019-01-16T08:16:00Z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20161212</vt:lpwstr>
  </property>
  <property fmtid="{D5CDD505-2E9C-101B-9397-08002B2CF9AE}" pid="4" name="AsAtDate">
    <vt:lpwstr>12 Dec 2016</vt:lpwstr>
  </property>
  <property fmtid="{D5CDD505-2E9C-101B-9397-08002B2CF9AE}" pid="5" name="Suffix">
    <vt:lpwstr>00-a0-02</vt:lpwstr>
  </property>
</Properties>
</file>