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(Management of Safety of Pipeline Operations)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_Toc471992926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_Toc471992927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Schedule 1</w:t>
      </w:r>
      <w:r>
        <w:tab/>
      </w:r>
      <w:r>
        <w:fldChar w:fldCharType="begin"/>
      </w:r>
      <w:r>
        <w:instrText xml:space="preserve"> PAGEREF _Toc471992928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cases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_Toc471992931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cases</w:t>
      </w:r>
    </w:p>
    <w:p>
      <w:pPr>
        <w:pStyle w:val="TOC8"/>
        <w:rPr>
          <w:rFonts w:asciiTheme="minorHAnsi" w:eastAsiaTheme="minorEastAsia" w:hAnsiTheme="minorHAnsi" w:cstheme="minorBidi"/>
          <w:szCs w:val="22"/>
        </w:rPr>
      </w:pPr>
      <w:r>
        <w:t>5.</w:t>
      </w:r>
      <w:r>
        <w:tab/>
        <w:t>Safety case required for pipeline operation</w:t>
      </w:r>
      <w:r>
        <w:tab/>
      </w:r>
      <w:r>
        <w:fldChar w:fldCharType="begin"/>
      </w:r>
      <w:r>
        <w:instrText xml:space="preserve"> PAGEREF _Toc471992933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_Toc471992934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case</w:t>
      </w:r>
      <w:r>
        <w:tab/>
      </w:r>
      <w:r>
        <w:fldChar w:fldCharType="begin"/>
      </w:r>
      <w:r>
        <w:instrText xml:space="preserve"> PAGEREF _Toc471992935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case</w:t>
      </w:r>
      <w:r>
        <w:tab/>
      </w:r>
      <w:r>
        <w:fldChar w:fldCharType="begin"/>
      </w:r>
      <w:r>
        <w:instrText xml:space="preserve"> PAGEREF _Toc471992936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cases</w:t>
      </w:r>
      <w:r>
        <w:tab/>
      </w:r>
      <w:r>
        <w:fldChar w:fldCharType="begin"/>
      </w:r>
      <w:r>
        <w:instrText xml:space="preserve"> PAGEREF _Toc471992937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10.</w:t>
      </w:r>
      <w:r>
        <w:tab/>
        <w:t>Pipeline operation description, formal safety assessment and safety management system</w:t>
      </w:r>
      <w:r>
        <w:tab/>
      </w:r>
      <w:r>
        <w:fldChar w:fldCharType="begin"/>
      </w:r>
      <w:r>
        <w:instrText xml:space="preserve"> PAGEREF _Toc471992940 \h </w:instrText>
      </w:r>
      <w:r>
        <w:fldChar w:fldCharType="separate"/>
      </w:r>
      <w:r>
        <w:t>4</w:t>
      </w:r>
      <w:r>
        <w:fldChar w:fldCharType="end"/>
      </w:r>
    </w:p>
    <w:p>
      <w:pPr>
        <w:pStyle w:val="TOC8"/>
        <w:rPr>
          <w:rFonts w:asciiTheme="minorHAnsi" w:eastAsiaTheme="minorEastAsia" w:hAnsiTheme="minorHAnsi" w:cstheme="minorBidi"/>
          <w:szCs w:val="22"/>
        </w:rPr>
      </w:pPr>
      <w:r>
        <w:t>11.</w:t>
      </w:r>
      <w:r>
        <w:tab/>
        <w:t>Implementation and improvement of the safety management system</w:t>
      </w:r>
      <w:r>
        <w:tab/>
      </w:r>
      <w:r>
        <w:fldChar w:fldCharType="begin"/>
      </w:r>
      <w:r>
        <w:instrText xml:space="preserve"> PAGEREF _Toc471992941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12.</w:t>
      </w:r>
      <w:r>
        <w:tab/>
        <w:t>Standards to be applied</w:t>
      </w:r>
      <w:r>
        <w:tab/>
      </w:r>
      <w:r>
        <w:fldChar w:fldCharType="begin"/>
      </w:r>
      <w:r>
        <w:instrText xml:space="preserve"> PAGEREF _Toc471992943 \h </w:instrText>
      </w:r>
      <w:r>
        <w:fldChar w:fldCharType="separate"/>
      </w:r>
      <w:r>
        <w:t>7</w:t>
      </w:r>
      <w:r>
        <w:fldChar w:fldCharType="end"/>
      </w:r>
    </w:p>
    <w:p>
      <w:pPr>
        <w:pStyle w:val="TOC8"/>
        <w:rPr>
          <w:rFonts w:asciiTheme="minorHAnsi" w:eastAsiaTheme="minorEastAsia" w:hAnsiTheme="minorHAnsi" w:cstheme="minorBidi"/>
          <w:szCs w:val="22"/>
        </w:rPr>
      </w:pPr>
      <w:r>
        <w:t>13.</w:t>
      </w:r>
      <w:r>
        <w:tab/>
        <w:t>Chain of responsibility</w:t>
      </w:r>
      <w:r>
        <w:tab/>
      </w:r>
      <w:r>
        <w:fldChar w:fldCharType="begin"/>
      </w:r>
      <w:r>
        <w:instrText xml:space="preserve"> PAGEREF _Toc471992944 \h </w:instrText>
      </w:r>
      <w:r>
        <w:fldChar w:fldCharType="separate"/>
      </w:r>
      <w:r>
        <w:t>7</w:t>
      </w:r>
      <w:r>
        <w:fldChar w:fldCharType="end"/>
      </w:r>
    </w:p>
    <w:p>
      <w:pPr>
        <w:pStyle w:val="TOC8"/>
        <w:rPr>
          <w:rFonts w:asciiTheme="minorHAnsi" w:eastAsiaTheme="minorEastAsia" w:hAnsiTheme="minorHAnsi" w:cstheme="minorBidi"/>
          <w:szCs w:val="22"/>
        </w:rPr>
      </w:pPr>
      <w:r>
        <w:t>14.</w:t>
      </w:r>
      <w:r>
        <w:tab/>
        <w:t>Competence of members of the workforce</w:t>
      </w:r>
      <w:r>
        <w:tab/>
      </w:r>
      <w:r>
        <w:fldChar w:fldCharType="begin"/>
      </w:r>
      <w:r>
        <w:instrText xml:space="preserve"> PAGEREF _Toc471992945 \h </w:instrText>
      </w:r>
      <w:r>
        <w:fldChar w:fldCharType="separate"/>
      </w:r>
      <w:r>
        <w:t>8</w:t>
      </w:r>
      <w:r>
        <w:fldChar w:fldCharType="end"/>
      </w:r>
    </w:p>
    <w:p>
      <w:pPr>
        <w:pStyle w:val="TOC8"/>
        <w:rPr>
          <w:rFonts w:asciiTheme="minorHAnsi" w:eastAsiaTheme="minorEastAsia" w:hAnsiTheme="minorHAnsi" w:cstheme="minorBidi"/>
          <w:szCs w:val="22"/>
        </w:rPr>
      </w:pPr>
      <w:r>
        <w:t>15.</w:t>
      </w:r>
      <w:r>
        <w:tab/>
        <w:t>Permit to work system for safe performance of work</w:t>
      </w:r>
      <w:r>
        <w:tab/>
      </w:r>
      <w:r>
        <w:fldChar w:fldCharType="begin"/>
      </w:r>
      <w:r>
        <w:instrText xml:space="preserve"> PAGEREF _Toc471992946 \h </w:instrText>
      </w:r>
      <w:r>
        <w:fldChar w:fldCharType="separate"/>
      </w:r>
      <w:r>
        <w:t>8</w:t>
      </w:r>
      <w:r>
        <w:fldChar w:fldCharType="end"/>
      </w:r>
    </w:p>
    <w:p>
      <w:pPr>
        <w:pStyle w:val="TOC8"/>
        <w:rPr>
          <w:rFonts w:asciiTheme="minorHAnsi" w:eastAsiaTheme="minorEastAsia" w:hAnsiTheme="minorHAnsi" w:cstheme="minorBidi"/>
          <w:szCs w:val="22"/>
        </w:rPr>
      </w:pPr>
      <w:r>
        <w:t>16.</w:t>
      </w:r>
      <w:r>
        <w:tab/>
        <w:t>Involvement of members of the workforce</w:t>
      </w:r>
      <w:r>
        <w:tab/>
      </w:r>
      <w:r>
        <w:fldChar w:fldCharType="begin"/>
      </w:r>
      <w:r>
        <w:instrText xml:space="preserve"> PAGEREF _Toc471992947 \h </w:instrText>
      </w:r>
      <w:r>
        <w:fldChar w:fldCharType="separate"/>
      </w:r>
      <w:r>
        <w:t>8</w:t>
      </w:r>
      <w:r>
        <w:fldChar w:fldCharType="end"/>
      </w:r>
    </w:p>
    <w:p>
      <w:pPr>
        <w:pStyle w:val="TOC8"/>
        <w:rPr>
          <w:rFonts w:asciiTheme="minorHAnsi" w:eastAsiaTheme="minorEastAsia" w:hAnsiTheme="minorHAnsi" w:cstheme="minorBidi"/>
          <w:szCs w:val="22"/>
        </w:rPr>
      </w:pPr>
      <w:r>
        <w:t>17.</w:t>
      </w:r>
      <w:r>
        <w:tab/>
        <w:t>Machinery and equipment</w:t>
      </w:r>
      <w:r>
        <w:tab/>
      </w:r>
      <w:r>
        <w:fldChar w:fldCharType="begin"/>
      </w:r>
      <w:r>
        <w:instrText xml:space="preserve"> PAGEREF _Toc471992948 \h </w:instrText>
      </w:r>
      <w:r>
        <w:fldChar w:fldCharType="separate"/>
      </w:r>
      <w:r>
        <w:t>9</w:t>
      </w:r>
      <w:r>
        <w:fldChar w:fldCharType="end"/>
      </w:r>
    </w:p>
    <w:p>
      <w:pPr>
        <w:pStyle w:val="TOC8"/>
        <w:rPr>
          <w:rFonts w:asciiTheme="minorHAnsi" w:eastAsiaTheme="minorEastAsia" w:hAnsiTheme="minorHAnsi" w:cstheme="minorBidi"/>
          <w:szCs w:val="22"/>
        </w:rPr>
      </w:pPr>
      <w:r>
        <w:t>18.</w:t>
      </w:r>
      <w:r>
        <w:tab/>
        <w:t>Structural integrity etc.</w:t>
      </w:r>
      <w:r>
        <w:tab/>
      </w:r>
      <w:r>
        <w:fldChar w:fldCharType="begin"/>
      </w:r>
      <w:r>
        <w:instrText xml:space="preserve"> PAGEREF _Toc471992949 \h </w:instrText>
      </w:r>
      <w:r>
        <w:fldChar w:fldCharType="separate"/>
      </w:r>
      <w:r>
        <w:t>10</w:t>
      </w:r>
      <w:r>
        <w:fldChar w:fldCharType="end"/>
      </w:r>
    </w:p>
    <w:p>
      <w:pPr>
        <w:pStyle w:val="TOC8"/>
        <w:rPr>
          <w:rFonts w:asciiTheme="minorHAnsi" w:eastAsiaTheme="minorEastAsia" w:hAnsiTheme="minorHAnsi" w:cstheme="minorBidi"/>
          <w:szCs w:val="22"/>
        </w:rPr>
      </w:pPr>
      <w:r>
        <w:t>19.</w:t>
      </w:r>
      <w:r>
        <w:tab/>
        <w:t>Drugs and intoxicants</w:t>
      </w:r>
      <w:r>
        <w:tab/>
      </w:r>
      <w:r>
        <w:fldChar w:fldCharType="begin"/>
      </w:r>
      <w:r>
        <w:instrText xml:space="preserve"> PAGEREF _Toc471992950 \h </w:instrText>
      </w:r>
      <w:r>
        <w:fldChar w:fldCharType="separate"/>
      </w:r>
      <w:r>
        <w:t>10</w:t>
      </w:r>
      <w:r>
        <w:fldChar w:fldCharType="end"/>
      </w:r>
    </w:p>
    <w:p>
      <w:pPr>
        <w:pStyle w:val="TOC8"/>
        <w:rPr>
          <w:rFonts w:asciiTheme="minorHAnsi" w:eastAsiaTheme="minorEastAsia" w:hAnsiTheme="minorHAnsi" w:cstheme="minorBidi"/>
          <w:szCs w:val="22"/>
        </w:rPr>
      </w:pPr>
      <w:r>
        <w:t>20.</w:t>
      </w:r>
      <w:r>
        <w:tab/>
        <w:t>Reports during construction of a pipeline</w:t>
      </w:r>
      <w:r>
        <w:tab/>
      </w:r>
      <w:r>
        <w:fldChar w:fldCharType="begin"/>
      </w:r>
      <w:r>
        <w:instrText xml:space="preserve"> PAGEREF _Toc471992951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21.</w:t>
      </w:r>
      <w:r>
        <w:tab/>
        <w:t>Fire and explosion risk analysis</w:t>
      </w:r>
      <w:r>
        <w:tab/>
      </w:r>
      <w:r>
        <w:fldChar w:fldCharType="begin"/>
      </w:r>
      <w:r>
        <w:instrText xml:space="preserve"> PAGEREF _Toc471992953 \h </w:instrText>
      </w:r>
      <w:r>
        <w:fldChar w:fldCharType="separate"/>
      </w:r>
      <w:r>
        <w:t>11</w:t>
      </w:r>
      <w:r>
        <w:fldChar w:fldCharType="end"/>
      </w:r>
    </w:p>
    <w:p>
      <w:pPr>
        <w:pStyle w:val="TOC8"/>
        <w:rPr>
          <w:rFonts w:asciiTheme="minorHAnsi" w:eastAsiaTheme="minorEastAsia" w:hAnsiTheme="minorHAnsi" w:cstheme="minorBidi"/>
          <w:szCs w:val="22"/>
        </w:rPr>
      </w:pPr>
      <w:r>
        <w:t>22.</w:t>
      </w:r>
      <w:r>
        <w:tab/>
        <w:t>Emergency communications systems</w:t>
      </w:r>
      <w:r>
        <w:tab/>
      </w:r>
      <w:r>
        <w:fldChar w:fldCharType="begin"/>
      </w:r>
      <w:r>
        <w:instrText xml:space="preserve"> PAGEREF _Toc471992954 \h </w:instrText>
      </w:r>
      <w:r>
        <w:fldChar w:fldCharType="separate"/>
      </w:r>
      <w:r>
        <w:t>12</w:t>
      </w:r>
      <w:r>
        <w:fldChar w:fldCharType="end"/>
      </w:r>
    </w:p>
    <w:p>
      <w:pPr>
        <w:pStyle w:val="TOC8"/>
        <w:rPr>
          <w:rFonts w:asciiTheme="minorHAnsi" w:eastAsiaTheme="minorEastAsia" w:hAnsiTheme="minorHAnsi" w:cstheme="minorBidi"/>
          <w:szCs w:val="22"/>
        </w:rPr>
      </w:pPr>
      <w:r>
        <w:t>23.</w:t>
      </w:r>
      <w:r>
        <w:tab/>
        <w:t>Emergency control systems</w:t>
      </w:r>
      <w:r>
        <w:tab/>
      </w:r>
      <w:r>
        <w:fldChar w:fldCharType="begin"/>
      </w:r>
      <w:r>
        <w:instrText xml:space="preserve"> PAGEREF _Toc471992955 \h </w:instrText>
      </w:r>
      <w:r>
        <w:fldChar w:fldCharType="separate"/>
      </w:r>
      <w:r>
        <w:t>12</w:t>
      </w:r>
      <w:r>
        <w:fldChar w:fldCharType="end"/>
      </w:r>
    </w:p>
    <w:p>
      <w:pPr>
        <w:pStyle w:val="TOC8"/>
        <w:rPr>
          <w:rFonts w:asciiTheme="minorHAnsi" w:eastAsiaTheme="minorEastAsia" w:hAnsiTheme="minorHAnsi" w:cstheme="minorBidi"/>
          <w:szCs w:val="22"/>
        </w:rPr>
      </w:pPr>
      <w:r>
        <w:t>24.</w:t>
      </w:r>
      <w:r>
        <w:tab/>
        <w:t>Emergency preparedness and response plan</w:t>
      </w:r>
      <w:r>
        <w:tab/>
      </w:r>
      <w:r>
        <w:fldChar w:fldCharType="begin"/>
      </w:r>
      <w:r>
        <w:instrText xml:space="preserve"> PAGEREF _Toc471992956 \h </w:instrText>
      </w:r>
      <w:r>
        <w:fldChar w:fldCharType="separate"/>
      </w:r>
      <w:r>
        <w:t>12</w:t>
      </w:r>
      <w:r>
        <w:fldChar w:fldCharType="end"/>
      </w:r>
    </w:p>
    <w:p>
      <w:pPr>
        <w:pStyle w:val="TOC8"/>
        <w:rPr>
          <w:rFonts w:asciiTheme="minorHAnsi" w:eastAsiaTheme="minorEastAsia" w:hAnsiTheme="minorHAnsi" w:cstheme="minorBidi"/>
          <w:szCs w:val="22"/>
        </w:rPr>
      </w:pPr>
      <w:r>
        <w:t>25.</w:t>
      </w:r>
      <w:r>
        <w:tab/>
        <w:t>Pipelines connected to other pipelines, facilities</w:t>
      </w:r>
      <w:r>
        <w:tab/>
      </w:r>
      <w:r>
        <w:fldChar w:fldCharType="begin"/>
      </w:r>
      <w:r>
        <w:instrText xml:space="preserve"> PAGEREF _Toc471992957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_Toc471992959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cases</w:t>
      </w:r>
    </w:p>
    <w:p>
      <w:pPr>
        <w:pStyle w:val="TOC8"/>
        <w:rPr>
          <w:rFonts w:asciiTheme="minorHAnsi" w:eastAsiaTheme="minorEastAsia" w:hAnsiTheme="minorHAnsi" w:cstheme="minorBidi"/>
          <w:szCs w:val="22"/>
        </w:rPr>
      </w:pPr>
      <w:r>
        <w:t>27.</w:t>
      </w:r>
      <w:r>
        <w:tab/>
        <w:t>Safety case to be submitted to Minister</w:t>
      </w:r>
      <w:r>
        <w:tab/>
      </w:r>
      <w:r>
        <w:fldChar w:fldCharType="begin"/>
      </w:r>
      <w:r>
        <w:instrText xml:space="preserve"> PAGEREF _Toc471992961 \h </w:instrText>
      </w:r>
      <w:r>
        <w:fldChar w:fldCharType="separate"/>
      </w:r>
      <w:r>
        <w:t>15</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_Toc471992962 \h </w:instrText>
      </w:r>
      <w:r>
        <w:fldChar w:fldCharType="separate"/>
      </w:r>
      <w:r>
        <w:t>15</w:t>
      </w:r>
      <w:r>
        <w:fldChar w:fldCharType="end"/>
      </w:r>
    </w:p>
    <w:p>
      <w:pPr>
        <w:pStyle w:val="TOC8"/>
        <w:rPr>
          <w:rFonts w:asciiTheme="minorHAnsi" w:eastAsiaTheme="minorEastAsia" w:hAnsiTheme="minorHAnsi" w:cstheme="minorBidi"/>
          <w:szCs w:val="22"/>
        </w:rPr>
      </w:pPr>
      <w:r>
        <w:t>29.</w:t>
      </w:r>
      <w:r>
        <w:tab/>
        <w:t>Acceptance or rejection of a safety case</w:t>
      </w:r>
      <w:r>
        <w:tab/>
      </w:r>
      <w:r>
        <w:fldChar w:fldCharType="begin"/>
      </w:r>
      <w:r>
        <w:instrText xml:space="preserve"> PAGEREF _Toc471992963 \h </w:instrText>
      </w:r>
      <w:r>
        <w:fldChar w:fldCharType="separate"/>
      </w:r>
      <w:r>
        <w:t>16</w:t>
      </w:r>
      <w:r>
        <w:fldChar w:fldCharType="end"/>
      </w:r>
    </w:p>
    <w:p>
      <w:pPr>
        <w:pStyle w:val="TOC8"/>
        <w:rPr>
          <w:rFonts w:asciiTheme="minorHAnsi" w:eastAsiaTheme="minorEastAsia" w:hAnsiTheme="minorHAnsi" w:cstheme="minorBidi"/>
          <w:szCs w:val="22"/>
        </w:rPr>
      </w:pPr>
      <w:r>
        <w:t>30.</w:t>
      </w:r>
      <w:r>
        <w:tab/>
        <w:t>Notice of decision on safety case</w:t>
      </w:r>
      <w:r>
        <w:tab/>
      </w:r>
      <w:r>
        <w:fldChar w:fldCharType="begin"/>
      </w:r>
      <w:r>
        <w:instrText xml:space="preserve"> PAGEREF _Toc471992964 \h </w:instrText>
      </w:r>
      <w:r>
        <w:fldChar w:fldCharType="separate"/>
      </w:r>
      <w:r>
        <w:t>17</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case requirements</w:t>
      </w:r>
      <w:r>
        <w:tab/>
      </w:r>
      <w:r>
        <w:fldChar w:fldCharType="begin"/>
      </w:r>
      <w:r>
        <w:instrText xml:space="preserve"> PAGEREF _Toc471992965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cases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_Toc471992967 \h </w:instrText>
      </w:r>
      <w:r>
        <w:fldChar w:fldCharType="separate"/>
      </w:r>
      <w:r>
        <w:t>18</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_Toc471992968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_Toc471992969 \h </w:instrText>
      </w:r>
      <w:r>
        <w:fldChar w:fldCharType="separate"/>
      </w:r>
      <w:r>
        <w:t>20</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_Toc471992970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case</w:t>
      </w:r>
      <w:r>
        <w:tab/>
      </w:r>
      <w:r>
        <w:fldChar w:fldCharType="begin"/>
      </w:r>
      <w:r>
        <w:instrText xml:space="preserve"> PAGEREF _Toc471992971 \h </w:instrText>
      </w:r>
      <w:r>
        <w:fldChar w:fldCharType="separate"/>
      </w:r>
      <w:r>
        <w:t>21</w:t>
      </w:r>
      <w:r>
        <w:fldChar w:fldCharType="end"/>
      </w:r>
    </w:p>
    <w:p>
      <w:pPr>
        <w:pStyle w:val="TOC8"/>
        <w:rPr>
          <w:rFonts w:asciiTheme="minorHAnsi" w:eastAsiaTheme="minorEastAsia" w:hAnsiTheme="minorHAnsi" w:cstheme="minorBidi"/>
          <w:szCs w:val="22"/>
        </w:rPr>
      </w:pPr>
      <w:r>
        <w:t>37.</w:t>
      </w:r>
      <w:r>
        <w:tab/>
        <w:t>Notice of decision on revised safety case</w:t>
      </w:r>
      <w:r>
        <w:tab/>
      </w:r>
      <w:r>
        <w:fldChar w:fldCharType="begin"/>
      </w:r>
      <w:r>
        <w:instrText xml:space="preserve"> PAGEREF _Toc471992972 \h </w:instrText>
      </w:r>
      <w:r>
        <w:fldChar w:fldCharType="separate"/>
      </w:r>
      <w:r>
        <w:t>22</w:t>
      </w:r>
      <w:r>
        <w:fldChar w:fldCharType="end"/>
      </w:r>
    </w:p>
    <w:p>
      <w:pPr>
        <w:pStyle w:val="TOC8"/>
        <w:rPr>
          <w:rFonts w:asciiTheme="minorHAnsi" w:eastAsiaTheme="minorEastAsia" w:hAnsiTheme="minorHAnsi" w:cstheme="minorBidi"/>
          <w:szCs w:val="22"/>
        </w:rPr>
      </w:pPr>
      <w:r>
        <w:t>38.</w:t>
      </w:r>
      <w:r>
        <w:tab/>
        <w:t>Effect of rejection of revised safety case</w:t>
      </w:r>
      <w:r>
        <w:tab/>
      </w:r>
      <w:r>
        <w:fldChar w:fldCharType="begin"/>
      </w:r>
      <w:r>
        <w:instrText xml:space="preserve"> PAGEREF _Toc471992973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case</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_Toc471992975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_Toc471992976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pipeline operations</w:t>
      </w:r>
      <w:r>
        <w:tab/>
      </w:r>
      <w:r>
        <w:fldChar w:fldCharType="begin"/>
      </w:r>
      <w:r>
        <w:instrText xml:space="preserve"> PAGEREF _Toc471992978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pipeline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_Toc471992980 \h </w:instrText>
      </w:r>
      <w:r>
        <w:fldChar w:fldCharType="separate"/>
      </w:r>
      <w:r>
        <w:t>26</w:t>
      </w:r>
      <w:r>
        <w:fldChar w:fldCharType="end"/>
      </w:r>
    </w:p>
    <w:p>
      <w:pPr>
        <w:pStyle w:val="TOC8"/>
        <w:rPr>
          <w:rFonts w:asciiTheme="minorHAnsi" w:eastAsiaTheme="minorEastAsia" w:hAnsiTheme="minorHAnsi" w:cstheme="minorBidi"/>
          <w:szCs w:val="22"/>
        </w:rPr>
      </w:pPr>
      <w:r>
        <w:t>43.</w:t>
      </w:r>
      <w:r>
        <w:tab/>
        <w:t>Period of incapacity for work caused by accident arising from pipeline operation</w:t>
      </w:r>
      <w:r>
        <w:tab/>
      </w:r>
      <w:r>
        <w:fldChar w:fldCharType="begin"/>
      </w:r>
      <w:r>
        <w:instrText xml:space="preserve"> PAGEREF _Toc471992981 \h </w:instrText>
      </w:r>
      <w:r>
        <w:fldChar w:fldCharType="separate"/>
      </w:r>
      <w:r>
        <w:t>27</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_Toc471992982 \h </w:instrText>
      </w:r>
      <w:r>
        <w:fldChar w:fldCharType="separate"/>
      </w:r>
      <w:r>
        <w:t>27</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_Toc471992983 \h </w:instrText>
      </w:r>
      <w:r>
        <w:fldChar w:fldCharType="separate"/>
      </w:r>
      <w:r>
        <w:t>27</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_Toc471992984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_Toc471992986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_Toc471992988 \h </w:instrText>
      </w:r>
      <w:r>
        <w:fldChar w:fldCharType="separate"/>
      </w:r>
      <w:r>
        <w:t>31</w:t>
      </w:r>
      <w:r>
        <w:fldChar w:fldCharType="end"/>
      </w:r>
    </w:p>
    <w:p>
      <w:pPr>
        <w:pStyle w:val="TOC8"/>
        <w:rPr>
          <w:rFonts w:asciiTheme="minorHAnsi" w:eastAsiaTheme="minorEastAsia" w:hAnsiTheme="minorHAnsi" w:cstheme="minorBidi"/>
          <w:szCs w:val="22"/>
        </w:rPr>
      </w:pPr>
      <w:r>
        <w:t>49.</w:t>
      </w:r>
      <w:r>
        <w:tab/>
        <w:t>Certain pre</w:t>
      </w:r>
      <w:r>
        <w:noBreakHyphen/>
        <w:t>amendment safety cases remain in force</w:t>
      </w:r>
      <w:r>
        <w:tab/>
      </w:r>
      <w:r>
        <w:fldChar w:fldCharType="begin"/>
      </w:r>
      <w:r>
        <w:instrText xml:space="preserve"> PAGEREF _Toc471992989 \h </w:instrText>
      </w:r>
      <w:r>
        <w:fldChar w:fldCharType="separate"/>
      </w:r>
      <w:r>
        <w:t>31</w:t>
      </w:r>
      <w:r>
        <w:fldChar w:fldCharType="end"/>
      </w:r>
    </w:p>
    <w:p>
      <w:pPr>
        <w:pStyle w:val="TOC8"/>
        <w:rPr>
          <w:rFonts w:asciiTheme="minorHAnsi" w:eastAsiaTheme="minorEastAsia" w:hAnsiTheme="minorHAnsi" w:cstheme="minorBidi"/>
          <w:szCs w:val="22"/>
        </w:rPr>
      </w:pPr>
      <w:r>
        <w:t>50.</w:t>
      </w:r>
      <w:r>
        <w:tab/>
        <w:t>Pre</w:t>
      </w:r>
      <w:r>
        <w:noBreakHyphen/>
        <w:t>amendment safety case submitted before commencement day</w:t>
      </w:r>
      <w:r>
        <w:tab/>
      </w:r>
      <w:r>
        <w:fldChar w:fldCharType="begin"/>
      </w:r>
      <w:r>
        <w:instrText xml:space="preserve"> PAGEREF _Toc471992990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_Toc471992992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_Toc471992993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Pipelines Act 1969</w:t>
      </w:r>
    </w:p>
    <w:p>
      <w:pPr>
        <w:pStyle w:val="NameofActReg"/>
      </w:pPr>
      <w:r>
        <w:t>Petroleum Pipelines (Management of Safety of Pipeline Operations) Regulations 2010</w:t>
      </w:r>
    </w:p>
    <w:p>
      <w:pPr>
        <w:pStyle w:val="Heading2"/>
        <w:pageBreakBefore w:val="0"/>
        <w:spacing w:before="240"/>
      </w:pPr>
      <w:bookmarkStart w:id="3" w:name="_Toc471992785"/>
      <w:bookmarkStart w:id="4" w:name="_Toc471992855"/>
      <w:bookmarkStart w:id="5" w:name="_Toc47199292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1992926"/>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(Management of Safety of Pipeline Operations) Regulations 2010 </w:t>
      </w:r>
      <w:r>
        <w:rPr>
          <w:iCs/>
          <w:vertAlign w:val="superscript"/>
        </w:rPr>
        <w:t>1</w:t>
      </w:r>
      <w:r>
        <w:t>.</w:t>
      </w:r>
    </w:p>
    <w:p>
      <w:pPr>
        <w:pStyle w:val="Heading5"/>
        <w:rPr>
          <w:spacing w:val="-2"/>
        </w:rPr>
      </w:pPr>
      <w:bookmarkStart w:id="8" w:name="_Toc471992927"/>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471992928"/>
      <w:r>
        <w:rPr>
          <w:rStyle w:val="CharSectno"/>
        </w:rPr>
        <w:t>3</w:t>
      </w:r>
      <w:r>
        <w:t>.</w:t>
      </w:r>
      <w:r>
        <w:tab/>
        <w:t>Term used: Schedule 1</w:t>
      </w:r>
      <w:bookmarkEnd w:id="9"/>
    </w:p>
    <w:p>
      <w:pPr>
        <w:pStyle w:val="Subsection"/>
      </w:pPr>
      <w:r>
        <w:tab/>
      </w:r>
      <w:r>
        <w:tab/>
        <w:t xml:space="preserve">In these regulations — </w:t>
      </w:r>
    </w:p>
    <w:p>
      <w:pPr>
        <w:pStyle w:val="Defstart"/>
      </w:pPr>
      <w:r>
        <w:rPr>
          <w:b/>
        </w:rPr>
        <w:tab/>
      </w:r>
      <w:r>
        <w:rPr>
          <w:rStyle w:val="CharDefText"/>
        </w:rPr>
        <w:t>Schedule 1</w:t>
      </w:r>
      <w:r>
        <w:t xml:space="preserve"> means Schedule 1 to the Act.</w:t>
      </w:r>
    </w:p>
    <w:p>
      <w:pPr>
        <w:pStyle w:val="Heading2"/>
      </w:pPr>
      <w:bookmarkStart w:id="10" w:name="_Toc471992789"/>
      <w:bookmarkStart w:id="11" w:name="_Toc471992859"/>
      <w:bookmarkStart w:id="12" w:name="_Toc471992929"/>
      <w:r>
        <w:rPr>
          <w:rStyle w:val="CharPartNo"/>
        </w:rPr>
        <w:t>Part 2</w:t>
      </w:r>
      <w:r>
        <w:t> — </w:t>
      </w:r>
      <w:r>
        <w:rPr>
          <w:rStyle w:val="CharPartText"/>
        </w:rPr>
        <w:t>Safety cases</w:t>
      </w:r>
      <w:bookmarkEnd w:id="10"/>
      <w:bookmarkEnd w:id="11"/>
      <w:bookmarkEnd w:id="12"/>
    </w:p>
    <w:p>
      <w:pPr>
        <w:pStyle w:val="Heading3"/>
      </w:pPr>
      <w:bookmarkStart w:id="13" w:name="_Toc471992790"/>
      <w:bookmarkStart w:id="14" w:name="_Toc471992860"/>
      <w:bookmarkStart w:id="15" w:name="_Toc471992930"/>
      <w:r>
        <w:rPr>
          <w:rStyle w:val="CharDivNo"/>
        </w:rPr>
        <w:t>Division 1</w:t>
      </w:r>
      <w:r>
        <w:t> — </w:t>
      </w:r>
      <w:r>
        <w:rPr>
          <w:rStyle w:val="CharDivText"/>
        </w:rPr>
        <w:t>Terms used</w:t>
      </w:r>
      <w:bookmarkEnd w:id="13"/>
      <w:bookmarkEnd w:id="14"/>
      <w:bookmarkEnd w:id="15"/>
    </w:p>
    <w:p>
      <w:pPr>
        <w:pStyle w:val="Heading5"/>
      </w:pPr>
      <w:bookmarkStart w:id="16" w:name="_Toc471992931"/>
      <w:r>
        <w:rPr>
          <w:rStyle w:val="CharSectno"/>
        </w:rPr>
        <w:t>4</w:t>
      </w:r>
      <w:r>
        <w:t>.</w:t>
      </w:r>
      <w:r>
        <w:tab/>
        <w:t>Terms used</w:t>
      </w:r>
      <w:bookmarkEnd w:id="16"/>
    </w:p>
    <w:p>
      <w:pPr>
        <w:pStyle w:val="Subsection"/>
      </w:pPr>
      <w:r>
        <w:tab/>
      </w:r>
      <w:r>
        <w:tab/>
        <w:t xml:space="preserve">In this Part — </w:t>
      </w:r>
    </w:p>
    <w:p>
      <w:pPr>
        <w:pStyle w:val="Defstart"/>
      </w:pPr>
      <w:r>
        <w:rPr>
          <w:b/>
        </w:rPr>
        <w:tab/>
      </w:r>
      <w:r>
        <w:rPr>
          <w:rStyle w:val="CharDefText"/>
        </w:rPr>
        <w:t>emergency</w:t>
      </w:r>
      <w:r>
        <w:t>, in relation to a pipeline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 pipeline operation, including a natural event, having the potential to cause multiple fatalities of persons engaged in the operation or other protected persons;</w:t>
      </w:r>
    </w:p>
    <w:p>
      <w:pPr>
        <w:pStyle w:val="Defstart"/>
      </w:pPr>
      <w:r>
        <w:rPr>
          <w:b/>
        </w:rPr>
        <w:tab/>
      </w:r>
      <w:r>
        <w:rPr>
          <w:rStyle w:val="CharDefText"/>
        </w:rPr>
        <w:t>pipeline operation</w:t>
      </w:r>
      <w:r>
        <w:t xml:space="preserve"> — </w:t>
      </w:r>
    </w:p>
    <w:p>
      <w:pPr>
        <w:pStyle w:val="Defpara"/>
      </w:pPr>
      <w:r>
        <w:tab/>
        <w:t>(a)</w:t>
      </w:r>
      <w:r>
        <w:tab/>
        <w:t>has the meaning it has in the Act section 4(1); and</w:t>
      </w:r>
    </w:p>
    <w:p>
      <w:pPr>
        <w:pStyle w:val="Defpara"/>
      </w:pPr>
      <w:r>
        <w:tab/>
        <w:t>(b)</w:t>
      </w:r>
      <w:r>
        <w:tab/>
        <w:t>includes an operation in connection with the modification, reconstruction or decommissioning of a pipeline that is carried out on land that is specified in any licence as licence area;</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pipeline operation; and</w:t>
      </w:r>
    </w:p>
    <w:p>
      <w:pPr>
        <w:pStyle w:val="Defpara"/>
      </w:pPr>
      <w:r>
        <w:tab/>
        <w:t>(b)</w:t>
      </w:r>
      <w:r>
        <w:tab/>
        <w:t>the acceptance of which has not been withdrawn,</w:t>
      </w:r>
    </w:p>
    <w:p>
      <w:pPr>
        <w:pStyle w:val="Defstart"/>
        <w:rPr>
          <w:b/>
          <w:i/>
        </w:rPr>
      </w:pPr>
      <w:r>
        <w:tab/>
        <w:t>and includes each condition imposed under regulation 29(5) or 36(5) in respect of the pipeline operation;</w:t>
      </w:r>
    </w:p>
    <w:p>
      <w:pPr>
        <w:pStyle w:val="Defstart"/>
      </w:pPr>
      <w:r>
        <w:tab/>
      </w:r>
      <w:r>
        <w:rPr>
          <w:rStyle w:val="CharDefText"/>
        </w:rPr>
        <w:t>safety management system</w:t>
      </w:r>
      <w:r>
        <w:t xml:space="preserve">, in relation to a pipeline operation, means a documented system for securing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3"/>
      </w:pPr>
      <w:bookmarkStart w:id="17" w:name="_Toc471992792"/>
      <w:bookmarkStart w:id="18" w:name="_Toc471992862"/>
      <w:bookmarkStart w:id="19" w:name="_Toc471992932"/>
      <w:r>
        <w:rPr>
          <w:rStyle w:val="CharDivNo"/>
        </w:rPr>
        <w:t>Division 2</w:t>
      </w:r>
      <w:r>
        <w:t> — </w:t>
      </w:r>
      <w:r>
        <w:rPr>
          <w:rStyle w:val="CharDivText"/>
        </w:rPr>
        <w:t>Duties as to safety cases</w:t>
      </w:r>
      <w:bookmarkEnd w:id="17"/>
      <w:bookmarkEnd w:id="18"/>
      <w:bookmarkEnd w:id="19"/>
    </w:p>
    <w:p>
      <w:pPr>
        <w:pStyle w:val="Heading5"/>
      </w:pPr>
      <w:bookmarkStart w:id="20" w:name="_Toc471992933"/>
      <w:r>
        <w:rPr>
          <w:rStyle w:val="CharSectno"/>
        </w:rPr>
        <w:t>5</w:t>
      </w:r>
      <w:r>
        <w:t>.</w:t>
      </w:r>
      <w:r>
        <w:tab/>
        <w:t>Safety case required for pipeline operation</w:t>
      </w:r>
      <w:bookmarkEnd w:id="20"/>
    </w:p>
    <w:p>
      <w:pPr>
        <w:pStyle w:val="Subsection"/>
      </w:pPr>
      <w:r>
        <w:tab/>
      </w:r>
      <w:r>
        <w:tab/>
        <w:t>A person must not engage in a pipeline operation unless there is a safety case in force for the operation.</w:t>
      </w:r>
    </w:p>
    <w:p>
      <w:pPr>
        <w:pStyle w:val="Penstart"/>
      </w:pPr>
      <w:r>
        <w:tab/>
        <w:t>Penalty: a fine of $8 800.</w:t>
      </w:r>
    </w:p>
    <w:p>
      <w:pPr>
        <w:pStyle w:val="Heading5"/>
      </w:pPr>
      <w:bookmarkStart w:id="21" w:name="_Toc471992934"/>
      <w:r>
        <w:rPr>
          <w:rStyle w:val="CharSectno"/>
        </w:rPr>
        <w:t>6</w:t>
      </w:r>
      <w:r>
        <w:t>.</w:t>
      </w:r>
      <w:r>
        <w:tab/>
        <w:t>New or increased risks</w:t>
      </w:r>
      <w:bookmarkEnd w:id="21"/>
    </w:p>
    <w:p>
      <w:pPr>
        <w:pStyle w:val="Subsection"/>
      </w:pPr>
      <w:r>
        <w:tab/>
      </w:r>
      <w:r>
        <w:tab/>
        <w:t xml:space="preserve">A person must not engage in a pipeline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case in force for the operation.</w:t>
      </w:r>
    </w:p>
    <w:p>
      <w:pPr>
        <w:pStyle w:val="Penstart"/>
      </w:pPr>
      <w:r>
        <w:tab/>
        <w:t>Penalty: a fine of $8 800.</w:t>
      </w:r>
    </w:p>
    <w:p>
      <w:pPr>
        <w:pStyle w:val="Heading5"/>
      </w:pPr>
      <w:bookmarkStart w:id="22" w:name="_Toc471992935"/>
      <w:r>
        <w:rPr>
          <w:rStyle w:val="CharSectno"/>
        </w:rPr>
        <w:t>7</w:t>
      </w:r>
      <w:r>
        <w:t>.</w:t>
      </w:r>
      <w:r>
        <w:tab/>
        <w:t>Compliance with safety case</w:t>
      </w:r>
      <w:bookmarkEnd w:id="22"/>
    </w:p>
    <w:p>
      <w:pPr>
        <w:pStyle w:val="Subsection"/>
      </w:pPr>
      <w:r>
        <w:tab/>
        <w:t>(1)</w:t>
      </w:r>
      <w:r>
        <w:tab/>
        <w:t>A person who engages in a pipeline operation must do so in accordance with the safety case in force for the operation.</w:t>
      </w:r>
    </w:p>
    <w:p>
      <w:pPr>
        <w:pStyle w:val="Penstart"/>
      </w:pPr>
      <w:r>
        <w:tab/>
        <w:t>Penalty: a fine of $8 800.</w:t>
      </w:r>
    </w:p>
    <w:p>
      <w:pPr>
        <w:pStyle w:val="Subsection"/>
      </w:pPr>
      <w:r>
        <w:tab/>
        <w:t>(2)</w:t>
      </w:r>
      <w:r>
        <w:tab/>
        <w:t>Subregulation (1) does not apply to a person who engages in a pipeline operation in accordance with the consent given under regulation 31 for the operation to be carried out in a manner that is different from the requirements of the safety case in force for the operation.</w:t>
      </w:r>
    </w:p>
    <w:p>
      <w:pPr>
        <w:pStyle w:val="Heading5"/>
      </w:pPr>
      <w:bookmarkStart w:id="23" w:name="_Toc471992936"/>
      <w:r>
        <w:rPr>
          <w:rStyle w:val="CharSectno"/>
        </w:rPr>
        <w:t>8</w:t>
      </w:r>
      <w:r>
        <w:t>.</w:t>
      </w:r>
      <w:r>
        <w:tab/>
        <w:t>Other protected persons to comply with safety case</w:t>
      </w:r>
      <w:bookmarkEnd w:id="23"/>
    </w:p>
    <w:p>
      <w:pPr>
        <w:pStyle w:val="Subsection"/>
      </w:pPr>
      <w:r>
        <w:tab/>
      </w:r>
      <w:r>
        <w:tab/>
        <w:t>A person who is at or near a place where a pipeline operation is being carried on at the invitation of, or with the express or implied consent of, a licensee for, or a person in control of a part of, the operation must comply with each provision of the safety case in force for the operation that applies to the person.</w:t>
      </w:r>
    </w:p>
    <w:p>
      <w:pPr>
        <w:pStyle w:val="Penstart"/>
      </w:pPr>
      <w:r>
        <w:tab/>
        <w:t>Penalty: a fine of $1 100.</w:t>
      </w:r>
    </w:p>
    <w:p>
      <w:pPr>
        <w:pStyle w:val="Heading5"/>
      </w:pPr>
      <w:bookmarkStart w:id="24" w:name="_Toc471992937"/>
      <w:r>
        <w:rPr>
          <w:rStyle w:val="CharSectno"/>
        </w:rPr>
        <w:t>9</w:t>
      </w:r>
      <w:r>
        <w:t>.</w:t>
      </w:r>
      <w:r>
        <w:tab/>
        <w:t>Maintaining records for safety cases</w:t>
      </w:r>
      <w:bookmarkEnd w:id="24"/>
    </w:p>
    <w:p>
      <w:pPr>
        <w:pStyle w:val="Subsection"/>
      </w:pPr>
      <w:r>
        <w:tab/>
      </w:r>
      <w:r>
        <w:tab/>
        <w:t>A licensee for a pipeline operation must ensure that all documents required by the</w:t>
      </w:r>
      <w:r>
        <w:rPr>
          <w:i/>
          <w:iCs/>
        </w:rPr>
        <w:t xml:space="preserve"> </w:t>
      </w:r>
      <w:r>
        <w:t>safety case in force for the operation to be kept are kept in the manner set out in the safety case.</w:t>
      </w:r>
    </w:p>
    <w:p>
      <w:pPr>
        <w:pStyle w:val="Penstart"/>
      </w:pPr>
      <w:r>
        <w:tab/>
        <w:t>Penalty: a fine of $3 300.</w:t>
      </w:r>
    </w:p>
    <w:p>
      <w:pPr>
        <w:pStyle w:val="Heading3"/>
      </w:pPr>
      <w:bookmarkStart w:id="25" w:name="_Toc471992798"/>
      <w:bookmarkStart w:id="26" w:name="_Toc471992868"/>
      <w:bookmarkStart w:id="27" w:name="_Toc471992938"/>
      <w:r>
        <w:rPr>
          <w:rStyle w:val="CharDivNo"/>
        </w:rPr>
        <w:t>Division 3</w:t>
      </w:r>
      <w:r>
        <w:t> — </w:t>
      </w:r>
      <w:r>
        <w:rPr>
          <w:rStyle w:val="CharDivText"/>
        </w:rPr>
        <w:t>Contents of safety cases</w:t>
      </w:r>
      <w:bookmarkEnd w:id="25"/>
      <w:bookmarkEnd w:id="26"/>
      <w:bookmarkEnd w:id="27"/>
    </w:p>
    <w:p>
      <w:pPr>
        <w:pStyle w:val="Heading4"/>
      </w:pPr>
      <w:bookmarkStart w:id="28" w:name="_Toc471992799"/>
      <w:bookmarkStart w:id="29" w:name="_Toc471992869"/>
      <w:bookmarkStart w:id="30" w:name="_Toc471992939"/>
      <w:r>
        <w:t>Subdivision 1 — Contents of a safety case</w:t>
      </w:r>
      <w:bookmarkEnd w:id="28"/>
      <w:bookmarkEnd w:id="29"/>
      <w:bookmarkEnd w:id="30"/>
    </w:p>
    <w:p>
      <w:pPr>
        <w:pStyle w:val="Heading5"/>
      </w:pPr>
      <w:bookmarkStart w:id="31" w:name="_Toc471992940"/>
      <w:r>
        <w:rPr>
          <w:rStyle w:val="CharSectno"/>
        </w:rPr>
        <w:t>10</w:t>
      </w:r>
      <w:r>
        <w:t>.</w:t>
      </w:r>
      <w:r>
        <w:tab/>
        <w:t>Pipeline operation description, formal safety assessment and safety management system</w:t>
      </w:r>
      <w:bookmarkEnd w:id="31"/>
    </w:p>
    <w:p>
      <w:pPr>
        <w:pStyle w:val="Subsection"/>
      </w:pPr>
      <w:r>
        <w:tab/>
        <w:t>(1)</w:t>
      </w:r>
      <w:r>
        <w:tab/>
        <w:t xml:space="preserve">The safety case for a pipeline operation must contain — </w:t>
      </w:r>
    </w:p>
    <w:p>
      <w:pPr>
        <w:pStyle w:val="Indenta"/>
      </w:pPr>
      <w:r>
        <w:tab/>
        <w:t>(a)</w:t>
      </w:r>
      <w:r>
        <w:tab/>
        <w:t>a description of the operation</w:t>
      </w:r>
      <w:r>
        <w:rPr>
          <w:i/>
          <w:iCs/>
        </w:rPr>
        <w:t xml:space="preserve"> </w:t>
      </w:r>
      <w:r>
        <w:t>that complies with subregulation (2); and</w:t>
      </w:r>
    </w:p>
    <w:p>
      <w:pPr>
        <w:pStyle w:val="Indenta"/>
      </w:pPr>
      <w:r>
        <w:tab/>
        <w:t>(b)</w:t>
      </w:r>
      <w:r>
        <w:tab/>
        <w:t>a detailed description of the formal safety assessment for the operation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pipeline operation</w:t>
      </w:r>
      <w:r>
        <w:rPr>
          <w:i/>
          <w:iCs/>
        </w:rPr>
        <w:t xml:space="preserve"> </w:t>
      </w:r>
      <w:r>
        <w:t xml:space="preserve">must give details of — </w:t>
      </w:r>
    </w:p>
    <w:p>
      <w:pPr>
        <w:pStyle w:val="Indenta"/>
      </w:pPr>
      <w:r>
        <w:tab/>
        <w:t>(a)</w:t>
      </w:r>
      <w:r>
        <w:tab/>
        <w:t>the operation; and</w:t>
      </w:r>
    </w:p>
    <w:p>
      <w:pPr>
        <w:pStyle w:val="Indenta"/>
      </w:pPr>
      <w:r>
        <w:tab/>
        <w:t>(b)</w:t>
      </w:r>
      <w:r>
        <w:tab/>
        <w:t>the configuration of the pipeline or the proposed pipeline; and</w:t>
      </w:r>
    </w:p>
    <w:p>
      <w:pPr>
        <w:pStyle w:val="Indenta"/>
      </w:pPr>
      <w:r>
        <w:tab/>
        <w:t>(c)</w:t>
      </w:r>
      <w:r>
        <w:tab/>
        <w:t>the measures identified as a result of the formal safety assessment as mentioned in subregulation (3)(c); and</w:t>
      </w:r>
    </w:p>
    <w:p>
      <w:pPr>
        <w:pStyle w:val="Indenta"/>
      </w:pPr>
      <w:r>
        <w:tab/>
        <w:t>(d)</w:t>
      </w:r>
      <w:r>
        <w:tab/>
        <w:t>any other relevant matters.</w:t>
      </w:r>
    </w:p>
    <w:p>
      <w:pPr>
        <w:pStyle w:val="Subsection"/>
      </w:pPr>
      <w:r>
        <w:tab/>
        <w:t>(3)</w:t>
      </w:r>
      <w:r>
        <w:tab/>
        <w:t>The formal safety assessment for the pipeline operation</w:t>
      </w:r>
      <w:r>
        <w:rPr>
          <w:i/>
          <w:iCs/>
        </w:rPr>
        <w:t xml:space="preserve"> </w:t>
      </w:r>
      <w:r>
        <w:t xml:space="preserve">is a risk assessment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Subsection"/>
      </w:pPr>
      <w:r>
        <w:tab/>
        <w:t>(4)</w:t>
      </w:r>
      <w:r>
        <w:tab/>
        <w:t xml:space="preserve">The safety management system for a pipeline operation must — </w:t>
      </w:r>
    </w:p>
    <w:p>
      <w:pPr>
        <w:pStyle w:val="Indenta"/>
      </w:pPr>
      <w:r>
        <w:tab/>
        <w:t>(a)</w:t>
      </w:r>
      <w:r>
        <w:tab/>
        <w:t xml:space="preserve">contain a detailed explanation of how a licensee for the operation proposes to — </w:t>
      </w:r>
    </w:p>
    <w:p>
      <w:pPr>
        <w:pStyle w:val="Indenti"/>
      </w:pPr>
      <w:r>
        <w:tab/>
        <w:t>(i)</w:t>
      </w:r>
      <w:r>
        <w:tab/>
        <w:t xml:space="preserve">comply with its duties under Schedule 1 Division 2 Subdivision 1 in relation to the operation; and </w:t>
      </w:r>
    </w:p>
    <w:p>
      <w:pPr>
        <w:pStyle w:val="Indenti"/>
      </w:pPr>
      <w:r>
        <w:tab/>
        <w:t>(ii)</w:t>
      </w:r>
      <w:r>
        <w:tab/>
        <w:t>ascertain whether other persons are complying with their duties under Schedule 1 Division 2 Subdivision 1 in relation to the operation, to the extent that it is practicable for the licensee to do so,</w:t>
      </w:r>
    </w:p>
    <w:p>
      <w:pPr>
        <w:pStyle w:val="Indenta"/>
      </w:pPr>
      <w:r>
        <w:tab/>
      </w:r>
      <w:r>
        <w:tab/>
        <w:t>including details of the systems and procedures to be used for those purposes; and</w:t>
      </w:r>
    </w:p>
    <w:p>
      <w:pPr>
        <w:pStyle w:val="Indenta"/>
      </w:pPr>
      <w:r>
        <w:tab/>
        <w:t>(b)</w:t>
      </w:r>
      <w:r>
        <w:tab/>
        <w:t>contain a detailed explanation of how compliance with the safety management system would be measured, evaluated and maintained; and</w:t>
      </w:r>
    </w:p>
    <w:p>
      <w:pPr>
        <w:pStyle w:val="Indenta"/>
      </w:pPr>
      <w:r>
        <w:tab/>
        <w:t>(c)</w:t>
      </w:r>
      <w:r>
        <w:tab/>
        <w:t>contain a detailed explanation of how the safety management system would be reviewed; and</w:t>
      </w:r>
    </w:p>
    <w:p>
      <w:pPr>
        <w:pStyle w:val="Indenta"/>
      </w:pPr>
      <w:r>
        <w:tab/>
        <w:t>(d)</w:t>
      </w:r>
      <w:r>
        <w:tab/>
        <w:t>provide for the ongoing and systematic identification of hazards that have the potential to cause a major accident event; and</w:t>
      </w:r>
    </w:p>
    <w:p>
      <w:pPr>
        <w:pStyle w:val="Indenta"/>
      </w:pPr>
      <w:r>
        <w:tab/>
        <w:t>(e)</w:t>
      </w:r>
      <w:r>
        <w:tab/>
        <w:t xml:space="preserve">provide for the ongoing and systematic assessment of the risk associated with each of those hazards, including the likelihood and consequences of each potential major accident event; and </w:t>
      </w:r>
    </w:p>
    <w:p>
      <w:pPr>
        <w:pStyle w:val="Indenta"/>
        <w:keepNext/>
        <w:keepLines/>
      </w:pPr>
      <w:r>
        <w:tab/>
        <w:t>(f)</w:t>
      </w:r>
      <w:r>
        <w:tab/>
        <w:t>provide for 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(g)</w:t>
      </w:r>
      <w:r>
        <w:tab/>
        <w:t>provide for inspection, testing and maintenance of the equipment and hardware that are the physical control measures for those risks; and</w:t>
      </w:r>
    </w:p>
    <w:p>
      <w:pPr>
        <w:pStyle w:val="Indenta"/>
      </w:pPr>
      <w:r>
        <w:tab/>
        <w:t>(h)</w:t>
      </w:r>
      <w:r>
        <w:tab/>
        <w:t>provide for adequate communications between the relevant areas of the operation including transport and other support facilities; and</w:t>
      </w:r>
    </w:p>
    <w:p>
      <w:pPr>
        <w:pStyle w:val="Indenta"/>
      </w:pPr>
      <w:r>
        <w:tab/>
        <w:t>(i)</w:t>
      </w:r>
      <w:r>
        <w:tab/>
        <w:t>provide for auditing of the operation; and</w:t>
      </w:r>
    </w:p>
    <w:p>
      <w:pPr>
        <w:pStyle w:val="Indenta"/>
      </w:pPr>
      <w:r>
        <w:tab/>
        <w:t>(j)</w:t>
      </w:r>
      <w:r>
        <w:tab/>
        <w:t>provide for any other matter that is necessary to ensure that the safety management system meets the requirements and purposes of these regulations; and</w:t>
      </w:r>
    </w:p>
    <w:p>
      <w:pPr>
        <w:pStyle w:val="Indenta"/>
      </w:pPr>
      <w:r>
        <w:tab/>
        <w:t>(k)</w:t>
      </w:r>
      <w:r>
        <w:tab/>
        <w:t>specify the principal performance standards established by a licensee for a pipeline operation for managing the risk of a major accident event connected with the operation.</w:t>
      </w:r>
    </w:p>
    <w:p>
      <w:pPr>
        <w:pStyle w:val="Subsection"/>
      </w:pPr>
      <w:r>
        <w:tab/>
        <w:t>(5)</w:t>
      </w:r>
      <w:r>
        <w:tab/>
        <w:t xml:space="preserve">If a licensee submits to the Minister a safety case for a pipeline operation that is an operation in connection with the construction of a pipeline, the safety case must contain the matters mentioned in subregulation (1) in relation to — </w:t>
      </w:r>
    </w:p>
    <w:p>
      <w:pPr>
        <w:pStyle w:val="Indenta"/>
      </w:pPr>
      <w:r>
        <w:tab/>
        <w:t>(a)</w:t>
      </w:r>
      <w:r>
        <w:tab/>
        <w:t>the construction of the pipeline; and</w:t>
      </w:r>
    </w:p>
    <w:p>
      <w:pPr>
        <w:pStyle w:val="Indenta"/>
      </w:pPr>
      <w:r>
        <w:tab/>
        <w:t>(b)</w:t>
      </w:r>
      <w:r>
        <w:tab/>
        <w:t>to the extent that it is practicable — the operation of the pipeline on completion of its construction.</w:t>
      </w:r>
    </w:p>
    <w:p>
      <w:pPr>
        <w:pStyle w:val="Heading5"/>
      </w:pPr>
      <w:bookmarkStart w:id="32" w:name="_Toc471992941"/>
      <w:r>
        <w:rPr>
          <w:rStyle w:val="CharSectno"/>
        </w:rPr>
        <w:t>11</w:t>
      </w:r>
      <w:r>
        <w:t>.</w:t>
      </w:r>
      <w:r>
        <w:tab/>
        <w:t>Implementation and improvement of the safety management system</w:t>
      </w:r>
      <w:bookmarkEnd w:id="32"/>
    </w:p>
    <w:p>
      <w:pPr>
        <w:pStyle w:val="Subsection"/>
      </w:pPr>
      <w:r>
        <w:tab/>
      </w:r>
      <w:r>
        <w:tab/>
        <w:t xml:space="preserve">The safety case for a pipeline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33" w:name="_Toc471992802"/>
      <w:bookmarkStart w:id="34" w:name="_Toc471992872"/>
      <w:bookmarkStart w:id="35" w:name="_Toc471992942"/>
      <w:r>
        <w:t>Subdivision 2 — Safety measures</w:t>
      </w:r>
      <w:bookmarkEnd w:id="33"/>
      <w:bookmarkEnd w:id="34"/>
      <w:bookmarkEnd w:id="35"/>
    </w:p>
    <w:p>
      <w:pPr>
        <w:pStyle w:val="Heading5"/>
      </w:pPr>
      <w:bookmarkStart w:id="36" w:name="_Toc471992943"/>
      <w:r>
        <w:rPr>
          <w:rStyle w:val="CharSectno"/>
        </w:rPr>
        <w:t>12</w:t>
      </w:r>
      <w:r>
        <w:t>.</w:t>
      </w:r>
      <w:r>
        <w:tab/>
        <w:t>Standards to be applied</w:t>
      </w:r>
      <w:bookmarkEnd w:id="36"/>
    </w:p>
    <w:p>
      <w:pPr>
        <w:pStyle w:val="Subsection"/>
        <w:rPr>
          <w:rStyle w:val="DraftersNotes"/>
        </w:rPr>
      </w:pPr>
      <w:r>
        <w:tab/>
      </w:r>
      <w:r>
        <w:tab/>
        <w:t>The safety case for a pipeline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7" w:name="_Toc471992944"/>
      <w:r>
        <w:rPr>
          <w:rStyle w:val="CharSectno"/>
        </w:rPr>
        <w:t>13</w:t>
      </w:r>
      <w:r>
        <w:t>.</w:t>
      </w:r>
      <w:r>
        <w:tab/>
        <w:t>Chain of responsibility</w:t>
      </w:r>
      <w:bookmarkEnd w:id="37"/>
    </w:p>
    <w:p>
      <w:pPr>
        <w:pStyle w:val="Subsection"/>
      </w:pPr>
      <w:r>
        <w:tab/>
        <w:t>(1)</w:t>
      </w:r>
      <w:r>
        <w:tab/>
        <w:t>The safety case for a pipeline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case for a pipeline operation</w:t>
      </w:r>
      <w:r>
        <w:rPr>
          <w:i/>
          <w:iCs/>
        </w:rPr>
        <w:t xml:space="preserve"> </w:t>
      </w:r>
      <w:r>
        <w:t xml:space="preserve">must describe, in detail, the means by which a licensee for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38" w:name="_Toc471992945"/>
      <w:r>
        <w:rPr>
          <w:rStyle w:val="CharSectno"/>
        </w:rPr>
        <w:t>14</w:t>
      </w:r>
      <w:r>
        <w:t>.</w:t>
      </w:r>
      <w:r>
        <w:tab/>
        <w:t>Competence of members of the workforce</w:t>
      </w:r>
      <w:bookmarkEnd w:id="38"/>
    </w:p>
    <w:p>
      <w:pPr>
        <w:pStyle w:val="Subsection"/>
      </w:pPr>
      <w:r>
        <w:tab/>
      </w:r>
      <w:r>
        <w:tab/>
        <w:t>The safety case for a pipeline operation</w:t>
      </w:r>
      <w:r>
        <w:rPr>
          <w:i/>
          <w:iCs/>
        </w:rPr>
        <w:t xml:space="preserve"> </w:t>
      </w:r>
      <w:r>
        <w:t xml:space="preserve">must describe the means by which a licensee for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39" w:name="_Toc471992946"/>
      <w:r>
        <w:rPr>
          <w:rStyle w:val="CharSectno"/>
        </w:rPr>
        <w:t>15</w:t>
      </w:r>
      <w:r>
        <w:t>.</w:t>
      </w:r>
      <w:r>
        <w:tab/>
        <w:t>Permit to work system for safe performance of work</w:t>
      </w:r>
      <w:bookmarkEnd w:id="39"/>
    </w:p>
    <w:p>
      <w:pPr>
        <w:pStyle w:val="Subsection"/>
      </w:pPr>
      <w:r>
        <w:tab/>
      </w:r>
      <w:r>
        <w:tab/>
        <w:t xml:space="preserve">The safety case for a pipeline operation must provide for a licensee for the operation to establish and maintain a documented permit to work system for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0" w:name="_Toc471992947"/>
      <w:r>
        <w:rPr>
          <w:rStyle w:val="CharSectno"/>
        </w:rPr>
        <w:t>16</w:t>
      </w:r>
      <w:r>
        <w:t>.</w:t>
      </w:r>
      <w:r>
        <w:tab/>
        <w:t>Involvement of members of the workforce</w:t>
      </w:r>
      <w:bookmarkEnd w:id="40"/>
    </w:p>
    <w:p>
      <w:pPr>
        <w:pStyle w:val="Subsection"/>
      </w:pPr>
      <w:r>
        <w:tab/>
        <w:t>(1)</w:t>
      </w:r>
      <w:r>
        <w:tab/>
        <w:t xml:space="preserve">A licensee for a pipeline operation must demonstrate to the Minister, to the reasonable satisfaction of the Minister, that — </w:t>
      </w:r>
    </w:p>
    <w:p>
      <w:pPr>
        <w:pStyle w:val="Indenta"/>
      </w:pPr>
      <w:r>
        <w:tab/>
        <w:t>(a)</w:t>
      </w:r>
      <w:r>
        <w:tab/>
        <w:t>in the development or revision of the safety case for the operation,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engaged in, or likely to be engaged in, the pipeline operation.</w:t>
      </w:r>
    </w:p>
    <w:p>
      <w:pPr>
        <w:pStyle w:val="Subsection"/>
      </w:pPr>
      <w:r>
        <w:tab/>
        <w:t>(3)</w:t>
      </w:r>
      <w:r>
        <w:tab/>
        <w:t>A demonstration for the purposes of subregulation (1) must be supported by adequate documentation.</w:t>
      </w:r>
    </w:p>
    <w:p>
      <w:pPr>
        <w:pStyle w:val="Heading5"/>
      </w:pPr>
      <w:bookmarkStart w:id="41" w:name="_Toc471992948"/>
      <w:r>
        <w:rPr>
          <w:rStyle w:val="CharSectno"/>
        </w:rPr>
        <w:t>17</w:t>
      </w:r>
      <w:r>
        <w:t>.</w:t>
      </w:r>
      <w:r>
        <w:tab/>
        <w:t>Machinery and equipment</w:t>
      </w:r>
      <w:bookmarkEnd w:id="41"/>
    </w:p>
    <w:p>
      <w:pPr>
        <w:pStyle w:val="Subsection"/>
      </w:pPr>
      <w:r>
        <w:tab/>
        <w:t>(1)</w:t>
      </w:r>
      <w:r>
        <w:tab/>
        <w:t>The safety case for a pipeline operation must specify the principal equipment required for the operation (including process equipment, machinery and electrical and instrumentation systems) that relates to, or may affect, the safety or health of persons engaged in the operation or other protected persons.</w:t>
      </w:r>
    </w:p>
    <w:p>
      <w:pPr>
        <w:pStyle w:val="Subsection"/>
      </w:pPr>
      <w:r>
        <w:tab/>
        <w:t>(2)</w:t>
      </w:r>
      <w:r>
        <w:tab/>
        <w:t xml:space="preserve">Without limiting subregulation (1), the safety case for a pipeline operation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42" w:name="_Toc471992949"/>
      <w:r>
        <w:rPr>
          <w:rStyle w:val="CharSectno"/>
        </w:rPr>
        <w:t>18</w:t>
      </w:r>
      <w:r>
        <w:t>.</w:t>
      </w:r>
      <w:r>
        <w:tab/>
        <w:t>Structural integrity etc.</w:t>
      </w:r>
      <w:bookmarkEnd w:id="42"/>
    </w:p>
    <w:p>
      <w:pPr>
        <w:pStyle w:val="Subsection"/>
        <w:rPr>
          <w:rStyle w:val="DraftersNotes"/>
        </w:rPr>
      </w:pPr>
      <w:r>
        <w:tab/>
      </w:r>
      <w:r>
        <w:tab/>
        <w:t>The safety case for a pipeline operation must describe the means by which a licensee for the operation will ensure that the pipeline, and the machinery, electrical systems and instrumentation controls to be used in the operation, are kept in good condition and fit for purpose.</w:t>
      </w:r>
    </w:p>
    <w:p>
      <w:pPr>
        <w:pStyle w:val="Heading5"/>
      </w:pPr>
      <w:bookmarkStart w:id="43" w:name="_Toc471992950"/>
      <w:r>
        <w:rPr>
          <w:rStyle w:val="CharSectno"/>
        </w:rPr>
        <w:t>19</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The safety case for a pipeline operation must describe the means by which a licensee for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Heading5"/>
      </w:pPr>
      <w:bookmarkStart w:id="44" w:name="_Toc471992951"/>
      <w:r>
        <w:rPr>
          <w:rStyle w:val="CharSectno"/>
        </w:rPr>
        <w:t>20</w:t>
      </w:r>
      <w:r>
        <w:t>.</w:t>
      </w:r>
      <w:r>
        <w:tab/>
        <w:t>Reports during construction of a pipeline</w:t>
      </w:r>
      <w:bookmarkEnd w:id="44"/>
    </w:p>
    <w:p>
      <w:pPr>
        <w:pStyle w:val="Subsection"/>
      </w:pPr>
      <w:r>
        <w:tab/>
      </w:r>
      <w:r>
        <w:tab/>
        <w:t xml:space="preserve">The safety case for a pipeline operation that is an operation in connection with the construction of a pipeline must provide for a licensee for the operation to ensure that during the construction period the Minister is given weekly progress reports, in a form approved by the Minister, on matters relating to — </w:t>
      </w:r>
    </w:p>
    <w:p>
      <w:pPr>
        <w:pStyle w:val="Defpara"/>
      </w:pPr>
      <w:r>
        <w:tab/>
        <w:t>(a)</w:t>
      </w:r>
      <w:r>
        <w:tab/>
        <w:t>the occupational safety and health of persons engaged in the operation; and</w:t>
      </w:r>
    </w:p>
    <w:p>
      <w:pPr>
        <w:pStyle w:val="Defpara"/>
      </w:pPr>
      <w:r>
        <w:tab/>
        <w:t>(b)</w:t>
      </w:r>
      <w:r>
        <w:tab/>
        <w:t>the safety and health of other protected persons.</w:t>
      </w:r>
    </w:p>
    <w:p>
      <w:pPr>
        <w:pStyle w:val="Heading4"/>
      </w:pPr>
      <w:bookmarkStart w:id="45" w:name="_Toc471992812"/>
      <w:bookmarkStart w:id="46" w:name="_Toc471992882"/>
      <w:bookmarkStart w:id="47" w:name="_Toc471992952"/>
      <w:r>
        <w:t>Subdivision 3 — Emergencies</w:t>
      </w:r>
      <w:bookmarkEnd w:id="45"/>
      <w:bookmarkEnd w:id="46"/>
      <w:bookmarkEnd w:id="47"/>
    </w:p>
    <w:p>
      <w:pPr>
        <w:pStyle w:val="Heading5"/>
      </w:pPr>
      <w:bookmarkStart w:id="48" w:name="_Toc471992953"/>
      <w:r>
        <w:rPr>
          <w:rStyle w:val="CharSectno"/>
        </w:rPr>
        <w:t>21</w:t>
      </w:r>
      <w:r>
        <w:t>.</w:t>
      </w:r>
      <w:r>
        <w:tab/>
        <w:t>Fire and explosion risk analysis</w:t>
      </w:r>
      <w:bookmarkEnd w:id="48"/>
    </w:p>
    <w:p>
      <w:pPr>
        <w:pStyle w:val="Subsection"/>
      </w:pPr>
      <w:r>
        <w:tab/>
        <w:t>(1)</w:t>
      </w:r>
      <w:r>
        <w:tab/>
        <w:t>The safety case for a pipeline operation must contain a detailed description of a fire and explosion risk analysis.</w:t>
      </w:r>
    </w:p>
    <w:p>
      <w:pPr>
        <w:pStyle w:val="Subsection"/>
      </w:pPr>
      <w:r>
        <w:tab/>
        <w:t>(2)</w:t>
      </w:r>
      <w:r>
        <w:tab/>
        <w:t xml:space="preserve">The description of a fire and explosion risk analysis in a safety case for a pipeline operation must — </w:t>
      </w:r>
    </w:p>
    <w:p>
      <w:pPr>
        <w:pStyle w:val="Indenta"/>
      </w:pPr>
      <w:r>
        <w:tab/>
        <w:t>(a)</w:t>
      </w:r>
      <w:r>
        <w:tab/>
        <w:t>identify the types of fires and explosions that could occur during the operation;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tab/>
        <w:t>(d)</w:t>
      </w:r>
      <w:r>
        <w:tab/>
        <w:t xml:space="preserve">consider the incorporation into the operation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r>
      <w:r>
        <w:tab/>
        <w:t>and</w:t>
      </w:r>
    </w:p>
    <w:p>
      <w:pPr>
        <w:pStyle w:val="Indenta"/>
      </w:pPr>
      <w:r>
        <w:tab/>
        <w:t>(e)</w:t>
      </w:r>
      <w:r>
        <w:tab/>
        <w:t>consider a range of means of isolating and safely storing hazardous substances, such as fuel, explosives and chemicals, that are used or stored in connection with the operation;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49" w:name="_Toc471992954"/>
      <w:r>
        <w:rPr>
          <w:rStyle w:val="CharSectno"/>
        </w:rPr>
        <w:t>22</w:t>
      </w:r>
      <w:r>
        <w:t>.</w:t>
      </w:r>
      <w:r>
        <w:tab/>
        <w:t>Emergency communications systems</w:t>
      </w:r>
      <w:bookmarkEnd w:id="49"/>
    </w:p>
    <w:p>
      <w:pPr>
        <w:pStyle w:val="Subsection"/>
      </w:pPr>
      <w:r>
        <w:tab/>
        <w:t>(1)</w:t>
      </w:r>
      <w:r>
        <w:tab/>
        <w:t>The safety case for a pipeline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case for a pipeline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by the formal safety assessment for the operation.</w:t>
      </w:r>
    </w:p>
    <w:p>
      <w:pPr>
        <w:pStyle w:val="Heading5"/>
      </w:pPr>
      <w:bookmarkStart w:id="50" w:name="_Toc471992955"/>
      <w:r>
        <w:rPr>
          <w:rStyle w:val="CharSectno"/>
        </w:rPr>
        <w:t>23</w:t>
      </w:r>
      <w:r>
        <w:t>.</w:t>
      </w:r>
      <w:r>
        <w:tab/>
        <w:t>Emergency control systems</w:t>
      </w:r>
      <w:bookmarkEnd w:id="50"/>
    </w:p>
    <w:p>
      <w:pPr>
        <w:pStyle w:val="Subsection"/>
      </w:pPr>
      <w:r>
        <w:tab/>
        <w:t xml:space="preserve"> </w:t>
      </w:r>
      <w:r>
        <w:tab/>
        <w:t xml:space="preserve">The safety case for a pipeline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1" w:name="_Toc471992956"/>
      <w:r>
        <w:rPr>
          <w:rStyle w:val="CharSectno"/>
        </w:rPr>
        <w:t>24</w:t>
      </w:r>
      <w:r>
        <w:t>.</w:t>
      </w:r>
      <w:r>
        <w:tab/>
        <w:t>Emergency preparedness and response plan</w:t>
      </w:r>
      <w:bookmarkEnd w:id="51"/>
    </w:p>
    <w:p>
      <w:pPr>
        <w:pStyle w:val="Subsection"/>
      </w:pPr>
      <w:r>
        <w:tab/>
        <w:t>(1)</w:t>
      </w:r>
      <w:r>
        <w:tab/>
        <w:t xml:space="preserve">The safety case for a pipeline operation must — </w:t>
      </w:r>
    </w:p>
    <w:p>
      <w:pPr>
        <w:pStyle w:val="Indenta"/>
      </w:pPr>
      <w:r>
        <w:tab/>
        <w:t>(a)</w:t>
      </w:r>
      <w:r>
        <w:tab/>
        <w:t>describe a response plan designed to deal with possible emergencies, the risk of which has been identified in the formal safety assessment for the operation; and</w:t>
      </w:r>
    </w:p>
    <w:p>
      <w:pPr>
        <w:pStyle w:val="Indenta"/>
      </w:pPr>
      <w:r>
        <w:tab/>
        <w:t>(b)</w:t>
      </w:r>
      <w:r>
        <w:tab/>
        <w:t>provide for the implementation of that plan.</w:t>
      </w:r>
    </w:p>
    <w:p>
      <w:pPr>
        <w:pStyle w:val="Subsection"/>
      </w:pPr>
      <w:r>
        <w:tab/>
        <w:t>(2)</w:t>
      </w:r>
      <w:r>
        <w:tab/>
        <w:t>The safety case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case for a pipeline operation must provide for a licensee for the operation to ensure, as far as is reasonably practicable, that escape drill exercises and fire drill exercises are held in accordance with the safety case.</w:t>
      </w:r>
    </w:p>
    <w:p>
      <w:pPr>
        <w:pStyle w:val="Heading5"/>
      </w:pPr>
      <w:bookmarkStart w:id="52" w:name="_Toc471992957"/>
      <w:r>
        <w:rPr>
          <w:rStyle w:val="CharSectno"/>
        </w:rPr>
        <w:t>25</w:t>
      </w:r>
      <w:r>
        <w:t>.</w:t>
      </w:r>
      <w:r>
        <w:tab/>
        <w:t>Pipelines connected to other pipelines, facilities</w:t>
      </w:r>
      <w:bookmarkEnd w:id="52"/>
    </w:p>
    <w:p>
      <w:pPr>
        <w:pStyle w:val="Subsection"/>
      </w:pPr>
      <w:r>
        <w:tab/>
        <w:t>(1)</w:t>
      </w:r>
      <w:r>
        <w:tab/>
        <w:t xml:space="preserve">This regulation applies to a safety case for a pipeline operation involving a pipeline that — </w:t>
      </w:r>
    </w:p>
    <w:p>
      <w:pPr>
        <w:pStyle w:val="Indenta"/>
      </w:pPr>
      <w:r>
        <w:tab/>
        <w:t>(a)</w:t>
      </w:r>
      <w:r>
        <w:tab/>
        <w:t xml:space="preserve">is connected to one or more other operational pipelines or facilities; or </w:t>
      </w:r>
    </w:p>
    <w:p>
      <w:pPr>
        <w:pStyle w:val="Indenta"/>
      </w:pPr>
      <w:r>
        <w:tab/>
        <w:t>(b)</w:t>
      </w:r>
      <w:r>
        <w:tab/>
        <w:t>is proposed to be connected to one or more other operational pipelines or facilities.</w:t>
      </w:r>
    </w:p>
    <w:p>
      <w:pPr>
        <w:pStyle w:val="Subsection"/>
      </w:pPr>
      <w:r>
        <w:tab/>
        <w:t>(2)</w:t>
      </w:r>
      <w:r>
        <w:tab/>
        <w:t>The safety case must specify adequate procedures for shutting down or isolating, in the event of an emergency, each pipeline or facility connected to the pipeline, so as to stop the flow of hazardous substances to other pipelines or facilities.</w:t>
      </w:r>
    </w:p>
    <w:p>
      <w:pPr>
        <w:pStyle w:val="Subsection"/>
      </w:pPr>
      <w:r>
        <w:tab/>
        <w:t>(3)</w:t>
      </w:r>
      <w:r>
        <w:tab/>
        <w:t xml:space="preserve">The procedures specified in the safety case must include — </w:t>
      </w:r>
    </w:p>
    <w:p>
      <w:pPr>
        <w:pStyle w:val="Indenta"/>
      </w:pPr>
      <w:r>
        <w:tab/>
        <w:t>(a)</w:t>
      </w:r>
      <w:r>
        <w:tab/>
        <w:t>effective means of controlling and operating all relevant emergency shutdown valves for a pipeline or facility; and</w:t>
      </w:r>
    </w:p>
    <w:p>
      <w:pPr>
        <w:pStyle w:val="Indenta"/>
      </w:pPr>
      <w:r>
        <w:tab/>
        <w:t>(b)</w:t>
      </w:r>
      <w:r>
        <w:tab/>
        <w:t>a safe system of isolating a pipeline in the event of failure of other safety devices for the pipeline or facility.</w:t>
      </w:r>
    </w:p>
    <w:p>
      <w:pPr>
        <w:pStyle w:val="Subsection"/>
        <w:keepNext/>
        <w:keepLines/>
      </w:pPr>
      <w:r>
        <w:tab/>
        <w:t>(4)</w:t>
      </w:r>
      <w:r>
        <w:tab/>
        <w:t xml:space="preserve">The safety case must also specify — </w:t>
      </w:r>
    </w:p>
    <w:p>
      <w:pPr>
        <w:pStyle w:val="Indenta"/>
        <w:keepNext/>
        <w:keepLines/>
      </w:pPr>
      <w:r>
        <w:tab/>
        <w:t>(a)</w:t>
      </w:r>
      <w:r>
        <w:tab/>
        <w:t>adequate means of mitigating, in the event of an emergency, the risks associated with each pipeline or facility connected to the pipeline; and</w:t>
      </w:r>
    </w:p>
    <w:p>
      <w:pPr>
        <w:pStyle w:val="Indenta"/>
      </w:pPr>
      <w:r>
        <w:tab/>
        <w:t>(b)</w:t>
      </w:r>
      <w:r>
        <w:tab/>
        <w:t>a frequency of periodic inspection and testing of pipeline emergency shutdown valves that can reasonably be expected to ensure that they will operate correctly in an emergency.</w:t>
      </w:r>
    </w:p>
    <w:p>
      <w:pPr>
        <w:pStyle w:val="Heading4"/>
      </w:pPr>
      <w:bookmarkStart w:id="53" w:name="_Toc471992818"/>
      <w:bookmarkStart w:id="54" w:name="_Toc471992888"/>
      <w:bookmarkStart w:id="55" w:name="_Toc471992958"/>
      <w:r>
        <w:t>Subdivision 4 — Record keeping</w:t>
      </w:r>
      <w:bookmarkEnd w:id="53"/>
      <w:bookmarkEnd w:id="54"/>
      <w:bookmarkEnd w:id="55"/>
    </w:p>
    <w:p>
      <w:pPr>
        <w:pStyle w:val="Heading5"/>
      </w:pPr>
      <w:bookmarkStart w:id="56" w:name="_Toc471992959"/>
      <w:r>
        <w:rPr>
          <w:rStyle w:val="CharSectno"/>
        </w:rPr>
        <w:t>26</w:t>
      </w:r>
      <w:r>
        <w:t>.</w:t>
      </w:r>
      <w:r>
        <w:tab/>
        <w:t>Arrangements for records</w:t>
      </w:r>
      <w:bookmarkEnd w:id="56"/>
    </w:p>
    <w:p>
      <w:pPr>
        <w:pStyle w:val="Subsection"/>
        <w:keepNext/>
      </w:pPr>
      <w:r>
        <w:tab/>
        <w:t>(1)</w:t>
      </w:r>
      <w:r>
        <w:tab/>
        <w:t xml:space="preserve">The safety case for a pipeline operation must include arrangements for — </w:t>
      </w:r>
    </w:p>
    <w:p>
      <w:pPr>
        <w:pStyle w:val="Indenta"/>
        <w:keepNext/>
      </w:pPr>
      <w:r>
        <w:tab/>
        <w:t>(a)</w:t>
      </w:r>
      <w:r>
        <w:tab/>
        <w:t xml:space="preserve">making a record of — </w:t>
      </w:r>
    </w:p>
    <w:p>
      <w:pPr>
        <w:pStyle w:val="Indenti"/>
        <w:keepNext/>
      </w:pPr>
      <w:r>
        <w:tab/>
        <w:t>(i)</w:t>
      </w:r>
      <w:r>
        <w:tab/>
        <w:t>the safety case in force for the operation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case in force for a pipeline operation must be kept for 5 years after the date of acceptance of the document by the Minister.</w:t>
      </w:r>
    </w:p>
    <w:p>
      <w:pPr>
        <w:pStyle w:val="Subsection"/>
      </w:pPr>
      <w:r>
        <w:tab/>
        <w:t>(3)</w:t>
      </w:r>
      <w:r>
        <w:tab/>
        <w:t>A written audit report for a safety case for a pipeline operation must be kept for a period of 5 years after the date of receipt by a licensee for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57" w:name="_Toc471992820"/>
      <w:bookmarkStart w:id="58" w:name="_Toc471992890"/>
      <w:bookmarkStart w:id="59" w:name="_Toc471992960"/>
      <w:r>
        <w:rPr>
          <w:rStyle w:val="CharDivNo"/>
        </w:rPr>
        <w:t>Division 4</w:t>
      </w:r>
      <w:r>
        <w:t> — </w:t>
      </w:r>
      <w:r>
        <w:rPr>
          <w:rStyle w:val="CharDivText"/>
        </w:rPr>
        <w:t>Submission and acceptance of safety cases</w:t>
      </w:r>
      <w:bookmarkEnd w:id="57"/>
      <w:bookmarkEnd w:id="58"/>
      <w:bookmarkEnd w:id="59"/>
    </w:p>
    <w:p>
      <w:pPr>
        <w:pStyle w:val="Heading5"/>
      </w:pPr>
      <w:bookmarkStart w:id="60" w:name="_Toc471992961"/>
      <w:r>
        <w:rPr>
          <w:rStyle w:val="CharSectno"/>
        </w:rPr>
        <w:t>27</w:t>
      </w:r>
      <w:r>
        <w:t>.</w:t>
      </w:r>
      <w:r>
        <w:tab/>
        <w:t>Safety case to be submitted to Minister</w:t>
      </w:r>
      <w:bookmarkEnd w:id="60"/>
    </w:p>
    <w:p>
      <w:pPr>
        <w:pStyle w:val="Subsection"/>
      </w:pPr>
      <w:r>
        <w:tab/>
        <w:t>(1)</w:t>
      </w:r>
      <w:r>
        <w:tab/>
        <w:t>If a licensee for a pipeline operation wants to have a safety case accepted for the operation, the licensee must submit the safety case to the Minister.</w:t>
      </w:r>
    </w:p>
    <w:p>
      <w:pPr>
        <w:pStyle w:val="Subsection"/>
      </w:pPr>
      <w:r>
        <w:tab/>
        <w:t>(2)</w:t>
      </w:r>
      <w:r>
        <w:tab/>
        <w:t>A safety case may relate to one or more pipeline operations.</w:t>
      </w:r>
    </w:p>
    <w:p>
      <w:pPr>
        <w:pStyle w:val="Subsection"/>
      </w:pPr>
      <w:r>
        <w:tab/>
        <w:t>(3)</w:t>
      </w:r>
      <w:r>
        <w:tab/>
        <w:t>A safety case may relate to more than one pipeline.</w:t>
      </w:r>
    </w:p>
    <w:p>
      <w:pPr>
        <w:pStyle w:val="Heading5"/>
      </w:pPr>
      <w:bookmarkStart w:id="61" w:name="_Toc471992962"/>
      <w:r>
        <w:rPr>
          <w:rStyle w:val="CharSectno"/>
        </w:rPr>
        <w:t>28</w:t>
      </w:r>
      <w:r>
        <w:t>.</w:t>
      </w:r>
      <w:r>
        <w:tab/>
        <w:t>Minister may request more information</w:t>
      </w:r>
      <w:bookmarkEnd w:id="61"/>
    </w:p>
    <w:p>
      <w:pPr>
        <w:pStyle w:val="Subsection"/>
      </w:pPr>
      <w:r>
        <w:tab/>
        <w:t>(1)</w:t>
      </w:r>
      <w:r>
        <w:tab/>
        <w:t>If a licensee submits a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Heading5"/>
      </w:pPr>
      <w:bookmarkStart w:id="62" w:name="_Toc471992963"/>
      <w:r>
        <w:rPr>
          <w:rStyle w:val="CharSectno"/>
        </w:rPr>
        <w:t>29</w:t>
      </w:r>
      <w:r>
        <w:t>.</w:t>
      </w:r>
      <w:r>
        <w:tab/>
        <w:t>Acceptance or rejection of a safety case</w:t>
      </w:r>
      <w:bookmarkEnd w:id="62"/>
    </w:p>
    <w:p>
      <w:pPr>
        <w:pStyle w:val="Subsection"/>
      </w:pPr>
      <w:r>
        <w:tab/>
        <w:t>(1)</w:t>
      </w:r>
      <w:r>
        <w:tab/>
        <w:t xml:space="preserve">The Minister must accept a safety case if — </w:t>
      </w:r>
    </w:p>
    <w:p>
      <w:pPr>
        <w:pStyle w:val="Indenta"/>
      </w:pPr>
      <w:r>
        <w:tab/>
        <w:t>(a)</w:t>
      </w:r>
      <w:r>
        <w:tab/>
        <w:t>the safety case is appropriate to each pipeline operation in respect of which the safety case is submitted; and</w:t>
      </w:r>
    </w:p>
    <w:p>
      <w:pPr>
        <w:pStyle w:val="Indenta"/>
      </w:pPr>
      <w:r>
        <w:tab/>
        <w:t>(b)</w:t>
      </w:r>
      <w:r>
        <w:tab/>
        <w:t>the safety case complies with Division 3 Subdivisions 1, 2 and 3 for each pipeline operation in respect of which the safety case is submitted; and</w:t>
      </w:r>
    </w:p>
    <w:p>
      <w:pPr>
        <w:pStyle w:val="Indenta"/>
      </w:pPr>
      <w:r>
        <w:tab/>
        <w:t>(c)</w:t>
      </w:r>
      <w:r>
        <w:tab/>
        <w:t>the safety case complies with Division 3 Subdivision 4; and</w:t>
      </w:r>
    </w:p>
    <w:p>
      <w:pPr>
        <w:pStyle w:val="Indenta"/>
      </w:pPr>
      <w:r>
        <w:tab/>
        <w:t>(d)</w:t>
      </w:r>
      <w:r>
        <w:tab/>
        <w:t>in a case in which the Minister has, under Division 7, required a validation for a pipeline operation in respect of which the safety case is submitted, the validation has been provided and is in accordance with that Division.</w:t>
      </w:r>
    </w:p>
    <w:p>
      <w:pPr>
        <w:pStyle w:val="Subsection"/>
      </w:pPr>
      <w:r>
        <w:tab/>
        <w:t>(2)</w:t>
      </w:r>
      <w:r>
        <w:tab/>
        <w:t>If a safety case is submitted in relation to more than one pipeline operation, the Minister may accept the safety case in relation to one or more pipeline operations or reject the safety case for one or more pipeline operations.</w:t>
      </w:r>
    </w:p>
    <w:p>
      <w:pPr>
        <w:pStyle w:val="Subsection"/>
      </w:pPr>
      <w:r>
        <w:tab/>
        <w:t>(3)</w:t>
      </w:r>
      <w:r>
        <w:tab/>
        <w:t>If the Minister rejects a safety case because the Minister is not satisfied with any of the matters mentioned in subregulation (1), the Minister must give the licensee who submitted the safety case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the licensee who submitted the safety case a reasonable opportunity to change and resubmit the safety case; and</w:t>
      </w:r>
    </w:p>
    <w:p>
      <w:pPr>
        <w:pStyle w:val="Indenta"/>
      </w:pPr>
      <w:r>
        <w:tab/>
        <w:t>(b)</w:t>
      </w:r>
      <w:r>
        <w:tab/>
        <w:t>the licensee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pipeline operation, the Minister may impose conditions on the acceptance in respect of the operation.</w:t>
      </w:r>
    </w:p>
    <w:p>
      <w:pPr>
        <w:pStyle w:val="Heading5"/>
      </w:pPr>
      <w:bookmarkStart w:id="63" w:name="_Toc471992964"/>
      <w:r>
        <w:rPr>
          <w:rStyle w:val="CharSectno"/>
        </w:rPr>
        <w:t>30</w:t>
      </w:r>
      <w:r>
        <w:t>.</w:t>
      </w:r>
      <w:r>
        <w:tab/>
        <w:t>Notice of decision on safety case</w:t>
      </w:r>
      <w:bookmarkEnd w:id="63"/>
    </w:p>
    <w:p>
      <w:pPr>
        <w:pStyle w:val="Subsection"/>
      </w:pPr>
      <w:r>
        <w:tab/>
        <w:t>(1)</w:t>
      </w:r>
      <w:r>
        <w:tab/>
        <w:t xml:space="preserve">Within 90 days after receiving a safety case submitted under regulation 27, or resubmitted under regulation 29(3), the Minister must in writing notify the licensee who submitted it — </w:t>
      </w:r>
    </w:p>
    <w:p>
      <w:pPr>
        <w:pStyle w:val="Indenta"/>
      </w:pPr>
      <w:r>
        <w:tab/>
        <w:t>(a)</w:t>
      </w:r>
      <w:r>
        <w:tab/>
        <w:t xml:space="preserve">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pipeline operations and reject the rest of the safety case; or</w:t>
      </w:r>
    </w:p>
    <w:p>
      <w:pPr>
        <w:pStyle w:val="Indenti"/>
      </w:pPr>
      <w:r>
        <w:tab/>
        <w:t>(iv)</w:t>
      </w:r>
      <w:r>
        <w:tab/>
        <w:t xml:space="preserve">accept the safety case subject to conditions; </w:t>
      </w:r>
    </w:p>
    <w:p>
      <w:pPr>
        <w:pStyle w:val="Indenta"/>
      </w:pPr>
      <w:r>
        <w:tab/>
      </w:r>
      <w:r>
        <w:tab/>
        <w:t>or</w:t>
      </w:r>
    </w:p>
    <w:p>
      <w:pPr>
        <w:pStyle w:val="Indenta"/>
      </w:pPr>
      <w:r>
        <w:tab/>
        <w:t>(b)</w:t>
      </w:r>
      <w:r>
        <w:tab/>
        <w:t>that the Minister is unable to make a decision about the safety case within the period of 90 days, and set out a proposed timetable for his or her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64" w:name="_Toc471992965"/>
      <w:r>
        <w:rPr>
          <w:rStyle w:val="CharSectno"/>
        </w:rPr>
        <w:t>31</w:t>
      </w:r>
      <w:r>
        <w:t>.</w:t>
      </w:r>
      <w:r>
        <w:tab/>
        <w:t>Consent to undertake operations in a manner different from safety case requirements</w:t>
      </w:r>
      <w:bookmarkEnd w:id="64"/>
    </w:p>
    <w:p>
      <w:pPr>
        <w:pStyle w:val="Subsection"/>
      </w:pPr>
      <w:r>
        <w:tab/>
        <w:t>(1)</w:t>
      </w:r>
      <w:r>
        <w:tab/>
        <w:t>The Minister may, by notice in writing given to a licensee for a pipeline operation, consent to the carrying out of a pipeline operation in a manner that is different from the requirements of the safety case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65" w:name="_Toc471992826"/>
      <w:bookmarkStart w:id="66" w:name="_Toc471992896"/>
      <w:bookmarkStart w:id="67" w:name="_Toc471992966"/>
      <w:r>
        <w:rPr>
          <w:rStyle w:val="CharDivNo"/>
        </w:rPr>
        <w:t>Division 5</w:t>
      </w:r>
      <w:r>
        <w:t> — </w:t>
      </w:r>
      <w:r>
        <w:rPr>
          <w:rStyle w:val="CharDivText"/>
        </w:rPr>
        <w:t>Revision of safety cases</w:t>
      </w:r>
      <w:bookmarkEnd w:id="65"/>
      <w:bookmarkEnd w:id="66"/>
      <w:bookmarkEnd w:id="67"/>
    </w:p>
    <w:p>
      <w:pPr>
        <w:pStyle w:val="Heading5"/>
      </w:pPr>
      <w:bookmarkStart w:id="68" w:name="_Toc471992967"/>
      <w:r>
        <w:rPr>
          <w:rStyle w:val="CharSectno"/>
        </w:rPr>
        <w:t>32</w:t>
      </w:r>
      <w:r>
        <w:t>.</w:t>
      </w:r>
      <w:r>
        <w:tab/>
        <w:t>Revision because of a change of circumstances or operations</w:t>
      </w:r>
      <w:bookmarkEnd w:id="68"/>
    </w:p>
    <w:p>
      <w:pPr>
        <w:pStyle w:val="Subsection"/>
      </w:pPr>
      <w:r>
        <w:tab/>
        <w:t>(1)</w:t>
      </w:r>
      <w:r>
        <w:tab/>
        <w:t xml:space="preserve">A licensee for a pipeline operation for which a safety case is in force must submit a revised safety case to the Minister as soon as practicable after the occurrence of any of the following circumstances — </w:t>
      </w:r>
    </w:p>
    <w:p>
      <w:pPr>
        <w:pStyle w:val="Indenta"/>
      </w:pPr>
      <w:r>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3 Subdivisions 1, 2 and 3;</w:t>
      </w:r>
    </w:p>
    <w:p>
      <w:pPr>
        <w:pStyle w:val="Indenta"/>
      </w:pPr>
      <w:r>
        <w:tab/>
        <w:t>(b)</w:t>
      </w:r>
      <w:r>
        <w:tab/>
        <w:t>it is proposed to carry out a particular pipeline operation and the safety case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case in force for the operation;</w:t>
      </w:r>
    </w:p>
    <w:p>
      <w:pPr>
        <w:pStyle w:val="Indenta"/>
      </w:pPr>
      <w:r>
        <w:tab/>
        <w:t>(e)</w:t>
      </w:r>
      <w:r>
        <w:tab/>
        <w:t>a significant change to the safety case for the operation is proposed.</w:t>
      </w:r>
    </w:p>
    <w:p>
      <w:pPr>
        <w:pStyle w:val="Subsection"/>
      </w:pPr>
      <w:r>
        <w:tab/>
        <w:t>(2)</w:t>
      </w:r>
      <w:r>
        <w:tab/>
        <w:t>If the Minister agrees, a licensee for a pipeline operation may submit a revised safety case under subregulation (1) in the form of a revision of part of the safety case in force for the operation.</w:t>
      </w:r>
    </w:p>
    <w:p>
      <w:pPr>
        <w:pStyle w:val="Heading5"/>
      </w:pPr>
      <w:bookmarkStart w:id="69" w:name="_Toc471992968"/>
      <w:r>
        <w:rPr>
          <w:rStyle w:val="CharSectno"/>
        </w:rPr>
        <w:t>33</w:t>
      </w:r>
      <w:r>
        <w:t>.</w:t>
      </w:r>
      <w:r>
        <w:tab/>
        <w:t>Revision on Minister’s request</w:t>
      </w:r>
      <w:bookmarkEnd w:id="69"/>
    </w:p>
    <w:p>
      <w:pPr>
        <w:pStyle w:val="Subsection"/>
      </w:pPr>
      <w:r>
        <w:tab/>
        <w:t>(1)</w:t>
      </w:r>
      <w:r>
        <w:tab/>
        <w:t xml:space="preserve">The Minister may, by written notice (a </w:t>
      </w:r>
      <w:r>
        <w:rPr>
          <w:rStyle w:val="CharDefText"/>
        </w:rPr>
        <w:t>revision notice</w:t>
      </w:r>
      <w:r>
        <w:t>) request a licensee for a pipeline operation for which a safety case is in force to submit a revised safety case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 licensee who receives a revision notice may, if the Minister agrees, submit a revised safety case under subregulation (1) in the form of a revision of part of the safety case.</w:t>
      </w:r>
    </w:p>
    <w:p>
      <w:pPr>
        <w:pStyle w:val="Subsection"/>
      </w:pPr>
      <w:r>
        <w:tab/>
        <w:t>(4)</w:t>
      </w:r>
      <w:r>
        <w:tab/>
        <w:t xml:space="preserve">A licensee who receives a revision notice may, in writing, inform the Minister of the licensee’s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licensee’s reasons in support of the licensee’s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licensee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licensee must revise the safety case in accordance with the revision notice as originally given or as varied under subregulation (6).</w:t>
      </w:r>
    </w:p>
    <w:p>
      <w:pPr>
        <w:pStyle w:val="Heading5"/>
      </w:pPr>
      <w:bookmarkStart w:id="70" w:name="_Toc471992969"/>
      <w:r>
        <w:rPr>
          <w:rStyle w:val="CharSectno"/>
        </w:rPr>
        <w:t>34</w:t>
      </w:r>
      <w:r>
        <w:t>.</w:t>
      </w:r>
      <w:r>
        <w:tab/>
        <w:t>Revision every 5 years</w:t>
      </w:r>
      <w:bookmarkEnd w:id="70"/>
    </w:p>
    <w:p>
      <w:pPr>
        <w:pStyle w:val="Subsection"/>
      </w:pPr>
      <w:r>
        <w:tab/>
        <w:t>(1)</w:t>
      </w:r>
      <w:r>
        <w:tab/>
        <w:t xml:space="preserve">A licensee for a pipeline operation for which a safety case is in force must submit a revised safety case to the Minister — </w:t>
      </w:r>
    </w:p>
    <w:p>
      <w:pPr>
        <w:pStyle w:val="Indenta"/>
      </w:pPr>
      <w:r>
        <w:tab/>
        <w:t>(a)</w:t>
      </w:r>
      <w:r>
        <w:tab/>
        <w:t>5 years after the day on which the safety case was first accepted under regulation 29; and</w:t>
      </w:r>
    </w:p>
    <w:p>
      <w:pPr>
        <w:pStyle w:val="Indenta"/>
      </w:pPr>
      <w:r>
        <w:tab/>
        <w:t>(b)</w:t>
      </w:r>
      <w:r>
        <w:tab/>
        <w:t>then at 5 yearly intervals, starting on the day on which the revised safety case submitted under paragraph (a) was accepted under regulation 36.</w:t>
      </w:r>
    </w:p>
    <w:p>
      <w:pPr>
        <w:pStyle w:val="Subsection"/>
        <w:rPr>
          <w:rStyle w:val="DraftersNotes"/>
        </w:rPr>
      </w:pPr>
      <w:r>
        <w:tab/>
        <w:t>(2)</w:t>
      </w:r>
      <w:r>
        <w:tab/>
        <w:t>Subregulation (1) applies despite the revision of a safety case under regulation 32 or 33.</w:t>
      </w:r>
    </w:p>
    <w:p>
      <w:pPr>
        <w:pStyle w:val="Subsection"/>
        <w:rPr>
          <w:rStyle w:val="DraftersNotes"/>
        </w:rPr>
      </w:pPr>
      <w:r>
        <w:tab/>
        <w:t>(3)</w:t>
      </w:r>
      <w:r>
        <w:tab/>
        <w:t>A revised safety case submitted under subregulation (1) must describe the means by which the licensee will continue to ensure that the pipeline, and the machinery, electrical systems and instrumentation controls used in the operation, are kept in good condition and fit for purpose.</w:t>
      </w:r>
    </w:p>
    <w:p>
      <w:pPr>
        <w:pStyle w:val="Heading5"/>
      </w:pPr>
      <w:bookmarkStart w:id="71" w:name="_Toc471992970"/>
      <w:r>
        <w:rPr>
          <w:rStyle w:val="CharSectno"/>
        </w:rPr>
        <w:t>35</w:t>
      </w:r>
      <w:r>
        <w:t>.</w:t>
      </w:r>
      <w:r>
        <w:tab/>
        <w:t>Minister may request more information</w:t>
      </w:r>
      <w:bookmarkEnd w:id="71"/>
    </w:p>
    <w:p>
      <w:pPr>
        <w:pStyle w:val="Subsection"/>
      </w:pPr>
      <w:r>
        <w:tab/>
        <w:t>(1)</w:t>
      </w:r>
      <w:r>
        <w:tab/>
        <w:t>If a licensee submits a revised safety case to the Minister, the Minister may request the licensee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 licensee receives a request and provides all information requested by the Minister within the period specified — </w:t>
      </w:r>
    </w:p>
    <w:p>
      <w:pPr>
        <w:pStyle w:val="Indenta"/>
      </w:pPr>
      <w:r>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Heading5"/>
      </w:pPr>
      <w:bookmarkStart w:id="72" w:name="_Toc471992971"/>
      <w:r>
        <w:rPr>
          <w:rStyle w:val="CharSectno"/>
        </w:rPr>
        <w:t>36</w:t>
      </w:r>
      <w:r>
        <w:t>.</w:t>
      </w:r>
      <w:r>
        <w:tab/>
        <w:t>Acceptance or rejection of revised safety case</w:t>
      </w:r>
      <w:bookmarkEnd w:id="72"/>
    </w:p>
    <w:p>
      <w:pPr>
        <w:pStyle w:val="Subsection"/>
      </w:pPr>
      <w:r>
        <w:tab/>
        <w:t>(1)</w:t>
      </w:r>
      <w:r>
        <w:tab/>
        <w:t xml:space="preserve">The Minister must accept a revised safety case if — </w:t>
      </w:r>
    </w:p>
    <w:p>
      <w:pPr>
        <w:pStyle w:val="Indenta"/>
      </w:pPr>
      <w:r>
        <w:tab/>
        <w:t>(a)</w:t>
      </w:r>
      <w:r>
        <w:tab/>
        <w:t>the revised safety case is appropriate to each pipeline operation in respect of which it is submitted; and</w:t>
      </w:r>
    </w:p>
    <w:p>
      <w:pPr>
        <w:pStyle w:val="Indenta"/>
      </w:pPr>
      <w:r>
        <w:tab/>
        <w:t>(b)</w:t>
      </w:r>
      <w:r>
        <w:tab/>
        <w:t>the revised safety case complies with Division 3 Subdivisions 1, 2 and 3 for each pipeline operation in respect of which the safety case is submitted; and</w:t>
      </w:r>
    </w:p>
    <w:p>
      <w:pPr>
        <w:pStyle w:val="Indenta"/>
      </w:pPr>
      <w:r>
        <w:tab/>
        <w:t>(c)</w:t>
      </w:r>
      <w:r>
        <w:tab/>
        <w:t>the revised safety case complies with Division 3 Subdivision 5; and</w:t>
      </w:r>
    </w:p>
    <w:p>
      <w:pPr>
        <w:pStyle w:val="Indenta"/>
      </w:pPr>
      <w:r>
        <w:tab/>
        <w:t>(d)</w:t>
      </w:r>
      <w:r>
        <w:tab/>
        <w:t>the revised safety case, if submitted under regulation 34(1), complies with regulation 34(3); and</w:t>
      </w:r>
    </w:p>
    <w:p>
      <w:pPr>
        <w:pStyle w:val="Indenta"/>
        <w:keepNext/>
      </w:pPr>
      <w:r>
        <w:tab/>
        <w:t>(e)</w:t>
      </w:r>
      <w:r>
        <w:tab/>
        <w:t>in a case in which the Minister has, under Division 7, required a validation for a pipeline operation in respect of which the revised safety case is submitted, the validation has been provided and is in accordance with that Division.</w:t>
      </w:r>
    </w:p>
    <w:p>
      <w:pPr>
        <w:pStyle w:val="Subsection"/>
      </w:pPr>
      <w:r>
        <w:tab/>
        <w:t>(2)</w:t>
      </w:r>
      <w:r>
        <w:tab/>
        <w:t>If a safety case is revised in relation to more than one pipeline operation, the Minister may accept the revised safety case in relation to one or more pipeline operations or reject the revised safety case for one or more pipeline operations.</w:t>
      </w:r>
    </w:p>
    <w:p>
      <w:pPr>
        <w:pStyle w:val="Subsection"/>
      </w:pPr>
      <w:r>
        <w:tab/>
        <w:t>(3)</w:t>
      </w:r>
      <w:r>
        <w:tab/>
        <w:t>If the Minister rejects a revised safety case because the Minister is not satisfied that there is compliance with subregulation (1), the Minister must give the licensee who submitted the revised safety case a reasonable opportunity to change and resubmit the safety case.</w:t>
      </w:r>
    </w:p>
    <w:p>
      <w:pPr>
        <w:pStyle w:val="Subsection"/>
      </w:pPr>
      <w:r>
        <w:tab/>
        <w:t>(4)</w:t>
      </w:r>
      <w:r>
        <w:tab/>
        <w:t xml:space="preserve">The Minister must reject the revised safety case if — </w:t>
      </w:r>
    </w:p>
    <w:p>
      <w:pPr>
        <w:pStyle w:val="Indenta"/>
      </w:pPr>
      <w:r>
        <w:tab/>
        <w:t>(a)</w:t>
      </w:r>
      <w:r>
        <w:tab/>
        <w:t>the Minister has given the licensee who submitted the revised safety case a reasonable opportunity to change and resubmit a revised safety case or a revised part of a safety case; and</w:t>
      </w:r>
    </w:p>
    <w:p>
      <w:pPr>
        <w:pStyle w:val="Indenta"/>
      </w:pPr>
      <w:r>
        <w:tab/>
        <w:t>(b)</w:t>
      </w:r>
      <w:r>
        <w:tab/>
        <w:t>the licensee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pipeline operation, the Minister may impose conditions on the acceptance in respect of the operation.</w:t>
      </w:r>
    </w:p>
    <w:p>
      <w:pPr>
        <w:pStyle w:val="Heading5"/>
      </w:pPr>
      <w:bookmarkStart w:id="73" w:name="_Toc471992972"/>
      <w:r>
        <w:rPr>
          <w:rStyle w:val="CharSectno"/>
        </w:rPr>
        <w:t>37</w:t>
      </w:r>
      <w:r>
        <w:t>.</w:t>
      </w:r>
      <w:r>
        <w:tab/>
        <w:t>Notice of decision on revised safety case</w:t>
      </w:r>
      <w:bookmarkEnd w:id="73"/>
    </w:p>
    <w:p>
      <w:pPr>
        <w:pStyle w:val="Subsection"/>
      </w:pPr>
      <w:r>
        <w:tab/>
        <w:t>(1)</w:t>
      </w:r>
      <w:r>
        <w:tab/>
        <w:t xml:space="preserve">Within 30 days after receiving a revised safety case, or a revised part of a safety case, the Minister must in writing notify the licensee who submitted it — </w:t>
      </w:r>
    </w:p>
    <w:p>
      <w:pPr>
        <w:pStyle w:val="Indenta"/>
      </w:pPr>
      <w:r>
        <w:tab/>
        <w:t>(a)</w:t>
      </w:r>
      <w:r>
        <w:tab/>
        <w:t xml:space="preserve">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pipeline operations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that the Minister is unable to make a decision about the revised safety case within the period of 30 days, and set out a proposed timetable for his or her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Heading5"/>
      </w:pPr>
      <w:bookmarkStart w:id="74" w:name="_Toc471992973"/>
      <w:r>
        <w:rPr>
          <w:rStyle w:val="CharSectno"/>
        </w:rPr>
        <w:t>38</w:t>
      </w:r>
      <w:r>
        <w:t>.</w:t>
      </w:r>
      <w:r>
        <w:tab/>
        <w:t>Effect of rejection of revised safety case</w:t>
      </w:r>
      <w:bookmarkEnd w:id="74"/>
    </w:p>
    <w:p>
      <w:pPr>
        <w:pStyle w:val="Subsection"/>
      </w:pPr>
      <w:r>
        <w:tab/>
      </w:r>
      <w:r>
        <w:tab/>
        <w:t>If a revised safety case is not accepted, the safety case in force in relation to the pipeline operation immediately before the revised safety case was submitted remains in force subject to the Act and these regulations, as if the revised safety case had not been submitted.</w:t>
      </w:r>
    </w:p>
    <w:p>
      <w:pPr>
        <w:pStyle w:val="Heading3"/>
      </w:pPr>
      <w:bookmarkStart w:id="75" w:name="_Toc471992834"/>
      <w:bookmarkStart w:id="76" w:name="_Toc471992904"/>
      <w:bookmarkStart w:id="77" w:name="_Toc471992974"/>
      <w:r>
        <w:rPr>
          <w:rStyle w:val="CharDivNo"/>
        </w:rPr>
        <w:t>Division 6</w:t>
      </w:r>
      <w:r>
        <w:t> — </w:t>
      </w:r>
      <w:r>
        <w:rPr>
          <w:rStyle w:val="CharDivText"/>
        </w:rPr>
        <w:t>Withdrawal of acceptance of a safety case</w:t>
      </w:r>
      <w:bookmarkEnd w:id="75"/>
      <w:bookmarkEnd w:id="76"/>
      <w:bookmarkEnd w:id="77"/>
    </w:p>
    <w:p>
      <w:pPr>
        <w:pStyle w:val="Heading5"/>
      </w:pPr>
      <w:bookmarkStart w:id="78" w:name="_Toc471992975"/>
      <w:r>
        <w:rPr>
          <w:rStyle w:val="CharSectno"/>
        </w:rPr>
        <w:t>39</w:t>
      </w:r>
      <w:r>
        <w:t>.</w:t>
      </w:r>
      <w:r>
        <w:tab/>
        <w:t>Grounds for withdrawal of acceptance</w:t>
      </w:r>
      <w:bookmarkEnd w:id="78"/>
    </w:p>
    <w:p>
      <w:pPr>
        <w:pStyle w:val="Subsection"/>
      </w:pPr>
      <w:r>
        <w:tab/>
        <w:t>(1)</w:t>
      </w:r>
      <w:r>
        <w:tab/>
        <w:t>The Minister may, by written notice to a licensee for a pipeline operation, withdraw the acceptance of the safety case for the operation</w:t>
      </w:r>
      <w:r>
        <w:rPr>
          <w:i/>
          <w:iCs/>
        </w:rPr>
        <w:t xml:space="preserve"> </w:t>
      </w:r>
      <w:r>
        <w:t xml:space="preserve">on any of the following grounds — </w:t>
      </w:r>
    </w:p>
    <w:p>
      <w:pPr>
        <w:pStyle w:val="Indenta"/>
      </w:pPr>
      <w:r>
        <w:tab/>
        <w:t>(a)</w:t>
      </w:r>
      <w:r>
        <w:tab/>
        <w:t xml:space="preserve">a licensee for the operation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Heading5"/>
      </w:pPr>
      <w:bookmarkStart w:id="79" w:name="_Toc471992976"/>
      <w:r>
        <w:rPr>
          <w:rStyle w:val="CharSectno"/>
        </w:rPr>
        <w:t>40</w:t>
      </w:r>
      <w:r>
        <w:t>.</w:t>
      </w:r>
      <w:r>
        <w:tab/>
        <w:t>Notice before withdrawal of acceptance</w:t>
      </w:r>
      <w:bookmarkEnd w:id="79"/>
    </w:p>
    <w:p>
      <w:pPr>
        <w:pStyle w:val="Subsection"/>
      </w:pPr>
      <w:r>
        <w:tab/>
        <w:t>(1)</w:t>
      </w:r>
      <w:r>
        <w:tab/>
        <w:t>Before withdrawing the acceptance of a safety case for a pipeline operation, the Minister must give the licensee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licensee,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a licensee for the operation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80" w:name="_Toc471992837"/>
      <w:bookmarkStart w:id="81" w:name="_Toc471992907"/>
      <w:bookmarkStart w:id="82" w:name="_Toc471992977"/>
      <w:r>
        <w:rPr>
          <w:rStyle w:val="CharDivNo"/>
        </w:rPr>
        <w:t>Division 7</w:t>
      </w:r>
      <w:r>
        <w:t> — </w:t>
      </w:r>
      <w:r>
        <w:rPr>
          <w:rStyle w:val="CharDivText"/>
        </w:rPr>
        <w:t>Validation</w:t>
      </w:r>
      <w:bookmarkEnd w:id="80"/>
      <w:bookmarkEnd w:id="81"/>
      <w:bookmarkEnd w:id="82"/>
    </w:p>
    <w:p>
      <w:pPr>
        <w:pStyle w:val="Heading5"/>
      </w:pPr>
      <w:bookmarkStart w:id="83" w:name="_Toc471992978"/>
      <w:r>
        <w:rPr>
          <w:rStyle w:val="CharSectno"/>
        </w:rPr>
        <w:t>41</w:t>
      </w:r>
      <w:r>
        <w:t>.</w:t>
      </w:r>
      <w:r>
        <w:tab/>
        <w:t>Validation of proposed or existing pipeline operations</w:t>
      </w:r>
      <w:bookmarkEnd w:id="83"/>
    </w:p>
    <w:p>
      <w:pPr>
        <w:pStyle w:val="Subsection"/>
      </w:pPr>
      <w:r>
        <w:tab/>
        <w:t>(1)</w:t>
      </w:r>
      <w:r>
        <w:tab/>
        <w:t>The Minister may, by notice in writing, require a licensee for a proposed pipeline operation or a pipeline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licensee; and</w:t>
      </w:r>
    </w:p>
    <w:p>
      <w:pPr>
        <w:pStyle w:val="Indenti"/>
      </w:pPr>
      <w:r>
        <w:tab/>
        <w:t>(iii)</w:t>
      </w:r>
      <w:r>
        <w:tab/>
        <w:t>not engaged by the licensee except for the purpose of providing the validation;</w:t>
      </w:r>
    </w:p>
    <w:p>
      <w:pPr>
        <w:pStyle w:val="Indenta"/>
      </w:pPr>
      <w:r>
        <w:tab/>
      </w:r>
      <w:r>
        <w:tab/>
        <w:t>and</w:t>
      </w:r>
    </w:p>
    <w:p>
      <w:pPr>
        <w:pStyle w:val="Indenta"/>
      </w:pPr>
      <w:r>
        <w:tab/>
        <w:t>(b)</w:t>
      </w:r>
      <w:r>
        <w:tab/>
        <w:t>is about matters proposed by the licensee and accepted by the Minister; and</w:t>
      </w:r>
    </w:p>
    <w:p>
      <w:pPr>
        <w:pStyle w:val="Indenta"/>
      </w:pPr>
      <w:r>
        <w:tab/>
        <w:t>(c)</w:t>
      </w:r>
      <w:r>
        <w:tab/>
        <w:t>comprises a statement in writing to the effect that the subject of the validation complies with the description given in the safety case and is fit for the purpose proposed by the licensee.</w:t>
      </w:r>
    </w:p>
    <w:p>
      <w:pPr>
        <w:pStyle w:val="Heading2"/>
      </w:pPr>
      <w:bookmarkStart w:id="84" w:name="_Toc471992839"/>
      <w:bookmarkStart w:id="85" w:name="_Toc471992909"/>
      <w:bookmarkStart w:id="86" w:name="_Toc471992979"/>
      <w:r>
        <w:rPr>
          <w:rStyle w:val="CharPartNo"/>
        </w:rPr>
        <w:t>Part 3</w:t>
      </w:r>
      <w:r>
        <w:rPr>
          <w:rStyle w:val="CharDivNo"/>
        </w:rPr>
        <w:t> </w:t>
      </w:r>
      <w:r>
        <w:t>—</w:t>
      </w:r>
      <w:r>
        <w:rPr>
          <w:rStyle w:val="CharDivText"/>
        </w:rPr>
        <w:t> </w:t>
      </w:r>
      <w:r>
        <w:rPr>
          <w:rStyle w:val="CharPartText"/>
        </w:rPr>
        <w:t>Accidents and dangerous occurrences arising from pipeline operations</w:t>
      </w:r>
      <w:bookmarkEnd w:id="84"/>
      <w:bookmarkEnd w:id="85"/>
      <w:bookmarkEnd w:id="86"/>
    </w:p>
    <w:p>
      <w:pPr>
        <w:pStyle w:val="Heading5"/>
      </w:pPr>
      <w:bookmarkStart w:id="87" w:name="_Toc471992980"/>
      <w:r>
        <w:rPr>
          <w:rStyle w:val="CharSectno"/>
        </w:rPr>
        <w:t>42</w:t>
      </w:r>
      <w:r>
        <w:t>.</w:t>
      </w:r>
      <w:r>
        <w:tab/>
        <w:t>Dangerous occurrence</w:t>
      </w:r>
      <w:bookmarkEnd w:id="87"/>
    </w:p>
    <w:p>
      <w:pPr>
        <w:pStyle w:val="Subsection"/>
      </w:pPr>
      <w:r>
        <w:tab/>
      </w:r>
      <w:r>
        <w:tab/>
        <w:t xml:space="preserve">For the purposes of the definition of </w:t>
      </w:r>
      <w:r>
        <w:rPr>
          <w:b/>
          <w:bCs/>
          <w:i/>
          <w:iCs/>
        </w:rPr>
        <w:t>dangerous occurrence</w:t>
      </w:r>
      <w:r>
        <w:t xml:space="preserve"> in Schedule 1 clause 3, the following occurrences that arise from a pipeline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an unplanned event that required the emergency response plan mentioned in regulation 24(1) to be implemented;</w:t>
      </w:r>
    </w:p>
    <w:p>
      <w:pPr>
        <w:pStyle w:val="Indenti"/>
      </w:pPr>
      <w:r>
        <w:tab/>
        <w:t>(v)</w:t>
      </w:r>
      <w:r>
        <w:tab/>
        <w:t>damage to safety</w:t>
      </w:r>
      <w:r>
        <w:noBreakHyphen/>
        <w:t>critical equipment;</w:t>
      </w:r>
    </w:p>
    <w:p>
      <w:pPr>
        <w:pStyle w:val="Indenta"/>
      </w:pPr>
      <w:r>
        <w:tab/>
        <w:t>(c)</w:t>
      </w:r>
      <w:r>
        <w:tab/>
        <w:t>an occurrence of another kind that a reasonable licensee would consider to require an immediate investigation.</w:t>
      </w:r>
    </w:p>
    <w:p>
      <w:pPr>
        <w:pStyle w:val="Heading5"/>
      </w:pPr>
      <w:bookmarkStart w:id="88" w:name="_Toc471992981"/>
      <w:r>
        <w:rPr>
          <w:rStyle w:val="CharSectno"/>
        </w:rPr>
        <w:t>43</w:t>
      </w:r>
      <w:r>
        <w:t>.</w:t>
      </w:r>
      <w:r>
        <w:tab/>
        <w:t>Period of incapacity for work caused by accident arising from pipeline operation</w:t>
      </w:r>
      <w:bookmarkEnd w:id="88"/>
    </w:p>
    <w:p>
      <w:pPr>
        <w:pStyle w:val="Subsection"/>
      </w:pPr>
      <w:r>
        <w:tab/>
      </w:r>
      <w:r>
        <w:tab/>
        <w:t>For the purposes of Schedule 1 clause 70(1)(b) the period prescribed in relation to an accident arising from a pipeline operation is one or more days.</w:t>
      </w:r>
    </w:p>
    <w:p>
      <w:pPr>
        <w:pStyle w:val="Heading5"/>
      </w:pPr>
      <w:bookmarkStart w:id="89" w:name="_Toc471992982"/>
      <w:r>
        <w:rPr>
          <w:rStyle w:val="CharSectno"/>
        </w:rPr>
        <w:t>44</w:t>
      </w:r>
      <w:r>
        <w:t>.</w:t>
      </w:r>
      <w:r>
        <w:tab/>
        <w:t>Notices of accidents and dangerous occurrences</w:t>
      </w:r>
      <w:bookmarkEnd w:id="89"/>
    </w:p>
    <w:p>
      <w:pPr>
        <w:pStyle w:val="Subsection"/>
      </w:pPr>
      <w:r>
        <w:tab/>
      </w:r>
      <w:r>
        <w:tab/>
        <w:t xml:space="preserve">For the purposes of Schedule 1 clause 70(2)(a), notice of an accident or dangerous occurrence that arises from a pipeline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a licensee at the time of its first occurrence, after a licensee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a licensee at the time of the notification.</w:t>
      </w:r>
    </w:p>
    <w:p>
      <w:pPr>
        <w:pStyle w:val="Heading5"/>
      </w:pPr>
      <w:bookmarkStart w:id="90" w:name="_Toc471992983"/>
      <w:r>
        <w:rPr>
          <w:rStyle w:val="CharSectno"/>
        </w:rPr>
        <w:t>45</w:t>
      </w:r>
      <w:r>
        <w:t>.</w:t>
      </w:r>
      <w:r>
        <w:tab/>
        <w:t>Reports of accidents and dangerous occurrences</w:t>
      </w:r>
      <w:bookmarkEnd w:id="90"/>
    </w:p>
    <w:p>
      <w:pPr>
        <w:pStyle w:val="Subsection"/>
      </w:pPr>
      <w:r>
        <w:tab/>
        <w:t>(1)</w:t>
      </w:r>
      <w:r>
        <w:tab/>
        <w:t xml:space="preserve">For the purposes of Schedule 1 clause 70(2)(b), a report of an accident or dangerous occurrence arising from a pipeline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in the event that the accident or dangerous occurrence is not detected by a licensee at the time of its first occurrence, within 3 days after a licensee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a licensee for a pipeline operation must submit, to the Minister, a written report, for that month, stating — </w:t>
      </w:r>
    </w:p>
    <w:p>
      <w:pPr>
        <w:pStyle w:val="Indenta"/>
      </w:pPr>
      <w:r>
        <w:tab/>
        <w:t>(a)</w:t>
      </w:r>
      <w:r>
        <w:tab/>
        <w:t>the number of deaths of persons arising from the pipeline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91" w:name="_Toc471992984"/>
      <w:r>
        <w:rPr>
          <w:rStyle w:val="CharSectno"/>
        </w:rPr>
        <w:t>46</w:t>
      </w:r>
      <w:r>
        <w:t>.</w:t>
      </w:r>
      <w:r>
        <w:tab/>
        <w:t>Interference with accident sites</w:t>
      </w:r>
      <w:bookmarkEnd w:id="91"/>
    </w:p>
    <w:p>
      <w:pPr>
        <w:pStyle w:val="Subsection"/>
      </w:pPr>
      <w:r>
        <w:tab/>
        <w:t>(1)</w:t>
      </w:r>
      <w:r>
        <w:tab/>
        <w:t>A person must not interfere with a site before an inspector has finished inspecting the site if there had occurred at the site, arising from a pipeline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92" w:name="_Toc471992845"/>
      <w:bookmarkStart w:id="93" w:name="_Toc471992915"/>
      <w:bookmarkStart w:id="94" w:name="_Toc471992985"/>
      <w:r>
        <w:rPr>
          <w:rStyle w:val="CharPartNo"/>
        </w:rPr>
        <w:t>Part 4</w:t>
      </w:r>
      <w:r>
        <w:rPr>
          <w:rStyle w:val="CharDivNo"/>
        </w:rPr>
        <w:t> </w:t>
      </w:r>
      <w:r>
        <w:t>—</w:t>
      </w:r>
      <w:r>
        <w:rPr>
          <w:rStyle w:val="CharDivText"/>
        </w:rPr>
        <w:t> </w:t>
      </w:r>
      <w:r>
        <w:rPr>
          <w:rStyle w:val="CharPartText"/>
        </w:rPr>
        <w:t>Miscellaneous</w:t>
      </w:r>
      <w:bookmarkEnd w:id="92"/>
      <w:bookmarkEnd w:id="93"/>
      <w:bookmarkEnd w:id="94"/>
    </w:p>
    <w:p>
      <w:pPr>
        <w:pStyle w:val="Heading5"/>
      </w:pPr>
      <w:bookmarkStart w:id="95" w:name="_Toc471992986"/>
      <w:r>
        <w:rPr>
          <w:rStyle w:val="CharSectno"/>
        </w:rPr>
        <w:t>47</w:t>
      </w:r>
      <w:r>
        <w:t>.</w:t>
      </w:r>
      <w:r>
        <w:tab/>
        <w:t>Details in applications or submissions</w:t>
      </w:r>
      <w:bookmarkEnd w:id="95"/>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96" w:name="_Toc471992847"/>
      <w:bookmarkStart w:id="97" w:name="_Toc471992917"/>
      <w:bookmarkStart w:id="98" w:name="_Toc471992987"/>
      <w:r>
        <w:rPr>
          <w:rStyle w:val="CharPartNo"/>
        </w:rPr>
        <w:t>Part 5</w:t>
      </w:r>
      <w:r>
        <w:rPr>
          <w:rStyle w:val="CharDivNo"/>
        </w:rPr>
        <w:t> </w:t>
      </w:r>
      <w:r>
        <w:t>—</w:t>
      </w:r>
      <w:r>
        <w:rPr>
          <w:rStyle w:val="CharDivText"/>
        </w:rPr>
        <w:t> </w:t>
      </w:r>
      <w:r>
        <w:rPr>
          <w:rStyle w:val="CharPartText"/>
        </w:rPr>
        <w:t>Transitional provisions</w:t>
      </w:r>
      <w:bookmarkEnd w:id="96"/>
      <w:bookmarkEnd w:id="97"/>
      <w:bookmarkEnd w:id="98"/>
    </w:p>
    <w:p>
      <w:pPr>
        <w:pStyle w:val="Heading5"/>
      </w:pPr>
      <w:bookmarkStart w:id="99" w:name="_Toc471992988"/>
      <w:r>
        <w:rPr>
          <w:rStyle w:val="CharSectno"/>
        </w:rPr>
        <w:t>48</w:t>
      </w:r>
      <w:r>
        <w:t>.</w:t>
      </w:r>
      <w:r>
        <w:tab/>
        <w:t>Terms used</w:t>
      </w:r>
      <w:bookmarkEnd w:id="99"/>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case</w:t>
      </w:r>
      <w:r>
        <w:t xml:space="preserve"> means a safety management system or a safety case under a condition to which a licence is subject.</w:t>
      </w:r>
    </w:p>
    <w:p>
      <w:pPr>
        <w:pStyle w:val="Heading5"/>
      </w:pPr>
      <w:bookmarkStart w:id="100" w:name="_Toc471992989"/>
      <w:r>
        <w:rPr>
          <w:rStyle w:val="CharSectno"/>
        </w:rPr>
        <w:t>49</w:t>
      </w:r>
      <w:r>
        <w:t>.</w:t>
      </w:r>
      <w:r>
        <w:tab/>
        <w:t>Certain pre</w:t>
      </w:r>
      <w:r>
        <w:noBreakHyphen/>
        <w:t>amendment safety cases remain in force</w:t>
      </w:r>
      <w:bookmarkEnd w:id="100"/>
    </w:p>
    <w:p>
      <w:pPr>
        <w:pStyle w:val="Subsection"/>
      </w:pPr>
      <w:r>
        <w:tab/>
      </w:r>
      <w:r>
        <w:tab/>
        <w:t>A pre</w:t>
      </w:r>
      <w:r>
        <w:noBreakHyphen/>
        <w:t xml:space="preserve">amendment safety case that was in force immediately before commencement day is to be taken to be — </w:t>
      </w:r>
    </w:p>
    <w:p>
      <w:pPr>
        <w:pStyle w:val="Indenta"/>
      </w:pPr>
      <w:r>
        <w:tab/>
        <w:t>(a)</w:t>
      </w:r>
      <w:r>
        <w:tab/>
        <w:t>a safety case accepted by the Minister under regulation 29 for the pipeline operation that is the subject of the pre</w:t>
      </w:r>
      <w:r>
        <w:noBreakHyphen/>
        <w:t>amendment safety case; and</w:t>
      </w:r>
    </w:p>
    <w:p>
      <w:pPr>
        <w:pStyle w:val="Indenta"/>
      </w:pPr>
      <w:r>
        <w:tab/>
        <w:t>(b)</w:t>
      </w:r>
      <w:r>
        <w:tab/>
        <w:t>accepted on the day on which the pre</w:t>
      </w:r>
      <w:r>
        <w:noBreakHyphen/>
        <w:t>amendment safety case was accepted, or if the pre</w:t>
      </w:r>
      <w:r>
        <w:noBreakHyphen/>
        <w:t>amendment safety case has been revised, on the day on which the latest revision of the pre</w:t>
      </w:r>
      <w:r>
        <w:noBreakHyphen/>
        <w:t>amendment safety case was accepted; and</w:t>
      </w:r>
    </w:p>
    <w:p>
      <w:pPr>
        <w:pStyle w:val="Indenta"/>
      </w:pPr>
      <w:r>
        <w:tab/>
        <w:t>(c)</w:t>
      </w:r>
      <w:r>
        <w:tab/>
        <w:t>in force on the same terms that applied immediately before commencement day.</w:t>
      </w:r>
    </w:p>
    <w:p>
      <w:pPr>
        <w:pStyle w:val="Heading5"/>
      </w:pPr>
      <w:bookmarkStart w:id="101" w:name="_Toc471992990"/>
      <w:r>
        <w:rPr>
          <w:rStyle w:val="CharSectno"/>
        </w:rPr>
        <w:t>50</w:t>
      </w:r>
      <w:r>
        <w:t>.</w:t>
      </w:r>
      <w:r>
        <w:tab/>
        <w:t>Pre</w:t>
      </w:r>
      <w:r>
        <w:noBreakHyphen/>
        <w:t>amendment safety case submitted before commencement day</w:t>
      </w:r>
      <w:bookmarkEnd w:id="101"/>
    </w:p>
    <w:p>
      <w:pPr>
        <w:pStyle w:val="Subsection"/>
        <w:rPr>
          <w:i/>
          <w:iCs/>
        </w:rPr>
      </w:pPr>
      <w:r>
        <w:tab/>
        <w:t>(1)</w:t>
      </w:r>
      <w:r>
        <w:tab/>
        <w:t>If a pre</w:t>
      </w:r>
      <w:r>
        <w:noBreakHyphen/>
        <w:t>amendment safety case in relation to a pipeline operation was submitted to the Director before commencement day for acceptance but the Director was not satisfied, before that day, that the pre</w:t>
      </w:r>
      <w:r>
        <w:noBreakHyphen/>
        <w:t xml:space="preserve">amendment safety case was acceptable — </w:t>
      </w:r>
    </w:p>
    <w:p>
      <w:pPr>
        <w:pStyle w:val="Indenta"/>
      </w:pPr>
      <w:r>
        <w:tab/>
        <w:t>(a)</w:t>
      </w:r>
      <w:r>
        <w:tab/>
        <w:t>the pre</w:t>
      </w:r>
      <w:r>
        <w:noBreakHyphen/>
        <w:t>amendment safety case is to be taken to be submitted under regulation 27 as a safety case for the pipeline operation that is the subject of the pre</w:t>
      </w:r>
      <w:r>
        <w:noBreakHyphen/>
        <w:t>amendment safety case; and</w:t>
      </w:r>
    </w:p>
    <w:p>
      <w:pPr>
        <w:pStyle w:val="Indenta"/>
        <w:rPr>
          <w:rStyle w:val="DraftersNotes"/>
        </w:rPr>
      </w:pPr>
      <w:r>
        <w:tab/>
        <w:t>(b)</w:t>
      </w:r>
      <w:r>
        <w:tab/>
        <w:t>the Minister must give the licensee a reasonable opportunity to change and resubmit the pre</w:t>
      </w:r>
      <w:r>
        <w:noBreakHyphen/>
        <w:t xml:space="preserve">amendment safety case to meet any new requirements arising from the enactment of the </w:t>
      </w:r>
      <w:r>
        <w:rPr>
          <w:i/>
          <w:iCs/>
        </w:rPr>
        <w:t xml:space="preserve">Petroleum Legislation Amendment and Repeal Act 2005 </w:t>
      </w:r>
      <w:r>
        <w:t>Part 3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case under regulation 30,</w:t>
      </w:r>
    </w:p>
    <w:p>
      <w:pPr>
        <w:pStyle w:val="Subsection"/>
      </w:pPr>
      <w:r>
        <w:tab/>
      </w:r>
      <w:r>
        <w:tab/>
        <w:t>commence on commencement day as if the safety case were submitted on that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2" w:name="_Toc471992851"/>
      <w:bookmarkStart w:id="103" w:name="_Toc471992921"/>
      <w:bookmarkStart w:id="104" w:name="_Toc471992991"/>
      <w:r>
        <w:t>Notes</w:t>
      </w:r>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(Management of Safety of Pipeline Operations) Regulations 2010</w:t>
      </w:r>
      <w:r>
        <w:rPr>
          <w:snapToGrid w:val="0"/>
        </w:rPr>
        <w:t xml:space="preserve">.  The following table contains information about those regulations </w:t>
      </w:r>
      <w:r>
        <w:rPr>
          <w:snapToGrid w:val="0"/>
          <w:vertAlign w:val="superscript"/>
        </w:rPr>
        <w:t>1a</w:t>
      </w:r>
      <w:r>
        <w:rPr>
          <w:snapToGrid w:val="0"/>
        </w:rPr>
        <w:t xml:space="preserve">. </w:t>
      </w:r>
    </w:p>
    <w:p>
      <w:pPr>
        <w:pStyle w:val="nHeading3"/>
      </w:pPr>
      <w:bookmarkStart w:id="105" w:name="_Toc471992992"/>
      <w:r>
        <w:t>Compilation table</w:t>
      </w:r>
      <w:bookmarkEnd w:id="10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Petroleum Pipelines (Management of Safety of Pipeline Operations) Regulations 2010</w:t>
            </w:r>
          </w:p>
        </w:tc>
        <w:tc>
          <w:tcPr>
            <w:tcW w:w="1276" w:type="dxa"/>
          </w:tcPr>
          <w:p>
            <w:pPr>
              <w:pStyle w:val="nTable"/>
              <w:spacing w:after="40"/>
            </w:pPr>
            <w:r>
              <w:t>14 May 2010 p. 1921</w:t>
            </w:r>
            <w:r>
              <w:noBreakHyphen/>
              <w:t>58</w:t>
            </w:r>
          </w:p>
        </w:tc>
        <w:tc>
          <w:tcPr>
            <w:tcW w:w="2693" w:type="dxa"/>
          </w:tcPr>
          <w:p>
            <w:pPr>
              <w:pStyle w:val="nTable"/>
              <w:spacing w:after="40"/>
            </w:pPr>
            <w:r>
              <w:t>r. 1 and 2:  14 May 2010 (see r. 2(a));</w:t>
            </w:r>
            <w:r>
              <w:br/>
              <w:t>Regulations other than r. 1 and 2: 15 May 2010 (see r. 2(b) and </w:t>
            </w:r>
            <w:r>
              <w:rPr>
                <w:i/>
              </w:rPr>
              <w:t>Gazette</w:t>
            </w:r>
            <w:r>
              <w:t xml:space="preserve"> 14 May 2010 p. 2015)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 w:name="_Toc471992993"/>
      <w:r>
        <w:t>Provisions that have not come into operation</w:t>
      </w:r>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(Public Health) Regulations 2016</w:t>
            </w:r>
            <w:r>
              <w:t xml:space="preserve"> Pt. 7 </w:t>
            </w:r>
            <w:r>
              <w:rPr>
                <w:vertAlign w:val="superscript"/>
              </w:rPr>
              <w:t>2</w:t>
            </w:r>
          </w:p>
        </w:tc>
        <w:tc>
          <w:tcPr>
            <w:tcW w:w="1276" w:type="dxa"/>
          </w:tcPr>
          <w:p>
            <w:pPr>
              <w:pStyle w:val="nTable"/>
              <w:spacing w:after="40"/>
            </w:pPr>
            <w:r>
              <w:t>10 Jan 2017 p. 213-20</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20"/>
        <w:rPr>
          <w:i/>
        </w:rPr>
      </w:pPr>
      <w:r>
        <w:rPr>
          <w:vertAlign w:val="superscript"/>
        </w:rPr>
        <w:t>2</w:t>
      </w:r>
      <w:r>
        <w:tab/>
        <w:t xml:space="preserve">On the date as at which this compilation was prepared, </w:t>
      </w:r>
      <w:r>
        <w:rPr>
          <w:snapToGrid w:val="0"/>
        </w:rPr>
        <w:t xml:space="preserve">the </w:t>
      </w:r>
      <w:r>
        <w:rPr>
          <w:i/>
        </w:rPr>
        <w:t>Mines and Petroleum Regulations Amendment (Public Health) Regulations 2016</w:t>
      </w:r>
      <w:r>
        <w:t xml:space="preserve"> Pt. 7</w:t>
      </w:r>
      <w:r>
        <w:rPr>
          <w:snapToGrid w:val="0"/>
        </w:rPr>
        <w:t xml:space="preserve"> had not come into operation.  It reads as follows:</w:t>
      </w:r>
    </w:p>
    <w:p>
      <w:pPr>
        <w:pStyle w:val="BlankOpen"/>
      </w:pPr>
    </w:p>
    <w:p>
      <w:pPr>
        <w:pStyle w:val="nzHeading2"/>
      </w:pPr>
      <w:bookmarkStart w:id="107" w:name="_Toc465322165"/>
      <w:bookmarkStart w:id="108" w:name="_Toc465238663"/>
      <w:bookmarkStart w:id="109" w:name="_Toc465238275"/>
      <w:bookmarkStart w:id="110" w:name="_Toc465238251"/>
      <w:bookmarkStart w:id="111" w:name="_Toc465237997"/>
      <w:bookmarkStart w:id="112" w:name="_Toc465236095"/>
      <w:bookmarkStart w:id="113" w:name="_Toc465154804"/>
      <w:bookmarkStart w:id="114" w:name="_Toc465152712"/>
      <w:bookmarkStart w:id="115" w:name="_Toc465152601"/>
      <w:bookmarkStart w:id="116" w:name="_Toc465152580"/>
      <w:r>
        <w:rPr>
          <w:rStyle w:val="CharPartNo"/>
        </w:rPr>
        <w:t>Part 7</w:t>
      </w:r>
      <w:r>
        <w:rPr>
          <w:rStyle w:val="CharDivNo"/>
        </w:rPr>
        <w:t> </w:t>
      </w:r>
      <w:r>
        <w:t>—</w:t>
      </w:r>
      <w:r>
        <w:rPr>
          <w:rStyle w:val="CharDivText"/>
        </w:rPr>
        <w:t> </w:t>
      </w:r>
      <w:r>
        <w:rPr>
          <w:rStyle w:val="CharPartText"/>
          <w:i/>
        </w:rPr>
        <w:t>Petroleum Pipelines (Management of Safety of Pipeline Operations) Regulations 2010</w:t>
      </w:r>
      <w:r>
        <w:rPr>
          <w:rStyle w:val="CharPartText"/>
        </w:rPr>
        <w:t xml:space="preserve"> amended</w:t>
      </w:r>
      <w:bookmarkEnd w:id="107"/>
      <w:bookmarkEnd w:id="108"/>
      <w:bookmarkEnd w:id="109"/>
      <w:bookmarkEnd w:id="110"/>
      <w:bookmarkEnd w:id="111"/>
      <w:bookmarkEnd w:id="112"/>
      <w:bookmarkEnd w:id="113"/>
      <w:bookmarkEnd w:id="114"/>
      <w:bookmarkEnd w:id="115"/>
      <w:bookmarkEnd w:id="116"/>
    </w:p>
    <w:p>
      <w:pPr>
        <w:pStyle w:val="nzHeading5"/>
      </w:pPr>
      <w:bookmarkStart w:id="117" w:name="_Toc465322166"/>
      <w:r>
        <w:rPr>
          <w:rStyle w:val="CharSectno"/>
        </w:rPr>
        <w:t>13</w:t>
      </w:r>
      <w:r>
        <w:t>.</w:t>
      </w:r>
      <w:r>
        <w:tab/>
        <w:t>Regulations amended</w:t>
      </w:r>
      <w:bookmarkEnd w:id="117"/>
    </w:p>
    <w:p>
      <w:pPr>
        <w:pStyle w:val="nzSubsection"/>
      </w:pPr>
      <w:r>
        <w:tab/>
      </w:r>
      <w:r>
        <w:tab/>
        <w:t xml:space="preserve">This Part amends the </w:t>
      </w:r>
      <w:r>
        <w:rPr>
          <w:i/>
        </w:rPr>
        <w:t>Petroleum Pipelines (Management of Safety of Pipeline Operations) Regulations 2010</w:t>
      </w:r>
      <w:r>
        <w:t>.</w:t>
      </w:r>
    </w:p>
    <w:p>
      <w:pPr>
        <w:pStyle w:val="nzHeading5"/>
      </w:pPr>
      <w:bookmarkStart w:id="118" w:name="_Toc465322167"/>
      <w:r>
        <w:rPr>
          <w:rStyle w:val="CharSectno"/>
        </w:rPr>
        <w:t>14</w:t>
      </w:r>
      <w:r>
        <w:t>.</w:t>
      </w:r>
      <w:r>
        <w:tab/>
        <w:t>Regulation 19 amended</w:t>
      </w:r>
      <w:bookmarkEnd w:id="118"/>
    </w:p>
    <w:p>
      <w:pPr>
        <w:pStyle w:val="nzSubsection"/>
        <w:keepNext/>
      </w:pPr>
      <w:r>
        <w:tab/>
      </w:r>
      <w:r>
        <w:tab/>
        <w:t xml:space="preserve">In regulation 19(1) in the definition of </w:t>
      </w:r>
      <w:r>
        <w:rPr>
          <w:b/>
          <w:i/>
        </w:rPr>
        <w:t>therapeutic use</w:t>
      </w:r>
      <w:r>
        <w:t xml:space="preserve"> delete “</w:t>
      </w:r>
      <w:r>
        <w:rPr>
          <w:i/>
        </w:rPr>
        <w:t>Health Act 1911</w:t>
      </w:r>
      <w:r>
        <w:t>” and insert:</w:t>
      </w:r>
    </w:p>
    <w:p>
      <w:pPr>
        <w:pStyle w:val="BlankOpen"/>
      </w:pPr>
    </w:p>
    <w:p>
      <w:pPr>
        <w:pStyle w:val="nzSubsection"/>
      </w:pPr>
      <w:r>
        <w:tab/>
      </w:r>
      <w:r>
        <w:tab/>
      </w:r>
      <w:r>
        <w:rPr>
          <w:i/>
        </w:rPr>
        <w:t>Health (Miscellaneous Provisions) Act 1911</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0" w:name="_Toc471992854"/>
      <w:bookmarkStart w:id="121" w:name="_Toc471992924"/>
      <w:bookmarkStart w:id="122" w:name="_Toc471992994"/>
      <w:r>
        <w:rPr>
          <w:sz w:val="28"/>
        </w:rPr>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19(1)</w:t>
      </w:r>
    </w:p>
    <w:p>
      <w:pPr>
        <w:pStyle w:val="DefinedTerms"/>
      </w:pPr>
      <w:r>
        <w:t>Director</w:t>
      </w:r>
      <w:r>
        <w:tab/>
        <w:t>48</w:t>
      </w:r>
    </w:p>
    <w:p>
      <w:pPr>
        <w:pStyle w:val="DefinedTerms"/>
      </w:pPr>
      <w:r>
        <w:t>emergency</w:t>
      </w:r>
      <w:r>
        <w:tab/>
        <w:t>4</w:t>
      </w:r>
    </w:p>
    <w:p>
      <w:pPr>
        <w:pStyle w:val="DefinedTerms"/>
      </w:pPr>
      <w:r>
        <w:t>intoxicant</w:t>
      </w:r>
      <w:r>
        <w:tab/>
        <w:t>19(1)</w:t>
      </w:r>
    </w:p>
    <w:p>
      <w:pPr>
        <w:pStyle w:val="DefinedTerms"/>
      </w:pPr>
      <w:r>
        <w:t>major accident event</w:t>
      </w:r>
      <w:r>
        <w:tab/>
        <w:t>4</w:t>
      </w:r>
    </w:p>
    <w:p>
      <w:pPr>
        <w:pStyle w:val="DefinedTerms"/>
      </w:pPr>
      <w:r>
        <w:t>members of the workforce</w:t>
      </w:r>
      <w:r>
        <w:tab/>
        <w:t>16(2)</w:t>
      </w:r>
    </w:p>
    <w:p>
      <w:pPr>
        <w:pStyle w:val="DefinedTerms"/>
      </w:pPr>
      <w:r>
        <w:t>pipeline operation</w:t>
      </w:r>
      <w:r>
        <w:tab/>
        <w:t>4</w:t>
      </w:r>
    </w:p>
    <w:p>
      <w:pPr>
        <w:pStyle w:val="DefinedTerms"/>
      </w:pPr>
      <w:r>
        <w:t>pre</w:t>
      </w:r>
      <w:r>
        <w:noBreakHyphen/>
        <w:t>amendment safety case</w:t>
      </w:r>
      <w:r>
        <w:tab/>
        <w:t>48</w:t>
      </w:r>
    </w:p>
    <w:p>
      <w:pPr>
        <w:pStyle w:val="DefinedTerms"/>
      </w:pPr>
      <w:r>
        <w:t>revise</w:t>
      </w:r>
      <w:r>
        <w:tab/>
        <w:t>4</w:t>
      </w:r>
    </w:p>
    <w:p>
      <w:pPr>
        <w:pStyle w:val="DefinedTerms"/>
      </w:pPr>
      <w:r>
        <w:t>revision notice</w:t>
      </w:r>
      <w:r>
        <w:tab/>
        <w:t>33(1)</w:t>
      </w:r>
    </w:p>
    <w:p>
      <w:pPr>
        <w:pStyle w:val="DefinedTerms"/>
      </w:pPr>
      <w:r>
        <w:t>safety case in force</w:t>
      </w:r>
      <w:r>
        <w:tab/>
        <w:t>4</w:t>
      </w:r>
    </w:p>
    <w:p>
      <w:pPr>
        <w:pStyle w:val="DefinedTerms"/>
      </w:pPr>
      <w:r>
        <w:t>safety management system</w:t>
      </w:r>
      <w:r>
        <w:tab/>
        <w:t>4</w:t>
      </w:r>
    </w:p>
    <w:p>
      <w:pPr>
        <w:pStyle w:val="DefinedTerms"/>
      </w:pPr>
      <w:r>
        <w:t>Schedule 1</w:t>
      </w:r>
      <w:r>
        <w:tab/>
        <w:t>3</w:t>
      </w:r>
    </w:p>
    <w:p>
      <w:pPr>
        <w:pStyle w:val="DefinedTerms"/>
      </w:pPr>
      <w:r>
        <w:t>therapeutic use</w:t>
      </w:r>
      <w:r>
        <w:tab/>
        <w:t>19(1)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(Management of Safety of Pipeline Operations)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5716"/>
    <w:docVar w:name="WAFER_20150709161207" w:val="ResetPageSize,UpdateArrangement,UpdateNTable"/>
    <w:docVar w:name="WAFER_20150709161207_GUID" w:val="5181a924-1631-4d7b-a80d-d218497a1dd4"/>
    <w:docVar w:name="WAFER_20151109113931" w:val="UpdateStyles,UsedStyles"/>
    <w:docVar w:name="WAFER_20151109113931_GUID" w:val="1c69b52b-d504-4373-93e8-8483daa839a0"/>
    <w:docVar w:name="WAFER_20170111155716" w:val="RemoveTocBookmarks,RemoveUnusedBookmarks,RemoveLanguageTags,UsedStyles,ResetPageSize"/>
    <w:docVar w:name="WAFER_20170111155716_GUID" w:val="8e729ad1-8b47-4f1e-8417-701cd14962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6631">
      <w:bodyDiv w:val="1"/>
      <w:marLeft w:val="0"/>
      <w:marRight w:val="0"/>
      <w:marTop w:val="0"/>
      <w:marBottom w:val="0"/>
      <w:divBdr>
        <w:top w:val="none" w:sz="0" w:space="0" w:color="auto"/>
        <w:left w:val="none" w:sz="0" w:space="0" w:color="auto"/>
        <w:bottom w:val="none" w:sz="0" w:space="0" w:color="auto"/>
        <w:right w:val="none" w:sz="0" w:space="0" w:color="auto"/>
      </w:divBdr>
    </w:div>
    <w:div w:id="174452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8295</Words>
  <Characters>41475</Characters>
  <Application>Microsoft Office Word</Application>
  <DocSecurity>0</DocSecurity>
  <Lines>1152</Lines>
  <Paragraphs>672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Safety cases</vt:lpstr>
      <vt:lpstr>        Division 1 — Terms used</vt:lpstr>
      <vt:lpstr>        Division 2 — Duties as to safety cases</vt:lpstr>
      <vt:lpstr>        Division 3 — Contents of safety cases</vt:lpstr>
      <vt:lpstr>        Division 4 — Submission and acceptance of safety cases</vt:lpstr>
      <vt:lpstr>        Division 5 — Revision of safety cases</vt:lpstr>
      <vt:lpstr>        Division 6 — Withdrawal of acceptance of a safety case</vt:lpstr>
      <vt:lpstr>        Division 7 — Validation</vt:lpstr>
      <vt:lpstr>    Part 3 — Accidents and dangerous occurrences arising from pipeline operations</vt:lpstr>
      <vt:lpstr>    Part 4 — Miscellaneous</vt:lpstr>
      <vt:lpstr>    Part 5 — Transitional provisions</vt:lpstr>
      <vt:lpstr>    Notes</vt:lpstr>
      <vt:lpstr>    Defined Terms</vt:lpstr>
    </vt:vector>
  </TitlesOfParts>
  <Manager/>
  <Company/>
  <LinksUpToDate>false</LinksUpToDate>
  <CharactersWithSpaces>49098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(Management of Safety of Pipeline Operations) Regulations 2010 - 00-b0-00</dc:title>
  <dc:subject/>
  <dc:creator/>
  <cp:keywords/>
  <dc:description/>
  <cp:lastModifiedBy>svcMRProcess</cp:lastModifiedBy>
  <cp:revision>4</cp:revision>
  <cp:lastPrinted>2010-04-21T08:56:00Z</cp:lastPrinted>
  <dcterms:created xsi:type="dcterms:W3CDTF">2018-09-18T08:42:00Z</dcterms:created>
  <dcterms:modified xsi:type="dcterms:W3CDTF">2018-09-18T08:42:00Z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1921-58</vt:lpwstr>
  </property>
  <property fmtid="{D5CDD505-2E9C-101B-9397-08002B2CF9AE}" pid="3" name="DocumentType">
    <vt:lpwstr>Reg</vt:lpwstr>
  </property>
  <property fmtid="{D5CDD505-2E9C-101B-9397-08002B2CF9AE}" pid="4" name="OwlsUID">
    <vt:i4>39452</vt:i4>
  </property>
  <property fmtid="{D5CDD505-2E9C-101B-9397-08002B2CF9AE}" pid="5" name="AsAtDate">
    <vt:lpwstr>10 Jan 2017</vt:lpwstr>
  </property>
  <property fmtid="{D5CDD505-2E9C-101B-9397-08002B2CF9AE}" pid="6" name="Suffix">
    <vt:lpwstr>00-b0-00</vt:lpwstr>
  </property>
  <property fmtid="{D5CDD505-2E9C-101B-9397-08002B2CF9AE}" pid="7" name="CommencementDate">
    <vt:lpwstr>20170110</vt:lpwstr>
  </property>
</Properties>
</file>