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(Retail Market Schemes)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(Retail Market Schemes)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_Toc416796011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_Toc416796012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persons: s. 11ZOD(1)(b)</w:t>
      </w:r>
      <w:r>
        <w:tab/>
      </w:r>
      <w:r>
        <w:fldChar w:fldCharType="begin"/>
      </w:r>
      <w:r>
        <w:instrText xml:space="preserve"> PAGEREF _Toc416796013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_Toc416796015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Energy Coordination Act 1994</w:t>
      </w:r>
    </w:p>
    <w:p>
      <w:pPr>
        <w:pStyle w:val="NameofActReg"/>
      </w:pPr>
      <w:r>
        <w:t>Energy Coordination (Retail Market Schemes) Regulations 2004</w:t>
      </w:r>
    </w:p>
    <w:p>
      <w:pPr>
        <w:pStyle w:val="Heading5"/>
      </w:pPr>
      <w:bookmarkStart w:id="3" w:name="_Toc378235085"/>
      <w:bookmarkStart w:id="4" w:name="_Toc41679601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Energy Coordination (Retail Market Schemes) Regulations 2004</w:t>
      </w:r>
      <w:r>
        <w:t>.</w:t>
      </w:r>
    </w:p>
    <w:p>
      <w:pPr>
        <w:pStyle w:val="Heading5"/>
        <w:rPr>
          <w:spacing w:val="-2"/>
        </w:rPr>
      </w:pPr>
      <w:bookmarkStart w:id="5" w:name="_Toc378235086"/>
      <w:bookmarkStart w:id="6" w:name="_Toc41679601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Part 3 Division 2 of the </w:t>
      </w:r>
      <w:r>
        <w:rPr>
          <w:i/>
          <w:spacing w:val="-2"/>
        </w:rPr>
        <w:t>Energy Legislation Amendment Act 2003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7" w:name="_Toc378235087"/>
      <w:bookmarkStart w:id="8" w:name="_Toc416796013"/>
      <w:r>
        <w:rPr>
          <w:rStyle w:val="CharSectno"/>
        </w:rPr>
        <w:t>3</w:t>
      </w:r>
      <w:r>
        <w:t>.</w:t>
      </w:r>
      <w:r>
        <w:tab/>
        <w:t>Prescribed persons: s. 11ZOD(1)(b)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For the purposes of s. 11ZOD(1)(b) of the Act the following persons are prescribed — </w:t>
      </w:r>
    </w:p>
    <w:p>
      <w:pPr>
        <w:pStyle w:val="Indenta"/>
      </w:pPr>
      <w:r>
        <w:tab/>
        <w:t>(a)</w:t>
      </w:r>
      <w:r>
        <w:tab/>
        <w:t>a person who is a self</w:t>
      </w:r>
      <w:r>
        <w:noBreakHyphen/>
        <w:t>contracting user;</w:t>
      </w:r>
    </w:p>
    <w:p>
      <w:pPr>
        <w:pStyle w:val="Indenta"/>
      </w:pPr>
      <w:r>
        <w:tab/>
        <w:t>(b)</w:t>
      </w:r>
      <w:r>
        <w:tab/>
        <w:t>a person who is a shipper;</w:t>
      </w:r>
    </w:p>
    <w:p>
      <w:pPr>
        <w:pStyle w:val="Indenta"/>
      </w:pPr>
      <w:r>
        <w:tab/>
        <w:t>(c)</w:t>
      </w:r>
      <w:r>
        <w:tab/>
        <w:t>a person who is a swing service provider.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In subregulation (1) — </w:t>
      </w:r>
    </w:p>
    <w:p>
      <w:pPr>
        <w:pStyle w:val="Defstart"/>
        <w:keepNext/>
        <w:keepLines/>
      </w:pPr>
      <w:r>
        <w:rPr>
          <w:b/>
        </w:rPr>
        <w:tab/>
      </w:r>
      <w:r>
        <w:rPr>
          <w:rStyle w:val="CharDefText"/>
        </w:rPr>
        <w:t>self</w:t>
      </w:r>
      <w:r>
        <w:rPr>
          <w:rStyle w:val="CharDefText"/>
        </w:rPr>
        <w:noBreakHyphen/>
        <w:t>contracting user</w:t>
      </w:r>
      <w:r>
        <w:t xml:space="preserve">, </w:t>
      </w:r>
      <w:r>
        <w:rPr>
          <w:rStyle w:val="CharDefText"/>
        </w:rPr>
        <w:t>shipper</w:t>
      </w:r>
      <w:r>
        <w:rPr>
          <w:b/>
        </w:rPr>
        <w:t xml:space="preserve"> </w:t>
      </w:r>
      <w:r>
        <w:t xml:space="preserve">and </w:t>
      </w:r>
      <w:r>
        <w:rPr>
          <w:rStyle w:val="CharDefText"/>
        </w:rPr>
        <w:t>swing service provider</w:t>
      </w:r>
      <w:r>
        <w:t xml:space="preserve"> have the meanings given to those terms in the retail market rules for the distribution system concerned.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34106"/>
      <w:bookmarkStart w:id="10" w:name="_Toc378235088"/>
      <w:bookmarkStart w:id="11" w:name="_Toc416795968"/>
      <w:bookmarkStart w:id="12" w:name="_Toc416796014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Energy Coordination (Retail Market Schemes) Regulations 2004</w:t>
      </w:r>
      <w:r>
        <w:rPr>
          <w:snapToGrid w:val="0"/>
        </w:rPr>
        <w:t>.  The following table contains information about those regulations.</w:t>
      </w:r>
    </w:p>
    <w:p>
      <w:pPr>
        <w:pStyle w:val="nHeading3"/>
      </w:pPr>
      <w:bookmarkStart w:id="13" w:name="_Toc378235089"/>
      <w:bookmarkStart w:id="14" w:name="_Toc416796015"/>
      <w:r>
        <w:t>Compilation table</w:t>
      </w:r>
      <w:bookmarkEnd w:id="13"/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Energy Coordination (Retail Market Schemes) Regulations 2004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28 May 2004 p. 1832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t xml:space="preserve">31 May 2004 (see r. 2 and </w:t>
            </w:r>
            <w:r>
              <w:rPr>
                <w:i/>
              </w:rPr>
              <w:t xml:space="preserve">Gazette </w:t>
            </w:r>
            <w:r>
              <w:t>28 May 2004 p. 1827)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16796016"/>
      <w:r>
        <w:rPr>
          <w:sz w:val="28"/>
        </w:rPr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self</w:t>
      </w:r>
      <w:r>
        <w:noBreakHyphen/>
        <w:t>contracting user</w:t>
      </w:r>
      <w:r>
        <w:tab/>
        <w:t>3(2)</w:t>
      </w:r>
    </w:p>
    <w:p>
      <w:pPr>
        <w:pStyle w:val="DefinedTerms"/>
      </w:pPr>
      <w:r>
        <w:t>shipper</w:t>
      </w:r>
      <w:r>
        <w:tab/>
        <w:t>3(2)</w:t>
      </w:r>
    </w:p>
    <w:p>
      <w:pPr>
        <w:pStyle w:val="DefinedTerms"/>
      </w:pPr>
      <w:r>
        <w:t>swing service provider</w:t>
      </w:r>
      <w:r>
        <w:tab/>
        <w:t>3(2)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(Retail Market Schemes)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6E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52D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BAA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AE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04B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0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6E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82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8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A03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B9EC1B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0431"/>
    <w:docVar w:name="WAFER_20140123094537" w:val="RemoveTocBookmarks,RemoveUnusedBookmarks,RemoveLanguageTags,UsedStyles,ResetPageSize,UpdateArrangement"/>
    <w:docVar w:name="WAFER_20140123094537_GUID" w:val="12aa34eb-d835-4004-b752-af552cebca4c"/>
    <w:docVar w:name="WAFER_20140123095005" w:val="RemoveTocBookmarks,RunningHeaders"/>
    <w:docVar w:name="WAFER_20140123095005_GUID" w:val="179c9de2-113e-4dbf-8dd9-4fb9faeb646b"/>
    <w:docVar w:name="WAFER_20150414165907" w:val="ResetPageSize,UpdateArrangement,UpdateNTable"/>
    <w:docVar w:name="WAFER_20150414165907_GUID" w:val="b7973101-d68e-48ae-9a34-488692718716"/>
    <w:docVar w:name="WAFER_20151105120431" w:val="UpdateStyles,UsedStyles"/>
    <w:docVar w:name="WAFER_20151105120431_GUID" w:val="9704675e-a728-42ee-aa90-7ec997c256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</Words>
  <Characters>1918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Coordination (Retail Market Schemes) Regulations 2004 - 00-a0-11</dc:title>
  <dc:subject/>
  <dc:creator/>
  <cp:keywords/>
  <dc:description/>
  <cp:lastModifiedBy>svcMRProcess</cp:lastModifiedBy>
  <cp:revision>4</cp:revision>
  <cp:lastPrinted>2004-05-17T07:34:00Z</cp:lastPrinted>
  <dcterms:created xsi:type="dcterms:W3CDTF">2019-01-16T04:02:00Z</dcterms:created>
  <dcterms:modified xsi:type="dcterms:W3CDTF">2019-01-16T04:02:00Z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20040531</vt:lpwstr>
  </property>
  <property fmtid="{D5CDD505-2E9C-101B-9397-08002B2CF9AE}" pid="3" name="DocumentType">
    <vt:lpwstr>Reg</vt:lpwstr>
  </property>
  <property fmtid="{D5CDD505-2E9C-101B-9397-08002B2CF9AE}" pid="4" name="OwlsUID">
    <vt:i4>34565</vt:i4>
  </property>
  <property fmtid="{D5CDD505-2E9C-101B-9397-08002B2CF9AE}" pid="5" name="ID">
    <vt:lpwstr>28 May 2004 p 1832-3</vt:lpwstr>
  </property>
  <property fmtid="{D5CDD505-2E9C-101B-9397-08002B2CF9AE}" pid="6" name="AsAtDate">
    <vt:lpwstr>31 May 2004</vt:lpwstr>
  </property>
  <property fmtid="{D5CDD505-2E9C-101B-9397-08002B2CF9AE}" pid="7" name="Suffix">
    <vt:lpwstr>00-a0-11</vt:lpwstr>
  </property>
</Properties>
</file>