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2001</w:t>
      </w:r>
      <w:r>
        <w:fldChar w:fldCharType="end"/>
      </w:r>
    </w:p>
    <w:p>
      <w:pPr>
        <w:pStyle w:val="Subsection"/>
      </w:pPr>
      <w:r>
        <w:tab/>
      </w:r>
      <w:r>
        <w:tab/>
      </w:r>
      <w:bookmarkStart w:id="1" w:name="RepealText"/>
      <w:bookmarkEnd w:id="1"/>
      <w:r>
        <w:rPr>
          <w:color w:val="000000"/>
          <w:sz w:val="22"/>
          <w:szCs w:val="22"/>
        </w:rPr>
        <w:t>These regulations expired on 31 Mar 2002 (see r. 4 of these regulations).</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_Toc435100464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_Toc435100465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_Toc435100466 \h </w:instrText>
      </w:r>
      <w:r>
        <w:fldChar w:fldCharType="separate"/>
      </w:r>
      <w:r>
        <w:t>1</w:t>
      </w:r>
      <w:r>
        <w:fldChar w:fldCharType="end"/>
      </w:r>
    </w:p>
    <w:p>
      <w:pPr>
        <w:pStyle w:val="TOC8"/>
        <w:rPr>
          <w:rFonts w:asciiTheme="minorHAnsi" w:eastAsiaTheme="minorEastAsia" w:hAnsiTheme="minorHAnsi" w:cstheme="minorBidi"/>
          <w:szCs w:val="22"/>
        </w:rPr>
      </w:pPr>
      <w:r>
        <w:t>4.</w:t>
      </w:r>
      <w:r>
        <w:tab/>
        <w:t>Interim Code to remain in force for 6 months</w:t>
      </w:r>
      <w:r>
        <w:tab/>
      </w:r>
      <w:r>
        <w:fldChar w:fldCharType="begin"/>
      </w:r>
      <w:r>
        <w:instrText xml:space="preserve"> PAGEREF _Toc435100467 \h </w:instrText>
      </w:r>
      <w:r>
        <w:fldChar w:fldCharType="separate"/>
      </w:r>
      <w:r>
        <w:t>1</w:t>
      </w:r>
      <w:r>
        <w:fldChar w:fldCharType="end"/>
      </w:r>
    </w:p>
    <w:p>
      <w:pPr>
        <w:pStyle w:val="TOC8"/>
        <w:rPr>
          <w:rFonts w:asciiTheme="minorHAnsi" w:eastAsiaTheme="minorEastAsia" w:hAnsiTheme="minorHAnsi" w:cstheme="minorBidi"/>
          <w:szCs w:val="22"/>
        </w:rPr>
      </w:pPr>
      <w:r>
        <w:t>5.</w:t>
      </w:r>
      <w:r>
        <w:tab/>
        <w:t>Interpretation</w:t>
      </w:r>
      <w:r>
        <w:tab/>
      </w:r>
      <w:r>
        <w:fldChar w:fldCharType="begin"/>
      </w:r>
      <w:r>
        <w:instrText xml:space="preserve"> PAGEREF _Toc435100468 \h </w:instrText>
      </w:r>
      <w:r>
        <w:fldChar w:fldCharType="separate"/>
      </w:r>
      <w:r>
        <w:t>1</w:t>
      </w:r>
      <w:r>
        <w:fldChar w:fldCharType="end"/>
      </w:r>
    </w:p>
    <w:p>
      <w:pPr>
        <w:pStyle w:val="TOC8"/>
        <w:rPr>
          <w:rFonts w:asciiTheme="minorHAnsi" w:eastAsiaTheme="minorEastAsia" w:hAnsiTheme="minorHAnsi" w:cstheme="minorBidi"/>
          <w:szCs w:val="22"/>
        </w:rPr>
      </w:pPr>
      <w:r>
        <w:t>6.</w:t>
      </w:r>
      <w:r>
        <w:tab/>
      </w:r>
      <w:r>
        <w:rPr>
          <w:i/>
        </w:rPr>
        <w:t>Fair Trading (Retirement Villages Code) Regulations 1998</w:t>
      </w:r>
      <w:r>
        <w:t xml:space="preserve"> repealed</w:t>
      </w:r>
      <w:r>
        <w:tab/>
      </w:r>
      <w:r>
        <w:fldChar w:fldCharType="begin"/>
      </w:r>
      <w:r>
        <w:instrText xml:space="preserve"> PAGEREF _Toc435100469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rPr>
        <w:t>Interim Code of Fair Practice for Retirement Villages 2001</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_Toc435100472 \h </w:instrText>
      </w:r>
      <w:r>
        <w:fldChar w:fldCharType="separate"/>
      </w:r>
      <w:r>
        <w:t>4</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_Toc435100473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principals</w:t>
      </w:r>
      <w:r>
        <w:tab/>
      </w:r>
      <w:r>
        <w:fldChar w:fldCharType="begin"/>
      </w:r>
      <w:r>
        <w:instrText xml:space="preserve"> PAGEREF _Toc435100474 \h </w:instrText>
      </w:r>
      <w:r>
        <w:fldChar w:fldCharType="separate"/>
      </w:r>
      <w:r>
        <w:t>8</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_Toc435100475 \h </w:instrText>
      </w:r>
      <w:r>
        <w:fldChar w:fldCharType="separate"/>
      </w:r>
      <w:r>
        <w:t>9</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_Toc435100476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_Toc435100478 \h </w:instrText>
      </w:r>
      <w:r>
        <w:fldChar w:fldCharType="separate"/>
      </w:r>
      <w:r>
        <w:t>10</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_Toc435100479 \h </w:instrText>
      </w:r>
      <w:r>
        <w:fldChar w:fldCharType="separate"/>
      </w:r>
      <w:r>
        <w:t>10</w:t>
      </w:r>
      <w:r>
        <w:fldChar w:fldCharType="end"/>
      </w:r>
    </w:p>
    <w:p>
      <w:pPr>
        <w:pStyle w:val="TOC8"/>
        <w:rPr>
          <w:rFonts w:asciiTheme="minorHAnsi" w:eastAsiaTheme="minorEastAsia" w:hAnsiTheme="minorHAnsi" w:cstheme="minorBidi"/>
          <w:szCs w:val="22"/>
        </w:rPr>
      </w:pPr>
      <w:r>
        <w:t>2.3</w:t>
      </w:r>
      <w:r>
        <w:tab/>
        <w:t>Proposed facilities and services</w:t>
      </w:r>
      <w:r>
        <w:tab/>
      </w:r>
      <w:r>
        <w:fldChar w:fldCharType="begin"/>
      </w:r>
      <w:r>
        <w:instrText xml:space="preserve"> PAGEREF _Toc435100480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Approvals for facilities that provide a high level of residential care</w:t>
      </w:r>
      <w:r>
        <w:tab/>
      </w:r>
      <w:r>
        <w:fldChar w:fldCharType="begin"/>
      </w:r>
      <w:r>
        <w:instrText xml:space="preserve"> PAGEREF _Toc435100481 \h </w:instrText>
      </w:r>
      <w:r>
        <w:fldChar w:fldCharType="separate"/>
      </w:r>
      <w:r>
        <w:t>11</w:t>
      </w:r>
      <w:r>
        <w:fldChar w:fldCharType="end"/>
      </w:r>
    </w:p>
    <w:p>
      <w:pPr>
        <w:pStyle w:val="TOC8"/>
        <w:rPr>
          <w:rFonts w:asciiTheme="minorHAnsi" w:eastAsiaTheme="minorEastAsia" w:hAnsiTheme="minorHAnsi" w:cstheme="minorBidi"/>
          <w:szCs w:val="22"/>
        </w:rPr>
      </w:pPr>
      <w:r>
        <w:t>2.5.</w:t>
      </w:r>
      <w:r>
        <w:tab/>
        <w:t>Entry to Commonwealth funded residential care services</w:t>
      </w:r>
      <w:r>
        <w:tab/>
      </w:r>
      <w:r>
        <w:fldChar w:fldCharType="begin"/>
      </w:r>
      <w:r>
        <w:instrText xml:space="preserve"> PAGEREF _Toc435100482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What you should know before you enter into a contract</w:t>
      </w:r>
    </w:p>
    <w:p>
      <w:pPr>
        <w:pStyle w:val="TOC8"/>
        <w:rPr>
          <w:rFonts w:asciiTheme="minorHAnsi" w:eastAsiaTheme="minorEastAsia" w:hAnsiTheme="minorHAnsi" w:cstheme="minorBidi"/>
          <w:szCs w:val="22"/>
        </w:rPr>
      </w:pPr>
      <w:r>
        <w:t>3.1</w:t>
      </w:r>
      <w:r>
        <w:tab/>
        <w:t>Before you enter into a residence contract</w:t>
      </w:r>
      <w:r>
        <w:tab/>
      </w:r>
      <w:r>
        <w:fldChar w:fldCharType="begin"/>
      </w:r>
      <w:r>
        <w:instrText xml:space="preserve"> PAGEREF _Toc435100484 \h </w:instrText>
      </w:r>
      <w:r>
        <w:fldChar w:fldCharType="separate"/>
      </w:r>
      <w:r>
        <w:t>12</w:t>
      </w:r>
      <w:r>
        <w:fldChar w:fldCharType="end"/>
      </w:r>
    </w:p>
    <w:p>
      <w:pPr>
        <w:pStyle w:val="TOC8"/>
        <w:rPr>
          <w:rFonts w:asciiTheme="minorHAnsi" w:eastAsiaTheme="minorEastAsia" w:hAnsiTheme="minorHAnsi" w:cstheme="minorBidi"/>
          <w:szCs w:val="22"/>
        </w:rPr>
      </w:pPr>
      <w:r>
        <w:t>3.2</w:t>
      </w:r>
      <w:r>
        <w:tab/>
        <w:t>Before you enter into a service contract</w:t>
      </w:r>
      <w:r>
        <w:tab/>
      </w:r>
      <w:r>
        <w:fldChar w:fldCharType="begin"/>
      </w:r>
      <w:r>
        <w:instrText xml:space="preserve"> PAGEREF _Toc435100485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The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_Toc435100487 \h </w:instrText>
      </w:r>
      <w:r>
        <w:fldChar w:fldCharType="separate"/>
      </w:r>
      <w:r>
        <w:t>14</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_Toc435100488 \h </w:instrText>
      </w:r>
      <w:r>
        <w:fldChar w:fldCharType="separate"/>
      </w:r>
      <w:r>
        <w:t>15</w:t>
      </w:r>
      <w:r>
        <w:fldChar w:fldCharType="end"/>
      </w:r>
    </w:p>
    <w:p>
      <w:pPr>
        <w:pStyle w:val="TOC8"/>
        <w:rPr>
          <w:rFonts w:asciiTheme="minorHAnsi" w:eastAsiaTheme="minorEastAsia" w:hAnsiTheme="minorHAnsi" w:cstheme="minorBidi"/>
          <w:szCs w:val="22"/>
        </w:rPr>
      </w:pPr>
      <w:r>
        <w:t>4.3</w:t>
      </w:r>
      <w:r>
        <w:tab/>
        <w:t>Accommodation unit</w:t>
      </w:r>
      <w:r>
        <w:tab/>
      </w:r>
      <w:r>
        <w:fldChar w:fldCharType="begin"/>
      </w:r>
      <w:r>
        <w:instrText xml:space="preserve"> PAGEREF _Toc435100489 \h </w:instrText>
      </w:r>
      <w:r>
        <w:fldChar w:fldCharType="separate"/>
      </w:r>
      <w:r>
        <w:t>15</w:t>
      </w:r>
      <w:r>
        <w:fldChar w:fldCharType="end"/>
      </w:r>
    </w:p>
    <w:p>
      <w:pPr>
        <w:pStyle w:val="TOC8"/>
        <w:rPr>
          <w:rFonts w:asciiTheme="minorHAnsi" w:eastAsiaTheme="minorEastAsia" w:hAnsiTheme="minorHAnsi" w:cstheme="minorBidi"/>
          <w:szCs w:val="22"/>
        </w:rPr>
      </w:pPr>
      <w:r>
        <w:t>4.4</w:t>
      </w:r>
      <w:r>
        <w:tab/>
        <w:t>Services and facilities</w:t>
      </w:r>
      <w:r>
        <w:tab/>
      </w:r>
      <w:r>
        <w:fldChar w:fldCharType="begin"/>
      </w:r>
      <w:r>
        <w:instrText xml:space="preserve"> PAGEREF _Toc435100490 \h </w:instrText>
      </w:r>
      <w:r>
        <w:fldChar w:fldCharType="separate"/>
      </w:r>
      <w:r>
        <w:t>16</w:t>
      </w:r>
      <w:r>
        <w:fldChar w:fldCharType="end"/>
      </w:r>
    </w:p>
    <w:p>
      <w:pPr>
        <w:pStyle w:val="TOC8"/>
        <w:rPr>
          <w:rFonts w:asciiTheme="minorHAnsi" w:eastAsiaTheme="minorEastAsia" w:hAnsiTheme="minorHAnsi" w:cstheme="minorBidi"/>
          <w:szCs w:val="22"/>
        </w:rPr>
      </w:pPr>
      <w:r>
        <w:t>4.5</w:t>
      </w:r>
      <w:r>
        <w:tab/>
        <w:t>Accommodation charges, entry contributions and refund provisions</w:t>
      </w:r>
      <w:r>
        <w:tab/>
      </w:r>
      <w:r>
        <w:fldChar w:fldCharType="begin"/>
      </w:r>
      <w:r>
        <w:instrText xml:space="preserve"> PAGEREF _Toc435100491 \h </w:instrText>
      </w:r>
      <w:r>
        <w:fldChar w:fldCharType="separate"/>
      </w:r>
      <w:r>
        <w:t>16</w:t>
      </w:r>
      <w:r>
        <w:fldChar w:fldCharType="end"/>
      </w:r>
    </w:p>
    <w:p>
      <w:pPr>
        <w:pStyle w:val="TOC8"/>
        <w:rPr>
          <w:rFonts w:asciiTheme="minorHAnsi" w:eastAsiaTheme="minorEastAsia" w:hAnsiTheme="minorHAnsi" w:cstheme="minorBidi"/>
          <w:szCs w:val="22"/>
        </w:rPr>
      </w:pPr>
      <w:r>
        <w:t>4.6</w:t>
      </w:r>
      <w:r>
        <w:tab/>
        <w:t>Regular maintenance and service charges</w:t>
      </w:r>
      <w:r>
        <w:tab/>
      </w:r>
      <w:r>
        <w:fldChar w:fldCharType="begin"/>
      </w:r>
      <w:r>
        <w:instrText xml:space="preserve"> PAGEREF _Toc435100492 \h </w:instrText>
      </w:r>
      <w:r>
        <w:fldChar w:fldCharType="separate"/>
      </w:r>
      <w:r>
        <w:t>17</w:t>
      </w:r>
      <w:r>
        <w:fldChar w:fldCharType="end"/>
      </w:r>
    </w:p>
    <w:p>
      <w:pPr>
        <w:pStyle w:val="TOC8"/>
        <w:rPr>
          <w:rFonts w:asciiTheme="minorHAnsi" w:eastAsiaTheme="minorEastAsia" w:hAnsiTheme="minorHAnsi" w:cstheme="minorBidi"/>
          <w:szCs w:val="22"/>
        </w:rPr>
      </w:pPr>
      <w:r>
        <w:t>4.7</w:t>
      </w:r>
      <w:r>
        <w:tab/>
        <w:t>Relocation</w:t>
      </w:r>
      <w:r>
        <w:tab/>
      </w:r>
      <w:r>
        <w:fldChar w:fldCharType="begin"/>
      </w:r>
      <w:r>
        <w:instrText xml:space="preserve"> PAGEREF _Toc435100493 \h </w:instrText>
      </w:r>
      <w:r>
        <w:fldChar w:fldCharType="separate"/>
      </w:r>
      <w:r>
        <w:t>17</w:t>
      </w:r>
      <w:r>
        <w:fldChar w:fldCharType="end"/>
      </w:r>
    </w:p>
    <w:p>
      <w:pPr>
        <w:pStyle w:val="TOC8"/>
        <w:rPr>
          <w:rFonts w:asciiTheme="minorHAnsi" w:eastAsiaTheme="minorEastAsia" w:hAnsiTheme="minorHAnsi" w:cstheme="minorBidi"/>
          <w:szCs w:val="22"/>
        </w:rPr>
      </w:pPr>
      <w:r>
        <w:t>4.8</w:t>
      </w:r>
      <w:r>
        <w:tab/>
        <w:t>Termination of residence contract and fees payable on termination</w:t>
      </w:r>
      <w:r>
        <w:tab/>
      </w:r>
      <w:r>
        <w:fldChar w:fldCharType="begin"/>
      </w:r>
      <w:r>
        <w:instrText xml:space="preserve"> PAGEREF _Toc435100494 \h </w:instrText>
      </w:r>
      <w:r>
        <w:fldChar w:fldCharType="separate"/>
      </w:r>
      <w:r>
        <w:t>18</w:t>
      </w:r>
      <w:r>
        <w:fldChar w:fldCharType="end"/>
      </w:r>
    </w:p>
    <w:p>
      <w:pPr>
        <w:pStyle w:val="TOC8"/>
        <w:rPr>
          <w:rFonts w:asciiTheme="minorHAnsi" w:eastAsiaTheme="minorEastAsia" w:hAnsiTheme="minorHAnsi" w:cstheme="minorBidi"/>
          <w:szCs w:val="22"/>
        </w:rPr>
      </w:pPr>
      <w:r>
        <w:t>4.9</w:t>
      </w:r>
      <w:r>
        <w:tab/>
        <w:t xml:space="preserve">Residence contract to refer to this Code and the </w:t>
      </w:r>
      <w:r>
        <w:rPr>
          <w:i/>
        </w:rPr>
        <w:t>Retirement Villages Act 1992</w:t>
      </w:r>
      <w:r>
        <w:tab/>
      </w:r>
      <w:r>
        <w:fldChar w:fldCharType="begin"/>
      </w:r>
      <w:r>
        <w:instrText xml:space="preserve"> PAGEREF _Toc435100495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Administering body to create procedures for resident input</w:t>
      </w:r>
      <w:r>
        <w:tab/>
      </w:r>
      <w:r>
        <w:fldChar w:fldCharType="begin"/>
      </w:r>
      <w:r>
        <w:instrText xml:space="preserve"> PAGEREF _Toc435100497 \h </w:instrText>
      </w:r>
      <w:r>
        <w:fldChar w:fldCharType="separate"/>
      </w:r>
      <w:r>
        <w:t>19</w:t>
      </w:r>
      <w:r>
        <w:fldChar w:fldCharType="end"/>
      </w:r>
    </w:p>
    <w:p>
      <w:pPr>
        <w:pStyle w:val="TOC8"/>
        <w:rPr>
          <w:rFonts w:asciiTheme="minorHAnsi" w:eastAsiaTheme="minorEastAsia" w:hAnsiTheme="minorHAnsi" w:cstheme="minorBidi"/>
          <w:szCs w:val="22"/>
        </w:rPr>
      </w:pPr>
      <w:r>
        <w:t>5.2</w:t>
      </w:r>
      <w:r>
        <w:tab/>
        <w:t>Input into management</w:t>
      </w:r>
      <w:r>
        <w:tab/>
      </w:r>
      <w:r>
        <w:fldChar w:fldCharType="begin"/>
      </w:r>
      <w:r>
        <w:instrText xml:space="preserve"> PAGEREF _Toc435100498 \h </w:instrText>
      </w:r>
      <w:r>
        <w:fldChar w:fldCharType="separate"/>
      </w:r>
      <w:r>
        <w:t>19</w:t>
      </w:r>
      <w:r>
        <w:fldChar w:fldCharType="end"/>
      </w:r>
    </w:p>
    <w:p>
      <w:pPr>
        <w:pStyle w:val="TOC8"/>
        <w:rPr>
          <w:rFonts w:asciiTheme="minorHAnsi" w:eastAsiaTheme="minorEastAsia" w:hAnsiTheme="minorHAnsi" w:cstheme="minorBidi"/>
          <w:szCs w:val="22"/>
        </w:rPr>
      </w:pPr>
      <w:r>
        <w:t>5.3</w:t>
      </w:r>
      <w:r>
        <w:tab/>
        <w:t>Input into financial arrangements</w:t>
      </w:r>
      <w:r>
        <w:tab/>
      </w:r>
      <w:r>
        <w:fldChar w:fldCharType="begin"/>
      </w:r>
      <w:r>
        <w:instrText xml:space="preserve"> PAGEREF _Toc435100499 \h </w:instrText>
      </w:r>
      <w:r>
        <w:fldChar w:fldCharType="separate"/>
      </w:r>
      <w:r>
        <w:t>20</w:t>
      </w:r>
      <w:r>
        <w:fldChar w:fldCharType="end"/>
      </w:r>
    </w:p>
    <w:p>
      <w:pPr>
        <w:pStyle w:val="TOC8"/>
        <w:rPr>
          <w:rFonts w:asciiTheme="minorHAnsi" w:eastAsiaTheme="minorEastAsia" w:hAnsiTheme="minorHAnsi" w:cstheme="minorBidi"/>
          <w:szCs w:val="22"/>
        </w:rPr>
      </w:pPr>
      <w:r>
        <w:t>5.4</w:t>
      </w:r>
      <w:r>
        <w:tab/>
        <w:t>Residence rules</w:t>
      </w:r>
      <w:r>
        <w:tab/>
      </w:r>
      <w:r>
        <w:fldChar w:fldCharType="begin"/>
      </w:r>
      <w:r>
        <w:instrText xml:space="preserve"> PAGEREF _Toc435100500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Village Disputes Resolution Committee</w:t>
      </w:r>
      <w:r>
        <w:tab/>
      </w:r>
      <w:r>
        <w:fldChar w:fldCharType="begin"/>
      </w:r>
      <w:r>
        <w:instrText xml:space="preserve"> PAGEREF _Toc435100502 \h </w:instrText>
      </w:r>
      <w:r>
        <w:fldChar w:fldCharType="separate"/>
      </w:r>
      <w:r>
        <w:t>22</w:t>
      </w:r>
      <w:r>
        <w:fldChar w:fldCharType="end"/>
      </w:r>
    </w:p>
    <w:p>
      <w:pPr>
        <w:pStyle w:val="TOC8"/>
        <w:rPr>
          <w:rFonts w:asciiTheme="minorHAnsi" w:eastAsiaTheme="minorEastAsia" w:hAnsiTheme="minorHAnsi" w:cstheme="minorBidi"/>
          <w:szCs w:val="22"/>
        </w:rPr>
      </w:pPr>
      <w:r>
        <w:t>6.2</w:t>
      </w:r>
      <w:r>
        <w:tab/>
        <w:t>Dispute procedures</w:t>
      </w:r>
      <w:r>
        <w:tab/>
      </w:r>
      <w:r>
        <w:fldChar w:fldCharType="begin"/>
      </w:r>
      <w:r>
        <w:instrText xml:space="preserve"> PAGEREF _Toc435100503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2"/>
        <w:tabs>
          <w:tab w:val="right" w:leader="dot" w:pos="7077"/>
        </w:tabs>
        <w:rPr>
          <w:rFonts w:asciiTheme="minorHAnsi" w:eastAsiaTheme="minorEastAsia" w:hAnsiTheme="minorHAnsi" w:cstheme="minorBidi"/>
          <w:b w:val="0"/>
          <w:sz w:val="22"/>
          <w:szCs w:val="22"/>
        </w:rPr>
      </w:pPr>
      <w:r>
        <w:t>Appendix 1 — Copy of information statement for prospective resident</w:t>
      </w:r>
    </w:p>
    <w:p>
      <w:pPr>
        <w:pStyle w:val="TOC2"/>
        <w:tabs>
          <w:tab w:val="right" w:leader="dot" w:pos="7077"/>
        </w:tabs>
        <w:rPr>
          <w:rFonts w:asciiTheme="minorHAnsi" w:eastAsiaTheme="minorEastAsia" w:hAnsiTheme="minorHAnsi" w:cstheme="minorBidi"/>
          <w:b w:val="0"/>
          <w:sz w:val="22"/>
          <w:szCs w:val="22"/>
        </w:rPr>
      </w:pPr>
      <w:r>
        <w:t>Appendix 2 — Checklist for prospective resident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_Toc435100508 \h </w:instrText>
      </w:r>
      <w:r>
        <w:fldChar w:fldCharType="separate"/>
      </w:r>
      <w:r>
        <w:t>36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jc w:val="center"/>
      </w:pPr>
    </w:p>
    <w:p>
      <w:pPr>
        <w:pStyle w:val="PrincipalActReg"/>
      </w:pPr>
      <w:r>
        <w:t>Fair Trading Act 1987</w:t>
      </w:r>
    </w:p>
    <w:p>
      <w:pPr>
        <w:pStyle w:val="NameofActReg"/>
      </w:pPr>
      <w:r>
        <w:t>Fair Trading (Retirement Villages Interim Code) Regulations 2001</w:t>
      </w:r>
    </w:p>
    <w:p>
      <w:pPr>
        <w:pStyle w:val="Heading5"/>
      </w:pPr>
      <w:bookmarkStart w:id="4" w:name="_Toc378248312"/>
      <w:bookmarkStart w:id="5" w:name="_Toc435100464"/>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2001.</w:t>
      </w:r>
    </w:p>
    <w:p>
      <w:pPr>
        <w:pStyle w:val="Heading5"/>
        <w:rPr>
          <w:spacing w:val="-2"/>
        </w:rPr>
      </w:pPr>
      <w:bookmarkStart w:id="6" w:name="_Toc378248313"/>
      <w:bookmarkStart w:id="7" w:name="_Toc435100465"/>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w:t>
      </w:r>
      <w:r>
        <w:t>1 October 2001.</w:t>
      </w:r>
    </w:p>
    <w:p>
      <w:pPr>
        <w:pStyle w:val="Heading5"/>
      </w:pPr>
      <w:bookmarkStart w:id="8" w:name="_Toc378248314"/>
      <w:bookmarkStart w:id="9" w:name="_Toc435100466"/>
      <w:r>
        <w:rPr>
          <w:rStyle w:val="CharSectno"/>
        </w:rPr>
        <w:t>3</w:t>
      </w:r>
      <w:r>
        <w:t>.</w:t>
      </w:r>
      <w:r>
        <w:tab/>
        <w:t>Code of Practice prescribed</w:t>
      </w:r>
      <w:bookmarkEnd w:id="8"/>
      <w:bookmarkEnd w:id="9"/>
    </w:p>
    <w:p>
      <w:pPr>
        <w:pStyle w:val="Subsection"/>
      </w:pPr>
      <w:r>
        <w:tab/>
      </w:r>
      <w:r>
        <w:tab/>
        <w:t xml:space="preserve">The Code of Practice set out in Schedule 1 and cited as the </w:t>
      </w:r>
      <w:r>
        <w:rPr>
          <w:i/>
        </w:rPr>
        <w:t>Interim Code of Fair Practice for Retirement Villages 2001</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10" w:name="_Toc378248315"/>
      <w:bookmarkStart w:id="11" w:name="_Toc435100467"/>
      <w:r>
        <w:rPr>
          <w:rStyle w:val="CharSectno"/>
        </w:rPr>
        <w:t>4</w:t>
      </w:r>
      <w:r>
        <w:t>.</w:t>
      </w:r>
      <w:r>
        <w:tab/>
        <w:t>Interim Code to remain in force for 6 months</w:t>
      </w:r>
      <w:bookmarkEnd w:id="10"/>
      <w:bookmarkEnd w:id="11"/>
    </w:p>
    <w:p>
      <w:pPr>
        <w:pStyle w:val="Subsection"/>
      </w:pPr>
      <w:r>
        <w:tab/>
      </w:r>
      <w:r>
        <w:tab/>
        <w:t xml:space="preserve">The </w:t>
      </w:r>
      <w:r>
        <w:rPr>
          <w:i/>
        </w:rPr>
        <w:t>Interim Code of Fair Practice for Retirement Villages 2001</w:t>
      </w:r>
      <w:r>
        <w:t xml:space="preserve"> is to remain in force for 6 months.</w:t>
      </w:r>
    </w:p>
    <w:p>
      <w:pPr>
        <w:pStyle w:val="Heading5"/>
      </w:pPr>
      <w:bookmarkStart w:id="12" w:name="_Toc378248316"/>
      <w:bookmarkStart w:id="13" w:name="_Toc435100468"/>
      <w:r>
        <w:rPr>
          <w:rStyle w:val="CharSectno"/>
        </w:rPr>
        <w:t>5</w:t>
      </w:r>
      <w:r>
        <w:t>.</w:t>
      </w:r>
      <w:r>
        <w:tab/>
        <w:t>Interpretation</w:t>
      </w:r>
      <w:bookmarkEnd w:id="12"/>
      <w:bookmarkEnd w:id="13"/>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keepNext w:val="0"/>
        <w:keepLines w:val="0"/>
      </w:pPr>
      <w:bookmarkStart w:id="14" w:name="_Toc378248317"/>
      <w:bookmarkStart w:id="15" w:name="_Toc435100469"/>
      <w:r>
        <w:rPr>
          <w:rStyle w:val="CharSectno"/>
        </w:rPr>
        <w:t>6</w:t>
      </w:r>
      <w:r>
        <w:t>.</w:t>
      </w:r>
      <w:r>
        <w:tab/>
      </w:r>
      <w:r>
        <w:rPr>
          <w:i/>
        </w:rPr>
        <w:t>Fair Trading (Retirement Villages Code) Regulations 1998</w:t>
      </w:r>
      <w:r>
        <w:t xml:space="preserve"> repealed</w:t>
      </w:r>
      <w:bookmarkEnd w:id="14"/>
      <w:bookmarkEnd w:id="15"/>
    </w:p>
    <w:p>
      <w:pPr>
        <w:pStyle w:val="Subsection"/>
      </w:pPr>
      <w:r>
        <w:tab/>
      </w:r>
      <w:r>
        <w:tab/>
        <w:t xml:space="preserve">The </w:t>
      </w:r>
      <w:r>
        <w:rPr>
          <w:i/>
        </w:rPr>
        <w:t>Fair Trading (Retirement Villages Code) Regulations 1998</w:t>
      </w:r>
      <w:r>
        <w:t xml:space="preserve"> are repealed.</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248318"/>
      <w:bookmarkStart w:id="17" w:name="_Toc426984346"/>
      <w:bookmarkStart w:id="18" w:name="_Toc435100470"/>
      <w:r>
        <w:rPr>
          <w:rStyle w:val="CharSchNo"/>
        </w:rPr>
        <w:t>Schedule 1</w:t>
      </w:r>
      <w:r>
        <w:t xml:space="preserve"> — </w:t>
      </w:r>
      <w:r>
        <w:rPr>
          <w:rStyle w:val="CharSchText"/>
          <w:i/>
        </w:rPr>
        <w:t>Interim Code of Fair Practice for Retirement Villages 2001</w:t>
      </w:r>
      <w:bookmarkEnd w:id="16"/>
      <w:bookmarkEnd w:id="17"/>
      <w:bookmarkEnd w:id="18"/>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has been prescribed under the </w:t>
      </w:r>
      <w:r>
        <w:rPr>
          <w:i/>
        </w:rPr>
        <w:t>Fair Trading Act 1987</w:t>
      </w:r>
      <w:r>
        <w:t xml:space="preserve"> and will remain in force for 6 months after the commencement date of 1 October 2001.  The Code has been prepared as an interim Code following the lapse of the </w:t>
      </w:r>
      <w:r>
        <w:rPr>
          <w:i/>
        </w:rPr>
        <w:t>Code of Fair Practice for Retirement Villages 1998</w:t>
      </w:r>
      <w:r>
        <w:t xml:space="preserve"> on 30 September 2001.  The Code will be reviewed during the period of its application after extensive consultation with interested parties, including relevant industry and consumer groups and government authorities.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provides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disclosure requirements for information about advertising and promotional material.</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administering bodies and residents in relation to village management.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Divisions 6 and 7</w:t>
      </w:r>
      <w:r>
        <w:t xml:space="preserve"> recognise that disputes may occur in a retirement village and outline the structures that may be utilised to resolve them.</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the information statement for prospective residents required to be provided under the </w:t>
      </w:r>
      <w:r>
        <w:rPr>
          <w:i/>
        </w:rPr>
        <w:t>Retirement Villages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provides a list of questions which a prospective resident should carefully read and consider before deciding to enter any retirement village.</w:t>
      </w:r>
    </w:p>
    <w:p>
      <w:pPr>
        <w:pStyle w:val="yHeading3"/>
      </w:pPr>
      <w:bookmarkStart w:id="19" w:name="_Toc378248319"/>
      <w:bookmarkStart w:id="20" w:name="_Toc426984347"/>
      <w:bookmarkStart w:id="21" w:name="_Toc435100471"/>
      <w:r>
        <w:rPr>
          <w:rStyle w:val="CharDivNo"/>
        </w:rPr>
        <w:t>Division 1</w:t>
      </w:r>
      <w:r>
        <w:rPr>
          <w:rStyle w:val="CharPartNo"/>
        </w:rPr>
        <w:t xml:space="preserve"> — </w:t>
      </w:r>
      <w:r>
        <w:t>Preliminary</w:t>
      </w:r>
      <w:bookmarkEnd w:id="19"/>
      <w:bookmarkEnd w:id="20"/>
      <w:bookmarkEnd w:id="21"/>
    </w:p>
    <w:p>
      <w:pPr>
        <w:pStyle w:val="yHeading5"/>
        <w:spacing w:before="120"/>
        <w:outlineLvl w:val="9"/>
        <w:rPr>
          <w:sz w:val="24"/>
        </w:rPr>
      </w:pPr>
      <w:bookmarkStart w:id="22" w:name="_Toc378248320"/>
      <w:bookmarkStart w:id="23" w:name="_Toc435100472"/>
      <w:r>
        <w:rPr>
          <w:sz w:val="24"/>
        </w:rPr>
        <w:t>1.1</w:t>
      </w:r>
      <w:r>
        <w:rPr>
          <w:sz w:val="24"/>
        </w:rPr>
        <w:tab/>
        <w:t>Citation</w:t>
      </w:r>
      <w:bookmarkEnd w:id="22"/>
      <w:bookmarkEnd w:id="23"/>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2001</w:t>
      </w:r>
      <w:r>
        <w:rPr>
          <w:sz w:val="24"/>
        </w:rP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of such a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rPr>
          <w:spacing w:val="-4"/>
        </w:rPr>
      </w:pPr>
      <w:r>
        <w:rPr>
          <w:b/>
          <w:spacing w:val="-4"/>
        </w:rPr>
        <w:t>“</w:t>
      </w:r>
      <w:r>
        <w:rPr>
          <w:b/>
        </w:rPr>
        <w:t>spouse</w:t>
      </w:r>
      <w:r>
        <w:rPr>
          <w:b/>
          <w:spacing w:val="-4"/>
        </w:rPr>
        <w:t>”</w:t>
      </w:r>
      <w:r>
        <w:rPr>
          <w:spacing w:val="-4"/>
        </w:rP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“working day”</w:t>
      </w:r>
      <w:r>
        <w:t xml:space="preserve"> means a day other than a Saturday, a Sunday or a public holiday.</w:t>
      </w:r>
    </w:p>
    <w:p>
      <w:pPr>
        <w:pStyle w:val="yHeading5"/>
        <w:outlineLvl w:val="9"/>
        <w:rPr>
          <w:sz w:val="24"/>
        </w:rPr>
      </w:pPr>
      <w:bookmarkStart w:id="24" w:name="_Toc378248321"/>
      <w:bookmarkStart w:id="25" w:name="_Toc435100473"/>
      <w:r>
        <w:rPr>
          <w:sz w:val="24"/>
        </w:rPr>
        <w:t>1.2</w:t>
      </w:r>
      <w:r>
        <w:rPr>
          <w:sz w:val="24"/>
        </w:rPr>
        <w:tab/>
        <w:t>Application</w:t>
      </w:r>
      <w:bookmarkEnd w:id="24"/>
      <w:bookmarkEnd w:id="25"/>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outlineLvl w:val="9"/>
        <w:rPr>
          <w:sz w:val="24"/>
        </w:rPr>
      </w:pPr>
      <w:bookmarkStart w:id="26" w:name="_Toc378248322"/>
      <w:bookmarkStart w:id="27" w:name="_Toc435100474"/>
      <w:r>
        <w:rPr>
          <w:sz w:val="24"/>
        </w:rPr>
        <w:t>1.3</w:t>
      </w:r>
      <w:r>
        <w:rPr>
          <w:sz w:val="24"/>
        </w:rPr>
        <w:tab/>
        <w:t>General principals</w:t>
      </w:r>
      <w:bookmarkEnd w:id="26"/>
      <w:bookmarkEnd w:id="27"/>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outlineLvl w:val="9"/>
        <w:rPr>
          <w:sz w:val="24"/>
        </w:rPr>
      </w:pPr>
      <w:bookmarkStart w:id="28" w:name="_Toc378248323"/>
      <w:bookmarkStart w:id="29" w:name="_Toc435100475"/>
      <w:r>
        <w:rPr>
          <w:sz w:val="24"/>
        </w:rPr>
        <w:t>1.4</w:t>
      </w:r>
      <w:r>
        <w:rPr>
          <w:sz w:val="24"/>
        </w:rPr>
        <w:tab/>
        <w:t>Objectives of the Code</w:t>
      </w:r>
      <w:bookmarkEnd w:id="28"/>
      <w:bookmarkEnd w:id="29"/>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outlineLvl w:val="9"/>
        <w:rPr>
          <w:sz w:val="24"/>
        </w:rPr>
      </w:pPr>
      <w:bookmarkStart w:id="30" w:name="_Toc378248324"/>
      <w:bookmarkStart w:id="31" w:name="_Toc435100476"/>
      <w:r>
        <w:rPr>
          <w:sz w:val="24"/>
        </w:rPr>
        <w:t>1.5</w:t>
      </w:r>
      <w:r>
        <w:rPr>
          <w:sz w:val="24"/>
        </w:rPr>
        <w:tab/>
        <w:t>Resident’s basic rights</w:t>
      </w:r>
      <w:bookmarkEnd w:id="30"/>
      <w:bookmarkEnd w:id="31"/>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32" w:name="_Toc378248325"/>
      <w:bookmarkStart w:id="33" w:name="_Toc426984353"/>
      <w:bookmarkStart w:id="34" w:name="_Toc435100477"/>
      <w:r>
        <w:rPr>
          <w:rStyle w:val="CharDivNo"/>
        </w:rPr>
        <w:t>Division 2</w:t>
      </w:r>
      <w:r>
        <w:t xml:space="preserve"> — </w:t>
      </w:r>
      <w:r>
        <w:rPr>
          <w:rStyle w:val="CharDivText"/>
        </w:rPr>
        <w:t>Advertising and promotion of retirement villages</w:t>
      </w:r>
      <w:bookmarkEnd w:id="32"/>
      <w:bookmarkEnd w:id="33"/>
      <w:bookmarkEnd w:id="34"/>
    </w:p>
    <w:p>
      <w:pPr>
        <w:pStyle w:val="yHeading5"/>
        <w:outlineLvl w:val="9"/>
        <w:rPr>
          <w:sz w:val="24"/>
        </w:rPr>
      </w:pPr>
      <w:bookmarkStart w:id="35" w:name="_Toc378248326"/>
      <w:bookmarkStart w:id="36" w:name="_Toc435100478"/>
      <w:r>
        <w:rPr>
          <w:sz w:val="24"/>
        </w:rPr>
        <w:t>2.1</w:t>
      </w:r>
      <w:r>
        <w:rPr>
          <w:sz w:val="24"/>
        </w:rPr>
        <w:tab/>
        <w:t>General</w:t>
      </w:r>
      <w:bookmarkEnd w:id="35"/>
      <w:bookmarkEnd w:id="36"/>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outlineLvl w:val="9"/>
        <w:rPr>
          <w:sz w:val="24"/>
        </w:rPr>
      </w:pPr>
      <w:bookmarkStart w:id="37" w:name="_Toc378248327"/>
      <w:bookmarkStart w:id="38" w:name="_Toc435100479"/>
      <w:r>
        <w:rPr>
          <w:sz w:val="24"/>
        </w:rPr>
        <w:t>2.2</w:t>
      </w:r>
      <w:r>
        <w:rPr>
          <w:sz w:val="24"/>
        </w:rPr>
        <w:tab/>
        <w:t>Retirement village developments</w:t>
      </w:r>
      <w:bookmarkEnd w:id="37"/>
      <w:bookmarkEnd w:id="38"/>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outlineLvl w:val="9"/>
        <w:rPr>
          <w:sz w:val="24"/>
        </w:rPr>
      </w:pPr>
      <w:bookmarkStart w:id="39" w:name="_Toc378248328"/>
      <w:bookmarkStart w:id="40" w:name="_Toc435100480"/>
      <w:r>
        <w:rPr>
          <w:sz w:val="24"/>
        </w:rPr>
        <w:t>2.3</w:t>
      </w:r>
      <w:r>
        <w:rPr>
          <w:sz w:val="24"/>
        </w:rPr>
        <w:tab/>
        <w:t>Proposed facilities and services</w:t>
      </w:r>
      <w:bookmarkEnd w:id="39"/>
      <w:bookmarkEnd w:id="40"/>
    </w:p>
    <w:p>
      <w:pPr>
        <w:pStyle w:val="ySubsection"/>
        <w:spacing w:before="120"/>
        <w:rPr>
          <w:sz w:val="24"/>
        </w:rPr>
      </w:pPr>
      <w:r>
        <w:rPr>
          <w:sz w:val="24"/>
        </w:rPr>
        <w:tab/>
      </w:r>
      <w:r>
        <w:rPr>
          <w:sz w:val="24"/>
        </w:rPr>
        <w:tab/>
        <w:t>Proposed facilities and services which are referred to in promotional or sales material must state the date of implementation and any conditions upon which the proposed facilities and services depend.</w:t>
      </w:r>
    </w:p>
    <w:p>
      <w:pPr>
        <w:pStyle w:val="yHeading5"/>
        <w:spacing w:before="160"/>
        <w:outlineLvl w:val="9"/>
        <w:rPr>
          <w:sz w:val="24"/>
        </w:rPr>
      </w:pPr>
      <w:bookmarkStart w:id="41" w:name="_Toc378248329"/>
      <w:bookmarkStart w:id="42" w:name="_Toc435100481"/>
      <w:r>
        <w:rPr>
          <w:sz w:val="24"/>
        </w:rPr>
        <w:t>2.4</w:t>
      </w:r>
      <w:r>
        <w:rPr>
          <w:sz w:val="24"/>
        </w:rPr>
        <w:tab/>
        <w:t>Approvals for facilities that provide a high level of residential care</w:t>
      </w:r>
      <w:bookmarkEnd w:id="41"/>
      <w:bookmarkEnd w:id="42"/>
    </w:p>
    <w:p>
      <w:pPr>
        <w:pStyle w:val="ySubsection"/>
        <w:spacing w:before="120"/>
        <w:rPr>
          <w:sz w:val="24"/>
        </w:rPr>
      </w:pPr>
      <w:r>
        <w:rPr>
          <w:sz w:val="24"/>
        </w:rPr>
        <w:tab/>
      </w:r>
      <w:r>
        <w:rPr>
          <w:sz w:val="24"/>
        </w:rPr>
        <w:tab/>
        <w:t xml:space="preserve">Any relevant licences or approvals from the Health Department of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43" w:name="_Toc378248330"/>
      <w:bookmarkStart w:id="44" w:name="_Toc435100482"/>
      <w:r>
        <w:t>2.5.</w:t>
      </w:r>
      <w:r>
        <w:tab/>
      </w:r>
      <w:r>
        <w:rPr>
          <w:sz w:val="24"/>
        </w:rPr>
        <w:t>Entry to Commonwealth funded residential care services</w:t>
      </w:r>
      <w:bookmarkEnd w:id="43"/>
      <w:bookmarkEnd w:id="44"/>
    </w:p>
    <w:p>
      <w:pPr>
        <w:pStyle w:val="ySubsection"/>
        <w:keepNext/>
        <w:keepLines/>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45" w:name="_Toc378248331"/>
      <w:bookmarkStart w:id="46" w:name="_Toc426984359"/>
      <w:bookmarkStart w:id="47" w:name="_Toc435100483"/>
      <w:r>
        <w:rPr>
          <w:rStyle w:val="CharDivNo"/>
        </w:rPr>
        <w:t>Division 3</w:t>
      </w:r>
      <w:r>
        <w:t xml:space="preserve"> — </w:t>
      </w:r>
      <w:r>
        <w:rPr>
          <w:rStyle w:val="CharDivText"/>
        </w:rPr>
        <w:t>What you should know before you enter into a contract</w:t>
      </w:r>
      <w:bookmarkEnd w:id="45"/>
      <w:bookmarkEnd w:id="46"/>
      <w:bookmarkEnd w:id="47"/>
    </w:p>
    <w:p>
      <w:pPr>
        <w:pStyle w:val="yHeading5"/>
        <w:spacing w:before="160"/>
        <w:outlineLvl w:val="9"/>
        <w:rPr>
          <w:sz w:val="24"/>
        </w:rPr>
      </w:pPr>
      <w:bookmarkStart w:id="48" w:name="_Toc378248332"/>
      <w:bookmarkStart w:id="49" w:name="_Toc435100484"/>
      <w:r>
        <w:rPr>
          <w:sz w:val="24"/>
        </w:rPr>
        <w:t>3.1</w:t>
      </w:r>
      <w:r>
        <w:rPr>
          <w:sz w:val="24"/>
        </w:rPr>
        <w:tab/>
        <w:t>Before you enter into a residence contract</w:t>
      </w:r>
      <w:bookmarkEnd w:id="48"/>
      <w:bookmarkEnd w:id="49"/>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under section 13(2)(c) of the Retirement Villages Act 1992 the owner of a retirement village is obliged to provide a prospective resident with a copy of the residence rules of that retirement village.  A full statement of the rights conferred under</w:t>
      </w:r>
      <w:r>
        <w:rPr>
          <w:rStyle w:val="CharPartNo"/>
        </w:rPr>
        <w:t xml:space="preserve"> </w:t>
      </w:r>
      <w:r>
        <w:t>sections 13 and 14 of that Act is set out in Form 2 of Schedule 1 of the Retirement</w:t>
      </w:r>
      <w:r>
        <w:rPr>
          <w:i/>
        </w:rPr>
        <w:t xml:space="preserve">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Retirement Villages Act 1992,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costs payable to enter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all recurrent charges or fees payable and the method of determining any variation;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any additional or optional services provided and their respective cost;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details of costs associated with moving to and living in alternative accommodation within the village; and</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 clear explanation of the refund entitlement.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outlineLvl w:val="9"/>
        <w:rPr>
          <w:sz w:val="24"/>
        </w:rPr>
      </w:pPr>
      <w:bookmarkStart w:id="50" w:name="_Toc378248333"/>
      <w:bookmarkStart w:id="51" w:name="_Toc435100485"/>
      <w:r>
        <w:rPr>
          <w:sz w:val="24"/>
        </w:rPr>
        <w:t>3.2</w:t>
      </w:r>
      <w:r>
        <w:rPr>
          <w:sz w:val="24"/>
        </w:rPr>
        <w:tab/>
        <w:t>Before you enter into a service contract</w:t>
      </w:r>
      <w:bookmarkEnd w:id="50"/>
      <w:bookmarkEnd w:id="51"/>
    </w:p>
    <w:p>
      <w:pPr>
        <w:pStyle w:val="ySubsection"/>
        <w:keepNext/>
        <w:keepLines/>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52" w:name="_Toc378248334"/>
      <w:bookmarkStart w:id="53" w:name="_Toc426984362"/>
      <w:bookmarkStart w:id="54" w:name="_Toc435100486"/>
      <w:r>
        <w:rPr>
          <w:rStyle w:val="CharDivText"/>
        </w:rPr>
        <w:t>Division</w:t>
      </w:r>
      <w:r>
        <w:rPr>
          <w:rStyle w:val="CharDivNo"/>
        </w:rPr>
        <w:t xml:space="preserve"> 4</w:t>
      </w:r>
      <w:r>
        <w:t xml:space="preserve"> — </w:t>
      </w:r>
      <w:r>
        <w:rPr>
          <w:rStyle w:val="CharDivText"/>
        </w:rPr>
        <w:t>The Contract</w:t>
      </w:r>
      <w:bookmarkEnd w:id="52"/>
      <w:bookmarkEnd w:id="53"/>
      <w:bookmarkEnd w:id="54"/>
    </w:p>
    <w:p>
      <w:pPr>
        <w:pStyle w:val="yHeading5"/>
        <w:outlineLvl w:val="9"/>
        <w:rPr>
          <w:sz w:val="24"/>
        </w:rPr>
      </w:pPr>
      <w:bookmarkStart w:id="55" w:name="_Toc378248335"/>
      <w:bookmarkStart w:id="56" w:name="_Toc435100487"/>
      <w:r>
        <w:rPr>
          <w:sz w:val="24"/>
        </w:rPr>
        <w:t>4.1</w:t>
      </w:r>
      <w:r>
        <w:rPr>
          <w:sz w:val="24"/>
        </w:rPr>
        <w:tab/>
        <w:t>Legibility and presentation requirements</w:t>
      </w:r>
      <w:bookmarkEnd w:id="55"/>
      <w:bookmarkEnd w:id="56"/>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rPr>
          <w:sz w:val="24"/>
        </w:rPr>
      </w:pPr>
      <w:r>
        <w:rPr>
          <w:sz w:val="24"/>
        </w:rPr>
        <w:tab/>
        <w:t>(2)</w:t>
      </w:r>
      <w:r>
        <w:rPr>
          <w:sz w:val="24"/>
        </w:rPr>
        <w:tab/>
        <w:t xml:space="preserve">The following statement must appear in 16 point type and be included in the contract — </w:t>
      </w:r>
    </w:p>
    <w:p>
      <w:pPr>
        <w:pStyle w:val="zMiscellaneousBody"/>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w:t>
      </w:r>
      <w:r>
        <w:noBreakHyphen/>
        <w:t xml:space="preserve">21 of the </w:t>
      </w:r>
      <w:r>
        <w:rPr>
          <w:i/>
        </w:rPr>
        <w:t>Aged Care Act 1997</w:t>
      </w:r>
      <w:r>
        <w:t>, those regulations apply in relation to the payment of refunds.</w:t>
      </w:r>
    </w:p>
    <w:p>
      <w:pPr>
        <w:pStyle w:val="yHeading5"/>
        <w:outlineLvl w:val="9"/>
        <w:rPr>
          <w:sz w:val="24"/>
        </w:rPr>
      </w:pPr>
      <w:bookmarkStart w:id="57" w:name="_Toc378248336"/>
      <w:bookmarkStart w:id="58" w:name="_Toc435100488"/>
      <w:r>
        <w:rPr>
          <w:sz w:val="24"/>
        </w:rPr>
        <w:t>4.2</w:t>
      </w:r>
      <w:r>
        <w:rPr>
          <w:sz w:val="24"/>
        </w:rPr>
        <w:tab/>
        <w:t>Title and tenure</w:t>
      </w:r>
      <w:bookmarkEnd w:id="57"/>
      <w:bookmarkEnd w:id="58"/>
    </w:p>
    <w:p>
      <w:pPr>
        <w:pStyle w:val="ySubsection"/>
        <w:rPr>
          <w:sz w:val="24"/>
        </w:rPr>
      </w:pPr>
      <w:r>
        <w:rPr>
          <w:sz w:val="24"/>
        </w:rPr>
        <w:tab/>
      </w:r>
      <w:r>
        <w:rPr>
          <w:sz w:val="24"/>
        </w:rPr>
        <w:tab/>
        <w:t>The residence contract must fully disclose —</w:t>
      </w:r>
    </w:p>
    <w:p>
      <w:pPr>
        <w:pStyle w:val="yIndenta"/>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outlineLvl w:val="9"/>
        <w:rPr>
          <w:sz w:val="24"/>
        </w:rPr>
      </w:pPr>
      <w:bookmarkStart w:id="59" w:name="_Toc378248337"/>
      <w:bookmarkStart w:id="60" w:name="_Toc435100489"/>
      <w:r>
        <w:rPr>
          <w:sz w:val="24"/>
        </w:rPr>
        <w:t>4.3</w:t>
      </w:r>
      <w:r>
        <w:rPr>
          <w:sz w:val="24"/>
        </w:rPr>
        <w:tab/>
        <w:t>Accommodation unit</w:t>
      </w:r>
      <w:bookmarkEnd w:id="59"/>
      <w:bookmarkEnd w:id="60"/>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outlineLvl w:val="9"/>
        <w:rPr>
          <w:sz w:val="24"/>
        </w:rPr>
      </w:pPr>
      <w:bookmarkStart w:id="61" w:name="_Toc378248338"/>
      <w:bookmarkStart w:id="62" w:name="_Toc435100490"/>
      <w:r>
        <w:rPr>
          <w:sz w:val="24"/>
        </w:rPr>
        <w:t>4.4</w:t>
      </w:r>
      <w:r>
        <w:rPr>
          <w:sz w:val="24"/>
        </w:rPr>
        <w:tab/>
        <w:t>Services and facilities</w:t>
      </w:r>
      <w:bookmarkEnd w:id="61"/>
      <w:bookmarkEnd w:id="62"/>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outlineLvl w:val="9"/>
        <w:rPr>
          <w:sz w:val="24"/>
        </w:rPr>
      </w:pPr>
      <w:bookmarkStart w:id="63" w:name="_Toc378248339"/>
      <w:bookmarkStart w:id="64" w:name="_Toc435100491"/>
      <w:r>
        <w:rPr>
          <w:sz w:val="24"/>
        </w:rPr>
        <w:t>4.5</w:t>
      </w:r>
      <w:r>
        <w:rPr>
          <w:sz w:val="24"/>
        </w:rPr>
        <w:tab/>
        <w:t>Accommodation charges, entry contributions and refund provisions</w:t>
      </w:r>
      <w:bookmarkEnd w:id="63"/>
      <w:bookmarkEnd w:id="64"/>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keepNext/>
        <w:keepLines/>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outlineLvl w:val="9"/>
        <w:rPr>
          <w:sz w:val="24"/>
        </w:rPr>
      </w:pPr>
      <w:bookmarkStart w:id="65" w:name="_Toc378248340"/>
      <w:bookmarkStart w:id="66" w:name="_Toc435100492"/>
      <w:r>
        <w:rPr>
          <w:sz w:val="24"/>
        </w:rPr>
        <w:t>4.6</w:t>
      </w:r>
      <w:r>
        <w:rPr>
          <w:sz w:val="24"/>
        </w:rPr>
        <w:tab/>
        <w:t>Regular maintenance and service charges</w:t>
      </w:r>
      <w:bookmarkEnd w:id="65"/>
      <w:bookmarkEnd w:id="66"/>
    </w:p>
    <w:p>
      <w:pPr>
        <w:pStyle w:val="ySubsection"/>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outlineLvl w:val="9"/>
        <w:rPr>
          <w:sz w:val="24"/>
        </w:rPr>
      </w:pPr>
      <w:bookmarkStart w:id="67" w:name="_Toc378248341"/>
      <w:bookmarkStart w:id="68" w:name="_Toc435100493"/>
      <w:r>
        <w:rPr>
          <w:sz w:val="24"/>
        </w:rPr>
        <w:t>4.7</w:t>
      </w:r>
      <w:r>
        <w:rPr>
          <w:sz w:val="24"/>
        </w:rPr>
        <w:tab/>
        <w:t>Relocation</w:t>
      </w:r>
      <w:bookmarkEnd w:id="67"/>
      <w:bookmarkEnd w:id="68"/>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outlineLvl w:val="9"/>
        <w:rPr>
          <w:sz w:val="24"/>
        </w:rPr>
      </w:pPr>
      <w:bookmarkStart w:id="69" w:name="_Toc378248342"/>
      <w:bookmarkStart w:id="70" w:name="_Toc435100494"/>
      <w:r>
        <w:rPr>
          <w:sz w:val="24"/>
        </w:rPr>
        <w:t>4.8</w:t>
      </w:r>
      <w:r>
        <w:rPr>
          <w:sz w:val="24"/>
        </w:rPr>
        <w:tab/>
        <w:t>Termination of residence contract and fees payable on termination</w:t>
      </w:r>
      <w:bookmarkEnd w:id="69"/>
      <w:bookmarkEnd w:id="70"/>
    </w:p>
    <w:p>
      <w:pPr>
        <w:pStyle w:val="ySubsection"/>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outlineLvl w:val="9"/>
        <w:rPr>
          <w:i/>
          <w:sz w:val="24"/>
        </w:rPr>
      </w:pPr>
      <w:bookmarkStart w:id="71" w:name="_Toc378248343"/>
      <w:bookmarkStart w:id="72" w:name="_Toc435100495"/>
      <w:r>
        <w:rPr>
          <w:sz w:val="24"/>
        </w:rPr>
        <w:t>4.9</w:t>
      </w:r>
      <w:r>
        <w:rPr>
          <w:sz w:val="24"/>
        </w:rPr>
        <w:tab/>
        <w:t xml:space="preserve">Residence contract to refer to this Code and the </w:t>
      </w:r>
      <w:r>
        <w:rPr>
          <w:i/>
          <w:sz w:val="24"/>
        </w:rPr>
        <w:t>Retirement Villages Act 1992</w:t>
      </w:r>
      <w:bookmarkEnd w:id="71"/>
      <w:bookmarkEnd w:id="72"/>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73" w:name="_Toc378248344"/>
      <w:bookmarkStart w:id="74" w:name="_Toc426984372"/>
      <w:bookmarkStart w:id="75" w:name="_Toc435100496"/>
      <w:r>
        <w:rPr>
          <w:rStyle w:val="CharDivText"/>
        </w:rPr>
        <w:t>Division</w:t>
      </w:r>
      <w:r>
        <w:rPr>
          <w:rStyle w:val="CharDivNo"/>
        </w:rPr>
        <w:t xml:space="preserve"> 5</w:t>
      </w:r>
      <w:r>
        <w:t xml:space="preserve"> — </w:t>
      </w:r>
      <w:r>
        <w:rPr>
          <w:rStyle w:val="CharDivText"/>
        </w:rPr>
        <w:t>Village management</w:t>
      </w:r>
      <w:bookmarkEnd w:id="73"/>
      <w:bookmarkEnd w:id="74"/>
      <w:bookmarkEnd w:id="75"/>
    </w:p>
    <w:p>
      <w:pPr>
        <w:pStyle w:val="yHeading5"/>
        <w:outlineLvl w:val="9"/>
        <w:rPr>
          <w:sz w:val="24"/>
        </w:rPr>
      </w:pPr>
      <w:bookmarkStart w:id="76" w:name="_Toc378248345"/>
      <w:bookmarkStart w:id="77" w:name="_Toc435100497"/>
      <w:r>
        <w:rPr>
          <w:sz w:val="24"/>
        </w:rPr>
        <w:t>5.1</w:t>
      </w:r>
      <w:r>
        <w:rPr>
          <w:sz w:val="24"/>
        </w:rPr>
        <w:tab/>
        <w:t>Administering body to create procedures for resident input</w:t>
      </w:r>
      <w:bookmarkEnd w:id="76"/>
      <w:bookmarkEnd w:id="77"/>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outlineLvl w:val="9"/>
        <w:rPr>
          <w:sz w:val="24"/>
        </w:rPr>
      </w:pPr>
      <w:bookmarkStart w:id="78" w:name="_Toc378248346"/>
      <w:bookmarkStart w:id="79" w:name="_Toc435100498"/>
      <w:r>
        <w:rPr>
          <w:sz w:val="24"/>
        </w:rPr>
        <w:t>5.2</w:t>
      </w:r>
      <w:r>
        <w:rPr>
          <w:sz w:val="24"/>
        </w:rPr>
        <w:tab/>
        <w:t>Input into management</w:t>
      </w:r>
      <w:bookmarkEnd w:id="78"/>
      <w:bookmarkEnd w:id="79"/>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outlineLvl w:val="9"/>
        <w:rPr>
          <w:sz w:val="24"/>
        </w:rPr>
      </w:pPr>
      <w:bookmarkStart w:id="80" w:name="_Toc378248347"/>
      <w:bookmarkStart w:id="81" w:name="_Toc435100499"/>
      <w:r>
        <w:rPr>
          <w:sz w:val="24"/>
        </w:rPr>
        <w:t>5.3</w:t>
      </w:r>
      <w:r>
        <w:rPr>
          <w:sz w:val="24"/>
        </w:rPr>
        <w:tab/>
        <w:t>Input into financial arrangements</w:t>
      </w:r>
      <w:bookmarkEnd w:id="80"/>
      <w:bookmarkEnd w:id="81"/>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keepNext/>
        <w:keepLines/>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outlineLvl w:val="9"/>
        <w:rPr>
          <w:sz w:val="24"/>
        </w:rPr>
      </w:pPr>
      <w:bookmarkStart w:id="82" w:name="_Toc378248348"/>
      <w:bookmarkStart w:id="83" w:name="_Toc435100500"/>
      <w:r>
        <w:rPr>
          <w:sz w:val="24"/>
        </w:rPr>
        <w:t>5.4</w:t>
      </w:r>
      <w:r>
        <w:rPr>
          <w:sz w:val="24"/>
        </w:rPr>
        <w:tab/>
        <w:t>Residence rules</w:t>
      </w:r>
      <w:bookmarkEnd w:id="82"/>
      <w:bookmarkEnd w:id="83"/>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rules and procedures established under this Code and the </w:t>
      </w:r>
      <w:r>
        <w:rPr>
          <w:i/>
        </w:rPr>
        <w:t>Retirement Villages Act 1992</w:t>
      </w:r>
      <w:r>
        <w:t xml:space="preserve"> help maintain an acceptable quality of life for everyone in the village.</w:t>
      </w:r>
    </w:p>
    <w:p>
      <w:pPr>
        <w:pStyle w:val="yHeading3"/>
      </w:pPr>
      <w:bookmarkStart w:id="84" w:name="_Toc378248349"/>
      <w:bookmarkStart w:id="85" w:name="_Toc426984377"/>
      <w:bookmarkStart w:id="86" w:name="_Toc435100501"/>
      <w:r>
        <w:rPr>
          <w:rStyle w:val="CharDivText"/>
        </w:rPr>
        <w:t>Division</w:t>
      </w:r>
      <w:r>
        <w:rPr>
          <w:rStyle w:val="CharDivNo"/>
        </w:rPr>
        <w:t xml:space="preserve"> 6</w:t>
      </w:r>
      <w:r>
        <w:rPr>
          <w:rStyle w:val="CharPartNo"/>
        </w:rPr>
        <w:t xml:space="preserve"> — </w:t>
      </w:r>
      <w:r>
        <w:rPr>
          <w:rStyle w:val="CharDivText"/>
        </w:rPr>
        <w:t xml:space="preserve">Dispute </w:t>
      </w:r>
      <w:r>
        <w:t>resolution</w:t>
      </w:r>
      <w:bookmarkEnd w:id="84"/>
      <w:bookmarkEnd w:id="85"/>
      <w:bookmarkEnd w:id="86"/>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outlineLvl w:val="9"/>
        <w:rPr>
          <w:sz w:val="24"/>
        </w:rPr>
      </w:pPr>
      <w:bookmarkStart w:id="87" w:name="_Toc378248350"/>
      <w:bookmarkStart w:id="88" w:name="_Toc435100502"/>
      <w:r>
        <w:rPr>
          <w:sz w:val="24"/>
        </w:rPr>
        <w:t>6.1</w:t>
      </w:r>
      <w:r>
        <w:rPr>
          <w:sz w:val="24"/>
        </w:rPr>
        <w:tab/>
        <w:t>Village Disputes Resolution Committee</w:t>
      </w:r>
      <w:bookmarkEnd w:id="87"/>
      <w:bookmarkEnd w:id="88"/>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outlineLvl w:val="9"/>
        <w:rPr>
          <w:sz w:val="24"/>
        </w:rPr>
      </w:pPr>
      <w:bookmarkStart w:id="89" w:name="_Toc378248351"/>
      <w:bookmarkStart w:id="90" w:name="_Toc435100503"/>
      <w:r>
        <w:rPr>
          <w:sz w:val="24"/>
        </w:rPr>
        <w:t>6.2</w:t>
      </w:r>
      <w:r>
        <w:rPr>
          <w:sz w:val="24"/>
        </w:rPr>
        <w:tab/>
        <w:t>Dispute procedures</w:t>
      </w:r>
      <w:bookmarkEnd w:id="89"/>
      <w:bookmarkEnd w:id="90"/>
    </w:p>
    <w:p>
      <w:pPr>
        <w:pStyle w:val="ySubsection"/>
        <w:rPr>
          <w:sz w:val="24"/>
        </w:rPr>
      </w:pPr>
      <w:r>
        <w:rPr>
          <w:sz w:val="24"/>
        </w:rPr>
        <w:tab/>
        <w:t>(1)</w:t>
      </w:r>
      <w:r>
        <w:rPr>
          <w:sz w:val="24"/>
        </w:rPr>
        <w:tab/>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pPr>
      <w:bookmarkStart w:id="91" w:name="_Toc378248352"/>
      <w:bookmarkStart w:id="92" w:name="_Toc426984380"/>
      <w:bookmarkStart w:id="93" w:name="_Toc435100504"/>
      <w:r>
        <w:rPr>
          <w:rStyle w:val="CharDivText"/>
        </w:rPr>
        <w:t>Division</w:t>
      </w:r>
      <w:r>
        <w:rPr>
          <w:rStyle w:val="CharDivNo"/>
        </w:rPr>
        <w:t xml:space="preserve"> 7</w:t>
      </w:r>
      <w:r>
        <w:t xml:space="preserve"> — </w:t>
      </w:r>
      <w:r>
        <w:rPr>
          <w:rStyle w:val="CharDivText"/>
        </w:rPr>
        <w:t>Termination of residence contracts</w:t>
      </w:r>
      <w:bookmarkEnd w:id="91"/>
      <w:bookmarkEnd w:id="92"/>
      <w:bookmarkEnd w:id="93"/>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Heading"/>
        <w:jc w:val="left"/>
        <w:rPr>
          <w:rStyle w:val="CharPartNo"/>
        </w:rPr>
      </w:pPr>
      <w: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Heading"/>
        <w:jc w:val="left"/>
        <w:rPr>
          <w:rStyle w:val="CharPartNo"/>
        </w:rPr>
      </w:pPr>
      <w: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Heading"/>
        <w:jc w:val="left"/>
        <w:rPr>
          <w:rStyle w:val="CharPartNo"/>
        </w:rPr>
      </w:pPr>
      <w: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As set out in the Retirement</w:t>
      </w:r>
      <w:r>
        <w:rPr>
          <w:i/>
        </w:rPr>
        <w:t xml:space="preserve"> Villages Act 1992</w:t>
      </w:r>
      <w:r>
        <w:t xml:space="preserve">, an administering body may apply to the Tribunal to terminate a residence contract on any of the following grounds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that the administering body would, in the special circumstances of the case, suffer undue hardship if the contract were not terminated.</w:t>
      </w:r>
    </w:p>
    <w:p>
      <w:pPr>
        <w:pStyle w:val="zMiscellaneousHeading"/>
        <w:jc w:val="left"/>
        <w:rPr>
          <w:rStyle w:val="CharPartNo"/>
        </w:rPr>
      </w:pPr>
      <w: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 xml:space="preserve">Retirement </w:t>
      </w:r>
      <w:r>
        <w:t>Villages</w:t>
      </w:r>
      <w:r>
        <w:rPr>
          <w:i/>
        </w:rPr>
        <w:t xml:space="preserve">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advise the resident of his or her right to occupy the accommodation unit until a termination date is fixed by the Tribunal.</w:t>
      </w:r>
    </w:p>
    <w:p>
      <w:pPr>
        <w:pStyle w:val="zMiscellaneousHeading"/>
        <w:keepLines/>
        <w:jc w:val="left"/>
        <w:rPr>
          <w:rStyle w:val="CharPartNo"/>
        </w:rPr>
      </w:pPr>
      <w: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w:t>
      </w:r>
      <w:r>
        <w:noBreakHyphen/>
        <w:t>21 of that Act, the period within which the refund is to be paid is determined under the relevant Commonwealth regulations.</w:t>
      </w:r>
    </w:p>
    <w:p>
      <w:pPr>
        <w:pStyle w:val="yHeading2"/>
        <w:pageBreakBefore/>
        <w:outlineLvl w:val="9"/>
      </w:pPr>
      <w:bookmarkStart w:id="94" w:name="_Toc378248353"/>
      <w:bookmarkStart w:id="95" w:name="_Toc426984381"/>
      <w:bookmarkStart w:id="96" w:name="_Toc435100505"/>
      <w:r>
        <w:rPr>
          <w:rStyle w:val="CharPartText"/>
        </w:rPr>
        <w:t xml:space="preserve">Appendix 1 — </w:t>
      </w:r>
      <w:r>
        <w:t>Copy of information statement for prospective resident</w:t>
      </w:r>
      <w:bookmarkEnd w:id="94"/>
      <w:bookmarkEnd w:id="95"/>
      <w:bookmarkEnd w:id="96"/>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jc w:val="left"/>
      </w:pPr>
      <w:r>
        <w:t>Costs and charges</w:t>
      </w:r>
    </w:p>
    <w:p>
      <w:pPr>
        <w:pStyle w:val="zMiscellaneousBody"/>
        <w:shd w:val="pct15" w:color="auto" w:fill="FFFFFF"/>
        <w:tabs>
          <w:tab w:val="left" w:pos="1137"/>
        </w:tabs>
        <w:ind w:left="1137" w:hanging="570"/>
      </w:pPr>
      <w:r>
        <w:t>1.</w:t>
      </w:r>
      <w:r>
        <w:tab/>
        <w:t>What costs will be payable to enter the retirement village?</w:t>
      </w:r>
    </w:p>
    <w:p>
      <w:pPr>
        <w:pStyle w:val="zMiscellaneousBody"/>
        <w:shd w:val="pct15" w:color="auto" w:fill="FFFFFF"/>
        <w:tabs>
          <w:tab w:val="left" w:pos="1137"/>
        </w:tabs>
        <w:ind w:left="1137" w:hanging="570"/>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7"/>
        </w:tabs>
        <w:ind w:left="1137" w:hanging="570"/>
      </w:pPr>
      <w:r>
        <w:t>3.</w:t>
      </w:r>
      <w:r>
        <w:tab/>
        <w:t>By what percentage did the maintenance fee increase during the previous financial year?</w:t>
      </w:r>
    </w:p>
    <w:p>
      <w:pPr>
        <w:pStyle w:val="zMiscellaneousBody"/>
        <w:shd w:val="pct15" w:color="auto" w:fill="FFFFFF"/>
        <w:tabs>
          <w:tab w:val="left" w:pos="1137"/>
        </w:tabs>
        <w:ind w:left="1137" w:hanging="570"/>
      </w:pPr>
      <w:r>
        <w:t>4.</w:t>
      </w:r>
      <w:r>
        <w:tab/>
        <w:t>What are the arrangements and fees for any necessary insurance cover?</w:t>
      </w:r>
    </w:p>
    <w:p>
      <w:pPr>
        <w:pStyle w:val="zMiscellaneousBody"/>
        <w:shd w:val="pct15" w:color="auto" w:fill="FFFFFF"/>
        <w:tabs>
          <w:tab w:val="left" w:pos="1137"/>
        </w:tabs>
        <w:ind w:left="1137" w:hanging="570"/>
      </w:pPr>
      <w:r>
        <w:t>5.</w:t>
      </w:r>
      <w:r>
        <w:tab/>
        <w:t>What provision is there for a sinking fund for major maintenance and replacement?</w:t>
      </w:r>
    </w:p>
    <w:p>
      <w:pPr>
        <w:pStyle w:val="zMiscellaneousBody"/>
        <w:shd w:val="pct15" w:color="auto" w:fill="FFFFFF"/>
        <w:tabs>
          <w:tab w:val="left" w:pos="1137"/>
        </w:tabs>
        <w:ind w:left="1137" w:hanging="570"/>
      </w:pPr>
      <w:r>
        <w:t>6.</w:t>
      </w:r>
      <w:r>
        <w:tab/>
        <w:t>Can the prospective resident be liable for any additional or extraordinary charges?  If so, under what circumstances?</w:t>
      </w:r>
    </w:p>
    <w:p>
      <w:pPr>
        <w:pStyle w:val="zMiscellaneousHeading"/>
        <w:jc w:val="left"/>
      </w:pPr>
      <w:r>
        <w:t>Resident input</w:t>
      </w:r>
    </w:p>
    <w:p>
      <w:pPr>
        <w:pStyle w:val="zMiscellaneousBody"/>
        <w:shd w:val="pct15" w:color="auto" w:fill="FFFFFF"/>
        <w:tabs>
          <w:tab w:val="left" w:pos="1137"/>
        </w:tabs>
        <w:ind w:left="1137" w:hanging="570"/>
      </w:pPr>
      <w:r>
        <w:t>7.</w:t>
      </w:r>
      <w:r>
        <w:tab/>
        <w:t>What arrangements exist for a resident to have input into the administration of the village, including the making of residence rules and the setting of fees and charges?</w:t>
      </w:r>
    </w:p>
    <w:p>
      <w:pPr>
        <w:pStyle w:val="zMiscellaneousHeading"/>
        <w:jc w:val="left"/>
      </w:pPr>
      <w:r>
        <w:t>Resident funded capital improvements</w:t>
      </w:r>
    </w:p>
    <w:p>
      <w:pPr>
        <w:pStyle w:val="zMiscellaneousBody"/>
        <w:shd w:val="pct15" w:color="auto" w:fill="FFFFFF"/>
        <w:tabs>
          <w:tab w:val="left" w:pos="1137"/>
        </w:tabs>
        <w:ind w:left="1137" w:hanging="570"/>
      </w:pPr>
      <w:r>
        <w:t>8.</w:t>
      </w:r>
      <w:r>
        <w:tab/>
        <w:t>What are the rights of the prospective resident to compensation for capital improvements made to the accommodation unit at the resident’s expense?</w:t>
      </w:r>
    </w:p>
    <w:p>
      <w:pPr>
        <w:pStyle w:val="zMiscellaneousHeading"/>
        <w:jc w:val="left"/>
      </w:pPr>
      <w:r>
        <w:t>Services</w:t>
      </w:r>
    </w:p>
    <w:p>
      <w:pPr>
        <w:pStyle w:val="zMiscellaneousBody"/>
        <w:shd w:val="pct15" w:color="auto" w:fill="FFFFFF"/>
        <w:tabs>
          <w:tab w:val="left" w:pos="1137"/>
        </w:tabs>
        <w:ind w:left="1137" w:hanging="570"/>
      </w:pPr>
      <w:r>
        <w:t>9.</w:t>
      </w:r>
      <w:r>
        <w:tab/>
        <w:t>What services will be provided for the fees payable?</w:t>
      </w:r>
    </w:p>
    <w:p>
      <w:pPr>
        <w:pStyle w:val="zMiscellaneousBody"/>
        <w:shd w:val="pct15" w:color="auto" w:fill="FFFFFF"/>
        <w:tabs>
          <w:tab w:val="left" w:pos="1137"/>
        </w:tabs>
        <w:ind w:left="1137" w:hanging="570"/>
      </w:pPr>
      <w:r>
        <w:t>10.</w:t>
      </w:r>
      <w:r>
        <w:tab/>
        <w:t>What additional or optional services are provided and at what cost?</w:t>
      </w:r>
    </w:p>
    <w:p>
      <w:pPr>
        <w:pStyle w:val="zMiscellaneousHeading"/>
        <w:jc w:val="left"/>
      </w:pPr>
      <w:r>
        <w:t>Existing service contract</w:t>
      </w:r>
    </w:p>
    <w:p>
      <w:pPr>
        <w:pStyle w:val="zMiscellaneousBody"/>
        <w:shd w:val="pct15" w:color="auto" w:fill="FFFFFF"/>
        <w:tabs>
          <w:tab w:val="left" w:pos="1137"/>
        </w:tabs>
        <w:ind w:left="1137" w:hanging="570"/>
      </w:pPr>
      <w:r>
        <w:t>11.</w:t>
      </w:r>
      <w:r>
        <w:tab/>
        <w:t>Is there a service contract already in existence which will bind the resident?  How can the service contract be varied or cancelled?</w:t>
      </w:r>
    </w:p>
    <w:p>
      <w:pPr>
        <w:pStyle w:val="zMiscellaneousHeading"/>
        <w:jc w:val="left"/>
      </w:pPr>
      <w:r>
        <w:t>Use of accommodation unit</w:t>
      </w:r>
    </w:p>
    <w:p>
      <w:pPr>
        <w:pStyle w:val="zMiscellaneousBody"/>
        <w:shd w:val="pct15" w:color="auto" w:fill="FFFFFF"/>
        <w:tabs>
          <w:tab w:val="left" w:pos="1137"/>
        </w:tabs>
        <w:ind w:left="1137" w:hanging="570"/>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jc w:val="left"/>
      </w:pPr>
      <w:r>
        <w:t>Transport</w:t>
      </w:r>
    </w:p>
    <w:p>
      <w:pPr>
        <w:pStyle w:val="zMiscellaneousBody"/>
        <w:shd w:val="pct15" w:color="auto" w:fill="FFFFFF"/>
        <w:tabs>
          <w:tab w:val="left" w:pos="1137"/>
        </w:tabs>
        <w:ind w:left="1137" w:hanging="570"/>
      </w:pPr>
      <w:r>
        <w:t>13.</w:t>
      </w:r>
      <w:r>
        <w:tab/>
        <w:t>What type of public, private or village transport is available to residents?</w:t>
      </w:r>
    </w:p>
    <w:p>
      <w:pPr>
        <w:pStyle w:val="zMiscellaneousHeading"/>
        <w:jc w:val="left"/>
      </w:pPr>
      <w:r>
        <w:t>Village management</w:t>
      </w:r>
    </w:p>
    <w:p>
      <w:pPr>
        <w:pStyle w:val="zMiscellaneousBody"/>
        <w:shd w:val="pct15" w:color="auto" w:fill="FFFFFF"/>
        <w:tabs>
          <w:tab w:val="left" w:pos="1137"/>
        </w:tabs>
        <w:ind w:left="1137" w:hanging="570"/>
      </w:pPr>
      <w:r>
        <w:t>14.</w:t>
      </w:r>
      <w:r>
        <w:tab/>
        <w:t>What are the qualifications and experience of the retirement village’s senior management?</w:t>
      </w:r>
    </w:p>
    <w:p>
      <w:pPr>
        <w:pStyle w:val="zMiscellaneousHeading"/>
        <w:jc w:val="left"/>
      </w:pPr>
      <w:r>
        <w:t>Medical certificate requirements</w:t>
      </w:r>
    </w:p>
    <w:p>
      <w:pPr>
        <w:pStyle w:val="zMiscellaneousBody"/>
        <w:shd w:val="pct15" w:color="auto" w:fill="FFFFFF"/>
        <w:tabs>
          <w:tab w:val="left" w:pos="1137"/>
        </w:tabs>
        <w:ind w:left="1137" w:hanging="570"/>
      </w:pPr>
      <w:r>
        <w:t>15.</w:t>
      </w:r>
      <w:r>
        <w:tab/>
        <w:t>Does the prospective resident have to supply a medical certificate or report to certify his/her ability to live independently?</w:t>
      </w:r>
    </w:p>
    <w:p>
      <w:pPr>
        <w:pStyle w:val="zMiscellaneousBody"/>
        <w:shd w:val="pct15" w:color="auto" w:fill="FFFFFF"/>
        <w:tabs>
          <w:tab w:val="left" w:pos="1137"/>
        </w:tabs>
        <w:ind w:left="1137" w:hanging="570"/>
      </w:pPr>
      <w:r>
        <w:t>16.</w:t>
      </w:r>
      <w:r>
        <w:tab/>
        <w:t>Will the prospective resident have to provide documentation of his/her medical condition and medications?  If so, who will have access to it?</w:t>
      </w:r>
    </w:p>
    <w:p>
      <w:pPr>
        <w:pStyle w:val="zMiscellaneousHeading"/>
        <w:jc w:val="left"/>
      </w:pPr>
      <w:r>
        <w:t>Emergency call procedures</w:t>
      </w:r>
    </w:p>
    <w:p>
      <w:pPr>
        <w:pStyle w:val="zMiscellaneousBody"/>
        <w:shd w:val="pct15" w:color="auto" w:fill="FFFFFF"/>
        <w:tabs>
          <w:tab w:val="left" w:pos="1137"/>
        </w:tabs>
        <w:ind w:left="1137" w:hanging="570"/>
      </w:pPr>
      <w:r>
        <w:t>17.</w:t>
      </w:r>
      <w:r>
        <w:tab/>
        <w:t>Is there an emergency call system?  If so, when is it monitored?  Who is responsible for responding to the calls?</w:t>
      </w:r>
    </w:p>
    <w:p>
      <w:pPr>
        <w:pStyle w:val="zMiscellaneousBody"/>
        <w:shd w:val="pct15" w:color="auto" w:fill="FFFFFF"/>
        <w:tabs>
          <w:tab w:val="left" w:pos="1137"/>
        </w:tabs>
        <w:ind w:left="1137" w:hanging="570"/>
      </w:pPr>
      <w:r>
        <w:t>18.</w:t>
      </w:r>
      <w:r>
        <w:tab/>
        <w:t>In the event of an emergency who will be called and how will they gain access to the unit?</w:t>
      </w:r>
    </w:p>
    <w:p>
      <w:pPr>
        <w:pStyle w:val="zMiscellaneousBody"/>
        <w:shd w:val="pct15" w:color="auto" w:fill="FFFFFF"/>
        <w:tabs>
          <w:tab w:val="left" w:pos="1137"/>
        </w:tabs>
        <w:ind w:left="1137" w:hanging="570"/>
      </w:pPr>
      <w:r>
        <w:t>19.</w:t>
      </w:r>
      <w:r>
        <w:tab/>
        <w:t>If hospitalisation is required where will a person normally be taken?</w:t>
      </w:r>
    </w:p>
    <w:p>
      <w:pPr>
        <w:pStyle w:val="zMiscellaneousHeading"/>
        <w:jc w:val="left"/>
      </w:pPr>
      <w:r>
        <w:t>Hospitalisation</w:t>
      </w:r>
    </w:p>
    <w:p>
      <w:pPr>
        <w:pStyle w:val="zMiscellaneousBody"/>
        <w:shd w:val="pct15" w:color="auto" w:fill="FFFFFF"/>
        <w:tabs>
          <w:tab w:val="left" w:pos="1137"/>
        </w:tabs>
        <w:ind w:left="1137" w:hanging="570"/>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7"/>
        </w:tabs>
        <w:ind w:left="1137" w:hanging="570"/>
      </w:pPr>
      <w:r>
        <w:t>21.</w:t>
      </w:r>
      <w:r>
        <w:tab/>
        <w:t>In the event that hospitalisation or nursing care is required, what ongoing costs would the prospective resident incur with his/her existing unit?</w:t>
      </w:r>
    </w:p>
    <w:p>
      <w:pPr>
        <w:pStyle w:val="zMiscellaneousHeading"/>
        <w:jc w:val="left"/>
      </w:pPr>
      <w:r>
        <w:t>Moving</w:t>
      </w:r>
    </w:p>
    <w:p>
      <w:pPr>
        <w:pStyle w:val="zMiscellaneousBody"/>
        <w:shd w:val="pct15" w:color="auto" w:fill="FFFFFF"/>
        <w:tabs>
          <w:tab w:val="left" w:pos="1137"/>
        </w:tabs>
        <w:ind w:left="1137" w:hanging="570"/>
      </w:pPr>
      <w:r>
        <w:t>22.</w:t>
      </w:r>
      <w:r>
        <w:tab/>
        <w:t>What costs are associated with moving to and living in alternative accommodation within the village?</w:t>
      </w:r>
    </w:p>
    <w:p>
      <w:pPr>
        <w:pStyle w:val="zMiscellaneousBody"/>
        <w:shd w:val="pct15" w:color="auto" w:fill="FFFFFF"/>
        <w:tabs>
          <w:tab w:val="left" w:pos="1137"/>
        </w:tabs>
        <w:ind w:left="1137" w:hanging="570"/>
      </w:pPr>
      <w:r>
        <w:t>23.</w:t>
      </w:r>
      <w:r>
        <w:tab/>
        <w:t>In what circumstances would the prospective resident be required to move to alternative accommodation within the village or be transferred or relocated?</w:t>
      </w:r>
    </w:p>
    <w:p>
      <w:pPr>
        <w:pStyle w:val="zMiscellaneousHeading"/>
        <w:jc w:val="left"/>
      </w:pPr>
      <w:r>
        <w:t>Villages under construction</w:t>
      </w:r>
    </w:p>
    <w:p>
      <w:pPr>
        <w:pStyle w:val="zMiscellaneousBody"/>
        <w:shd w:val="pct15" w:color="auto" w:fill="FFFFFF"/>
        <w:tabs>
          <w:tab w:val="left" w:pos="1137"/>
        </w:tabs>
        <w:ind w:left="1137" w:hanging="570"/>
      </w:pPr>
      <w:r>
        <w:t>24.</w:t>
      </w:r>
      <w:r>
        <w:tab/>
        <w:t>If the accommodation unit is still under construction, can the prospective resident have input into the design, construction or furnishings of his/her unit?</w:t>
      </w:r>
    </w:p>
    <w:p>
      <w:pPr>
        <w:pStyle w:val="zMiscellaneousHeading"/>
        <w:jc w:val="left"/>
      </w:pPr>
      <w:r>
        <w:t>Refund of deposit</w:t>
      </w:r>
    </w:p>
    <w:p>
      <w:pPr>
        <w:pStyle w:val="zMiscellaneousBody"/>
        <w:shd w:val="pct15" w:color="auto" w:fill="FFFFFF"/>
        <w:tabs>
          <w:tab w:val="left" w:pos="1137"/>
        </w:tabs>
        <w:ind w:left="1137" w:hanging="570"/>
      </w:pPr>
      <w:r>
        <w:t>25.</w:t>
      </w:r>
      <w:r>
        <w:tab/>
        <w:t>What entitlement does a resident have to a refund of deposit monies if a village (planned or under construction) is not completed?</w:t>
      </w:r>
    </w:p>
    <w:p>
      <w:pPr>
        <w:pStyle w:val="zMiscellaneousHeading"/>
        <w:jc w:val="left"/>
      </w:pPr>
      <w:r>
        <w:t>Sale of village</w:t>
      </w:r>
    </w:p>
    <w:p>
      <w:pPr>
        <w:pStyle w:val="zMiscellaneousBody"/>
        <w:shd w:val="pct15" w:color="auto" w:fill="FFFFFF"/>
        <w:tabs>
          <w:tab w:val="left" w:pos="1137"/>
        </w:tabs>
        <w:ind w:left="1137" w:hanging="570"/>
      </w:pPr>
      <w:r>
        <w:t>26.</w:t>
      </w:r>
      <w:r>
        <w:tab/>
        <w:t>What protection will the prospective resident have against a loss of rights (including accommodation rights) if the village is sold to another organisation?</w:t>
      </w:r>
    </w:p>
    <w:p>
      <w:pPr>
        <w:pStyle w:val="zMiscellaneousHeading"/>
        <w:jc w:val="left"/>
      </w:pPr>
      <w:r>
        <w:t>Restrictions on sale of unit</w:t>
      </w:r>
    </w:p>
    <w:p>
      <w:pPr>
        <w:pStyle w:val="zMiscellaneousBody"/>
        <w:shd w:val="pct15" w:color="auto" w:fill="FFFFFF"/>
        <w:tabs>
          <w:tab w:val="left" w:pos="1137"/>
        </w:tabs>
        <w:ind w:left="1137" w:hanging="570"/>
      </w:pPr>
      <w:r>
        <w:t>27.</w:t>
      </w:r>
      <w:r>
        <w:tab/>
        <w:t>Are there any restrictions on the sale of an accommodation unit (e.g. sole agency)?  What happens if there is a dispute over the sale price?</w:t>
      </w:r>
    </w:p>
    <w:p>
      <w:pPr>
        <w:pStyle w:val="zMiscellaneousHeading"/>
        <w:jc w:val="left"/>
      </w:pPr>
      <w:r>
        <w:t>Termination of contract</w:t>
      </w:r>
    </w:p>
    <w:p>
      <w:pPr>
        <w:pStyle w:val="zMiscellaneousBody"/>
        <w:keepNext/>
        <w:keepLines/>
        <w:shd w:val="pct15" w:color="auto" w:fill="FFFFFF"/>
        <w:tabs>
          <w:tab w:val="left" w:pos="1137"/>
        </w:tabs>
        <w:ind w:left="1137" w:hanging="570"/>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7"/>
        </w:tabs>
        <w:ind w:left="1137" w:hanging="570"/>
      </w:pPr>
      <w:r>
        <w:t>29.</w:t>
      </w:r>
      <w:r>
        <w:tab/>
        <w:t>What fees will be payable by a resident on termination of the residence contract?  (This must include who is responsible for regular maintenance and other charges during a period of vacancy.)</w:t>
      </w:r>
    </w:p>
    <w:p>
      <w:pPr>
        <w:pStyle w:val="zMiscellaneousHeading"/>
        <w:jc w:val="left"/>
      </w:pPr>
      <w:r>
        <w:t>Refund entitlement</w:t>
      </w:r>
    </w:p>
    <w:p>
      <w:pPr>
        <w:pStyle w:val="zMiscellaneousBody"/>
        <w:keepNext/>
        <w:keepLines/>
        <w:shd w:val="pct15" w:color="auto" w:fill="FFFFFF"/>
        <w:tabs>
          <w:tab w:val="left" w:pos="1137"/>
        </w:tabs>
        <w:ind w:left="1137" w:hanging="570"/>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keepNext/>
        <w:keepLines/>
        <w:shd w:val="pct15" w:color="auto" w:fill="FFFFFF"/>
        <w:tabs>
          <w:tab w:val="left" w:pos="1137"/>
        </w:tabs>
        <w:ind w:left="1137" w:hanging="570"/>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outlineLvl w:val="9"/>
      </w:pPr>
      <w:bookmarkStart w:id="97" w:name="_Toc378248354"/>
      <w:bookmarkStart w:id="98" w:name="_Toc426984382"/>
      <w:bookmarkStart w:id="99" w:name="_Toc435100506"/>
      <w:r>
        <w:rPr>
          <w:rStyle w:val="CharPartText"/>
        </w:rPr>
        <w:t xml:space="preserve">Appendix 2 — </w:t>
      </w:r>
      <w:r>
        <w:t>Checklist for prospective resident</w:t>
      </w:r>
      <w:bookmarkEnd w:id="97"/>
      <w:bookmarkEnd w:id="98"/>
      <w:bookmarkEnd w:id="99"/>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6.</w:t>
      </w:r>
      <w:r>
        <w:tab/>
        <w:t>Will the village and my unit be readily accessible if I become disabled and need a wheelchair or walking aid?  What alternatives do I have if I am no longer able to live alone?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7.</w:t>
      </w:r>
      <w:r>
        <w:tab/>
        <w:t>Does the village provide personal care or nursing care, an emergency call system and other facilities specially designed for the elderly?  Do these meet my present and likely future needs?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12.</w:t>
      </w:r>
      <w:r>
        <w:tab/>
        <w:t xml:space="preserve">Before I sign the contract, have I received and considered all the information required to be given to me under the </w:t>
      </w:r>
      <w:r>
        <w:rPr>
          <w:i/>
        </w:rPr>
        <w:t>Interim Code of Fair Practice for Retirement Villages 2001</w:t>
      </w:r>
      <w:r>
        <w:t xml:space="preserve"> and the </w:t>
      </w:r>
      <w:r>
        <w:rPr>
          <w:i/>
        </w:rPr>
        <w:t>Retirement Villages Act 1992</w:t>
      </w:r>
      <w: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1" w:name="_Toc378248355"/>
      <w:bookmarkStart w:id="102" w:name="_Toc426984383"/>
      <w:bookmarkStart w:id="103" w:name="_Toc435100507"/>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2001</w:t>
      </w:r>
      <w:r>
        <w:rPr>
          <w:snapToGrid w:val="0"/>
        </w:rPr>
        <w:t xml:space="preserve"> and includes the amendments made by the other written laws referred to in the following table.</w:t>
      </w:r>
    </w:p>
    <w:p>
      <w:pPr>
        <w:pStyle w:val="nHeading3"/>
      </w:pPr>
      <w:bookmarkStart w:id="104" w:name="_Toc378248356"/>
      <w:bookmarkStart w:id="105" w:name="_Toc435100508"/>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Regulations 2001</w:t>
            </w:r>
          </w:p>
        </w:tc>
        <w:tc>
          <w:tcPr>
            <w:tcW w:w="1276" w:type="dxa"/>
            <w:tcBorders>
              <w:top w:val="single" w:sz="8" w:space="0" w:color="auto"/>
            </w:tcBorders>
          </w:tcPr>
          <w:p>
            <w:pPr>
              <w:pStyle w:val="nTable"/>
            </w:pPr>
            <w:r>
              <w:t>25 Sep 2001 p. 5241-79</w:t>
            </w:r>
          </w:p>
        </w:tc>
        <w:tc>
          <w:tcPr>
            <w:tcW w:w="2693" w:type="dxa"/>
            <w:tcBorders>
              <w:top w:val="single" w:sz="8" w:space="0" w:color="auto"/>
            </w:tcBorders>
          </w:tcPr>
          <w:p>
            <w:pPr>
              <w:pStyle w:val="nTable"/>
            </w:pPr>
            <w:r>
              <w:t>1 Oct 2001 (see r. 2)</w:t>
            </w:r>
          </w:p>
        </w:tc>
      </w:tr>
      <w:tr>
        <w:trPr>
          <w:cantSplit/>
        </w:trPr>
        <w:tc>
          <w:tcPr>
            <w:tcW w:w="7088" w:type="dxa"/>
            <w:gridSpan w:val="3"/>
            <w:tcBorders>
              <w:bottom w:val="single" w:sz="8" w:space="0" w:color="auto"/>
            </w:tcBorders>
          </w:tcPr>
          <w:p>
            <w:pPr>
              <w:pStyle w:val="nTable"/>
              <w:rPr>
                <w:b/>
                <w:bCs/>
                <w:color w:val="FF0000"/>
              </w:rPr>
            </w:pPr>
            <w:r>
              <w:rPr>
                <w:b/>
                <w:bCs/>
                <w:color w:val="FF0000"/>
              </w:rPr>
              <w:t>These regulations expired on 31 Mar 2002 (see r. 4 of these regulations)</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605F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DCFC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1C35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CE94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CCCC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38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441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F6A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E68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813C70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21C1BD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9"/>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030"/>
    <w:docVar w:name="WAFER_20140123132845" w:val="RemoveTocBookmarks,RemoveUnusedBookmarks,RemoveLanguageTags,UsedStyles,ResetPageSize,UpdateArrangement"/>
    <w:docVar w:name="WAFER_20140123132845_GUID" w:val="4ef81e79-9b21-41b3-b619-ac0599651ba1"/>
    <w:docVar w:name="WAFER_20140123134344" w:val="RemoveTocBookmarks,RunningHeaders"/>
    <w:docVar w:name="WAFER_20140123134344_GUID" w:val="d3dd63eb-f59a-4b2c-ba22-1109ab7052f2"/>
    <w:docVar w:name="WAFER_20150914121220" w:val="ResetPageSize,UpdateArrangement,UpdateNTable"/>
    <w:docVar w:name="WAFER_20150914121220_GUID" w:val="d661808d-9b1d-486c-b798-0b0aa7cc18cb"/>
    <w:docVar w:name="WAFER_20151112111030" w:val="UpdateStyles,UsedStyles"/>
    <w:docVar w:name="WAFER_20151112111030_GUID" w:val="39d09e21-d562-41ee-b3b7-7ee2d3edd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8082</Words>
  <Characters>42190</Characters>
  <Application>Microsoft Office Word</Application>
  <DocSecurity>0</DocSecurity>
  <Lines>1081</Lines>
  <Paragraphs>512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2001 - 00-b0-07</dc:title>
  <dc:subject/>
  <dc:creator/>
  <cp:keywords/>
  <dc:description/>
  <cp:lastModifiedBy>svcMRProcess</cp:lastModifiedBy>
  <cp:revision>4</cp:revision>
  <cp:lastPrinted>2006-04-19T00:50:00Z</cp:lastPrinted>
  <dcterms:created xsi:type="dcterms:W3CDTF">2018-09-11T14:46:00Z</dcterms:created>
  <dcterms:modified xsi:type="dcterms:W3CDTF">2018-09-11T14:47:00Z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2001 p. 5241-79</vt:lpwstr>
  </property>
  <property fmtid="{D5CDD505-2E9C-101B-9397-08002B2CF9AE}" pid="3" name="CommencementDate">
    <vt:lpwstr>20020331</vt:lpwstr>
  </property>
  <property fmtid="{D5CDD505-2E9C-101B-9397-08002B2CF9AE}" pid="4" name="DocumentType">
    <vt:lpwstr>Reg</vt:lpwstr>
  </property>
  <property fmtid="{D5CDD505-2E9C-101B-9397-08002B2CF9AE}" pid="5" name="AsAtDate">
    <vt:lpwstr>31 Mar 2002</vt:lpwstr>
  </property>
  <property fmtid="{D5CDD505-2E9C-101B-9397-08002B2CF9AE}" pid="6" name="Suffix">
    <vt:lpwstr>00-b0-07</vt:lpwstr>
  </property>
  <property fmtid="{D5CDD505-2E9C-101B-9397-08002B2CF9AE}" pid="7" name="Status">
    <vt:lpwstr>NIF</vt:lpwstr>
  </property>
</Properties>
</file>