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Areas Water Supply Act 1947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Areas Water Supply By-laws 1957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1 — Preliminary</w:t>
      </w:r>
    </w:p>
    <w:p>
      <w:pPr>
        <w:pStyle w:val="TOC8"/>
        <w:rPr>
          <w:rFonts w:asciiTheme="minorHAnsi" w:eastAsiaTheme="minorEastAsia" w:hAnsiTheme="minorHAnsi" w:cstheme="minorBidi"/>
          <w:szCs w:val="22"/>
        </w:rPr>
      </w:pPr>
      <w:r>
        <w:t>1</w:t>
      </w:r>
      <w:r>
        <w:rPr>
          <w:snapToGrid w:val="0"/>
        </w:rPr>
        <w:t>.</w:t>
      </w:r>
      <w:r>
        <w:rPr>
          <w:snapToGrid w:val="0"/>
        </w:rPr>
        <w:tab/>
        <w:t>Citation, commencement and application</w:t>
      </w:r>
      <w:r>
        <w:tab/>
      </w:r>
      <w:r>
        <w:fldChar w:fldCharType="begin"/>
      </w:r>
      <w:r>
        <w:instrText xml:space="preserve"> PAGEREF _Toc483476819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_Toc483476820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Prevention of pollution in water reserves and catchment areas</w:t>
      </w:r>
    </w:p>
    <w:p>
      <w:pPr>
        <w:pStyle w:val="TOC8"/>
        <w:rPr>
          <w:rFonts w:asciiTheme="minorHAnsi" w:eastAsiaTheme="minorEastAsia" w:hAnsiTheme="minorHAnsi" w:cstheme="minorBidi"/>
          <w:szCs w:val="22"/>
        </w:rPr>
      </w:pPr>
      <w:r>
        <w:t>2</w:t>
      </w:r>
      <w:r>
        <w:rPr>
          <w:snapToGrid w:val="0"/>
        </w:rPr>
        <w:t>.</w:t>
      </w:r>
      <w:r>
        <w:rPr>
          <w:snapToGrid w:val="0"/>
        </w:rPr>
        <w:tab/>
        <w:t>Application of Division</w:t>
      </w:r>
      <w:r>
        <w:tab/>
      </w:r>
      <w:r>
        <w:fldChar w:fldCharType="begin"/>
      </w:r>
      <w:r>
        <w:instrText xml:space="preserve"> PAGEREF _Toc483476822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Cesspools to be filled in on notice from CEO</w:t>
      </w:r>
      <w:r>
        <w:tab/>
      </w:r>
      <w:r>
        <w:fldChar w:fldCharType="begin"/>
      </w:r>
      <w:r>
        <w:instrText xml:space="preserve"> PAGEREF _Toc483476823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Closets, situation of, removal</w:t>
      </w:r>
      <w:r>
        <w:tab/>
      </w:r>
      <w:r>
        <w:fldChar w:fldCharType="begin"/>
      </w:r>
      <w:r>
        <w:instrText xml:space="preserve"> PAGEREF _Toc483476824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Houses to have approved sanitary conveniences</w:t>
      </w:r>
      <w:r>
        <w:tab/>
      </w:r>
      <w:r>
        <w:fldChar w:fldCharType="begin"/>
      </w:r>
      <w:r>
        <w:instrText xml:space="preserve"> PAGEREF _Toc483476825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Earth closets and privies, construction of</w:t>
      </w:r>
      <w:r>
        <w:tab/>
      </w:r>
      <w:r>
        <w:fldChar w:fldCharType="begin"/>
      </w:r>
      <w:r>
        <w:instrText xml:space="preserve"> PAGEREF _Toc483476826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Sanitary conveniences, number required in houses and other places</w:t>
      </w:r>
      <w:r>
        <w:tab/>
      </w:r>
      <w:r>
        <w:fldChar w:fldCharType="begin"/>
      </w:r>
      <w:r>
        <w:instrText xml:space="preserve"> PAGEREF _Toc483476827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Sanitary conveniences to be kept clean</w:t>
      </w:r>
      <w:r>
        <w:tab/>
      </w:r>
      <w:r>
        <w:fldChar w:fldCharType="begin"/>
      </w:r>
      <w:r>
        <w:instrText xml:space="preserve"> PAGEREF _Toc483476828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Closets and urinals to be replaced</w:t>
      </w:r>
      <w:r>
        <w:tab/>
      </w:r>
      <w:r>
        <w:fldChar w:fldCharType="begin"/>
      </w:r>
      <w:r>
        <w:instrText xml:space="preserve"> PAGEREF _Toc483476829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Closets not to cause nuisances</w:t>
      </w:r>
      <w:r>
        <w:tab/>
      </w:r>
      <w:r>
        <w:fldChar w:fldCharType="begin"/>
      </w:r>
      <w:r>
        <w:instrText xml:space="preserve"> PAGEREF _Toc483476830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Nightsoil etc., disposal of</w:t>
      </w:r>
      <w:r>
        <w:tab/>
      </w:r>
      <w:r>
        <w:fldChar w:fldCharType="begin"/>
      </w:r>
      <w:r>
        <w:instrText xml:space="preserve"> PAGEREF _Toc483476831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Manure etc., disposal of near water</w:t>
      </w:r>
      <w:r>
        <w:tab/>
      </w:r>
      <w:r>
        <w:fldChar w:fldCharType="begin"/>
      </w:r>
      <w:r>
        <w:instrText xml:space="preserve"> PAGEREF _Toc483476832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Fertiliser and poisons, use of</w:t>
      </w:r>
      <w:r>
        <w:tab/>
      </w:r>
      <w:r>
        <w:fldChar w:fldCharType="begin"/>
      </w:r>
      <w:r>
        <w:instrText xml:space="preserve"> PAGEREF _Toc483476833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Stables etc., construction of near water</w:t>
      </w:r>
      <w:r>
        <w:tab/>
      </w:r>
      <w:r>
        <w:fldChar w:fldCharType="begin"/>
      </w:r>
      <w:r>
        <w:instrText xml:space="preserve"> PAGEREF _Toc483476834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Stables etc. to be kept clean</w:t>
      </w:r>
      <w:r>
        <w:tab/>
      </w:r>
      <w:r>
        <w:fldChar w:fldCharType="begin"/>
      </w:r>
      <w:r>
        <w:instrText xml:space="preserve"> PAGEREF _Toc483476835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Closets to be disinfected</w:t>
      </w:r>
      <w:r>
        <w:tab/>
      </w:r>
      <w:r>
        <w:fldChar w:fldCharType="begin"/>
      </w:r>
      <w:r>
        <w:instrText xml:space="preserve"> PAGEREF _Toc483476836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Nightsoil to be treated</w:t>
      </w:r>
      <w:r>
        <w:tab/>
      </w:r>
      <w:r>
        <w:fldChar w:fldCharType="begin"/>
      </w:r>
      <w:r>
        <w:instrText xml:space="preserve"> PAGEREF _Toc483476837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Closet pans, procedure for removing and cleaning</w:t>
      </w:r>
      <w:r>
        <w:tab/>
      </w:r>
      <w:r>
        <w:fldChar w:fldCharType="begin"/>
      </w:r>
      <w:r>
        <w:instrText xml:space="preserve"> PAGEREF _Toc483476838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Nightsoil, charges for removal of</w:t>
      </w:r>
      <w:r>
        <w:tab/>
      </w:r>
      <w:r>
        <w:fldChar w:fldCharType="begin"/>
      </w:r>
      <w:r>
        <w:instrText xml:space="preserve"> PAGEREF _Toc483476839 \h </w:instrText>
      </w:r>
      <w:r>
        <w:fldChar w:fldCharType="separate"/>
      </w:r>
      <w:r>
        <w:t>11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Pigs, keeping of</w:t>
      </w:r>
      <w:r>
        <w:tab/>
      </w:r>
      <w:r>
        <w:fldChar w:fldCharType="begin"/>
      </w:r>
      <w:r>
        <w:instrText xml:space="preserve"> PAGEREF _Toc483476840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Animals not to be allowed to stray over certain catchment areas</w:t>
      </w:r>
      <w:r>
        <w:tab/>
      </w:r>
      <w:r>
        <w:fldChar w:fldCharType="begin"/>
      </w:r>
      <w:r>
        <w:instrText xml:space="preserve"> PAGEREF _Toc483476841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Abattoirs etc., establishment of</w:t>
      </w:r>
      <w:r>
        <w:tab/>
      </w:r>
      <w:r>
        <w:fldChar w:fldCharType="begin"/>
      </w:r>
      <w:r>
        <w:instrText xml:space="preserve"> PAGEREF _Toc483476842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Carcasses to be removed from near water</w:t>
      </w:r>
      <w:r>
        <w:tab/>
      </w:r>
      <w:r>
        <w:fldChar w:fldCharType="begin"/>
      </w:r>
      <w:r>
        <w:instrText xml:space="preserve"> PAGEREF _Toc483476843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Human burials to be in approved places</w:t>
      </w:r>
      <w:r>
        <w:tab/>
      </w:r>
      <w:r>
        <w:fldChar w:fldCharType="begin"/>
      </w:r>
      <w:r>
        <w:instrText xml:space="preserve"> PAGEREF _Toc483476844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Household refuse, receptacles for</w:t>
      </w:r>
      <w:r>
        <w:tab/>
      </w:r>
      <w:r>
        <w:fldChar w:fldCharType="begin"/>
      </w:r>
      <w:r>
        <w:instrText xml:space="preserve"> PAGEREF _Toc483476845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Household refuse, disposal of</w:t>
      </w:r>
      <w:r>
        <w:tab/>
      </w:r>
      <w:r>
        <w:fldChar w:fldCharType="begin"/>
      </w:r>
      <w:r>
        <w:instrText xml:space="preserve"> PAGEREF _Toc483476846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Refuse etc. not to be deposited in catchment area</w:t>
      </w:r>
      <w:r>
        <w:tab/>
      </w:r>
      <w:r>
        <w:fldChar w:fldCharType="begin"/>
      </w:r>
      <w:r>
        <w:instrText xml:space="preserve"> PAGEREF _Toc483476847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Refuse bins etc., position and cleaning of</w:t>
      </w:r>
      <w:r>
        <w:tab/>
      </w:r>
      <w:r>
        <w:fldChar w:fldCharType="begin"/>
      </w:r>
      <w:r>
        <w:instrText xml:space="preserve"> PAGEREF _Toc483476848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Refuse etc. to be deposited only at approved sites</w:t>
      </w:r>
      <w:r>
        <w:tab/>
      </w:r>
      <w:r>
        <w:fldChar w:fldCharType="begin"/>
      </w:r>
      <w:r>
        <w:instrText xml:space="preserve"> PAGEREF _Toc483476849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Industrial wastes, discharge of</w:t>
      </w:r>
      <w:r>
        <w:tab/>
      </w:r>
      <w:r>
        <w:fldChar w:fldCharType="begin"/>
      </w:r>
      <w:r>
        <w:instrText xml:space="preserve"> PAGEREF _Toc483476850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Polluting activities prohibited</w:t>
      </w:r>
      <w:r>
        <w:tab/>
      </w:r>
      <w:r>
        <w:fldChar w:fldCharType="begin"/>
      </w:r>
      <w:r>
        <w:instrText xml:space="preserve"> PAGEREF _Toc483476851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Bathing prohibited except in approved places</w:t>
      </w:r>
      <w:r>
        <w:tab/>
      </w:r>
      <w:r>
        <w:fldChar w:fldCharType="begin"/>
      </w:r>
      <w:r>
        <w:instrText xml:space="preserve"> PAGEREF _Toc483476852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entry</w:t>
      </w:r>
      <w:r>
        <w:tab/>
      </w:r>
      <w:r>
        <w:fldChar w:fldCharType="begin"/>
      </w:r>
      <w:r>
        <w:instrText xml:space="preserve"> PAGEREF _Toc483476853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_Toc483476854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Timber cutting and clearing without permission</w:t>
      </w:r>
      <w:r>
        <w:tab/>
      </w:r>
      <w:r>
        <w:fldChar w:fldCharType="begin"/>
      </w:r>
      <w:r>
        <w:instrText xml:space="preserve"> PAGEREF _Toc483476855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_Toc483476856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Camping and picnicking restricted</w:t>
      </w:r>
      <w:r>
        <w:tab/>
      </w:r>
      <w:r>
        <w:fldChar w:fldCharType="begin"/>
      </w:r>
      <w:r>
        <w:instrText xml:space="preserve"> PAGEREF _Toc483476857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Protection of water supplies and Minister and Corporation property</w:t>
      </w:r>
    </w:p>
    <w:p>
      <w:pPr>
        <w:pStyle w:val="TOC8"/>
        <w:rPr>
          <w:rFonts w:asciiTheme="minorHAnsi" w:eastAsiaTheme="minorEastAsia" w:hAnsiTheme="minorHAnsi" w:cstheme="minorBidi"/>
          <w:szCs w:val="22"/>
        </w:rPr>
      </w:pPr>
      <w:r>
        <w:t>40</w:t>
      </w:r>
      <w:r>
        <w:rPr>
          <w:snapToGrid w:val="0"/>
        </w:rPr>
        <w:t>.</w:t>
      </w:r>
      <w:r>
        <w:rPr>
          <w:snapToGrid w:val="0"/>
        </w:rPr>
        <w:tab/>
        <w:t>Flora protected</w:t>
      </w:r>
      <w:r>
        <w:tab/>
      </w:r>
      <w:r>
        <w:fldChar w:fldCharType="begin"/>
      </w:r>
      <w:r>
        <w:instrText xml:space="preserve"> PAGEREF _Toc483476859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rPr>
          <w:snapToGrid w:val="0"/>
        </w:rPr>
        <w:t>.</w:t>
      </w:r>
      <w:r>
        <w:rPr>
          <w:snapToGrid w:val="0"/>
        </w:rPr>
        <w:tab/>
        <w:t>Penalties</w:t>
      </w:r>
      <w:r>
        <w:tab/>
      </w:r>
      <w:r>
        <w:fldChar w:fldCharType="begin"/>
      </w:r>
      <w:r>
        <w:instrText xml:space="preserve"> PAGEREF _Toc483476861 \h </w:instrText>
      </w:r>
      <w:r>
        <w:fldChar w:fldCharType="separate"/>
      </w:r>
      <w:r>
        <w:t>20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Description of South West Settlement Area</w:t>
      </w:r>
    </w:p>
    <w:p>
      <w:pPr>
        <w:pStyle w:val="TOC2"/>
        <w:keepNext w:val="0"/>
        <w:tabs>
          <w:tab w:val="right" w:leader="dot" w:pos="7077"/>
        </w:tabs>
        <w:rPr>
          <w:rFonts w:asciiTheme="minorHAnsi" w:eastAsiaTheme="minorEastAsia" w:hAnsiTheme="minorHAnsi" w:cstheme="minorBidi"/>
          <w:b w:val="0"/>
          <w:sz w:val="22"/>
          <w:szCs w:val="22"/>
        </w:rPr>
      </w:pPr>
      <w:r>
        <w:t>Schedule 2 — Map of South West Settlement Area</w:t>
      </w:r>
    </w:p>
    <w:p>
      <w:pPr>
        <w:pStyle w:val="TOC2"/>
        <w:keepNext w:val="0"/>
        <w:tabs>
          <w:tab w:val="right" w:leader="dot" w:pos="7077"/>
        </w:tabs>
        <w:rPr>
          <w:rFonts w:asciiTheme="minorHAnsi" w:eastAsiaTheme="minorEastAsia" w:hAnsiTheme="minorHAnsi" w:cstheme="minorBidi"/>
          <w:b w:val="0"/>
          <w:sz w:val="22"/>
          <w:szCs w:val="22"/>
        </w:rPr>
      </w:pPr>
      <w:r>
        <w:t>Schedule 4 — Mungalup Dam Catchment</w:t>
      </w:r>
    </w:p>
    <w:p>
      <w:pPr>
        <w:pStyle w:val="TOC4"/>
        <w:keepNext w:val="0"/>
        <w:tabs>
          <w:tab w:val="right" w:leader="dot" w:pos="7077"/>
        </w:tabs>
        <w:rPr>
          <w:rFonts w:asciiTheme="minorHAnsi" w:eastAsiaTheme="minorEastAsia" w:hAnsiTheme="minorHAnsi" w:cstheme="minorBidi"/>
          <w:b w:val="0"/>
          <w:szCs w:val="22"/>
        </w:rPr>
      </w:pPr>
      <w:r>
        <w:t>Map of Wellington Dam Catchment Area showing Mungalup Dam Catchment</w:t>
      </w:r>
    </w:p>
    <w:p>
      <w:pPr>
        <w:pStyle w:val="TOC4"/>
        <w:keepNext w:val="0"/>
        <w:tabs>
          <w:tab w:val="right" w:leader="dot" w:pos="7077"/>
        </w:tabs>
        <w:rPr>
          <w:rFonts w:asciiTheme="minorHAnsi" w:eastAsiaTheme="minorEastAsia" w:hAnsiTheme="minorHAnsi" w:cstheme="minorBidi"/>
          <w:b w:val="0"/>
          <w:szCs w:val="22"/>
        </w:rPr>
      </w:pPr>
      <w:r>
        <w:t>Map of Mungalup Dam Catchment</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_Toc483476868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2017</w:t>
            </w:r>
          </w:p>
        </w:tc>
      </w:tr>
    </w:tbl>
    <w:p>
      <w:pPr>
        <w:pStyle w:val="WA"/>
        <w:spacing w:before="12"/>
      </w:pPr>
      <w:r>
        <w:t>Western Australia</w:t>
      </w:r>
    </w:p>
    <w:p>
      <w:pPr>
        <w:pStyle w:val="PrincipalActReg"/>
        <w:rPr>
          <w:vertAlign w:val="superscript"/>
        </w:rPr>
      </w:pPr>
      <w:r>
        <w:t>Country Areas Water Supply Act 1947 </w:t>
      </w:r>
      <w:r>
        <w:rPr>
          <w:vertAlign w:val="superscript"/>
        </w:rPr>
        <w:t>2</w:t>
      </w:r>
    </w:p>
    <w:p>
      <w:pPr>
        <w:pStyle w:val="NameofActReg"/>
        <w:spacing w:after="800"/>
      </w:pPr>
      <w:r>
        <w:t>Country Areas Water Supply By</w:t>
      </w:r>
      <w:r>
        <w:noBreakHyphen/>
        <w:t>laws 1957</w:t>
      </w:r>
    </w:p>
    <w:p>
      <w:pPr>
        <w:pStyle w:val="Heading3"/>
        <w:spacing w:before="120"/>
      </w:pPr>
      <w:bookmarkStart w:id="3" w:name="_Toc478720738"/>
      <w:bookmarkStart w:id="4" w:name="_Toc483215298"/>
      <w:bookmarkStart w:id="5" w:name="_Toc483383649"/>
      <w:bookmarkStart w:id="6" w:name="_Toc483476818"/>
      <w:r>
        <w:rPr>
          <w:rStyle w:val="CharPartNo"/>
        </w:rPr>
        <w:t>Division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Gazette 29 May 2001 p. 2707.]</w:t>
      </w:r>
    </w:p>
    <w:p>
      <w:pPr>
        <w:pStyle w:val="Heading5"/>
        <w:rPr>
          <w:snapToGrid w:val="0"/>
        </w:rPr>
      </w:pPr>
      <w:bookmarkStart w:id="7" w:name="_Toc483476819"/>
      <w:r>
        <w:rPr>
          <w:rStyle w:val="CharSectno"/>
        </w:rPr>
        <w:t>1</w:t>
      </w:r>
      <w:r>
        <w:rPr>
          <w:snapToGrid w:val="0"/>
        </w:rPr>
        <w:t>.</w:t>
      </w:r>
      <w:r>
        <w:rPr>
          <w:snapToGrid w:val="0"/>
        </w:rPr>
        <w:tab/>
        <w:t>Citation, commencement and application</w:t>
      </w:r>
      <w:bookmarkEnd w:id="7"/>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Gazette 11 Nov 1983 p. 4525; 14 Nov 2013 p. 5033; 15 Nov 2013 p. 5267-8; 8 May 2015 p. 1622.]</w:t>
      </w:r>
    </w:p>
    <w:p>
      <w:pPr>
        <w:pStyle w:val="Heading5"/>
        <w:rPr>
          <w:snapToGrid w:val="0"/>
        </w:rPr>
      </w:pPr>
      <w:bookmarkStart w:id="8" w:name="_Toc483476820"/>
      <w:r>
        <w:rPr>
          <w:rStyle w:val="CharSectno"/>
        </w:rPr>
        <w:t>1A</w:t>
      </w:r>
      <w:r>
        <w:rPr>
          <w:snapToGrid w:val="0"/>
        </w:rPr>
        <w:t>.</w:t>
      </w:r>
      <w:r>
        <w:rPr>
          <w:snapToGrid w:val="0"/>
        </w:rPr>
        <w:tab/>
        <w:t>Terms used</w:t>
      </w:r>
      <w:bookmarkEnd w:id="8"/>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tab/>
      </w:r>
      <w:r>
        <w:rPr>
          <w:rStyle w:val="CharDefText"/>
        </w:rPr>
        <w:t>Aboriginal customary purpose</w:t>
      </w:r>
      <w:r>
        <w:t xml:space="preserve"> means —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Indent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tab/>
      </w:r>
      <w:r>
        <w:rPr>
          <w:rStyle w:val="CharDefText"/>
        </w:rPr>
        <w:t>Noongar people</w:t>
      </w:r>
      <w:r>
        <w:t xml:space="preserve"> means the traditional owners of the lands in the South West Settlement Area;</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tab/>
      </w:r>
      <w:r>
        <w:rPr>
          <w:rStyle w:val="CharDefText"/>
        </w:rPr>
        <w:t>South West Settlement Area</w:t>
      </w:r>
      <w:r>
        <w:t xml:space="preserve"> means the area of lands described in Schedule 1 and shown, for information purposes, on the map in Schedule 2;</w:t>
      </w:r>
    </w:p>
    <w:p>
      <w:pPr>
        <w:pStyle w:val="Defstart"/>
      </w:pPr>
      <w:r>
        <w:tab/>
      </w:r>
      <w:r>
        <w:rPr>
          <w:rStyle w:val="CharDefText"/>
        </w:rPr>
        <w:t>special provision catchment area</w:t>
      </w:r>
      <w:r>
        <w:t xml:space="preserve"> means a catchment area within the South West Settlement Area.</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(Miscellaneous Provisions) Act 1911</w:t>
      </w:r>
      <w:r>
        <w:t>.</w:t>
      </w:r>
    </w:p>
    <w:p>
      <w:pPr>
        <w:pStyle w:val="Footnotesection"/>
      </w:pPr>
      <w:r>
        <w:tab/>
        <w:t>[By</w:t>
      </w:r>
      <w:r>
        <w:noBreakHyphen/>
        <w:t>law 1A amended: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 7 Jun 2016 p. 1777</w:t>
      </w:r>
      <w:r>
        <w:noBreakHyphen/>
        <w:t>8; 10 Jan 2017 p. 234.]</w:t>
      </w:r>
    </w:p>
    <w:p>
      <w:pPr>
        <w:pStyle w:val="Heading3"/>
      </w:pPr>
      <w:bookmarkStart w:id="9" w:name="_Toc478720741"/>
      <w:bookmarkStart w:id="10" w:name="_Toc483215301"/>
      <w:bookmarkStart w:id="11" w:name="_Toc483383652"/>
      <w:bookmarkStart w:id="12" w:name="_Toc48347682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9"/>
      <w:bookmarkEnd w:id="10"/>
      <w:bookmarkEnd w:id="11"/>
      <w:bookmarkEnd w:id="12"/>
    </w:p>
    <w:p>
      <w:pPr>
        <w:pStyle w:val="Footnoteheading"/>
        <w:keepNext/>
        <w:keepLines/>
        <w:spacing w:before="100"/>
      </w:pPr>
      <w:r>
        <w:tab/>
        <w:t>[Heading inserted: Gazette 29 May 2001 p. 2707.]</w:t>
      </w:r>
    </w:p>
    <w:p>
      <w:pPr>
        <w:pStyle w:val="Heading5"/>
        <w:rPr>
          <w:snapToGrid w:val="0"/>
        </w:rPr>
      </w:pPr>
      <w:bookmarkStart w:id="13" w:name="_Toc483476822"/>
      <w:r>
        <w:rPr>
          <w:rStyle w:val="CharSectno"/>
        </w:rPr>
        <w:t>2</w:t>
      </w:r>
      <w:r>
        <w:rPr>
          <w:snapToGrid w:val="0"/>
        </w:rPr>
        <w:t>.</w:t>
      </w:r>
      <w:r>
        <w:rPr>
          <w:snapToGrid w:val="0"/>
        </w:rPr>
        <w:tab/>
        <w:t>Application of Division</w:t>
      </w:r>
      <w:bookmarkEnd w:id="13"/>
    </w:p>
    <w:p>
      <w:pPr>
        <w:pStyle w:val="Subsection"/>
        <w:spacing w:before="100"/>
        <w:rPr>
          <w:snapToGrid w:val="0"/>
        </w:rPr>
      </w:pPr>
      <w:r>
        <w:rPr>
          <w:snapToGrid w:val="0"/>
        </w:rPr>
        <w:tab/>
      </w:r>
      <w:r>
        <w:rPr>
          <w:snapToGrid w:val="0"/>
        </w:rPr>
        <w:tab/>
        <w:t>Subject</w:t>
      </w:r>
      <w:r>
        <w:t xml:space="preserve">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Gazette 15 Nov 2013 p. 5268.]</w:t>
      </w:r>
    </w:p>
    <w:p>
      <w:pPr>
        <w:pStyle w:val="Heading5"/>
        <w:rPr>
          <w:snapToGrid w:val="0"/>
        </w:rPr>
      </w:pPr>
      <w:bookmarkStart w:id="14" w:name="_Toc483476823"/>
      <w:r>
        <w:rPr>
          <w:rStyle w:val="CharSectno"/>
        </w:rPr>
        <w:t>3</w:t>
      </w:r>
      <w:r>
        <w:rPr>
          <w:snapToGrid w:val="0"/>
        </w:rPr>
        <w:t>.</w:t>
      </w:r>
      <w:r>
        <w:rPr>
          <w:snapToGrid w:val="0"/>
        </w:rPr>
        <w:tab/>
        <w:t>Cesspools to be filled in on notice from CEO</w:t>
      </w:r>
      <w:bookmarkEnd w:id="14"/>
    </w:p>
    <w:p>
      <w:pPr>
        <w:pStyle w:val="Subsection"/>
        <w:spacing w:before="100"/>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Gazette 29 Dec 1995 p. 6309; 21 Apr 2011 p. 1472.]</w:t>
      </w:r>
    </w:p>
    <w:p>
      <w:pPr>
        <w:pStyle w:val="Heading5"/>
        <w:spacing w:before="180"/>
        <w:rPr>
          <w:snapToGrid w:val="0"/>
        </w:rPr>
      </w:pPr>
      <w:bookmarkStart w:id="15" w:name="_Toc483476824"/>
      <w:r>
        <w:rPr>
          <w:rStyle w:val="CharSectno"/>
        </w:rPr>
        <w:t>4</w:t>
      </w:r>
      <w:r>
        <w:rPr>
          <w:snapToGrid w:val="0"/>
        </w:rPr>
        <w:t>.</w:t>
      </w:r>
      <w:r>
        <w:rPr>
          <w:snapToGrid w:val="0"/>
        </w:rPr>
        <w:tab/>
        <w:t>Closets, situation of, removal</w:t>
      </w:r>
      <w:bookmarkEnd w:id="15"/>
    </w:p>
    <w:p>
      <w:pPr>
        <w:pStyle w:val="Subsection"/>
        <w:spacing w:before="10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Gazette 29 Dec 1995 p. 6309; 29 May 2001 p. 2706; 21 Apr 2011 p. 1472.]</w:t>
      </w:r>
    </w:p>
    <w:p>
      <w:pPr>
        <w:pStyle w:val="Heading5"/>
        <w:spacing w:before="180"/>
        <w:rPr>
          <w:snapToGrid w:val="0"/>
        </w:rPr>
      </w:pPr>
      <w:bookmarkStart w:id="16" w:name="_Toc483476825"/>
      <w:r>
        <w:rPr>
          <w:rStyle w:val="CharSectno"/>
        </w:rPr>
        <w:t>5</w:t>
      </w:r>
      <w:r>
        <w:rPr>
          <w:snapToGrid w:val="0"/>
        </w:rPr>
        <w:t>.</w:t>
      </w:r>
      <w:r>
        <w:rPr>
          <w:snapToGrid w:val="0"/>
        </w:rPr>
        <w:tab/>
        <w:t>Houses to have approved sanitary conveniences</w:t>
      </w:r>
      <w:bookmarkEnd w:id="16"/>
    </w:p>
    <w:p>
      <w:pPr>
        <w:pStyle w:val="Subsection"/>
        <w:keepNext/>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Gazette 27 Jul 1990 p. 3617; 29 Dec 1995 p. 6309; 21 Apr 2011 p. 1472.]</w:t>
      </w:r>
    </w:p>
    <w:p>
      <w:pPr>
        <w:pStyle w:val="Ednotesection"/>
      </w:pPr>
      <w:r>
        <w:t>[</w:t>
      </w:r>
      <w:r>
        <w:rPr>
          <w:b/>
        </w:rPr>
        <w:t>5A.</w:t>
      </w:r>
      <w:r>
        <w:tab/>
        <w:t>Deleted: Gazette 28 Jun 2004 p. 2391.]</w:t>
      </w:r>
    </w:p>
    <w:p>
      <w:pPr>
        <w:pStyle w:val="Heading5"/>
        <w:rPr>
          <w:snapToGrid w:val="0"/>
        </w:rPr>
      </w:pPr>
      <w:bookmarkStart w:id="17" w:name="_Toc483476826"/>
      <w:r>
        <w:rPr>
          <w:rStyle w:val="CharSectno"/>
        </w:rPr>
        <w:t>6</w:t>
      </w:r>
      <w:r>
        <w:rPr>
          <w:snapToGrid w:val="0"/>
        </w:rPr>
        <w:t>.</w:t>
      </w:r>
      <w:r>
        <w:rPr>
          <w:snapToGrid w:val="0"/>
        </w:rPr>
        <w:tab/>
        <w:t>Earth closets and privies, construction of</w:t>
      </w:r>
      <w:bookmarkEnd w:id="17"/>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Gazette 29 Dec 1995 p. 6309; 29 May 2001 p. 2706</w:t>
      </w:r>
      <w:r>
        <w:noBreakHyphen/>
        <w:t>7; 21 Apr 2011 p. 1472.]</w:t>
      </w:r>
    </w:p>
    <w:p>
      <w:pPr>
        <w:pStyle w:val="Heading5"/>
        <w:rPr>
          <w:snapToGrid w:val="0"/>
        </w:rPr>
      </w:pPr>
      <w:bookmarkStart w:id="18" w:name="_Toc483476827"/>
      <w:r>
        <w:rPr>
          <w:rStyle w:val="CharSectno"/>
        </w:rPr>
        <w:t>6A</w:t>
      </w:r>
      <w:r>
        <w:rPr>
          <w:snapToGrid w:val="0"/>
        </w:rPr>
        <w:t>.</w:t>
      </w:r>
      <w:r>
        <w:rPr>
          <w:snapToGrid w:val="0"/>
        </w:rPr>
        <w:tab/>
        <w:t>Sanitary conveniences, number required in houses and other places</w:t>
      </w:r>
      <w:bookmarkEnd w:id="1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rPr>
        <w:t>Health (Miscellaneous Provisions) Act 1911</w:t>
      </w:r>
      <w:r>
        <w:t xml:space="preserve">, </w:t>
      </w:r>
      <w:r>
        <w:rPr>
          <w:snapToGrid w:val="0"/>
        </w:rPr>
        <w:t xml:space="preserve">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Footnotesection"/>
      </w:pPr>
      <w:r>
        <w:tab/>
        <w:t>[By</w:t>
      </w:r>
      <w:r>
        <w:noBreakHyphen/>
        <w:t>law 6A amended: Gazette 10 Jan 2017 p. 234.]</w:t>
      </w:r>
    </w:p>
    <w:p>
      <w:pPr>
        <w:pStyle w:val="Heading5"/>
        <w:rPr>
          <w:snapToGrid w:val="0"/>
        </w:rPr>
      </w:pPr>
      <w:bookmarkStart w:id="19" w:name="_Toc483476828"/>
      <w:r>
        <w:rPr>
          <w:rStyle w:val="CharSectno"/>
        </w:rPr>
        <w:t>6B</w:t>
      </w:r>
      <w:r>
        <w:rPr>
          <w:snapToGrid w:val="0"/>
        </w:rPr>
        <w:t>.</w:t>
      </w:r>
      <w:r>
        <w:rPr>
          <w:snapToGrid w:val="0"/>
        </w:rPr>
        <w:tab/>
        <w:t>Sanitary conveniences to be kept clean</w:t>
      </w:r>
      <w:bookmarkEnd w:id="19"/>
    </w:p>
    <w:p>
      <w:pPr>
        <w:pStyle w:val="Subsection"/>
        <w:spacing w:before="100"/>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spacing w:before="100"/>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spacing w:before="100"/>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Heading5"/>
        <w:rPr>
          <w:snapToGrid w:val="0"/>
        </w:rPr>
      </w:pPr>
      <w:bookmarkStart w:id="20" w:name="_Toc483476829"/>
      <w:r>
        <w:rPr>
          <w:rStyle w:val="CharSectno"/>
        </w:rPr>
        <w:t>7</w:t>
      </w:r>
      <w:r>
        <w:rPr>
          <w:snapToGrid w:val="0"/>
        </w:rPr>
        <w:t>.</w:t>
      </w:r>
      <w:r>
        <w:rPr>
          <w:snapToGrid w:val="0"/>
        </w:rPr>
        <w:tab/>
        <w:t>Closets and urinals to be replaced</w:t>
      </w:r>
      <w:bookmarkEnd w:id="20"/>
    </w:p>
    <w:p>
      <w:pPr>
        <w:pStyle w:val="Subsection"/>
        <w:spacing w:before="100"/>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Heading5"/>
        <w:rPr>
          <w:snapToGrid w:val="0"/>
        </w:rPr>
      </w:pPr>
      <w:bookmarkStart w:id="21" w:name="_Toc483476830"/>
      <w:r>
        <w:rPr>
          <w:rStyle w:val="CharSectno"/>
        </w:rPr>
        <w:t>8</w:t>
      </w:r>
      <w:r>
        <w:rPr>
          <w:snapToGrid w:val="0"/>
        </w:rPr>
        <w:t>.</w:t>
      </w:r>
      <w:r>
        <w:rPr>
          <w:snapToGrid w:val="0"/>
        </w:rPr>
        <w:tab/>
        <w:t>Closets not to cause nuisances</w:t>
      </w:r>
      <w:bookmarkEnd w:id="21"/>
    </w:p>
    <w:p>
      <w:pPr>
        <w:pStyle w:val="Subsection"/>
        <w:spacing w:before="100"/>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Heading5"/>
        <w:rPr>
          <w:snapToGrid w:val="0"/>
        </w:rPr>
      </w:pPr>
      <w:bookmarkStart w:id="22" w:name="_Toc483476831"/>
      <w:r>
        <w:rPr>
          <w:rStyle w:val="CharSectno"/>
        </w:rPr>
        <w:t>9</w:t>
      </w:r>
      <w:r>
        <w:rPr>
          <w:snapToGrid w:val="0"/>
        </w:rPr>
        <w:t>.</w:t>
      </w:r>
      <w:r>
        <w:rPr>
          <w:snapToGrid w:val="0"/>
        </w:rPr>
        <w:tab/>
        <w:t>Nightsoil etc., disposal of</w:t>
      </w:r>
      <w:bookmarkEnd w:id="22"/>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Gazette 29 Dec 1995 p. 6309; 29 May 2001 p. 2706; 21 Apr 2011 p. 1472.]</w:t>
      </w:r>
    </w:p>
    <w:p>
      <w:pPr>
        <w:pStyle w:val="Heading5"/>
        <w:rPr>
          <w:snapToGrid w:val="0"/>
        </w:rPr>
      </w:pPr>
      <w:bookmarkStart w:id="23" w:name="_Toc483476832"/>
      <w:r>
        <w:rPr>
          <w:rStyle w:val="CharSectno"/>
        </w:rPr>
        <w:t>10</w:t>
      </w:r>
      <w:r>
        <w:rPr>
          <w:snapToGrid w:val="0"/>
        </w:rPr>
        <w:t>.</w:t>
      </w:r>
      <w:r>
        <w:rPr>
          <w:snapToGrid w:val="0"/>
        </w:rPr>
        <w:tab/>
        <w:t>Manure etc., disposal of near water</w:t>
      </w:r>
      <w:bookmarkEnd w:id="23"/>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Gazette 29 May 2001 p. 2707.]</w:t>
      </w:r>
    </w:p>
    <w:p>
      <w:pPr>
        <w:pStyle w:val="Heading5"/>
        <w:rPr>
          <w:snapToGrid w:val="0"/>
        </w:rPr>
      </w:pPr>
      <w:bookmarkStart w:id="24" w:name="_Toc483476833"/>
      <w:r>
        <w:rPr>
          <w:rStyle w:val="CharSectno"/>
        </w:rPr>
        <w:t>11</w:t>
      </w:r>
      <w:r>
        <w:rPr>
          <w:snapToGrid w:val="0"/>
        </w:rPr>
        <w:t>.</w:t>
      </w:r>
      <w:r>
        <w:rPr>
          <w:snapToGrid w:val="0"/>
        </w:rPr>
        <w:tab/>
        <w:t>Fertiliser and poisons, use of</w:t>
      </w:r>
      <w:bookmarkEnd w:id="24"/>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Gazette 11 Dec 1959 p. 3026; 29 Dec 1995 p. 6306 and 6309; 29 May 2001 p. 2706; 21 Apr 2011 p. 1470 and 1472.]</w:t>
      </w:r>
    </w:p>
    <w:p>
      <w:pPr>
        <w:pStyle w:val="Heading5"/>
        <w:rPr>
          <w:snapToGrid w:val="0"/>
        </w:rPr>
      </w:pPr>
      <w:bookmarkStart w:id="25" w:name="_Toc483476834"/>
      <w:r>
        <w:rPr>
          <w:rStyle w:val="CharSectno"/>
        </w:rPr>
        <w:t>12</w:t>
      </w:r>
      <w:r>
        <w:rPr>
          <w:snapToGrid w:val="0"/>
        </w:rPr>
        <w:t>.</w:t>
      </w:r>
      <w:r>
        <w:rPr>
          <w:snapToGrid w:val="0"/>
        </w:rPr>
        <w:tab/>
        <w:t>Stables etc., construction of near water</w:t>
      </w:r>
      <w:bookmarkEnd w:id="25"/>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Gazette 29 May 2001 p. 2707.]</w:t>
      </w:r>
    </w:p>
    <w:p>
      <w:pPr>
        <w:pStyle w:val="Heading5"/>
        <w:rPr>
          <w:snapToGrid w:val="0"/>
        </w:rPr>
      </w:pPr>
      <w:bookmarkStart w:id="26" w:name="_Toc483476835"/>
      <w:r>
        <w:rPr>
          <w:rStyle w:val="CharSectno"/>
        </w:rPr>
        <w:t>13</w:t>
      </w:r>
      <w:r>
        <w:rPr>
          <w:snapToGrid w:val="0"/>
        </w:rPr>
        <w:t>.</w:t>
      </w:r>
      <w:r>
        <w:rPr>
          <w:snapToGrid w:val="0"/>
        </w:rPr>
        <w:tab/>
        <w:t>Stables etc. to be kept clean</w:t>
      </w:r>
      <w:bookmarkEnd w:id="2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Heading5"/>
        <w:rPr>
          <w:snapToGrid w:val="0"/>
        </w:rPr>
      </w:pPr>
      <w:bookmarkStart w:id="27" w:name="_Toc483476836"/>
      <w:r>
        <w:rPr>
          <w:rStyle w:val="CharSectno"/>
        </w:rPr>
        <w:t>14</w:t>
      </w:r>
      <w:r>
        <w:rPr>
          <w:snapToGrid w:val="0"/>
        </w:rPr>
        <w:t>.</w:t>
      </w:r>
      <w:r>
        <w:rPr>
          <w:snapToGrid w:val="0"/>
        </w:rPr>
        <w:tab/>
        <w:t>Closets to be disinfected</w:t>
      </w:r>
      <w:bookmarkEnd w:id="27"/>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Gazette 29 Dec 1995 p. 6309; 21 Apr 2011 p. 1472.]</w:t>
      </w:r>
    </w:p>
    <w:p>
      <w:pPr>
        <w:pStyle w:val="Heading5"/>
        <w:rPr>
          <w:snapToGrid w:val="0"/>
        </w:rPr>
      </w:pPr>
      <w:bookmarkStart w:id="28" w:name="_Toc483476837"/>
      <w:r>
        <w:rPr>
          <w:rStyle w:val="CharSectno"/>
        </w:rPr>
        <w:t>15</w:t>
      </w:r>
      <w:r>
        <w:rPr>
          <w:snapToGrid w:val="0"/>
        </w:rPr>
        <w:t>.</w:t>
      </w:r>
      <w:r>
        <w:rPr>
          <w:snapToGrid w:val="0"/>
        </w:rPr>
        <w:tab/>
        <w:t>Nightsoil to be treated</w:t>
      </w:r>
      <w:bookmarkEnd w:id="2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Heading5"/>
        <w:rPr>
          <w:snapToGrid w:val="0"/>
        </w:rPr>
      </w:pPr>
      <w:bookmarkStart w:id="29" w:name="_Toc483476838"/>
      <w:r>
        <w:rPr>
          <w:rStyle w:val="CharSectno"/>
        </w:rPr>
        <w:t>16</w:t>
      </w:r>
      <w:r>
        <w:rPr>
          <w:snapToGrid w:val="0"/>
        </w:rPr>
        <w:t>.</w:t>
      </w:r>
      <w:r>
        <w:rPr>
          <w:snapToGrid w:val="0"/>
        </w:rPr>
        <w:tab/>
        <w:t>Closet pans, procedure for removing and cleaning</w:t>
      </w:r>
      <w:bookmarkEnd w:id="29"/>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Gazette 29 Dec 1995 p. 6309; 21 Apr 2011 p. 1472.]</w:t>
      </w:r>
    </w:p>
    <w:p>
      <w:pPr>
        <w:pStyle w:val="Heading5"/>
        <w:rPr>
          <w:snapToGrid w:val="0"/>
        </w:rPr>
      </w:pPr>
      <w:bookmarkStart w:id="30" w:name="_Toc483476839"/>
      <w:r>
        <w:rPr>
          <w:rStyle w:val="CharSectno"/>
        </w:rPr>
        <w:t>17</w:t>
      </w:r>
      <w:r>
        <w:rPr>
          <w:snapToGrid w:val="0"/>
        </w:rPr>
        <w:t>.</w:t>
      </w:r>
      <w:r>
        <w:rPr>
          <w:snapToGrid w:val="0"/>
        </w:rPr>
        <w:tab/>
        <w:t>Nightsoil, charges for removal of</w:t>
      </w:r>
      <w:bookmarkEnd w:id="3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Gazette 29 Dec 1995 p. 6309; 21 Apr 2011 p. 1472.]</w:t>
      </w:r>
    </w:p>
    <w:p>
      <w:pPr>
        <w:pStyle w:val="Ednotesection"/>
      </w:pPr>
      <w:r>
        <w:t>[</w:t>
      </w:r>
      <w:r>
        <w:rPr>
          <w:b/>
        </w:rPr>
        <w:t>18, 19.</w:t>
      </w:r>
      <w:r>
        <w:tab/>
        <w:t>Deleted: Gazette 29 Dec 1995 p. 6309.]</w:t>
      </w:r>
    </w:p>
    <w:p>
      <w:pPr>
        <w:pStyle w:val="Heading5"/>
        <w:rPr>
          <w:snapToGrid w:val="0"/>
        </w:rPr>
      </w:pPr>
      <w:bookmarkStart w:id="31" w:name="_Toc483476840"/>
      <w:r>
        <w:rPr>
          <w:rStyle w:val="CharSectno"/>
        </w:rPr>
        <w:t>19A</w:t>
      </w:r>
      <w:r>
        <w:rPr>
          <w:snapToGrid w:val="0"/>
        </w:rPr>
        <w:t>.</w:t>
      </w:r>
      <w:r>
        <w:rPr>
          <w:snapToGrid w:val="0"/>
        </w:rPr>
        <w:tab/>
        <w:t>Pigs, keeping of</w:t>
      </w:r>
      <w:bookmarkEnd w:id="3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Gazette 29 May 2001 p. 2707.]</w:t>
      </w:r>
    </w:p>
    <w:p>
      <w:pPr>
        <w:pStyle w:val="Heading5"/>
        <w:rPr>
          <w:snapToGrid w:val="0"/>
        </w:rPr>
      </w:pPr>
      <w:bookmarkStart w:id="32" w:name="_Toc483476841"/>
      <w:r>
        <w:rPr>
          <w:rStyle w:val="CharSectno"/>
        </w:rPr>
        <w:t>20</w:t>
      </w:r>
      <w:r>
        <w:rPr>
          <w:snapToGrid w:val="0"/>
        </w:rPr>
        <w:t>.</w:t>
      </w:r>
      <w:r>
        <w:rPr>
          <w:snapToGrid w:val="0"/>
        </w:rPr>
        <w:tab/>
        <w:t>Animals not to be allowed to stray over certain catchment areas</w:t>
      </w:r>
      <w:bookmarkEnd w:id="32"/>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Gazette 29 Dec 1995 p. 6309; 21 Apr 2011 p. 1472.]</w:t>
      </w:r>
    </w:p>
    <w:p>
      <w:pPr>
        <w:pStyle w:val="Heading5"/>
        <w:rPr>
          <w:snapToGrid w:val="0"/>
        </w:rPr>
      </w:pPr>
      <w:bookmarkStart w:id="33" w:name="_Toc483476842"/>
      <w:r>
        <w:rPr>
          <w:rStyle w:val="CharSectno"/>
        </w:rPr>
        <w:t>21</w:t>
      </w:r>
      <w:r>
        <w:rPr>
          <w:snapToGrid w:val="0"/>
        </w:rPr>
        <w:t>.</w:t>
      </w:r>
      <w:r>
        <w:rPr>
          <w:snapToGrid w:val="0"/>
        </w:rPr>
        <w:tab/>
        <w:t>Abattoirs etc., establishment of</w:t>
      </w:r>
      <w:bookmarkEnd w:id="33"/>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Gazette 25 Jul 1958 p. 1689</w:t>
      </w:r>
      <w:r>
        <w:noBreakHyphen/>
        <w:t>90; 29 Dec 1995 p. 6309; 21 Apr 2011 p. 1472.]</w:t>
      </w:r>
    </w:p>
    <w:p>
      <w:pPr>
        <w:pStyle w:val="Heading5"/>
        <w:spacing w:before="210"/>
        <w:rPr>
          <w:snapToGrid w:val="0"/>
        </w:rPr>
      </w:pPr>
      <w:bookmarkStart w:id="34" w:name="_Toc483476843"/>
      <w:r>
        <w:rPr>
          <w:rStyle w:val="CharSectno"/>
        </w:rPr>
        <w:t>22</w:t>
      </w:r>
      <w:r>
        <w:rPr>
          <w:snapToGrid w:val="0"/>
        </w:rPr>
        <w:t>.</w:t>
      </w:r>
      <w:r>
        <w:rPr>
          <w:snapToGrid w:val="0"/>
        </w:rPr>
        <w:tab/>
        <w:t>Carcasses to be removed from near water</w:t>
      </w:r>
      <w:bookmarkEnd w:id="34"/>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Heading5"/>
        <w:rPr>
          <w:snapToGrid w:val="0"/>
        </w:rPr>
      </w:pPr>
      <w:bookmarkStart w:id="35" w:name="_Toc483476844"/>
      <w:r>
        <w:rPr>
          <w:rStyle w:val="CharSectno"/>
        </w:rPr>
        <w:t>23</w:t>
      </w:r>
      <w:r>
        <w:rPr>
          <w:snapToGrid w:val="0"/>
        </w:rPr>
        <w:t>.</w:t>
      </w:r>
      <w:r>
        <w:rPr>
          <w:snapToGrid w:val="0"/>
        </w:rPr>
        <w:tab/>
        <w:t>Human burials to be in approved places</w:t>
      </w:r>
      <w:bookmarkEnd w:id="35"/>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Gazette 29 Dec 1995 p. 6309; 29 May 2001 p. 2707; 21 Apr 2011 p. 1471.]</w:t>
      </w:r>
    </w:p>
    <w:p>
      <w:pPr>
        <w:pStyle w:val="Heading5"/>
        <w:rPr>
          <w:snapToGrid w:val="0"/>
        </w:rPr>
      </w:pPr>
      <w:bookmarkStart w:id="36" w:name="_Toc483476845"/>
      <w:r>
        <w:rPr>
          <w:rStyle w:val="CharSectno"/>
        </w:rPr>
        <w:t>24</w:t>
      </w:r>
      <w:r>
        <w:rPr>
          <w:snapToGrid w:val="0"/>
        </w:rPr>
        <w:t>.</w:t>
      </w:r>
      <w:r>
        <w:rPr>
          <w:snapToGrid w:val="0"/>
        </w:rPr>
        <w:tab/>
        <w:t>Household refuse, receptacles for</w:t>
      </w:r>
      <w:bookmarkEnd w:id="36"/>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Gazette 29 Dec 1995 p. 6309; 21 Apr 2011 p. 1472.]</w:t>
      </w:r>
    </w:p>
    <w:p>
      <w:pPr>
        <w:pStyle w:val="Heading5"/>
        <w:rPr>
          <w:snapToGrid w:val="0"/>
        </w:rPr>
      </w:pPr>
      <w:bookmarkStart w:id="37" w:name="_Toc483476846"/>
      <w:r>
        <w:rPr>
          <w:rStyle w:val="CharSectno"/>
        </w:rPr>
        <w:t>25</w:t>
      </w:r>
      <w:r>
        <w:rPr>
          <w:snapToGrid w:val="0"/>
        </w:rPr>
        <w:t>.</w:t>
      </w:r>
      <w:r>
        <w:rPr>
          <w:snapToGrid w:val="0"/>
        </w:rPr>
        <w:tab/>
        <w:t>Household refuse, disposal of</w:t>
      </w:r>
      <w:bookmarkEnd w:id="37"/>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Gazette 29 Dec 1995 p. 6309; 29 May 2001 p. 2707; 21 Apr 2011 p. 1472.]</w:t>
      </w:r>
    </w:p>
    <w:p>
      <w:pPr>
        <w:pStyle w:val="Heading5"/>
        <w:rPr>
          <w:snapToGrid w:val="0"/>
        </w:rPr>
      </w:pPr>
      <w:bookmarkStart w:id="38" w:name="_Toc483476847"/>
      <w:r>
        <w:rPr>
          <w:rStyle w:val="CharSectno"/>
        </w:rPr>
        <w:t>26</w:t>
      </w:r>
      <w:r>
        <w:rPr>
          <w:snapToGrid w:val="0"/>
        </w:rPr>
        <w:t>.</w:t>
      </w:r>
      <w:r>
        <w:rPr>
          <w:snapToGrid w:val="0"/>
        </w:rPr>
        <w:tab/>
        <w:t>Refuse etc. not to be deposited in catchment area</w:t>
      </w:r>
      <w:bookmarkEnd w:id="38"/>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Heading5"/>
        <w:rPr>
          <w:snapToGrid w:val="0"/>
        </w:rPr>
      </w:pPr>
      <w:bookmarkStart w:id="39" w:name="_Toc483476848"/>
      <w:r>
        <w:rPr>
          <w:rStyle w:val="CharSectno"/>
        </w:rPr>
        <w:t>27</w:t>
      </w:r>
      <w:r>
        <w:rPr>
          <w:snapToGrid w:val="0"/>
        </w:rPr>
        <w:t>.</w:t>
      </w:r>
      <w:r>
        <w:rPr>
          <w:snapToGrid w:val="0"/>
        </w:rPr>
        <w:tab/>
        <w:t>Refuse bins etc., position and cleaning of</w:t>
      </w:r>
      <w:bookmarkEnd w:id="39"/>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Heading5"/>
        <w:rPr>
          <w:snapToGrid w:val="0"/>
        </w:rPr>
      </w:pPr>
      <w:bookmarkStart w:id="40" w:name="_Toc483476849"/>
      <w:r>
        <w:rPr>
          <w:rStyle w:val="CharSectno"/>
        </w:rPr>
        <w:t>28</w:t>
      </w:r>
      <w:r>
        <w:rPr>
          <w:snapToGrid w:val="0"/>
        </w:rPr>
        <w:t>.</w:t>
      </w:r>
      <w:r>
        <w:rPr>
          <w:snapToGrid w:val="0"/>
        </w:rPr>
        <w:tab/>
        <w:t>Refuse etc. to be deposited only at approved sites</w:t>
      </w:r>
      <w:bookmarkEnd w:id="40"/>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Gazette 29 Dec 1995 p. 6309; 21 Apr 2011 p. 1472.]</w:t>
      </w:r>
    </w:p>
    <w:p>
      <w:pPr>
        <w:pStyle w:val="Heading5"/>
        <w:rPr>
          <w:snapToGrid w:val="0"/>
        </w:rPr>
      </w:pPr>
      <w:bookmarkStart w:id="41" w:name="_Toc483476850"/>
      <w:r>
        <w:rPr>
          <w:rStyle w:val="CharSectno"/>
        </w:rPr>
        <w:t>29</w:t>
      </w:r>
      <w:r>
        <w:rPr>
          <w:snapToGrid w:val="0"/>
        </w:rPr>
        <w:t>.</w:t>
      </w:r>
      <w:r>
        <w:rPr>
          <w:snapToGrid w:val="0"/>
        </w:rPr>
        <w:tab/>
        <w:t>Industrial wastes, discharge of</w:t>
      </w:r>
      <w:bookmarkEnd w:id="41"/>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Gazette 29 Dec 1995 p. 6309; 21 Apr 2011 p. 1472.]</w:t>
      </w:r>
    </w:p>
    <w:p>
      <w:pPr>
        <w:pStyle w:val="Heading5"/>
        <w:spacing w:before="200"/>
        <w:rPr>
          <w:snapToGrid w:val="0"/>
        </w:rPr>
      </w:pPr>
      <w:bookmarkStart w:id="42" w:name="_Toc483476851"/>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42"/>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Heading5"/>
        <w:spacing w:before="200"/>
        <w:rPr>
          <w:snapToGrid w:val="0"/>
        </w:rPr>
      </w:pPr>
      <w:bookmarkStart w:id="43" w:name="_Toc483476852"/>
      <w:r>
        <w:rPr>
          <w:rStyle w:val="CharSectno"/>
        </w:rPr>
        <w:t>31</w:t>
      </w:r>
      <w:r>
        <w:rPr>
          <w:snapToGrid w:val="0"/>
        </w:rPr>
        <w:t>.</w:t>
      </w:r>
      <w:r>
        <w:rPr>
          <w:snapToGrid w:val="0"/>
        </w:rPr>
        <w:tab/>
        <w:t>Bathing prohibited except in approved places</w:t>
      </w:r>
      <w:bookmarkEnd w:id="43"/>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Gazette 29 Dec 1995 p. 6309; 21 Apr 2011 p. 1472.]</w:t>
      </w:r>
    </w:p>
    <w:p>
      <w:pPr>
        <w:pStyle w:val="Heading5"/>
        <w:spacing w:before="200"/>
        <w:rPr>
          <w:snapToGrid w:val="0"/>
        </w:rPr>
      </w:pPr>
      <w:bookmarkStart w:id="44" w:name="_Toc483476853"/>
      <w:r>
        <w:rPr>
          <w:rStyle w:val="CharSectno"/>
        </w:rPr>
        <w:t>32</w:t>
      </w:r>
      <w:r>
        <w:rPr>
          <w:snapToGrid w:val="0"/>
        </w:rPr>
        <w:t>.</w:t>
      </w:r>
      <w:r>
        <w:rPr>
          <w:snapToGrid w:val="0"/>
        </w:rPr>
        <w:tab/>
        <w:t>Powers of entry</w:t>
      </w:r>
      <w:bookmarkEnd w:id="44"/>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Gazette 29 Dec 1995 p. 6307 and 6309; 21 Apr 2011 p. 1471.]</w:t>
      </w:r>
    </w:p>
    <w:p>
      <w:pPr>
        <w:pStyle w:val="Heading5"/>
        <w:rPr>
          <w:snapToGrid w:val="0"/>
        </w:rPr>
      </w:pPr>
      <w:bookmarkStart w:id="45" w:name="_Toc483476854"/>
      <w:r>
        <w:rPr>
          <w:rStyle w:val="CharSectno"/>
        </w:rPr>
        <w:t>33</w:t>
      </w:r>
      <w:r>
        <w:rPr>
          <w:snapToGrid w:val="0"/>
        </w:rPr>
        <w:t>.</w:t>
      </w:r>
      <w:r>
        <w:rPr>
          <w:snapToGrid w:val="0"/>
        </w:rPr>
        <w:tab/>
        <w:t xml:space="preserve">Compliance, </w:t>
      </w:r>
      <w:r>
        <w:t>CEO</w:t>
      </w:r>
      <w:r>
        <w:rPr>
          <w:snapToGrid w:val="0"/>
        </w:rPr>
        <w:t xml:space="preserve"> to fix time for</w:t>
      </w:r>
      <w:bookmarkEnd w:id="45"/>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Gazette 29 Dec 1995 p. 6309; 21 Apr 2011 p. 1472.]</w:t>
      </w:r>
    </w:p>
    <w:p>
      <w:pPr>
        <w:pStyle w:val="Heading5"/>
        <w:rPr>
          <w:snapToGrid w:val="0"/>
        </w:rPr>
      </w:pPr>
      <w:bookmarkStart w:id="46" w:name="_Toc483476855"/>
      <w:r>
        <w:rPr>
          <w:rStyle w:val="CharSectno"/>
        </w:rPr>
        <w:t>34</w:t>
      </w:r>
      <w:r>
        <w:rPr>
          <w:snapToGrid w:val="0"/>
        </w:rPr>
        <w:t>.</w:t>
      </w:r>
      <w:r>
        <w:rPr>
          <w:snapToGrid w:val="0"/>
        </w:rPr>
        <w:tab/>
        <w:t>Timber cutting and clearing without permission</w:t>
      </w:r>
      <w:bookmarkEnd w:id="46"/>
    </w:p>
    <w:p>
      <w:pPr>
        <w:pStyle w:val="Subsection"/>
        <w:rPr>
          <w:snapToGrid w:val="0"/>
        </w:rPr>
      </w:pPr>
      <w:r>
        <w:tab/>
        <w:t>(1)</w:t>
      </w:r>
      <w:r>
        <w:tab/>
        <w:t>No</w:t>
      </w:r>
      <w:r>
        <w:rPr>
          <w:snapToGrid w:val="0"/>
        </w:rPr>
        <w:t xml:space="preserve">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Subsection"/>
      </w:pPr>
      <w:r>
        <w:tab/>
        <w:t>(2)</w:t>
      </w:r>
      <w:r>
        <w:tab/>
        <w:t>A person does not need to be authorised by the CEO to do an activity referred to in sub</w:t>
      </w:r>
      <w:r>
        <w:noBreakHyphen/>
        <w:t xml:space="preserve">bylaw (1) in a special provision catchment area if the person — </w:t>
      </w:r>
    </w:p>
    <w:p>
      <w:pPr>
        <w:pStyle w:val="Indenta"/>
      </w:pPr>
      <w:r>
        <w:tab/>
        <w:t>(a)</w:t>
      </w:r>
      <w:r>
        <w:tab/>
        <w:t>is a member of the Noongar people; and</w:t>
      </w:r>
    </w:p>
    <w:p>
      <w:pPr>
        <w:pStyle w:val="Indenta"/>
      </w:pPr>
      <w:r>
        <w:tab/>
        <w:t>(b)</w:t>
      </w:r>
      <w:r>
        <w:tab/>
        <w:t>undertakes the activity for an Aboriginal customary purpose; and</w:t>
      </w:r>
    </w:p>
    <w:p>
      <w:pPr>
        <w:pStyle w:val="Indenta"/>
      </w:pPr>
      <w:r>
        <w:tab/>
        <w:t>(c)</w:t>
      </w:r>
      <w:r>
        <w:tab/>
        <w:t>in undertaking the activity does not enter into or upon a reservoir or watercourse.</w:t>
      </w:r>
    </w:p>
    <w:p>
      <w:pPr>
        <w:pStyle w:val="Footnotesection"/>
      </w:pPr>
      <w:r>
        <w:tab/>
        <w:t>[By</w:t>
      </w:r>
      <w:r>
        <w:noBreakHyphen/>
        <w:t>law 34 amended: Gazette 29 Dec 1995 p. 6309; 21 Apr 2011 p. 1472; 7 Jun 2016 p. 1778.]</w:t>
      </w:r>
    </w:p>
    <w:p>
      <w:pPr>
        <w:pStyle w:val="Heading5"/>
        <w:rPr>
          <w:snapToGrid w:val="0"/>
        </w:rPr>
      </w:pPr>
      <w:bookmarkStart w:id="47" w:name="_Toc483476856"/>
      <w:r>
        <w:rPr>
          <w:rStyle w:val="CharSectno"/>
        </w:rPr>
        <w:t>35</w:t>
      </w:r>
      <w:r>
        <w:rPr>
          <w:snapToGrid w:val="0"/>
        </w:rPr>
        <w:t>.</w:t>
      </w:r>
      <w:r>
        <w:rPr>
          <w:snapToGrid w:val="0"/>
        </w:rPr>
        <w:tab/>
        <w:t xml:space="preserve">Hunting, shooting and fishing, </w:t>
      </w:r>
      <w:r>
        <w:t>CEO</w:t>
      </w:r>
      <w:r>
        <w:rPr>
          <w:snapToGrid w:val="0"/>
        </w:rPr>
        <w:t xml:space="preserve"> may restrict</w:t>
      </w:r>
      <w:bookmarkEnd w:id="47"/>
    </w:p>
    <w:p>
      <w:pPr>
        <w:pStyle w:val="Subsection"/>
      </w:pPr>
      <w:r>
        <w:tab/>
        <w:t>(1)</w:t>
      </w:r>
      <w:r>
        <w:tab/>
        <w:t>In this by</w:t>
      </w:r>
      <w:r>
        <w:noBreakHyphen/>
        <w:t xml:space="preserve">law — </w:t>
      </w:r>
    </w:p>
    <w:p>
      <w:pPr>
        <w:pStyle w:val="Defstart"/>
      </w:pPr>
      <w:r>
        <w:tab/>
      </w:r>
      <w:r>
        <w:rPr>
          <w:rStyle w:val="CharDefText"/>
        </w:rPr>
        <w:t>hand</w:t>
      </w:r>
      <w:r>
        <w:rPr>
          <w:rStyle w:val="CharDefText"/>
        </w:rPr>
        <w:noBreakHyphen/>
        <w:t>held tool</w:t>
      </w:r>
      <w:r>
        <w:t xml:space="preserve"> does not include — </w:t>
      </w:r>
    </w:p>
    <w:p>
      <w:pPr>
        <w:pStyle w:val="Defpara"/>
      </w:pPr>
      <w:r>
        <w:tab/>
        <w:t>(a)</w:t>
      </w:r>
      <w:r>
        <w:tab/>
        <w:t>a firearm or any other device from which an object is discharged; or</w:t>
      </w:r>
    </w:p>
    <w:p>
      <w:pPr>
        <w:pStyle w:val="Indenta"/>
      </w:pPr>
      <w:r>
        <w:tab/>
        <w:t>(b)</w:t>
      </w:r>
      <w:r>
        <w:tab/>
        <w:t>a spear, boomerang or any other thing that is propelled from the hand.</w:t>
      </w:r>
    </w:p>
    <w:p>
      <w:pPr>
        <w:pStyle w:val="Subsection"/>
        <w:rPr>
          <w:snapToGrid w:val="0"/>
        </w:rPr>
      </w:pPr>
      <w:r>
        <w:tab/>
        <w:t>(2)</w:t>
      </w:r>
      <w:r>
        <w:tab/>
        <w:t>The</w:t>
      </w:r>
      <w:r>
        <w:rPr>
          <w:snapToGrid w:val="0"/>
        </w:rPr>
        <w:t xml:space="preserve"> </w:t>
      </w:r>
      <w:r>
        <w:t>CEO</w:t>
      </w:r>
      <w:r>
        <w:rPr>
          <w:snapToGrid w:val="0"/>
        </w:rPr>
        <w:t xml:space="preserve"> may from time to time prescribe restrictions on hunting, shooting and fishing in the catchment area.</w:t>
      </w:r>
    </w:p>
    <w:p>
      <w:pPr>
        <w:pStyle w:val="Subsection"/>
      </w:pPr>
      <w:r>
        <w:tab/>
        <w:t>(3)</w:t>
      </w:r>
      <w:r>
        <w:tab/>
        <w:t>A restriction prescribed under this by</w:t>
      </w:r>
      <w:r>
        <w:noBreakHyphen/>
        <w:t xml:space="preserve">law does not operate to prevent a person from hunting for an invertebrate or egg in a special provision catchment area if the person —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does so only by hand or with a hand</w:t>
      </w:r>
      <w:r>
        <w:noBreakHyphen/>
        <w:t>held tool; and</w:t>
      </w:r>
    </w:p>
    <w:p>
      <w:pPr>
        <w:pStyle w:val="Indenta"/>
      </w:pPr>
      <w:r>
        <w:tab/>
        <w:t>(d)</w:t>
      </w:r>
      <w:r>
        <w:tab/>
        <w:t>in doing so does not enter into or upon a reservoir or watercourse; and</w:t>
      </w:r>
    </w:p>
    <w:p>
      <w:pPr>
        <w:pStyle w:val="Indenta"/>
      </w:pPr>
      <w:r>
        <w:tab/>
        <w:t>(e)</w:t>
      </w:r>
      <w:r>
        <w:tab/>
        <w:t>in doing so does not allow any hand</w:t>
      </w:r>
      <w:r>
        <w:noBreakHyphen/>
        <w:t>held tool to enter into or upon a reservoir or watercourse; and</w:t>
      </w:r>
    </w:p>
    <w:p>
      <w:pPr>
        <w:pStyle w:val="Indenta"/>
      </w:pPr>
      <w:r>
        <w:tab/>
        <w:t>(f)</w:t>
      </w:r>
      <w:r>
        <w:tab/>
        <w:t>does not sell the invertebrate or egg.</w:t>
      </w:r>
    </w:p>
    <w:p>
      <w:pPr>
        <w:pStyle w:val="Footnotesection"/>
      </w:pPr>
      <w:r>
        <w:tab/>
        <w:t>[By</w:t>
      </w:r>
      <w:r>
        <w:noBreakHyphen/>
        <w:t>law 35 amended: Gazette 29 Dec 1995 p. 6309; 21 Apr 2011 p. 1472; 7 Jun 2016 p. 1778</w:t>
      </w:r>
      <w:r>
        <w:noBreakHyphen/>
        <w:t>9.]</w:t>
      </w:r>
    </w:p>
    <w:p>
      <w:pPr>
        <w:pStyle w:val="Heading5"/>
        <w:rPr>
          <w:snapToGrid w:val="0"/>
        </w:rPr>
      </w:pPr>
      <w:bookmarkStart w:id="48" w:name="_Toc483476857"/>
      <w:r>
        <w:rPr>
          <w:rStyle w:val="CharSectno"/>
        </w:rPr>
        <w:t>36</w:t>
      </w:r>
      <w:r>
        <w:rPr>
          <w:snapToGrid w:val="0"/>
        </w:rPr>
        <w:t>.</w:t>
      </w:r>
      <w:r>
        <w:rPr>
          <w:snapToGrid w:val="0"/>
        </w:rPr>
        <w:tab/>
        <w:t>Camping and picnicking restricted</w:t>
      </w:r>
      <w:bookmarkEnd w:id="4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Gazette 29 Dec 1995 p. 6309; 29 May 2001 p. 2707; 21 Apr 2011 p. 1472.]</w:t>
      </w:r>
    </w:p>
    <w:p>
      <w:pPr>
        <w:pStyle w:val="Heading3"/>
        <w:keepNext w:val="0"/>
      </w:pPr>
      <w:bookmarkStart w:id="49" w:name="_Toc478720778"/>
      <w:bookmarkStart w:id="50" w:name="_Toc483215338"/>
      <w:bookmarkStart w:id="51" w:name="_Toc483383689"/>
      <w:bookmarkStart w:id="52" w:name="_Toc483476858"/>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49"/>
      <w:bookmarkEnd w:id="50"/>
      <w:bookmarkEnd w:id="51"/>
      <w:bookmarkEnd w:id="52"/>
    </w:p>
    <w:p>
      <w:pPr>
        <w:pStyle w:val="Footnoteheading"/>
      </w:pPr>
      <w:r>
        <w:tab/>
        <w:t>[Heading inserted: Gazette 29 May 2001 p. 2707; amended: Gazette 21 Apr 2011 p. 1471.]</w:t>
      </w:r>
    </w:p>
    <w:p>
      <w:pPr>
        <w:pStyle w:val="Ednotesection"/>
      </w:pPr>
      <w:r>
        <w:t>[</w:t>
      </w:r>
      <w:r>
        <w:rPr>
          <w:b/>
        </w:rPr>
        <w:t>37-39.</w:t>
      </w:r>
      <w:r>
        <w:tab/>
        <w:t>Deleted: Gazette 14 Nov 2013 p. 5035.]</w:t>
      </w:r>
    </w:p>
    <w:p>
      <w:pPr>
        <w:pStyle w:val="Heading5"/>
        <w:spacing w:before="120"/>
        <w:rPr>
          <w:snapToGrid w:val="0"/>
        </w:rPr>
      </w:pPr>
      <w:bookmarkStart w:id="53" w:name="_Toc483476859"/>
      <w:r>
        <w:rPr>
          <w:rStyle w:val="CharSectno"/>
        </w:rPr>
        <w:t>40</w:t>
      </w:r>
      <w:r>
        <w:rPr>
          <w:snapToGrid w:val="0"/>
        </w:rPr>
        <w:t>.</w:t>
      </w:r>
      <w:r>
        <w:rPr>
          <w:snapToGrid w:val="0"/>
        </w:rPr>
        <w:tab/>
        <w:t>Flora protected</w:t>
      </w:r>
      <w:bookmarkEnd w:id="53"/>
    </w:p>
    <w:p>
      <w:pPr>
        <w:pStyle w:val="Subsection"/>
        <w:rPr>
          <w:snapToGrid w:val="0"/>
        </w:rPr>
      </w:pPr>
      <w:r>
        <w:tab/>
        <w:t>(1)</w:t>
      </w:r>
      <w:r>
        <w:tab/>
      </w:r>
      <w:r>
        <w:rPr>
          <w:snapToGrid w:val="0"/>
        </w:rPr>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Subsection"/>
      </w:pPr>
      <w:r>
        <w:tab/>
        <w:t>(2)</w:t>
      </w:r>
      <w:r>
        <w:tab/>
        <w:t>A person does not contravene sub</w:t>
      </w:r>
      <w:r>
        <w:noBreakHyphen/>
        <w:t>bylaw (1) by removing, plucking or damaging a wild flower, shrub, bush, tree or other plant in the South West Settlement Area if the person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in doing so does not enter into or upon a reservoir or watercourse; and</w:t>
      </w:r>
    </w:p>
    <w:p>
      <w:pPr>
        <w:pStyle w:val="Indenta"/>
      </w:pPr>
      <w:r>
        <w:tab/>
        <w:t>(d)</w:t>
      </w:r>
      <w:r>
        <w:tab/>
        <w:t>in doing so does not cause damage to, or adversely affect, any water works.</w:t>
      </w:r>
    </w:p>
    <w:p>
      <w:pPr>
        <w:pStyle w:val="Footnotesection"/>
      </w:pPr>
      <w:r>
        <w:tab/>
        <w:t>[By</w:t>
      </w:r>
      <w:r>
        <w:noBreakHyphen/>
        <w:t>law 40 amended: Gazette 29 Dec 1995 p. 6307; 29 May 2001 p. 2707; 21 Apr 2011 p. 1471; 7 Jun 2016 p. 1779.]</w:t>
      </w:r>
    </w:p>
    <w:p>
      <w:pPr>
        <w:pStyle w:val="Ednotesection"/>
      </w:pPr>
      <w:r>
        <w:t>[</w:t>
      </w:r>
      <w:r>
        <w:rPr>
          <w:b/>
        </w:rPr>
        <w:t>41-46.</w:t>
      </w:r>
      <w:r>
        <w:tab/>
        <w:t>Deleted: Gazette 14 Nov 2013 p. 5035.]</w:t>
      </w:r>
    </w:p>
    <w:p>
      <w:pPr>
        <w:pStyle w:val="Footnoteheading"/>
        <w:tabs>
          <w:tab w:val="clear" w:pos="879"/>
          <w:tab w:val="left" w:pos="1470"/>
        </w:tabs>
        <w:ind w:left="1470" w:hanging="1470"/>
      </w:pPr>
      <w:r>
        <w:t>[Division 4:</w:t>
      </w:r>
      <w:r>
        <w:tab/>
        <w:t>bl. 47-51, 55 and 57 deleted: Gazette 16 Jun 2000 p. 2962;</w:t>
      </w:r>
      <w:r>
        <w:br/>
        <w:t>bl. 52, 54 and 54A deleted: Gazette 14 Nov 2013 p. 5035;</w:t>
      </w:r>
      <w:r>
        <w:br/>
        <w:t>bl. 53 deleted: Gazette 28 Jun 2004 p. 2391;</w:t>
      </w:r>
      <w:r>
        <w:br/>
        <w:t>bl. 56 deleted: Gazette 30 Jun 1960 p. 1953.]</w:t>
      </w:r>
    </w:p>
    <w:p>
      <w:pPr>
        <w:pStyle w:val="Footnoteheading"/>
        <w:tabs>
          <w:tab w:val="clear" w:pos="879"/>
          <w:tab w:val="left" w:pos="1470"/>
        </w:tabs>
        <w:ind w:left="1470" w:hanging="1470"/>
      </w:pPr>
      <w:r>
        <w:t xml:space="preserve">[Division 5: </w:t>
      </w:r>
      <w:r>
        <w:tab/>
        <w:t>bl. 58 deleted: Gazette 28 Jun 2004 p. 2391;</w:t>
      </w:r>
      <w:r>
        <w:br/>
        <w:t>bl. 58AA deleted: Gazette 25 Aug 1998 p. 4737;</w:t>
      </w:r>
      <w:r>
        <w:br/>
        <w:t>bl. 58A-62 deleted: Gazette 14 Nov 2013 p. 5035.]</w:t>
      </w:r>
    </w:p>
    <w:p>
      <w:pPr>
        <w:pStyle w:val="Footnoteheading"/>
        <w:tabs>
          <w:tab w:val="clear" w:pos="879"/>
          <w:tab w:val="left" w:pos="1470"/>
        </w:tabs>
        <w:ind w:left="1470" w:hanging="1470"/>
      </w:pPr>
      <w:r>
        <w:t xml:space="preserve">[Division 6: </w:t>
      </w:r>
      <w:r>
        <w:tab/>
        <w:t>bl. 63 and 82 deleted: Gazette 14 Jul 1987 p. 2658;</w:t>
      </w:r>
      <w:r>
        <w:br/>
        <w:t>bl. 64-70, 72-75, 77-80, 83-85 and 87 deleted: Gazette 14 Nov 2013 p. 5035;</w:t>
      </w:r>
      <w:r>
        <w:br/>
        <w:t>bl. 71 deleted: Gazette 26 Apr 2005 p. 1398;</w:t>
      </w:r>
      <w:r>
        <w:br/>
        <w:t>bl. 76 deleted: Gazette 29 Sep 1998 p. 5406;</w:t>
      </w:r>
      <w:r>
        <w:br/>
        <w:t>bl. 81 deleted: Gazette 1 Jul 1977 p. 2011;</w:t>
      </w:r>
      <w:r>
        <w:br/>
        <w:t>bl. 86 deleted: Gazette 22 Dec 1989 p. 4635;</w:t>
      </w:r>
      <w:r>
        <w:br/>
        <w:t>bl. 87A-88</w:t>
      </w:r>
      <w:r>
        <w:rPr>
          <w:b/>
        </w:rPr>
        <w:t xml:space="preserve"> </w:t>
      </w:r>
      <w:r>
        <w:t>deleted: Gazette 28 Jun 2004 p. 2391.]</w:t>
      </w:r>
    </w:p>
    <w:p>
      <w:pPr>
        <w:pStyle w:val="Heading3"/>
        <w:keepNext w:val="0"/>
        <w:pageBreakBefore/>
        <w:spacing w:before="0"/>
      </w:pPr>
      <w:bookmarkStart w:id="54" w:name="_Toc478720780"/>
      <w:bookmarkStart w:id="55" w:name="_Toc483215340"/>
      <w:bookmarkStart w:id="56" w:name="_Toc483383691"/>
      <w:bookmarkStart w:id="57" w:name="_Toc483476860"/>
      <w:r>
        <w:rPr>
          <w:rStyle w:val="CharPartNo"/>
        </w:rPr>
        <w:t>Division 7</w:t>
      </w:r>
      <w:r>
        <w:rPr>
          <w:rStyle w:val="CharDivNo"/>
        </w:rPr>
        <w:t> </w:t>
      </w:r>
      <w:r>
        <w:t>—</w:t>
      </w:r>
      <w:r>
        <w:rPr>
          <w:rStyle w:val="CharDivText"/>
        </w:rPr>
        <w:t> </w:t>
      </w:r>
      <w:r>
        <w:rPr>
          <w:rStyle w:val="CharPartText"/>
        </w:rPr>
        <w:t>Miscellaneous</w:t>
      </w:r>
      <w:bookmarkEnd w:id="54"/>
      <w:bookmarkEnd w:id="55"/>
      <w:bookmarkEnd w:id="56"/>
      <w:bookmarkEnd w:id="57"/>
    </w:p>
    <w:p>
      <w:pPr>
        <w:pStyle w:val="Footnoteheading"/>
        <w:rPr>
          <w:snapToGrid w:val="0"/>
        </w:rPr>
      </w:pPr>
      <w:r>
        <w:rPr>
          <w:snapToGrid w:val="0"/>
        </w:rPr>
        <w:tab/>
        <w:t>[Heading inserted: Gazette 29 May 2001 p. 2708.]</w:t>
      </w:r>
    </w:p>
    <w:p>
      <w:pPr>
        <w:pStyle w:val="Ednotesection"/>
        <w:spacing w:before="160"/>
        <w:ind w:left="890" w:hanging="890"/>
      </w:pPr>
      <w:r>
        <w:t>[</w:t>
      </w:r>
      <w:r>
        <w:rPr>
          <w:b/>
        </w:rPr>
        <w:t>89, 90.</w:t>
      </w:r>
      <w:r>
        <w:tab/>
        <w:t>Deleted: Gazette 27 Jun 1986 p. 2132.]</w:t>
      </w:r>
    </w:p>
    <w:p>
      <w:pPr>
        <w:pStyle w:val="Ednotesection"/>
        <w:spacing w:before="160"/>
        <w:ind w:left="890" w:hanging="890"/>
      </w:pPr>
      <w:r>
        <w:t>[</w:t>
      </w:r>
      <w:r>
        <w:rPr>
          <w:b/>
        </w:rPr>
        <w:t>91</w:t>
      </w:r>
      <w:r>
        <w:rPr>
          <w:b/>
        </w:rPr>
        <w:noBreakHyphen/>
        <w:t>94.</w:t>
      </w:r>
      <w:r>
        <w:tab/>
        <w:t>Deleted: Gazette 22 Dec 1964 p. 4070.]</w:t>
      </w:r>
    </w:p>
    <w:p>
      <w:pPr>
        <w:pStyle w:val="Ednotesection"/>
      </w:pPr>
      <w:r>
        <w:t>[</w:t>
      </w:r>
      <w:r>
        <w:rPr>
          <w:b/>
        </w:rPr>
        <w:t>95.</w:t>
      </w:r>
      <w:r>
        <w:rPr>
          <w:b/>
        </w:rPr>
        <w:tab/>
      </w:r>
      <w:r>
        <w:t>Deleted: Gazette 14 Nov 2013 p. 5035.]</w:t>
      </w:r>
    </w:p>
    <w:p>
      <w:pPr>
        <w:pStyle w:val="Ednotesection"/>
      </w:pPr>
      <w:r>
        <w:t>[</w:t>
      </w:r>
      <w:r>
        <w:rPr>
          <w:b/>
        </w:rPr>
        <w:t xml:space="preserve">95A, 95B  </w:t>
      </w:r>
      <w:r>
        <w:t>Deleted: Gazette 14 Jul 1987 p. 2658.]</w:t>
      </w:r>
    </w:p>
    <w:p>
      <w:pPr>
        <w:pStyle w:val="Ednotesection"/>
      </w:pPr>
      <w:r>
        <w:t>[</w:t>
      </w:r>
      <w:r>
        <w:rPr>
          <w:b/>
        </w:rPr>
        <w:t>96-101.</w:t>
      </w:r>
      <w:r>
        <w:tab/>
        <w:t>Deleted: Gazette 14 Nov 2013 p. 5035.]</w:t>
      </w:r>
    </w:p>
    <w:p>
      <w:pPr>
        <w:pStyle w:val="Ednotesection"/>
        <w:ind w:left="890" w:hanging="890"/>
      </w:pPr>
      <w:r>
        <w:t>[</w:t>
      </w:r>
      <w:r>
        <w:rPr>
          <w:b/>
        </w:rPr>
        <w:t>102.</w:t>
      </w:r>
      <w:r>
        <w:tab/>
        <w:t>Deleted: Gazette 14 Jul 1987 p. 2650.]</w:t>
      </w:r>
    </w:p>
    <w:p>
      <w:pPr>
        <w:pStyle w:val="Ednotesection"/>
        <w:ind w:left="890" w:hanging="890"/>
      </w:pPr>
      <w:r>
        <w:t>[</w:t>
      </w:r>
      <w:r>
        <w:rPr>
          <w:b/>
        </w:rPr>
        <w:t>103.</w:t>
      </w:r>
      <w:r>
        <w:tab/>
        <w:t>Deleted: Gazette 22 Dec 1964 p. 4071.]</w:t>
      </w:r>
    </w:p>
    <w:p>
      <w:pPr>
        <w:pStyle w:val="Ednotesection"/>
        <w:ind w:left="890" w:hanging="890"/>
      </w:pPr>
      <w:r>
        <w:t>[</w:t>
      </w:r>
      <w:r>
        <w:rPr>
          <w:b/>
        </w:rPr>
        <w:t>104.</w:t>
      </w:r>
      <w:r>
        <w:tab/>
        <w:t>Deleted: Gazette 27 Jun 1986 p. 2132.]</w:t>
      </w:r>
    </w:p>
    <w:p>
      <w:pPr>
        <w:pStyle w:val="Ednotesection"/>
        <w:ind w:left="890" w:hanging="890"/>
      </w:pPr>
      <w:r>
        <w:t>[</w:t>
      </w:r>
      <w:r>
        <w:rPr>
          <w:b/>
        </w:rPr>
        <w:t xml:space="preserve">104A, 104AA, 104B.  </w:t>
      </w:r>
      <w:r>
        <w:t>Deleted: Gazette 14 Jul 1987 p. 2658.]</w:t>
      </w:r>
    </w:p>
    <w:p>
      <w:pPr>
        <w:pStyle w:val="Ednotesection"/>
      </w:pPr>
      <w:r>
        <w:t>[</w:t>
      </w:r>
      <w:r>
        <w:rPr>
          <w:b/>
        </w:rPr>
        <w:t>104C.</w:t>
      </w:r>
      <w:r>
        <w:tab/>
        <w:t>Deleted: Gazette 14 Nov 2013 p. 5035.]</w:t>
      </w:r>
    </w:p>
    <w:p>
      <w:pPr>
        <w:pStyle w:val="Ednotesection"/>
        <w:ind w:left="890" w:hanging="890"/>
      </w:pPr>
      <w:r>
        <w:t>[</w:t>
      </w:r>
      <w:r>
        <w:rPr>
          <w:b/>
        </w:rPr>
        <w:t>104D.</w:t>
      </w:r>
      <w:r>
        <w:rPr>
          <w:b/>
        </w:rPr>
        <w:tab/>
      </w:r>
      <w:r>
        <w:t>Deleted: Gazette 19 Jun 2013 p. 2335.]</w:t>
      </w:r>
    </w:p>
    <w:p>
      <w:pPr>
        <w:pStyle w:val="Heading5"/>
        <w:keepLines w:val="0"/>
        <w:rPr>
          <w:snapToGrid w:val="0"/>
        </w:rPr>
      </w:pPr>
      <w:bookmarkStart w:id="58" w:name="_Toc483476861"/>
      <w:r>
        <w:rPr>
          <w:rStyle w:val="CharSectno"/>
        </w:rPr>
        <w:t>105</w:t>
      </w:r>
      <w:r>
        <w:rPr>
          <w:snapToGrid w:val="0"/>
        </w:rPr>
        <w:t>.</w:t>
      </w:r>
      <w:r>
        <w:rPr>
          <w:snapToGrid w:val="0"/>
        </w:rPr>
        <w:tab/>
        <w:t>Penalties</w:t>
      </w:r>
      <w:bookmarkEnd w:id="58"/>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Gazette 12 Feb 1960 p. 325; 29 Dec 1995 p. 6308; 29 May 2001 p. 2706; 26 Apr 2005 p. 1398; 21 Apr 2011 p. 1471.]</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9" w:name="_Toc478720782"/>
      <w:bookmarkStart w:id="60" w:name="_Toc483215342"/>
      <w:bookmarkStart w:id="61" w:name="_Toc483383693"/>
      <w:bookmarkStart w:id="62" w:name="_Toc483476862"/>
      <w:r>
        <w:rPr>
          <w:rStyle w:val="CharSchNo"/>
        </w:rPr>
        <w:t>Schedule 1</w:t>
      </w:r>
      <w:r>
        <w:rPr>
          <w:rStyle w:val="CharSDivNo"/>
        </w:rPr>
        <w:t> </w:t>
      </w:r>
      <w:r>
        <w:t>—</w:t>
      </w:r>
      <w:r>
        <w:rPr>
          <w:rStyle w:val="CharSDivText"/>
        </w:rPr>
        <w:t> </w:t>
      </w:r>
      <w:r>
        <w:rPr>
          <w:rStyle w:val="CharSchText"/>
        </w:rPr>
        <w:t>Description of South West Settlement Area</w:t>
      </w:r>
      <w:bookmarkEnd w:id="59"/>
      <w:bookmarkEnd w:id="60"/>
      <w:bookmarkEnd w:id="61"/>
      <w:bookmarkEnd w:id="62"/>
    </w:p>
    <w:p>
      <w:pPr>
        <w:pStyle w:val="yShoulderClause"/>
      </w:pPr>
      <w:r>
        <w:rPr>
          <w:sz w:val="24"/>
        </w:rPr>
        <w:t>[bl. 1A(1)]</w:t>
      </w:r>
    </w:p>
    <w:p>
      <w:pPr>
        <w:pStyle w:val="yFootnoteheading"/>
      </w:pPr>
      <w:r>
        <w:tab/>
        <w:t>[Heading inserted: Gazette 7 Jun 2016 p. 1780.]</w:t>
      </w:r>
    </w:p>
    <w:p>
      <w:pPr>
        <w:pStyle w:val="yMiscellaneousBody"/>
      </w:pPr>
      <w:r>
        <w:t xml:space="preserve">All the lands and waters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tabs>
          <w:tab w:val="left" w:pos="567"/>
        </w:tabs>
        <w:ind w:left="567" w:hanging="425"/>
      </w:pPr>
      <w:r>
        <w:sym w:font="Symbol" w:char="F0B7"/>
      </w:r>
      <w:r>
        <w:tab/>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tabs>
          <w:tab w:val="left" w:pos="567"/>
        </w:tabs>
        <w:ind w:left="567" w:hanging="425"/>
      </w:pPr>
      <w:r>
        <w:sym w:font="Symbol" w:char="F0B7"/>
      </w:r>
      <w:r>
        <w:tab/>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tabs>
          <w:tab w:val="left" w:pos="567"/>
        </w:tabs>
        <w:ind w:left="567" w:hanging="425"/>
      </w:pPr>
      <w:r>
        <w:sym w:font="Symbol" w:char="F0B7"/>
      </w:r>
      <w:r>
        <w:tab/>
        <w:t>then continues generally southerly along the boundaries of that native title application to the intersection with the low water mark;</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low water mark back to the starting point,</w:t>
      </w:r>
    </w:p>
    <w:p>
      <w:pPr>
        <w:pStyle w:val="yMiscellaneousBody"/>
      </w:pPr>
      <w:r>
        <w:t>other than any land or waters the subject of native title determination application WAD6193/1998 (WC97/72</w:t>
      </w:r>
      <w:r>
        <w:noBreakHyphen/>
        <w:t>6) as accepted for registration on the Register of Native Title Claims on 12 December 2011.</w:t>
      </w:r>
    </w:p>
    <w:p>
      <w:pPr>
        <w:pStyle w:val="yMiscellaneousBody"/>
      </w:pPr>
      <w:r>
        <w:t xml:space="preserve">And all the islands landward of the low water mark that exist within the area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w:t>
      </w:r>
    </w:p>
    <w:p>
      <w:pPr>
        <w:pStyle w:val="yMiscellaneousBody"/>
        <w:tabs>
          <w:tab w:val="left" w:pos="567"/>
        </w:tabs>
        <w:ind w:left="567" w:hanging="425"/>
      </w:pPr>
      <w:r>
        <w:sym w:font="Symbol" w:char="F0B7"/>
      </w:r>
      <w:r>
        <w:tab/>
        <w:t>then continues generally southerly, generally south</w:t>
      </w:r>
      <w:r>
        <w:noBreakHyphen/>
        <w:t>easterly and generally north</w:t>
      </w:r>
      <w:r>
        <w:noBreakHyphen/>
        <w:t>easterly along the low water mark to the intersection with longitude</w:t>
      </w:r>
      <w:r>
        <w:rPr>
          <w:u w:val="words"/>
        </w:rPr>
        <w:t> </w:t>
      </w:r>
      <w:r>
        <w:t xml:space="preserve">120.465236; </w:t>
      </w:r>
    </w:p>
    <w:p>
      <w:pPr>
        <w:pStyle w:val="yMiscellaneousBody"/>
        <w:tabs>
          <w:tab w:val="left" w:pos="567"/>
        </w:tabs>
        <w:ind w:left="567" w:hanging="425"/>
      </w:pPr>
      <w:r>
        <w:sym w:font="Symbol" w:char="F0B7"/>
      </w:r>
      <w:r>
        <w:tab/>
        <w:t xml:space="preserve">then continues southerly to the intersection of the 3 nautical mile limit with longitude 120.465236; </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3 nautical mile limit to the prolongation westerly of the northern boundary of the Shire of Coorow;</w:t>
      </w:r>
    </w:p>
    <w:p>
      <w:pPr>
        <w:pStyle w:val="yMiscellaneousBody"/>
        <w:tabs>
          <w:tab w:val="left" w:pos="567"/>
        </w:tabs>
        <w:ind w:left="567" w:hanging="425"/>
      </w:pPr>
      <w:r>
        <w:sym w:font="Symbol" w:char="F0B7"/>
      </w:r>
      <w:r>
        <w:tab/>
        <w:t>then continues easterly along that prolongation back to the starting point.</w:t>
      </w:r>
    </w:p>
    <w:p>
      <w:pPr>
        <w:pStyle w:val="PermNoteHeading"/>
      </w:pPr>
      <w:r>
        <w:tab/>
        <w:t>Notes for this Schedule:</w:t>
      </w:r>
    </w:p>
    <w:p>
      <w:pPr>
        <w:pStyle w:val="PermNoteText"/>
      </w:pPr>
      <w:r>
        <w:tab/>
        <w:t>1.</w:t>
      </w:r>
      <w:r>
        <w:tab/>
        <w:t>The low water mark is sourced from the Spatial Cadastral Database maintained by the Western Australian Land Information Authority as at 29 October 2012.</w:t>
      </w:r>
    </w:p>
    <w:p>
      <w:pPr>
        <w:pStyle w:val="PermNoteText"/>
      </w:pPr>
      <w:r>
        <w:tab/>
        <w:t>2.</w:t>
      </w:r>
      <w:r>
        <w:tab/>
        <w:t>Coordinate references are to Geocentric Datum of Australia 1994 (GDA94) coordinates in decimal degrees.</w:t>
      </w:r>
    </w:p>
    <w:p>
      <w:pPr>
        <w:pStyle w:val="PermNoteText"/>
      </w:pPr>
      <w:r>
        <w:tab/>
        <w:t>3.</w:t>
      </w:r>
      <w:r>
        <w:tab/>
        <w:t>The 3 nautical mile limit is sourced from Australian Maritime Boundaries (AMB), 6th edition, released in February 2006.</w:t>
      </w:r>
    </w:p>
    <w:p>
      <w:pPr>
        <w:pStyle w:val="yFootnotesection"/>
      </w:pPr>
      <w:r>
        <w:tab/>
        <w:t>[Schedule 1 inserted: Gazette 7 Jun 2016 p. 1780</w:t>
      </w:r>
      <w:r>
        <w:noBreakHyphen/>
        <w:t>1.]</w:t>
      </w:r>
    </w:p>
    <w:p>
      <w:pPr>
        <w:pStyle w:val="yScheduleHeading"/>
      </w:pPr>
      <w:bookmarkStart w:id="63" w:name="_Toc478720783"/>
      <w:bookmarkStart w:id="64" w:name="_Toc483215343"/>
      <w:bookmarkStart w:id="65" w:name="_Toc483383694"/>
      <w:bookmarkStart w:id="66" w:name="_Toc483476863"/>
      <w:r>
        <w:rPr>
          <w:rStyle w:val="CharSchNo"/>
        </w:rPr>
        <w:t>Schedule 2</w:t>
      </w:r>
      <w:r>
        <w:rPr>
          <w:rStyle w:val="CharSDivNo"/>
        </w:rPr>
        <w:t> </w:t>
      </w:r>
      <w:r>
        <w:t>—</w:t>
      </w:r>
      <w:r>
        <w:rPr>
          <w:rStyle w:val="CharSDivText"/>
        </w:rPr>
        <w:t> </w:t>
      </w:r>
      <w:r>
        <w:rPr>
          <w:rStyle w:val="CharSchText"/>
        </w:rPr>
        <w:t>Map of South West Settlement Area</w:t>
      </w:r>
      <w:bookmarkEnd w:id="63"/>
      <w:bookmarkEnd w:id="64"/>
      <w:bookmarkEnd w:id="65"/>
      <w:bookmarkEnd w:id="66"/>
    </w:p>
    <w:p>
      <w:pPr>
        <w:pStyle w:val="yShoulderClause"/>
        <w:rPr>
          <w:sz w:val="24"/>
        </w:rPr>
      </w:pPr>
      <w:r>
        <w:rPr>
          <w:sz w:val="24"/>
        </w:rPr>
        <w:t>[bl. 1A(1)]</w:t>
      </w:r>
    </w:p>
    <w:p>
      <w:pPr>
        <w:pStyle w:val="yFootnoteheading"/>
      </w:pPr>
      <w:r>
        <w:tab/>
        <w:t>[Heading inserted: Gazette 7 Jun 2016 p. 1781.]</w:t>
      </w:r>
    </w:p>
    <w:p>
      <w:pPr>
        <w:pStyle w:val="BlankClose"/>
      </w:pPr>
      <w:r>
        <w:rPr>
          <w:noProof/>
          <w:sz w:val="22"/>
        </w:rPr>
        <w:drawing>
          <wp:inline distT="0" distB="0" distL="0" distR="0">
            <wp:extent cx="3705308" cy="5271219"/>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701734" cy="5266134"/>
                    </a:xfrm>
                    <a:prstGeom prst="rect">
                      <a:avLst/>
                    </a:prstGeom>
                  </pic:spPr>
                </pic:pic>
              </a:graphicData>
            </a:graphic>
          </wp:inline>
        </w:drawing>
      </w:r>
    </w:p>
    <w:p>
      <w:pPr>
        <w:pStyle w:val="yFootnotesection"/>
      </w:pPr>
      <w:r>
        <w:tab/>
        <w:t>[Schedule 2 inserted: Gazette 7 Jun 2016 p. 1781.]</w:t>
      </w:r>
    </w:p>
    <w:p>
      <w:pPr>
        <w:pStyle w:val="yEdnoteschedule"/>
        <w:spacing w:before="120"/>
      </w:pPr>
      <w:r>
        <w:t>[Schedule 3 deleted: Gazette 14 Nov 2013 p. 5035.]</w:t>
      </w:r>
    </w:p>
    <w:p>
      <w:pPr>
        <w:pStyle w:val="yScheduleHeading"/>
      </w:pPr>
      <w:bookmarkStart w:id="67" w:name="_Toc478720784"/>
      <w:bookmarkStart w:id="68" w:name="_Toc483215344"/>
      <w:bookmarkStart w:id="69" w:name="_Toc483383695"/>
      <w:bookmarkStart w:id="70" w:name="_Toc483476864"/>
      <w:r>
        <w:rPr>
          <w:rStyle w:val="CharSchNo"/>
        </w:rPr>
        <w:t>Schedule 4</w:t>
      </w:r>
      <w:r>
        <w:rPr>
          <w:rStyle w:val="CharSDivNo"/>
        </w:rPr>
        <w:t> </w:t>
      </w:r>
      <w:r>
        <w:t>—</w:t>
      </w:r>
      <w:r>
        <w:rPr>
          <w:rStyle w:val="CharSDivText"/>
        </w:rPr>
        <w:t> </w:t>
      </w:r>
      <w:r>
        <w:rPr>
          <w:rStyle w:val="CharSchText"/>
        </w:rPr>
        <w:t>Mungalup Dam Catchment</w:t>
      </w:r>
      <w:bookmarkEnd w:id="67"/>
      <w:bookmarkEnd w:id="68"/>
      <w:bookmarkEnd w:id="69"/>
      <w:bookmarkEnd w:id="70"/>
    </w:p>
    <w:p>
      <w:pPr>
        <w:pStyle w:val="yShoulderClause"/>
      </w:pPr>
      <w:r>
        <w:t>[bl. 1(3)]</w:t>
      </w:r>
    </w:p>
    <w:p>
      <w:pPr>
        <w:pStyle w:val="yFootnoteheading"/>
      </w:pPr>
      <w:r>
        <w:tab/>
        <w:t>[Heading inserted: Gazette 15 Nov 2013 p. 5268.]</w:t>
      </w:r>
    </w:p>
    <w:p>
      <w:pPr>
        <w:pStyle w:val="yHeading3"/>
        <w:keepNext w:val="0"/>
      </w:pPr>
      <w:bookmarkStart w:id="71" w:name="_Toc478720785"/>
      <w:bookmarkStart w:id="72" w:name="_Toc483215345"/>
      <w:bookmarkStart w:id="73" w:name="_Toc483383696"/>
      <w:bookmarkStart w:id="74" w:name="_Toc483476865"/>
      <w:r>
        <w:t>Map of Wellington Dam Catchment Area showing Mungalup Dam Catchment</w:t>
      </w:r>
      <w:bookmarkEnd w:id="71"/>
      <w:bookmarkEnd w:id="72"/>
      <w:bookmarkEnd w:id="73"/>
      <w:bookmarkEnd w:id="74"/>
    </w:p>
    <w:p>
      <w:pPr>
        <w:pStyle w:val="Subsection"/>
      </w:pPr>
      <w:r>
        <w:rPr>
          <w:noProof/>
        </w:rPr>
        <w:drawing>
          <wp:inline distT="0" distB="0" distL="0" distR="0">
            <wp:extent cx="3912042" cy="51986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912042" cy="5198689"/>
                    </a:xfrm>
                    <a:prstGeom prst="rect">
                      <a:avLst/>
                    </a:prstGeom>
                  </pic:spPr>
                </pic:pic>
              </a:graphicData>
            </a:graphic>
          </wp:inline>
        </w:drawing>
      </w:r>
    </w:p>
    <w:p>
      <w:pPr>
        <w:pStyle w:val="yHeading3"/>
      </w:pPr>
      <w:bookmarkStart w:id="75" w:name="_Toc478720786"/>
      <w:bookmarkStart w:id="76" w:name="_Toc483215346"/>
      <w:bookmarkStart w:id="77" w:name="_Toc483383697"/>
      <w:bookmarkStart w:id="78" w:name="_Toc483476866"/>
      <w:r>
        <w:t>Map of Mungalup Dam Catchment</w:t>
      </w:r>
      <w:bookmarkEnd w:id="75"/>
      <w:bookmarkEnd w:id="76"/>
      <w:bookmarkEnd w:id="77"/>
      <w:bookmarkEnd w:id="78"/>
    </w:p>
    <w:p>
      <w:pPr>
        <w:pStyle w:val="zySubsection"/>
        <w:keepLines/>
        <w:widowControl w:val="0"/>
        <w:ind w:hanging="1162"/>
      </w:pPr>
      <w:r>
        <w:rPr>
          <w:noProof/>
        </w:rPr>
        <w:drawing>
          <wp:inline distT="0" distB="0" distL="0" distR="0">
            <wp:extent cx="4231271" cy="5780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8">
                      <a:extLst>
                        <a:ext uri="{28A0092B-C50C-407E-A947-70E740481C1C}">
                          <a14:useLocalDpi xmlns:a14="http://schemas.microsoft.com/office/drawing/2010/main" val="0"/>
                        </a:ext>
                      </a:extLst>
                    </a:blip>
                    <a:stretch>
                      <a:fillRect/>
                    </a:stretch>
                  </pic:blipFill>
                  <pic:spPr>
                    <a:xfrm>
                      <a:off x="0" y="0"/>
                      <a:ext cx="4236355" cy="5787545"/>
                    </a:xfrm>
                    <a:prstGeom prst="rect">
                      <a:avLst/>
                    </a:prstGeom>
                  </pic:spPr>
                </pic:pic>
              </a:graphicData>
            </a:graphic>
          </wp:inline>
        </w:drawing>
      </w:r>
    </w:p>
    <w:p>
      <w:pPr>
        <w:pStyle w:val="yFootnotesection"/>
      </w:pPr>
      <w:r>
        <w:tab/>
        <w:t>[Schedule 4 inserted: Gazette 15 Nov 2013 p. 5268-9.]</w:t>
      </w:r>
    </w:p>
    <w:p>
      <w:pPr>
        <w:pStyle w:val="yEdnoteschedule"/>
      </w:pPr>
      <w:r>
        <w:t>[Schedules 5, 6 deleted: Gazette 14 Jul 1987 p. 2650.]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80" w:name="_Toc478720787"/>
      <w:bookmarkStart w:id="81" w:name="_Toc483215347"/>
      <w:bookmarkStart w:id="82" w:name="_Toc483383698"/>
      <w:bookmarkStart w:id="83" w:name="_Toc483476867"/>
      <w:r>
        <w:t>Notes</w:t>
      </w:r>
      <w:bookmarkEnd w:id="80"/>
      <w:bookmarkEnd w:id="81"/>
      <w:bookmarkEnd w:id="82"/>
      <w:bookmarkEnd w:id="83"/>
    </w:p>
    <w:p>
      <w:pPr>
        <w:pStyle w:val="nSubsection"/>
      </w:pPr>
      <w:r>
        <w:rPr>
          <w:vertAlign w:val="superscript"/>
        </w:rPr>
        <w:t>1</w:t>
      </w:r>
      <w:r>
        <w:tab/>
        <w:t xml:space="preserve">This is a compilation of the </w:t>
      </w:r>
      <w:r>
        <w:rPr>
          <w:i/>
          <w:noProof/>
        </w:rPr>
        <w:t>Country Areas Water Supply By-laws 1957</w:t>
      </w:r>
      <w:r>
        <w:t xml:space="preserve"> and includes the amendments made by the other written laws referred to in the following table</w:t>
      </w:r>
      <w:r>
        <w:rPr>
          <w:vertAlign w:val="superscript"/>
        </w:rPr>
        <w:t> 5</w:t>
      </w:r>
      <w:r>
        <w:t>.  The table also contains information about any reprint.</w:t>
      </w:r>
    </w:p>
    <w:p>
      <w:pPr>
        <w:pStyle w:val="nHeading3"/>
        <w:rPr>
          <w:snapToGrid w:val="0"/>
        </w:rPr>
      </w:pPr>
      <w:bookmarkStart w:id="84" w:name="_Toc483476868"/>
      <w:r>
        <w:t>Compilation table</w:t>
      </w:r>
      <w:bookmarkEnd w:id="84"/>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28" w:type="dxa"/>
          <w:wAfter w:w="4" w:type="dxa"/>
          <w:cantSplit/>
          <w:trHeight w:val="40"/>
        </w:trPr>
        <w:tc>
          <w:tcPr>
            <w:tcW w:w="3118" w:type="dxa"/>
            <w:gridSpan w:val="2"/>
            <w:tcBorders>
              <w:top w:val="single" w:sz="8" w:space="0" w:color="auto"/>
            </w:tcBorders>
          </w:tcPr>
          <w:p>
            <w:pPr>
              <w:pStyle w:val="nTable"/>
              <w:spacing w:after="40"/>
              <w:ind w:right="113"/>
            </w:pPr>
            <w:r>
              <w:t>Untitled by</w:t>
            </w:r>
            <w:r>
              <w:noBreakHyphen/>
              <w:t>laws</w:t>
            </w:r>
            <w:r>
              <w:rPr>
                <w:vertAlign w:val="superscript"/>
              </w:rPr>
              <w:t> 6</w:t>
            </w:r>
          </w:p>
        </w:tc>
        <w:tc>
          <w:tcPr>
            <w:tcW w:w="1278" w:type="dxa"/>
            <w:gridSpan w:val="2"/>
            <w:tcBorders>
              <w:top w:val="single" w:sz="8" w:space="0" w:color="auto"/>
            </w:tcBorders>
          </w:tcPr>
          <w:p>
            <w:pPr>
              <w:pStyle w:val="nTable"/>
              <w:spacing w:after="40"/>
            </w:pPr>
            <w:r>
              <w:t>20 Jun 1957 p. 1947</w:t>
            </w:r>
            <w:r>
              <w:noBreakHyphen/>
              <w:t>78</w:t>
            </w:r>
          </w:p>
        </w:tc>
        <w:tc>
          <w:tcPr>
            <w:tcW w:w="2693" w:type="dxa"/>
            <w:gridSpan w:val="2"/>
            <w:tcBorders>
              <w:top w:val="single" w:sz="8" w:space="0" w:color="auto"/>
            </w:tcBorders>
          </w:tcPr>
          <w:p>
            <w:pPr>
              <w:pStyle w:val="nTable"/>
              <w:spacing w:after="40"/>
            </w:pPr>
            <w:r>
              <w:t>1 Jul 1957 (see bl. 1)</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693" w:type="dxa"/>
            <w:gridSpan w:val="2"/>
          </w:tcPr>
          <w:p>
            <w:pPr>
              <w:pStyle w:val="nTable"/>
              <w:spacing w:after="40"/>
            </w:pPr>
            <w:r>
              <w:t>11 Dec 1959</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693" w:type="dxa"/>
            <w:gridSpan w:val="2"/>
          </w:tcPr>
          <w:p>
            <w:pPr>
              <w:pStyle w:val="nTable"/>
              <w:spacing w:after="40"/>
            </w:pPr>
            <w:r>
              <w:t>30 Jun 1960</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693" w:type="dxa"/>
            <w:gridSpan w:val="2"/>
          </w:tcPr>
          <w:p>
            <w:pPr>
              <w:pStyle w:val="nTable"/>
              <w:spacing w:after="40"/>
            </w:pPr>
            <w:r>
              <w:t>1 Jan 1965</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693" w:type="dxa"/>
            <w:gridSpan w:val="2"/>
          </w:tcPr>
          <w:p>
            <w:pPr>
              <w:pStyle w:val="nTable"/>
              <w:spacing w:after="40"/>
            </w:pPr>
            <w:r>
              <w:t>26 Jul 1966</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693" w:type="dxa"/>
            <w:gridSpan w:val="2"/>
          </w:tcPr>
          <w:p>
            <w:pPr>
              <w:pStyle w:val="nTable"/>
              <w:spacing w:after="40"/>
            </w:pPr>
            <w:r>
              <w:t>15 Dec 1966</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693" w:type="dxa"/>
            <w:gridSpan w:val="2"/>
          </w:tcPr>
          <w:p>
            <w:pPr>
              <w:pStyle w:val="nTable"/>
              <w:spacing w:after="40"/>
            </w:pPr>
            <w:r>
              <w:t>1 Jul 1967</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693" w:type="dxa"/>
            <w:gridSpan w:val="2"/>
          </w:tcPr>
          <w:p>
            <w:pPr>
              <w:pStyle w:val="nTable"/>
              <w:spacing w:after="40"/>
            </w:pPr>
            <w:r>
              <w:t>6 Sep 1967</w:t>
            </w:r>
          </w:p>
        </w:tc>
      </w:tr>
      <w:tr>
        <w:trPr>
          <w:gridBefore w:val="1"/>
          <w:gridAfter w:val="1"/>
          <w:wBefore w:w="28" w:type="dxa"/>
          <w:wAfter w:w="6" w:type="dxa"/>
          <w:cantSplit/>
          <w:trHeight w:val="40"/>
        </w:trPr>
        <w:tc>
          <w:tcPr>
            <w:tcW w:w="7087"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693" w:type="dxa"/>
            <w:gridSpan w:val="2"/>
          </w:tcPr>
          <w:p>
            <w:pPr>
              <w:pStyle w:val="nTable"/>
              <w:spacing w:after="40"/>
            </w:pPr>
            <w:r>
              <w:t>24 Jul 1968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693" w:type="dxa"/>
            <w:gridSpan w:val="2"/>
          </w:tcPr>
          <w:p>
            <w:pPr>
              <w:pStyle w:val="nTable"/>
              <w:spacing w:after="40"/>
            </w:pPr>
            <w:r>
              <w:t>5 Sep 1968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693" w:type="dxa"/>
            <w:gridSpan w:val="2"/>
          </w:tcPr>
          <w:p>
            <w:pPr>
              <w:pStyle w:val="nTable"/>
              <w:spacing w:after="40"/>
            </w:pPr>
            <w:r>
              <w:t>26 Sep 1968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693" w:type="dxa"/>
            <w:gridSpan w:val="2"/>
          </w:tcPr>
          <w:p>
            <w:pPr>
              <w:pStyle w:val="nTable"/>
              <w:spacing w:after="40"/>
            </w:pPr>
            <w:r>
              <w:t>6 Feb 1969</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693" w:type="dxa"/>
            <w:gridSpan w:val="2"/>
          </w:tcPr>
          <w:p>
            <w:pPr>
              <w:pStyle w:val="nTable"/>
              <w:spacing w:after="40"/>
            </w:pPr>
            <w:r>
              <w:t>9 Feb 1970</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693" w:type="dxa"/>
            <w:gridSpan w:val="2"/>
          </w:tcPr>
          <w:p>
            <w:pPr>
              <w:pStyle w:val="nTable"/>
              <w:spacing w:after="40"/>
            </w:pPr>
            <w:r>
              <w:t>25 Sep 1970</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693" w:type="dxa"/>
            <w:gridSpan w:val="2"/>
          </w:tcPr>
          <w:p>
            <w:pPr>
              <w:pStyle w:val="nTable"/>
              <w:spacing w:after="40"/>
            </w:pPr>
            <w:r>
              <w:t>4 May 1971</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693" w:type="dxa"/>
            <w:gridSpan w:val="2"/>
          </w:tcPr>
          <w:p>
            <w:pPr>
              <w:pStyle w:val="nTable"/>
              <w:spacing w:after="40"/>
            </w:pPr>
            <w:r>
              <w:t>1 Dec 1972</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693" w:type="dxa"/>
            <w:gridSpan w:val="2"/>
          </w:tcPr>
          <w:p>
            <w:pPr>
              <w:pStyle w:val="nTable"/>
              <w:spacing w:after="40"/>
            </w:pPr>
            <w:r>
              <w:t>29 Jun 1973</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693" w:type="dxa"/>
            <w:gridSpan w:val="2"/>
          </w:tcPr>
          <w:p>
            <w:pPr>
              <w:pStyle w:val="nTable"/>
              <w:spacing w:after="40"/>
            </w:pPr>
            <w:r>
              <w:t>26 Apr 1974</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693" w:type="dxa"/>
            <w:gridSpan w:val="2"/>
          </w:tcPr>
          <w:p>
            <w:pPr>
              <w:pStyle w:val="nTable"/>
              <w:spacing w:after="40"/>
            </w:pPr>
            <w:r>
              <w:t>8 Nov 1974</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693" w:type="dxa"/>
            <w:gridSpan w:val="2"/>
          </w:tcPr>
          <w:p>
            <w:pPr>
              <w:pStyle w:val="nTable"/>
              <w:spacing w:after="40"/>
            </w:pPr>
            <w:r>
              <w:t>6 Dec 1974</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693" w:type="dxa"/>
            <w:gridSpan w:val="2"/>
          </w:tcPr>
          <w:p>
            <w:pPr>
              <w:pStyle w:val="nTable"/>
              <w:keepNext/>
              <w:spacing w:after="40"/>
            </w:pPr>
            <w:r>
              <w:t>21 Mar 1975</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693" w:type="dxa"/>
            <w:gridSpan w:val="2"/>
          </w:tcPr>
          <w:p>
            <w:pPr>
              <w:pStyle w:val="nTable"/>
              <w:spacing w:after="40"/>
            </w:pPr>
            <w:r>
              <w:t>17 Dec 1976</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693" w:type="dxa"/>
            <w:gridSpan w:val="2"/>
          </w:tcPr>
          <w:p>
            <w:pPr>
              <w:pStyle w:val="nTable"/>
              <w:spacing w:after="40"/>
            </w:pPr>
            <w:r>
              <w:t>1 Jul 1977</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693" w:type="dxa"/>
            <w:gridSpan w:val="2"/>
          </w:tcPr>
          <w:p>
            <w:pPr>
              <w:pStyle w:val="nTable"/>
              <w:spacing w:after="40"/>
            </w:pPr>
            <w:r>
              <w:t>23 Mar 1978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693" w:type="dxa"/>
            <w:gridSpan w:val="2"/>
          </w:tcPr>
          <w:p>
            <w:pPr>
              <w:pStyle w:val="nTable"/>
              <w:spacing w:after="40"/>
            </w:pPr>
            <w:r>
              <w:t>30 Jun 1978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693" w:type="dxa"/>
            <w:gridSpan w:val="2"/>
          </w:tcPr>
          <w:p>
            <w:pPr>
              <w:pStyle w:val="nTable"/>
              <w:spacing w:after="40"/>
            </w:pPr>
            <w:r>
              <w:t>17 Nov 1978</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693" w:type="dxa"/>
            <w:gridSpan w:val="2"/>
          </w:tcPr>
          <w:p>
            <w:pPr>
              <w:pStyle w:val="nTable"/>
              <w:spacing w:after="40"/>
            </w:pPr>
            <w:r>
              <w:t>29 Jun 1979</w:t>
            </w:r>
          </w:p>
        </w:tc>
      </w:tr>
      <w:tr>
        <w:trPr>
          <w:gridBefore w:val="1"/>
          <w:gridAfter w:val="1"/>
          <w:wBefore w:w="28" w:type="dxa"/>
          <w:wAfter w:w="4" w:type="dxa"/>
          <w:cantSplit/>
          <w:trHeight w:val="40"/>
        </w:trPr>
        <w:tc>
          <w:tcPr>
            <w:tcW w:w="3118"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693" w:type="dxa"/>
            <w:gridSpan w:val="2"/>
          </w:tcPr>
          <w:p>
            <w:pPr>
              <w:pStyle w:val="nTable"/>
              <w:spacing w:after="40"/>
            </w:pPr>
            <w:r>
              <w:t>1 Jul 1980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693" w:type="dxa"/>
            <w:gridSpan w:val="2"/>
          </w:tcPr>
          <w:p>
            <w:pPr>
              <w:pStyle w:val="nTable"/>
              <w:spacing w:after="40"/>
            </w:pPr>
            <w:r>
              <w:t>1 Jul 1981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693" w:type="dxa"/>
            <w:gridSpan w:val="2"/>
          </w:tcPr>
          <w:p>
            <w:pPr>
              <w:pStyle w:val="nTable"/>
              <w:spacing w:after="40"/>
            </w:pPr>
            <w:r>
              <w:t>1 Jul 1982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693" w:type="dxa"/>
            <w:gridSpan w:val="2"/>
          </w:tcPr>
          <w:p>
            <w:pPr>
              <w:pStyle w:val="nTable"/>
              <w:spacing w:after="40"/>
            </w:pPr>
            <w:r>
              <w:t>20 Aug 1982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693" w:type="dxa"/>
            <w:gridSpan w:val="2"/>
          </w:tcPr>
          <w:p>
            <w:pPr>
              <w:pStyle w:val="nTable"/>
              <w:spacing w:after="40"/>
            </w:pPr>
            <w:r>
              <w:t>1 Jul 1983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693" w:type="dxa"/>
            <w:gridSpan w:val="2"/>
          </w:tcPr>
          <w:p>
            <w:pPr>
              <w:pStyle w:val="nTable"/>
              <w:spacing w:after="40"/>
            </w:pPr>
            <w:r>
              <w:t>11 Nov 1983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693" w:type="dxa"/>
            <w:gridSpan w:val="2"/>
          </w:tcPr>
          <w:p>
            <w:pPr>
              <w:pStyle w:val="nTable"/>
              <w:spacing w:after="40"/>
            </w:pPr>
            <w:r>
              <w:t>29 Jun 1984</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693" w:type="dxa"/>
            <w:gridSpan w:val="2"/>
          </w:tcPr>
          <w:p>
            <w:pPr>
              <w:pStyle w:val="nTable"/>
              <w:spacing w:after="40"/>
            </w:pPr>
            <w:r>
              <w:t>7 Sep 1984</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693" w:type="dxa"/>
            <w:gridSpan w:val="2"/>
          </w:tcPr>
          <w:p>
            <w:pPr>
              <w:pStyle w:val="nTable"/>
              <w:spacing w:after="40"/>
            </w:pPr>
            <w:r>
              <w:t>22 Feb 1985</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693" w:type="dxa"/>
            <w:gridSpan w:val="2"/>
          </w:tcPr>
          <w:p>
            <w:pPr>
              <w:pStyle w:val="nTable"/>
              <w:spacing w:after="40"/>
            </w:pPr>
            <w:r>
              <w:t>1 Jul 1985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693" w:type="dxa"/>
            <w:gridSpan w:val="2"/>
          </w:tcPr>
          <w:p>
            <w:pPr>
              <w:pStyle w:val="nTable"/>
              <w:spacing w:after="40"/>
            </w:pPr>
            <w:r>
              <w:t xml:space="preserve">22 Nov 1985 </w:t>
            </w:r>
          </w:p>
        </w:tc>
      </w:tr>
      <w:tr>
        <w:trPr>
          <w:gridBefore w:val="1"/>
          <w:gridAfter w:val="1"/>
          <w:wBefore w:w="28" w:type="dxa"/>
          <w:wAfter w:w="4" w:type="dxa"/>
          <w:cantSplit/>
          <w:trHeight w:val="40"/>
        </w:trPr>
        <w:tc>
          <w:tcPr>
            <w:tcW w:w="3118"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693" w:type="dxa"/>
            <w:gridSpan w:val="2"/>
          </w:tcPr>
          <w:p>
            <w:pPr>
              <w:pStyle w:val="nTable"/>
              <w:keepNext/>
              <w:spacing w:after="40"/>
            </w:pPr>
            <w:r>
              <w:t>27 Jun 1986</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693" w:type="dxa"/>
            <w:gridSpan w:val="2"/>
          </w:tcPr>
          <w:p>
            <w:pPr>
              <w:pStyle w:val="nTable"/>
              <w:spacing w:after="40"/>
            </w:pPr>
            <w:r>
              <w:t>22 Aug 1986</w:t>
            </w:r>
          </w:p>
        </w:tc>
      </w:tr>
      <w:tr>
        <w:trPr>
          <w:gridBefore w:val="1"/>
          <w:gridAfter w:val="1"/>
          <w:wBefore w:w="28" w:type="dxa"/>
          <w:wAfter w:w="4" w:type="dxa"/>
          <w:cantSplit/>
          <w:trHeight w:val="40"/>
        </w:trPr>
        <w:tc>
          <w:tcPr>
            <w:tcW w:w="3118"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693" w:type="dxa"/>
            <w:gridSpan w:val="2"/>
          </w:tcPr>
          <w:p>
            <w:pPr>
              <w:pStyle w:val="nTable"/>
              <w:spacing w:after="40"/>
            </w:pPr>
            <w:r>
              <w:t>14 Jul 1987</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693" w:type="dxa"/>
            <w:gridSpan w:val="2"/>
          </w:tcPr>
          <w:p>
            <w:pPr>
              <w:pStyle w:val="nTable"/>
              <w:spacing w:after="40"/>
            </w:pPr>
            <w:r>
              <w:t>1 Jul 1988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693" w:type="dxa"/>
            <w:gridSpan w:val="2"/>
          </w:tcPr>
          <w:p>
            <w:pPr>
              <w:pStyle w:val="nTable"/>
              <w:spacing w:after="40"/>
            </w:pPr>
            <w:r>
              <w:t>14 Oct 1988</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693" w:type="dxa"/>
            <w:gridSpan w:val="2"/>
          </w:tcPr>
          <w:p>
            <w:pPr>
              <w:pStyle w:val="nTable"/>
              <w:spacing w:after="40"/>
            </w:pPr>
            <w:r>
              <w:t>21 Apr 1989</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693" w:type="dxa"/>
            <w:gridSpan w:val="2"/>
          </w:tcPr>
          <w:p>
            <w:pPr>
              <w:pStyle w:val="nTable"/>
              <w:spacing w:after="40"/>
            </w:pPr>
            <w:r>
              <w:t>1 Jul 1989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693" w:type="dxa"/>
            <w:gridSpan w:val="2"/>
          </w:tcPr>
          <w:p>
            <w:pPr>
              <w:pStyle w:val="nTable"/>
              <w:spacing w:after="40"/>
            </w:pPr>
            <w:r>
              <w:t>1 Feb 1990 (see bl. 2 and </w:t>
            </w:r>
            <w:r>
              <w:rPr>
                <w:i/>
              </w:rPr>
              <w:t>Gazette</w:t>
            </w:r>
            <w:r>
              <w:t xml:space="preserve"> 5 Jan 1990 p. 38)</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693" w:type="dxa"/>
            <w:gridSpan w:val="2"/>
          </w:tcPr>
          <w:p>
            <w:pPr>
              <w:pStyle w:val="nTable"/>
              <w:spacing w:after="40"/>
            </w:pPr>
            <w:r>
              <w:t>1 Feb 1990 (see bl. 2 and </w:t>
            </w:r>
            <w:r>
              <w:rPr>
                <w:i/>
              </w:rPr>
              <w:t>Gazette</w:t>
            </w:r>
            <w:r>
              <w:t xml:space="preserve"> 5 Jan 1990 p. 38)</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693" w:type="dxa"/>
            <w:gridSpan w:val="2"/>
          </w:tcPr>
          <w:p>
            <w:pPr>
              <w:pStyle w:val="nTable"/>
              <w:spacing w:after="40"/>
            </w:pPr>
            <w:r>
              <w:t>1 Jul 1990 (see bl. 3)</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693" w:type="dxa"/>
            <w:gridSpan w:val="2"/>
          </w:tcPr>
          <w:p>
            <w:pPr>
              <w:pStyle w:val="nTable"/>
              <w:spacing w:after="40"/>
            </w:pPr>
            <w:r>
              <w:t>27 Jul 1990</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693" w:type="dxa"/>
            <w:gridSpan w:val="2"/>
          </w:tcPr>
          <w:p>
            <w:pPr>
              <w:pStyle w:val="nTable"/>
              <w:spacing w:after="40"/>
            </w:pPr>
            <w:r>
              <w:t>21 Sep 1990</w:t>
            </w:r>
          </w:p>
        </w:tc>
      </w:tr>
      <w:tr>
        <w:trPr>
          <w:gridBefore w:val="1"/>
          <w:gridAfter w:val="1"/>
          <w:wBefore w:w="28" w:type="dxa"/>
          <w:wAfter w:w="4" w:type="dxa"/>
          <w:cantSplit/>
          <w:trHeight w:val="40"/>
        </w:trPr>
        <w:tc>
          <w:tcPr>
            <w:tcW w:w="3118"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693" w:type="dxa"/>
            <w:gridSpan w:val="2"/>
          </w:tcPr>
          <w:p>
            <w:pPr>
              <w:pStyle w:val="nTable"/>
              <w:spacing w:after="40"/>
            </w:pPr>
            <w:r>
              <w:t>1 Jul 1991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693" w:type="dxa"/>
            <w:gridSpan w:val="2"/>
          </w:tcPr>
          <w:p>
            <w:pPr>
              <w:pStyle w:val="nTable"/>
              <w:spacing w:after="40"/>
            </w:pPr>
            <w:r>
              <w:t>3 Jan 1992</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693" w:type="dxa"/>
            <w:gridSpan w:val="2"/>
          </w:tcPr>
          <w:p>
            <w:pPr>
              <w:pStyle w:val="nTable"/>
              <w:spacing w:after="40"/>
            </w:pPr>
            <w:r>
              <w:t>1 Jul 1992 (see bl. 3)</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693" w:type="dxa"/>
            <w:gridSpan w:val="2"/>
          </w:tcPr>
          <w:p>
            <w:pPr>
              <w:pStyle w:val="nTable"/>
              <w:spacing w:after="40"/>
            </w:pPr>
            <w:r>
              <w:t>1 Jan 1993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693" w:type="dxa"/>
            <w:gridSpan w:val="2"/>
          </w:tcPr>
          <w:p>
            <w:pPr>
              <w:pStyle w:val="nTable"/>
              <w:spacing w:after="40"/>
            </w:pPr>
            <w:r>
              <w:t>4 May 1993</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7</w:t>
            </w:r>
          </w:p>
        </w:tc>
        <w:tc>
          <w:tcPr>
            <w:tcW w:w="1278" w:type="dxa"/>
            <w:gridSpan w:val="2"/>
          </w:tcPr>
          <w:p>
            <w:pPr>
              <w:pStyle w:val="nTable"/>
              <w:spacing w:after="40"/>
            </w:pPr>
            <w:r>
              <w:t>1 Jul 1993 p. 3238</w:t>
            </w:r>
            <w:r>
              <w:noBreakHyphen/>
              <w:t>50</w:t>
            </w:r>
          </w:p>
        </w:tc>
        <w:tc>
          <w:tcPr>
            <w:tcW w:w="2693" w:type="dxa"/>
            <w:gridSpan w:val="2"/>
          </w:tcPr>
          <w:p>
            <w:pPr>
              <w:pStyle w:val="nTable"/>
              <w:spacing w:after="40"/>
            </w:pPr>
            <w:r>
              <w:t>1 Jul 1993</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7</w:t>
            </w:r>
          </w:p>
        </w:tc>
        <w:tc>
          <w:tcPr>
            <w:tcW w:w="1278" w:type="dxa"/>
            <w:gridSpan w:val="2"/>
          </w:tcPr>
          <w:p>
            <w:pPr>
              <w:pStyle w:val="nTable"/>
              <w:spacing w:after="40"/>
            </w:pPr>
            <w:r>
              <w:t>29 Jun 1994 p. 3159</w:t>
            </w:r>
            <w:r>
              <w:noBreakHyphen/>
              <w:t>70</w:t>
            </w:r>
          </w:p>
        </w:tc>
        <w:tc>
          <w:tcPr>
            <w:tcW w:w="2693" w:type="dxa"/>
            <w:gridSpan w:val="2"/>
          </w:tcPr>
          <w:p>
            <w:pPr>
              <w:pStyle w:val="nTable"/>
              <w:spacing w:after="40"/>
            </w:pPr>
            <w:r>
              <w:t>1 Jul 1994 (see bl. 2)</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7</w:t>
            </w:r>
          </w:p>
        </w:tc>
        <w:tc>
          <w:tcPr>
            <w:tcW w:w="1278" w:type="dxa"/>
            <w:gridSpan w:val="2"/>
          </w:tcPr>
          <w:p>
            <w:pPr>
              <w:pStyle w:val="nTable"/>
              <w:spacing w:after="40"/>
            </w:pPr>
            <w:r>
              <w:t>30 Jun 1995 p. 2767</w:t>
            </w:r>
            <w:r>
              <w:noBreakHyphen/>
              <w:t>76</w:t>
            </w:r>
          </w:p>
        </w:tc>
        <w:tc>
          <w:tcPr>
            <w:tcW w:w="2693" w:type="dxa"/>
            <w:gridSpan w:val="2"/>
          </w:tcPr>
          <w:p>
            <w:pPr>
              <w:pStyle w:val="nTable"/>
              <w:spacing w:after="40"/>
            </w:pPr>
            <w:r>
              <w:t>1 Jul 1995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693" w:type="dxa"/>
            <w:gridSpan w:val="2"/>
          </w:tcPr>
          <w:p>
            <w:pPr>
              <w:pStyle w:val="nTable"/>
              <w:spacing w:after="40"/>
            </w:pPr>
            <w:r>
              <w:t>30 Jun 1995</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693" w:type="dxa"/>
            <w:gridSpan w:val="2"/>
          </w:tcPr>
          <w:p>
            <w:pPr>
              <w:pStyle w:val="nTable"/>
              <w:spacing w:after="40"/>
            </w:pPr>
            <w:r>
              <w:t>1 Jan 1996 (see bl. 2 and </w:t>
            </w:r>
            <w:r>
              <w:rPr>
                <w:i/>
              </w:rPr>
              <w:t>Gazette</w:t>
            </w:r>
            <w:r>
              <w:t xml:space="preserve"> 29 Dec 1995 p. 6291)</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7</w:t>
            </w:r>
          </w:p>
        </w:tc>
        <w:tc>
          <w:tcPr>
            <w:tcW w:w="1278" w:type="dxa"/>
            <w:gridSpan w:val="2"/>
          </w:tcPr>
          <w:p>
            <w:pPr>
              <w:pStyle w:val="nTable"/>
              <w:spacing w:after="40"/>
            </w:pPr>
            <w:r>
              <w:t>27 Jun 1997 p. 3204</w:t>
            </w:r>
            <w:r>
              <w:noBreakHyphen/>
              <w:t>20</w:t>
            </w:r>
          </w:p>
        </w:tc>
        <w:tc>
          <w:tcPr>
            <w:tcW w:w="2693" w:type="dxa"/>
            <w:gridSpan w:val="2"/>
          </w:tcPr>
          <w:p>
            <w:pPr>
              <w:pStyle w:val="nTable"/>
              <w:spacing w:after="40"/>
            </w:pPr>
            <w:r>
              <w:t>1 Jul 1997 (see bl. 2)</w:t>
            </w:r>
          </w:p>
        </w:tc>
      </w:tr>
      <w:tr>
        <w:trPr>
          <w:gridBefore w:val="1"/>
          <w:gridAfter w:val="1"/>
          <w:wBefore w:w="28" w:type="dxa"/>
          <w:wAfter w:w="4" w:type="dxa"/>
          <w:cantSplit/>
          <w:trHeight w:val="40"/>
        </w:trPr>
        <w:tc>
          <w:tcPr>
            <w:tcW w:w="3118"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7</w:t>
            </w:r>
          </w:p>
        </w:tc>
        <w:tc>
          <w:tcPr>
            <w:tcW w:w="1278" w:type="dxa"/>
            <w:gridSpan w:val="2"/>
          </w:tcPr>
          <w:p>
            <w:pPr>
              <w:pStyle w:val="nTable"/>
              <w:spacing w:after="40"/>
            </w:pPr>
            <w:r>
              <w:t>26 Jun 1998 p. 3417</w:t>
            </w:r>
            <w:r>
              <w:noBreakHyphen/>
              <w:t>21</w:t>
            </w:r>
          </w:p>
        </w:tc>
        <w:tc>
          <w:tcPr>
            <w:tcW w:w="2693" w:type="dxa"/>
            <w:gridSpan w:val="2"/>
          </w:tcPr>
          <w:p>
            <w:pPr>
              <w:pStyle w:val="nTable"/>
              <w:spacing w:after="40"/>
            </w:pPr>
            <w:r>
              <w:t>1 Jul 1998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693" w:type="dxa"/>
            <w:gridSpan w:val="2"/>
          </w:tcPr>
          <w:p>
            <w:pPr>
              <w:pStyle w:val="nTable"/>
              <w:spacing w:after="40"/>
            </w:pPr>
            <w:r>
              <w:t>25 Aug 1998</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693" w:type="dxa"/>
            <w:gridSpan w:val="2"/>
          </w:tcPr>
          <w:p>
            <w:pPr>
              <w:pStyle w:val="nTable"/>
              <w:spacing w:after="40"/>
            </w:pPr>
            <w:r>
              <w:t>29 Sep 1998 (see bl. 2)</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7</w:t>
            </w:r>
          </w:p>
        </w:tc>
        <w:tc>
          <w:tcPr>
            <w:tcW w:w="1278" w:type="dxa"/>
            <w:gridSpan w:val="2"/>
          </w:tcPr>
          <w:p>
            <w:pPr>
              <w:pStyle w:val="nTable"/>
              <w:spacing w:after="40"/>
            </w:pPr>
            <w:r>
              <w:t>29 Jun 1999 p. 2775</w:t>
            </w:r>
            <w:r>
              <w:noBreakHyphen/>
              <w:t>87</w:t>
            </w:r>
          </w:p>
        </w:tc>
        <w:tc>
          <w:tcPr>
            <w:tcW w:w="2693" w:type="dxa"/>
            <w:gridSpan w:val="2"/>
          </w:tcPr>
          <w:p>
            <w:pPr>
              <w:pStyle w:val="nTable"/>
              <w:spacing w:after="40"/>
            </w:pPr>
            <w:r>
              <w:t>1 Jul 1999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693" w:type="dxa"/>
            <w:gridSpan w:val="2"/>
          </w:tcPr>
          <w:p>
            <w:pPr>
              <w:pStyle w:val="nTable"/>
              <w:spacing w:after="40"/>
            </w:pPr>
            <w:r>
              <w:t>14 Apr 2000</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693" w:type="dxa"/>
            <w:gridSpan w:val="2"/>
          </w:tcPr>
          <w:p>
            <w:pPr>
              <w:pStyle w:val="nTable"/>
              <w:spacing w:after="40"/>
            </w:pPr>
            <w:r>
              <w:t xml:space="preserve">19 Jun 2000 (see bl. 2 and </w:t>
            </w:r>
            <w:r>
              <w:rPr>
                <w:i/>
              </w:rPr>
              <w:t>Gazette</w:t>
            </w:r>
            <w:r>
              <w:t xml:space="preserve"> 16 Jun 2000 p. 2939)</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7</w:t>
            </w:r>
          </w:p>
        </w:tc>
        <w:tc>
          <w:tcPr>
            <w:tcW w:w="1278" w:type="dxa"/>
            <w:gridSpan w:val="2"/>
          </w:tcPr>
          <w:p>
            <w:pPr>
              <w:pStyle w:val="nTable"/>
              <w:spacing w:after="40"/>
            </w:pPr>
            <w:r>
              <w:t>29 Jun 2000 p. 3365</w:t>
            </w:r>
            <w:r>
              <w:noBreakHyphen/>
              <w:t>79</w:t>
            </w:r>
          </w:p>
        </w:tc>
        <w:tc>
          <w:tcPr>
            <w:tcW w:w="2693" w:type="dxa"/>
            <w:gridSpan w:val="2"/>
          </w:tcPr>
          <w:p>
            <w:pPr>
              <w:pStyle w:val="nTable"/>
              <w:spacing w:after="40"/>
            </w:pPr>
            <w:r>
              <w:t>1 Jul 2000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693" w:type="dxa"/>
            <w:gridSpan w:val="2"/>
          </w:tcPr>
          <w:p>
            <w:pPr>
              <w:pStyle w:val="nTable"/>
              <w:spacing w:after="40"/>
            </w:pPr>
            <w:r>
              <w:t>29 Sep 2000</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693" w:type="dxa"/>
            <w:gridSpan w:val="2"/>
          </w:tcPr>
          <w:p>
            <w:pPr>
              <w:pStyle w:val="nTable"/>
              <w:spacing w:after="40"/>
            </w:pPr>
            <w:r>
              <w:t>29 May 2001</w:t>
            </w:r>
          </w:p>
        </w:tc>
      </w:tr>
      <w:tr>
        <w:trPr>
          <w:gridBefore w:val="1"/>
          <w:gridAfter w:val="1"/>
          <w:wBefore w:w="28" w:type="dxa"/>
          <w:wAfter w:w="4" w:type="dxa"/>
          <w:cantSplit/>
          <w:trHeight w:val="40"/>
        </w:trPr>
        <w:tc>
          <w:tcPr>
            <w:tcW w:w="3118"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7</w:t>
            </w:r>
          </w:p>
        </w:tc>
        <w:tc>
          <w:tcPr>
            <w:tcW w:w="1278" w:type="dxa"/>
            <w:gridSpan w:val="2"/>
          </w:tcPr>
          <w:p>
            <w:pPr>
              <w:pStyle w:val="nTable"/>
              <w:spacing w:after="40"/>
            </w:pPr>
            <w:r>
              <w:t>29 Jun 2001 p. 3230</w:t>
            </w:r>
            <w:r>
              <w:noBreakHyphen/>
              <w:t>42</w:t>
            </w:r>
          </w:p>
        </w:tc>
        <w:tc>
          <w:tcPr>
            <w:tcW w:w="2693" w:type="dxa"/>
            <w:gridSpan w:val="2"/>
          </w:tcPr>
          <w:p>
            <w:pPr>
              <w:pStyle w:val="nTable"/>
              <w:spacing w:after="40"/>
            </w:pPr>
            <w:r>
              <w:t>1 Jul 2001 (see bl. 2)</w:t>
            </w:r>
          </w:p>
        </w:tc>
      </w:tr>
      <w:tr>
        <w:trPr>
          <w:gridBefore w:val="1"/>
          <w:gridAfter w:val="1"/>
          <w:wBefore w:w="28" w:type="dxa"/>
          <w:wAfter w:w="6" w:type="dxa"/>
          <w:cantSplit/>
          <w:trHeight w:val="40"/>
        </w:trPr>
        <w:tc>
          <w:tcPr>
            <w:tcW w:w="7087"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693" w:type="dxa"/>
            <w:gridSpan w:val="2"/>
          </w:tcPr>
          <w:p>
            <w:pPr>
              <w:pStyle w:val="nTable"/>
              <w:spacing w:after="40"/>
              <w:ind w:right="113"/>
            </w:pPr>
            <w:r>
              <w:t>1 Jul 2002</w:t>
            </w:r>
          </w:p>
        </w:tc>
      </w:tr>
      <w:tr>
        <w:trPr>
          <w:gridBefore w:val="1"/>
          <w:gridAfter w:val="1"/>
          <w:wBefore w:w="28" w:type="dxa"/>
          <w:wAfter w:w="4" w:type="dxa"/>
          <w:cantSplit/>
          <w:trHeight w:val="40"/>
        </w:trPr>
        <w:tc>
          <w:tcPr>
            <w:tcW w:w="3118"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7</w:t>
            </w:r>
          </w:p>
        </w:tc>
        <w:tc>
          <w:tcPr>
            <w:tcW w:w="1278" w:type="dxa"/>
            <w:gridSpan w:val="2"/>
          </w:tcPr>
          <w:p>
            <w:pPr>
              <w:pStyle w:val="nTable"/>
              <w:spacing w:after="40"/>
              <w:ind w:right="113"/>
            </w:pPr>
            <w:r>
              <w:t>27 Jun 2003 p. 2422-32</w:t>
            </w:r>
          </w:p>
        </w:tc>
        <w:tc>
          <w:tcPr>
            <w:tcW w:w="2693" w:type="dxa"/>
            <w:gridSpan w:val="2"/>
          </w:tcPr>
          <w:p>
            <w:pPr>
              <w:pStyle w:val="nTable"/>
              <w:spacing w:after="40"/>
              <w:ind w:right="113"/>
            </w:pPr>
            <w:r>
              <w:t>1 Jul 2003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693" w:type="dxa"/>
            <w:gridSpan w:val="2"/>
          </w:tcPr>
          <w:p>
            <w:pPr>
              <w:pStyle w:val="nTable"/>
              <w:spacing w:after="40"/>
              <w:ind w:right="113"/>
            </w:pPr>
            <w:r>
              <w:t xml:space="preserve">1 Jul 2004 (see bl. 2 and </w:t>
            </w:r>
            <w:r>
              <w:rPr>
                <w:i/>
              </w:rPr>
              <w:t>Gazette</w:t>
            </w:r>
            <w:r>
              <w:t xml:space="preserve"> 28 Jun 2004 p. 2399)</w:t>
            </w:r>
          </w:p>
        </w:tc>
      </w:tr>
      <w:tr>
        <w:trPr>
          <w:gridBefore w:val="1"/>
          <w:gridAfter w:val="1"/>
          <w:wBefore w:w="28" w:type="dxa"/>
          <w:wAfter w:w="4" w:type="dxa"/>
          <w:cantSplit/>
          <w:trHeight w:val="40"/>
        </w:trPr>
        <w:tc>
          <w:tcPr>
            <w:tcW w:w="3118" w:type="dxa"/>
            <w:gridSpan w:val="2"/>
          </w:tcPr>
          <w:p>
            <w:pPr>
              <w:pStyle w:val="nTable"/>
              <w:spacing w:after="40"/>
              <w:ind w:right="113"/>
            </w:pPr>
            <w:r>
              <w:rPr>
                <w:i/>
              </w:rPr>
              <w:t>Water Agencies Amendment By</w:t>
            </w:r>
            <w:r>
              <w:rPr>
                <w:i/>
              </w:rPr>
              <w:noBreakHyphen/>
              <w:t>laws 2004</w:t>
            </w:r>
            <w:r>
              <w:t xml:space="preserve"> Pt. 2</w:t>
            </w:r>
            <w:r>
              <w:rPr>
                <w:vertAlign w:val="superscript"/>
              </w:rPr>
              <w:t> 7</w:t>
            </w:r>
          </w:p>
        </w:tc>
        <w:tc>
          <w:tcPr>
            <w:tcW w:w="1278" w:type="dxa"/>
            <w:gridSpan w:val="2"/>
          </w:tcPr>
          <w:p>
            <w:pPr>
              <w:pStyle w:val="nTable"/>
              <w:spacing w:after="40"/>
              <w:ind w:right="113"/>
            </w:pPr>
            <w:r>
              <w:t>29 Jun 2004 p. 2497-503</w:t>
            </w:r>
          </w:p>
        </w:tc>
        <w:tc>
          <w:tcPr>
            <w:tcW w:w="2693" w:type="dxa"/>
            <w:gridSpan w:val="2"/>
          </w:tcPr>
          <w:p>
            <w:pPr>
              <w:pStyle w:val="nTable"/>
              <w:spacing w:after="40"/>
              <w:ind w:right="113"/>
            </w:pPr>
            <w:r>
              <w:t>1 Jul 2004 (see bl. 2)</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693" w:type="dxa"/>
            <w:gridSpan w:val="2"/>
          </w:tcPr>
          <w:p>
            <w:pPr>
              <w:pStyle w:val="nTable"/>
              <w:spacing w:after="40"/>
              <w:ind w:right="113"/>
            </w:pPr>
            <w:r>
              <w:t>26 Apr 2005</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7</w:t>
            </w:r>
          </w:p>
        </w:tc>
        <w:tc>
          <w:tcPr>
            <w:tcW w:w="1278" w:type="dxa"/>
            <w:gridSpan w:val="2"/>
          </w:tcPr>
          <w:p>
            <w:pPr>
              <w:pStyle w:val="nTable"/>
              <w:spacing w:after="40"/>
              <w:ind w:right="113"/>
            </w:pPr>
            <w:r>
              <w:rPr>
                <w:bCs/>
              </w:rPr>
              <w:t>1 Jul 2005 p. 3009-17</w:t>
            </w:r>
          </w:p>
        </w:tc>
        <w:tc>
          <w:tcPr>
            <w:tcW w:w="2693" w:type="dxa"/>
            <w:gridSpan w:val="2"/>
          </w:tcPr>
          <w:p>
            <w:pPr>
              <w:pStyle w:val="nTable"/>
              <w:spacing w:after="40"/>
              <w:ind w:right="113"/>
            </w:pPr>
            <w:r>
              <w:rPr>
                <w:bCs/>
              </w:rPr>
              <w:t>1 Jul 2005 (see bl. 2)</w:t>
            </w:r>
          </w:p>
        </w:tc>
      </w:tr>
      <w:tr>
        <w:trPr>
          <w:gridBefore w:val="1"/>
          <w:gridAfter w:val="1"/>
          <w:wBefore w:w="28" w:type="dxa"/>
          <w:wAfter w:w="6" w:type="dxa"/>
          <w:cantSplit/>
          <w:trHeight w:val="40"/>
        </w:trPr>
        <w:tc>
          <w:tcPr>
            <w:tcW w:w="7087"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gridAfter w:val="1"/>
          <w:wBefore w:w="28" w:type="dxa"/>
          <w:wAfter w:w="4" w:type="dxa"/>
          <w:cantSplit/>
          <w:trHeight w:val="40"/>
        </w:trPr>
        <w:tc>
          <w:tcPr>
            <w:tcW w:w="3118"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7</w:t>
            </w:r>
          </w:p>
        </w:tc>
        <w:tc>
          <w:tcPr>
            <w:tcW w:w="1278" w:type="dxa"/>
            <w:gridSpan w:val="2"/>
          </w:tcPr>
          <w:p>
            <w:pPr>
              <w:pStyle w:val="nTable"/>
              <w:spacing w:after="40"/>
              <w:ind w:right="113"/>
            </w:pPr>
            <w:r>
              <w:rPr>
                <w:bCs/>
              </w:rPr>
              <w:t>30 Jun 2006 p. 2399-412</w:t>
            </w:r>
          </w:p>
        </w:tc>
        <w:tc>
          <w:tcPr>
            <w:tcW w:w="2693" w:type="dxa"/>
            <w:gridSpan w:val="2"/>
          </w:tcPr>
          <w:p>
            <w:pPr>
              <w:pStyle w:val="nTable"/>
              <w:spacing w:after="40"/>
              <w:ind w:right="113"/>
            </w:pPr>
            <w:r>
              <w:rPr>
                <w:bCs/>
              </w:rPr>
              <w:t>1 Jul 2006 (see bl. 2)</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7</w:t>
            </w:r>
          </w:p>
        </w:tc>
        <w:tc>
          <w:tcPr>
            <w:tcW w:w="1278" w:type="dxa"/>
            <w:gridSpan w:val="2"/>
          </w:tcPr>
          <w:p>
            <w:pPr>
              <w:pStyle w:val="nTable"/>
              <w:spacing w:after="40"/>
              <w:ind w:right="113"/>
              <w:rPr>
                <w:bCs/>
              </w:rPr>
            </w:pPr>
            <w:r>
              <w:rPr>
                <w:bCs/>
              </w:rPr>
              <w:t>29 Jun 2007 p. 3233-44</w:t>
            </w:r>
          </w:p>
        </w:tc>
        <w:tc>
          <w:tcPr>
            <w:tcW w:w="2693" w:type="dxa"/>
            <w:gridSpan w:val="2"/>
          </w:tcPr>
          <w:p>
            <w:pPr>
              <w:pStyle w:val="nTable"/>
              <w:spacing w:after="40"/>
              <w:ind w:right="113"/>
              <w:rPr>
                <w:bCs/>
              </w:rPr>
            </w:pPr>
            <w:r>
              <w:rPr>
                <w:bCs/>
              </w:rPr>
              <w:t>1 Jul 2007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693"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8</w:t>
            </w:r>
          </w:p>
        </w:tc>
        <w:tc>
          <w:tcPr>
            <w:tcW w:w="1278" w:type="dxa"/>
            <w:gridSpan w:val="2"/>
          </w:tcPr>
          <w:p>
            <w:pPr>
              <w:pStyle w:val="nTable"/>
              <w:spacing w:after="40"/>
              <w:ind w:right="113"/>
              <w:rPr>
                <w:bCs/>
              </w:rPr>
            </w:pPr>
            <w:r>
              <w:rPr>
                <w:bCs/>
              </w:rPr>
              <w:t>27 Jun 2008 p. 3076</w:t>
            </w:r>
            <w:r>
              <w:rPr>
                <w:bCs/>
              </w:rPr>
              <w:noBreakHyphen/>
              <w:t>84</w:t>
            </w:r>
          </w:p>
        </w:tc>
        <w:tc>
          <w:tcPr>
            <w:tcW w:w="2693" w:type="dxa"/>
            <w:gridSpan w:val="2"/>
          </w:tcPr>
          <w:p>
            <w:pPr>
              <w:pStyle w:val="nTable"/>
              <w:spacing w:after="40"/>
              <w:ind w:right="113"/>
              <w:rPr>
                <w:bCs/>
              </w:rPr>
            </w:pPr>
            <w:r>
              <w:rPr>
                <w:bCs/>
                <w:snapToGrid w:val="0"/>
              </w:rPr>
              <w:t>1 Jul 2008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693"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gridAfter w:val="1"/>
          <w:wBefore w:w="28" w:type="dxa"/>
          <w:wAfter w:w="6" w:type="dxa"/>
          <w:cantSplit/>
          <w:trHeight w:val="40"/>
        </w:trPr>
        <w:tc>
          <w:tcPr>
            <w:tcW w:w="7087"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693" w:type="dxa"/>
            <w:gridSpan w:val="2"/>
          </w:tcPr>
          <w:p>
            <w:pPr>
              <w:pStyle w:val="nTable"/>
              <w:spacing w:after="40"/>
              <w:ind w:right="113"/>
              <w:rPr>
                <w:bCs/>
                <w:snapToGrid w:val="0"/>
              </w:rPr>
            </w:pPr>
            <w:r>
              <w:rPr>
                <w:bCs/>
                <w:snapToGrid w:val="0"/>
              </w:rPr>
              <w:t>1 Jul 2009 (see bl. 2(b))</w:t>
            </w:r>
          </w:p>
        </w:tc>
      </w:tr>
      <w:tr>
        <w:trPr>
          <w:gridBefore w:val="1"/>
          <w:gridAfter w:val="1"/>
          <w:wBefore w:w="28" w:type="dxa"/>
          <w:wAfter w:w="4" w:type="dxa"/>
          <w:cantSplit/>
          <w:trHeight w:val="40"/>
        </w:trPr>
        <w:tc>
          <w:tcPr>
            <w:tcW w:w="3118"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693"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gridAfter w:val="2"/>
          <w:wAfter w:w="32" w:type="dxa"/>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693" w:type="dxa"/>
            <w:gridSpan w:val="2"/>
          </w:tcPr>
          <w:p>
            <w:pPr>
              <w:pStyle w:val="nTable"/>
              <w:spacing w:after="40"/>
              <w:ind w:right="113"/>
              <w:rPr>
                <w:bCs/>
                <w:snapToGrid w:val="0"/>
              </w:rPr>
            </w:pPr>
            <w:r>
              <w:rPr>
                <w:bCs/>
                <w:snapToGrid w:val="0"/>
              </w:rPr>
              <w:t>1 Jul 2010 (see bl. 2(b))</w:t>
            </w:r>
          </w:p>
        </w:tc>
      </w:tr>
      <w:tr>
        <w:trPr>
          <w:gridAfter w:val="2"/>
          <w:wAfter w:w="32" w:type="dxa"/>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693" w:type="dxa"/>
            <w:gridSpan w:val="2"/>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693" w:type="dxa"/>
            <w:gridSpan w:val="2"/>
            <w:shd w:val="clear" w:color="auto" w:fill="auto"/>
          </w:tcPr>
          <w:p>
            <w:pPr>
              <w:pStyle w:val="nTable"/>
              <w:spacing w:after="40"/>
              <w:ind w:right="113"/>
              <w:rPr>
                <w:bCs/>
                <w:snapToGrid w:val="0"/>
              </w:rPr>
            </w:pPr>
            <w:r>
              <w:rPr>
                <w:bCs/>
                <w:snapToGrid w:val="0"/>
              </w:rPr>
              <w:t>1 Jul 2011 (see bl. 2(b))</w:t>
            </w:r>
          </w:p>
        </w:tc>
      </w:tr>
      <w:tr>
        <w:trPr>
          <w:gridAfter w:val="2"/>
          <w:wAfter w:w="34" w:type="dxa"/>
          <w:cantSplit/>
          <w:trHeight w:val="40"/>
        </w:trPr>
        <w:tc>
          <w:tcPr>
            <w:tcW w:w="7087" w:type="dxa"/>
            <w:gridSpan w:val="6"/>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693" w:type="dxa"/>
            <w:gridSpan w:val="2"/>
            <w:shd w:val="clear" w:color="auto" w:fill="auto"/>
          </w:tcPr>
          <w:p>
            <w:pPr>
              <w:pStyle w:val="nTable"/>
              <w:spacing w:after="40"/>
              <w:ind w:right="113"/>
              <w:rPr>
                <w:bCs/>
                <w:snapToGrid w:val="0"/>
              </w:rPr>
            </w:pPr>
            <w:r>
              <w:rPr>
                <w:bCs/>
                <w:snapToGrid w:val="0"/>
              </w:rPr>
              <w:t>1 Jul 2012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693" w:type="dxa"/>
            <w:gridSpan w:val="2"/>
            <w:shd w:val="clear" w:color="auto" w:fill="auto"/>
          </w:tcPr>
          <w:p>
            <w:pPr>
              <w:pStyle w:val="nTable"/>
              <w:spacing w:after="40"/>
              <w:ind w:right="113"/>
              <w:rPr>
                <w:rFonts w:ascii="Arial" w:hAnsi="Arial"/>
                <w:b/>
                <w:bCs/>
                <w:snapToGrid w:val="0"/>
              </w:rPr>
            </w:pPr>
            <w:r>
              <w:rPr>
                <w:bCs/>
                <w:snapToGrid w:val="0"/>
              </w:rPr>
              <w:t>1 Jul 2013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693" w:type="dxa"/>
            <w:gridSpan w:val="2"/>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693" w:type="dxa"/>
            <w:gridSpan w:val="2"/>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shd w:val="clear" w:color="auto" w:fill="auto"/>
          </w:tcPr>
          <w:p>
            <w:pPr>
              <w:pStyle w:val="nTable"/>
              <w:spacing w:after="40"/>
              <w:ind w:right="113"/>
              <w:rPr>
                <w:bCs/>
              </w:rPr>
            </w:pPr>
            <w:r>
              <w:rPr>
                <w:bCs/>
              </w:rPr>
              <w:t>8 May 2015 p. 1622</w:t>
            </w:r>
          </w:p>
        </w:tc>
        <w:tc>
          <w:tcPr>
            <w:tcW w:w="2693" w:type="dxa"/>
            <w:gridSpan w:val="2"/>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r>
        <w:trPr>
          <w:gridAfter w:val="2"/>
          <w:wAfter w:w="32" w:type="dxa"/>
          <w:cantSplit/>
          <w:trHeight w:val="40"/>
        </w:trPr>
        <w:tc>
          <w:tcPr>
            <w:tcW w:w="3118" w:type="dxa"/>
            <w:gridSpan w:val="2"/>
            <w:shd w:val="clear" w:color="auto" w:fill="auto"/>
          </w:tcPr>
          <w:p>
            <w:pPr>
              <w:pStyle w:val="nTable"/>
              <w:spacing w:after="40"/>
              <w:ind w:right="113"/>
              <w:rPr>
                <w:bCs/>
                <w:i/>
                <w:iCs/>
              </w:rPr>
            </w:pPr>
            <w:r>
              <w:rPr>
                <w:i/>
              </w:rPr>
              <w:t>Country Areas Water Supply Amendment By</w:t>
            </w:r>
            <w:r>
              <w:rPr>
                <w:i/>
              </w:rPr>
              <w:noBreakHyphen/>
              <w:t>laws 2016</w:t>
            </w:r>
          </w:p>
        </w:tc>
        <w:tc>
          <w:tcPr>
            <w:tcW w:w="1278" w:type="dxa"/>
            <w:gridSpan w:val="2"/>
            <w:shd w:val="clear" w:color="auto" w:fill="auto"/>
          </w:tcPr>
          <w:p>
            <w:pPr>
              <w:pStyle w:val="nTable"/>
              <w:spacing w:after="40"/>
              <w:ind w:right="113"/>
              <w:rPr>
                <w:bCs/>
              </w:rPr>
            </w:pPr>
            <w:r>
              <w:rPr>
                <w:bCs/>
              </w:rPr>
              <w:t>7 Jun 2016 p. 1777</w:t>
            </w:r>
            <w:r>
              <w:rPr>
                <w:bCs/>
              </w:rPr>
              <w:noBreakHyphen/>
              <w:t>81</w:t>
            </w:r>
          </w:p>
        </w:tc>
        <w:tc>
          <w:tcPr>
            <w:tcW w:w="2693" w:type="dxa"/>
            <w:gridSpan w:val="2"/>
            <w:shd w:val="clear" w:color="auto" w:fill="auto"/>
          </w:tcPr>
          <w:p>
            <w:pPr>
              <w:pStyle w:val="nTable"/>
              <w:spacing w:after="40"/>
              <w:ind w:right="113"/>
              <w:rPr>
                <w:bCs/>
                <w:snapToGrid w:val="0"/>
              </w:rPr>
            </w:pPr>
            <w:r>
              <w:rPr>
                <w:bCs/>
                <w:snapToGrid w:val="0"/>
              </w:rPr>
              <w:t>bl. 1 and 2: 7 Jun 2016 (see bl. 2(a));</w:t>
            </w:r>
            <w:r>
              <w:rPr>
                <w:bCs/>
                <w:snapToGrid w:val="0"/>
              </w:rPr>
              <w:br/>
              <w:t>By-laws other than bl. 1 and 2: 8 Jun 2016 (see bl. 2(b))</w:t>
            </w:r>
          </w:p>
        </w:tc>
      </w:tr>
      <w:tr>
        <w:trPr>
          <w:gridAfter w:val="2"/>
          <w:wAfter w:w="32" w:type="dxa"/>
          <w:cantSplit/>
          <w:trHeight w:val="40"/>
        </w:trPr>
        <w:tc>
          <w:tcPr>
            <w:tcW w:w="3118" w:type="dxa"/>
            <w:gridSpan w:val="2"/>
            <w:shd w:val="clear" w:color="auto" w:fill="auto"/>
          </w:tcPr>
          <w:p>
            <w:pPr>
              <w:pStyle w:val="nTable"/>
              <w:spacing w:after="40"/>
              <w:ind w:right="113"/>
              <w:rPr>
                <w:i/>
              </w:rPr>
            </w:pPr>
            <w:r>
              <w:rPr>
                <w:i/>
              </w:rPr>
              <w:t>Water By</w:t>
            </w:r>
            <w:r>
              <w:rPr>
                <w:i/>
              </w:rPr>
              <w:noBreakHyphen/>
              <w:t>laws Amendment (Public Health) By</w:t>
            </w:r>
            <w:r>
              <w:rPr>
                <w:i/>
              </w:rPr>
              <w:noBreakHyphen/>
              <w:t xml:space="preserve">laws 2016 </w:t>
            </w:r>
            <w:r>
              <w:t>Pt. 2</w:t>
            </w:r>
          </w:p>
        </w:tc>
        <w:tc>
          <w:tcPr>
            <w:tcW w:w="1278" w:type="dxa"/>
            <w:gridSpan w:val="2"/>
            <w:shd w:val="clear" w:color="auto" w:fill="auto"/>
          </w:tcPr>
          <w:p>
            <w:pPr>
              <w:pStyle w:val="nTable"/>
              <w:spacing w:after="40"/>
              <w:ind w:right="113"/>
              <w:rPr>
                <w:bCs/>
              </w:rPr>
            </w:pPr>
            <w:r>
              <w:t>10 Jan 2017 p. 233-5</w:t>
            </w:r>
          </w:p>
        </w:tc>
        <w:tc>
          <w:tcPr>
            <w:tcW w:w="2693" w:type="dxa"/>
            <w:gridSpan w:val="2"/>
            <w:shd w:val="clear" w:color="auto" w:fill="auto"/>
          </w:tcPr>
          <w:p>
            <w:pPr>
              <w:pStyle w:val="nTable"/>
              <w:spacing w:after="40"/>
              <w:ind w:right="113"/>
              <w:rPr>
                <w:bCs/>
                <w:snapToGrid w:val="0"/>
              </w:rPr>
            </w:pPr>
            <w:r>
              <w:t xml:space="preserve">24 Jan 2017 (see bl. 2(b) and </w:t>
            </w:r>
            <w:r>
              <w:rPr>
                <w:i/>
              </w:rPr>
              <w:t>Gazette</w:t>
            </w:r>
            <w:r>
              <w:t xml:space="preserve"> 10 Jan 2017 p. 165)</w:t>
            </w:r>
          </w:p>
        </w:tc>
      </w:tr>
      <w:tr>
        <w:trPr>
          <w:gridAfter w:val="2"/>
          <w:wAfter w:w="34" w:type="dxa"/>
          <w:cantSplit/>
          <w:trHeight w:val="40"/>
        </w:trPr>
        <w:tc>
          <w:tcPr>
            <w:tcW w:w="7087" w:type="dxa"/>
            <w:gridSpan w:val="6"/>
            <w:tcBorders>
              <w:bottom w:val="single" w:sz="8" w:space="0" w:color="auto"/>
            </w:tcBorders>
            <w:shd w:val="clear" w:color="auto" w:fill="auto"/>
          </w:tcPr>
          <w:p>
            <w:pPr>
              <w:pStyle w:val="nTable"/>
              <w:spacing w:after="40"/>
              <w:ind w:right="113"/>
            </w:pPr>
            <w:r>
              <w:rPr>
                <w:b/>
              </w:rPr>
              <w:t xml:space="preserve">Reprint 6: The </w:t>
            </w:r>
            <w:r>
              <w:rPr>
                <w:b/>
                <w:i/>
                <w:noProof/>
              </w:rPr>
              <w:t>Country Areas Water Supply By-laws 1957</w:t>
            </w:r>
            <w:r>
              <w:rPr>
                <w:b/>
              </w:rPr>
              <w:t xml:space="preserve"> as at 19 May 2017</w:t>
            </w:r>
            <w:r>
              <w:t xml:space="preserve"> (includes amendments listed above)</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ind w:left="450" w:hanging="450"/>
        <w:rPr>
          <w:snapToGrid w:val="0"/>
        </w:rPr>
      </w:pPr>
      <w:r>
        <w:rPr>
          <w:snapToGrid w:val="0"/>
          <w:vertAlign w:val="superscript"/>
        </w:rPr>
        <w:t>5</w:t>
      </w:r>
      <w:r>
        <w:rPr>
          <w:snapToGrid w:val="0"/>
        </w:rPr>
        <w:tab/>
        <w:t>These by</w:t>
      </w:r>
      <w:r>
        <w:rPr>
          <w:snapToGrid w:val="0"/>
        </w:rPr>
        <w:noBreakHyphen/>
        <w:t xml:space="preserve">laws included headings immediately before various by-laws.  Those headings were progressively deleted in </w:t>
      </w:r>
      <w:r>
        <w:rPr>
          <w:i/>
          <w:snapToGrid w:val="0"/>
        </w:rPr>
        <w:t>Gazette</w:t>
      </w:r>
      <w:r>
        <w:rPr>
          <w:snapToGrid w:val="0"/>
        </w:rPr>
        <w:t xml:space="preserve"> 22 Dec 1964 p. 4070-72, 16 Jun 2000 p. 2962 and 29 May 2001 p. 2708.</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86" w:name="_Toc478720789"/>
      <w:bookmarkStart w:id="87" w:name="_Toc483215349"/>
      <w:bookmarkStart w:id="88" w:name="_Toc483383700"/>
      <w:bookmarkStart w:id="89" w:name="_Toc483476869"/>
      <w:r>
        <w:rPr>
          <w:sz w:val="28"/>
        </w:rPr>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1A(1)</w:t>
      </w:r>
    </w:p>
    <w:p>
      <w:pPr>
        <w:pStyle w:val="DefinedTerms"/>
      </w:pPr>
      <w:r>
        <w:t>cesspool</w:t>
      </w:r>
      <w:r>
        <w:tab/>
        <w:t>1A(3)</w:t>
      </w:r>
    </w:p>
    <w:p>
      <w:pPr>
        <w:pStyle w:val="DefinedTerms"/>
      </w:pPr>
      <w:r>
        <w:t>coordinates</w:t>
      </w:r>
      <w:r>
        <w:tab/>
        <w:t>1(4)</w:t>
      </w:r>
    </w:p>
    <w:p>
      <w:pPr>
        <w:pStyle w:val="DefinedTerms"/>
      </w:pPr>
      <w:r>
        <w:t>drain</w:t>
      </w:r>
      <w:r>
        <w:tab/>
        <w:t>1A(3)</w:t>
      </w:r>
    </w:p>
    <w:p>
      <w:pPr>
        <w:pStyle w:val="DefinedTerms"/>
      </w:pPr>
      <w:r>
        <w:t>feeder</w:t>
      </w:r>
      <w:r>
        <w:tab/>
        <w:t>1A(1)</w:t>
      </w:r>
    </w:p>
    <w:p>
      <w:pPr>
        <w:pStyle w:val="DefinedTerms"/>
      </w:pPr>
      <w:r>
        <w:t>hand</w:t>
      </w:r>
      <w:r>
        <w:noBreakHyphen/>
        <w:t>held tool</w:t>
      </w:r>
      <w:r>
        <w:tab/>
        <w:t>35(1)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liquid waste</w:t>
      </w:r>
      <w:r>
        <w:tab/>
        <w:t>1A(1)</w:t>
      </w:r>
    </w:p>
    <w:p>
      <w:pPr>
        <w:pStyle w:val="DefinedTerms"/>
      </w:pPr>
      <w:r>
        <w:t>Noongar people</w:t>
      </w:r>
      <w:r>
        <w:tab/>
        <w:t>1A(1)</w:t>
      </w:r>
    </w:p>
    <w:p>
      <w:pPr>
        <w:pStyle w:val="DefinedTerms"/>
      </w:pPr>
      <w:r>
        <w:t>owner</w:t>
      </w:r>
      <w:r>
        <w:tab/>
        <w:t>1A(3)</w:t>
      </w:r>
    </w:p>
    <w:p>
      <w:pPr>
        <w:pStyle w:val="DefinedTerms"/>
      </w:pPr>
      <w:r>
        <w:t>principal Act</w:t>
      </w:r>
      <w:r>
        <w:tab/>
        <w:t>1A(1)</w:t>
      </w:r>
    </w:p>
    <w:p>
      <w:pPr>
        <w:pStyle w:val="DefinedTerms"/>
      </w:pPr>
      <w:r>
        <w:t>South West Settlement Area</w:t>
      </w:r>
      <w:r>
        <w:tab/>
        <w:t>1A(1)</w:t>
      </w:r>
    </w:p>
    <w:p>
      <w:pPr>
        <w:pStyle w:val="DefinedTerms"/>
      </w:pPr>
      <w:r>
        <w:t>special provision catchment area</w:t>
      </w:r>
      <w:r>
        <w:tab/>
        <w:t>1A(1)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4D43785"/>
    <w:multiLevelType w:val="hybridMultilevel"/>
    <w:tmpl w:val="376A56BE"/>
    <w:lvl w:ilvl="0" w:tplc="538EFC00">
      <w:start w:val="1"/>
      <w:numFmt w:val="lowerLetter"/>
      <w:lvlText w:val="(%1)"/>
      <w:lvlJc w:val="left"/>
      <w:pPr>
        <w:ind w:left="1620" w:hanging="5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31103901"/>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 w:name="WAFER_20170112091715" w:val="RemoveTocBookmarks,RemoveUnusedBookmarks,RemoveLanguageTags,UsedStyles,ResetPageSize"/>
    <w:docVar w:name="WAFER_20170112091715_GUID" w:val="94ff5691-24f8-4228-81fe-7314c0bbe88e"/>
    <w:docVar w:name="WAFER_20170124102236" w:val="RemoveTocBookmarks,RemoveUnusedBookmarks,RemoveLanguageTags,UsedStyles,ResetPageSize"/>
    <w:docVar w:name="WAFER_20170124102236_GUID" w:val="b33083cf-aad2-4d5f-b654-a2c491223197"/>
    <w:docVar w:name="WAFER_20170301092812" w:val="RemoveTocBookmarks,RemoveUnusedBookmarks,RemoveLanguageTags,UsedStyles,ResetPageSize,RemoveCustomizations"/>
    <w:docVar w:name="WAFER_20170301092812_GUID" w:val="de3950c0-5dde-4275-93a8-c6bedb58bf0e"/>
    <w:docVar w:name="WAFER_20170331103849" w:val="RemoveTocBookmarks,RemoveUnusedBookmarks,RemoveLanguageTags,UsedStyles,ResetPageSize,RemoveCustomizations"/>
    <w:docVar w:name="WAFER_20170331103849_GUID" w:val="468fed02-2e65-4d95-bee2-bbd3ed07b3fc"/>
    <w:docVar w:name="WAFER_20170331103901" w:val="RemoveTocBookmarks,RemoveUnusedBookmarks,RemoveLanguageTags,UsedStyles,RemoveTrackChanges"/>
    <w:docVar w:name="WAFER_20170331103901_GUID" w:val="1ff49d98-4ae7-4fe0-bec2-58a9efeb9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663">
      <w:bodyDiv w:val="1"/>
      <w:marLeft w:val="0"/>
      <w:marRight w:val="0"/>
      <w:marTop w:val="0"/>
      <w:marBottom w:val="0"/>
      <w:divBdr>
        <w:top w:val="none" w:sz="0" w:space="0" w:color="auto"/>
        <w:left w:val="none" w:sz="0" w:space="0" w:color="auto"/>
        <w:bottom w:val="none" w:sz="0" w:space="0" w:color="auto"/>
        <w:right w:val="none" w:sz="0" w:space="0" w:color="auto"/>
      </w:divBdr>
    </w:div>
    <w:div w:id="379984222">
      <w:bodyDiv w:val="1"/>
      <w:marLeft w:val="0"/>
      <w:marRight w:val="0"/>
      <w:marTop w:val="0"/>
      <w:marBottom w:val="0"/>
      <w:divBdr>
        <w:top w:val="none" w:sz="0" w:space="0" w:color="auto"/>
        <w:left w:val="none" w:sz="0" w:space="0" w:color="auto"/>
        <w:bottom w:val="none" w:sz="0" w:space="0" w:color="auto"/>
        <w:right w:val="none" w:sz="0" w:space="0" w:color="auto"/>
      </w:divBdr>
    </w:div>
    <w:div w:id="1690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5.jp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jpeg"/><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3914-3668-4390-8776-E62BB2AC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8833</Words>
  <Characters>40549</Characters>
  <Application>Microsoft Office Word</Application>
  <DocSecurity>0</DocSecurity>
  <Lines>1398</Lines>
  <Paragraphs>823</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48559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1957 - 06-a0-02</dc:title>
  <dc:subject/>
  <dc:creator/>
  <cp:keywords/>
  <dc:description/>
  <cp:lastModifiedBy>svcMRProcess</cp:lastModifiedBy>
  <cp:revision>4</cp:revision>
  <cp:lastPrinted>2017-05-29T01:58:00Z</cp:lastPrinted>
  <dcterms:created xsi:type="dcterms:W3CDTF">2020-02-22T18:26:00Z</dcterms:created>
  <dcterms:modified xsi:type="dcterms:W3CDTF">2020-02-22T18:26:00Z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DocDate">
    <vt:filetime>2013-11-14T06:16:59Z</vt:filetime>
  </property>
  <property fmtid="{D5CDD505-2E9C-101B-9397-08002B2CF9AE}" pid="6" name="ReprintedAsAt">
    <vt:filetime>2017-05-18T16:00:00Z</vt:filetime>
  </property>
  <property fmtid="{D5CDD505-2E9C-101B-9397-08002B2CF9AE}" pid="7" name="ReprintNo">
    <vt:lpwstr>6</vt:lpwstr>
  </property>
  <property fmtid="{D5CDD505-2E9C-101B-9397-08002B2CF9AE}" pid="8" name="CommencementDate">
    <vt:lpwstr>20170519</vt:lpwstr>
  </property>
  <property fmtid="{D5CDD505-2E9C-101B-9397-08002B2CF9AE}" pid="9" name="AsAtDate">
    <vt:lpwstr>19 May 2017</vt:lpwstr>
  </property>
  <property fmtid="{D5CDD505-2E9C-101B-9397-08002B2CF9AE}" pid="10" name="Suffix">
    <vt:lpwstr>06-a0-02</vt:lpwstr>
  </property>
</Properties>
</file>