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Kalumburu Aboriginal Corporation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Kalumburu Aboriginal Corporation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_Toc419815190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_Toc419815191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_Toc419815192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_Toc419815194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_Toc419815195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_Toc419815196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_Toc419815198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_Toc419815199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_Toc419815200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alcohol</w:t>
      </w:r>
    </w:p>
    <w:p>
      <w:pPr>
        <w:pStyle w:val="TOC8"/>
        <w:rPr>
          <w:rFonts w:asciiTheme="minorHAnsi" w:eastAsiaTheme="minorEastAsia" w:hAnsiTheme="minorHAnsi" w:cstheme="minorBidi"/>
          <w:szCs w:val="22"/>
        </w:rPr>
      </w:pPr>
      <w:r>
        <w:t>10</w:t>
      </w:r>
      <w:r>
        <w:rPr>
          <w:snapToGrid w:val="0"/>
        </w:rPr>
        <w:t>.</w:t>
      </w:r>
      <w:r>
        <w:rPr>
          <w:snapToGrid w:val="0"/>
        </w:rPr>
        <w:tab/>
        <w:t>Prohibition of alcohol on community land</w:t>
      </w:r>
      <w:r>
        <w:tab/>
      </w:r>
      <w:r>
        <w:fldChar w:fldCharType="begin"/>
      </w:r>
      <w:r>
        <w:instrText xml:space="preserve"> PAGEREF _Toc419815202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Mission staff</w:t>
      </w:r>
      <w:r>
        <w:tab/>
      </w:r>
      <w:r>
        <w:fldChar w:fldCharType="begin"/>
      </w:r>
      <w:r>
        <w:instrText xml:space="preserve"> PAGEREF _Toc419815203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to other matters</w:t>
      </w:r>
    </w:p>
    <w:p>
      <w:pPr>
        <w:pStyle w:val="TOC8"/>
        <w:rPr>
          <w:rFonts w:asciiTheme="minorHAnsi" w:eastAsiaTheme="minorEastAsia" w:hAnsiTheme="minorHAnsi" w:cstheme="minorBidi"/>
          <w:szCs w:val="22"/>
        </w:rPr>
      </w:pPr>
      <w:r>
        <w:t>12</w:t>
      </w:r>
      <w:r>
        <w:rPr>
          <w:snapToGrid w:val="0"/>
        </w:rPr>
        <w:t>.</w:t>
      </w:r>
      <w:r>
        <w:rPr>
          <w:snapToGrid w:val="0"/>
        </w:rPr>
        <w:tab/>
        <w:t>Wilful damage</w:t>
      </w:r>
      <w:r>
        <w:tab/>
      </w:r>
      <w:r>
        <w:fldChar w:fldCharType="begin"/>
      </w:r>
      <w:r>
        <w:instrText xml:space="preserve"> PAGEREF _Toc419815205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Litter</w:t>
      </w:r>
      <w:r>
        <w:tab/>
      </w:r>
      <w:r>
        <w:fldChar w:fldCharType="begin"/>
      </w:r>
      <w:r>
        <w:instrText xml:space="preserve"> PAGEREF _Toc419815206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Offensive behaviour</w:t>
      </w:r>
      <w:r>
        <w:tab/>
      </w:r>
      <w:r>
        <w:fldChar w:fldCharType="begin"/>
      </w:r>
      <w:r>
        <w:instrText xml:space="preserve"> PAGEREF _Toc419815207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_Toc419815208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Fires</w:t>
      </w:r>
      <w:r>
        <w:tab/>
      </w:r>
      <w:r>
        <w:fldChar w:fldCharType="begin"/>
      </w:r>
      <w:r>
        <w:instrText xml:space="preserve"> PAGEREF _Toc419815209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17</w:t>
      </w:r>
      <w:r>
        <w:rPr>
          <w:snapToGrid w:val="0"/>
        </w:rPr>
        <w:t>.</w:t>
      </w:r>
      <w:r>
        <w:rPr>
          <w:snapToGrid w:val="0"/>
        </w:rPr>
        <w:tab/>
        <w:t>Powers of police</w:t>
      </w:r>
      <w:r>
        <w:tab/>
      </w:r>
      <w:r>
        <w:fldChar w:fldCharType="begin"/>
      </w:r>
      <w:r>
        <w:instrText xml:space="preserve"> PAGEREF _Toc419815211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Wardens</w:t>
      </w:r>
      <w:r>
        <w:tab/>
      </w:r>
      <w:r>
        <w:fldChar w:fldCharType="begin"/>
      </w:r>
      <w:r>
        <w:instrText xml:space="preserve"> PAGEREF _Toc419815212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w:t>
      </w:r>
      <w:r>
        <w:tab/>
      </w:r>
      <w:r>
        <w:fldChar w:fldCharType="begin"/>
      </w:r>
      <w:r>
        <w:instrText xml:space="preserve"> PAGEREF _Toc419815213 \h </w:instrText>
      </w:r>
      <w:r>
        <w:fldChar w:fldCharType="separate"/>
      </w:r>
      <w:r>
        <w:t>9</w:t>
      </w:r>
      <w:r>
        <w:fldChar w:fldCharType="end"/>
      </w:r>
    </w:p>
    <w:p>
      <w:pPr>
        <w:pStyle w:val="TOC8"/>
        <w:rPr>
          <w:rFonts w:asciiTheme="minorHAnsi" w:eastAsiaTheme="minorEastAsia" w:hAnsiTheme="minorHAnsi" w:cstheme="minorBidi"/>
          <w:szCs w:val="22"/>
        </w:rPr>
      </w:pPr>
      <w:r>
        <w:t>20.</w:t>
      </w:r>
      <w:r>
        <w:tab/>
        <w:t>Fine</w:t>
      </w:r>
      <w:r>
        <w:tab/>
      </w:r>
      <w:r>
        <w:fldChar w:fldCharType="begin"/>
      </w:r>
      <w:r>
        <w:instrText xml:space="preserve"> PAGEREF _Toc419815214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Restitution</w:t>
      </w:r>
      <w:r>
        <w:tab/>
      </w:r>
      <w:r>
        <w:fldChar w:fldCharType="begin"/>
      </w:r>
      <w:r>
        <w:instrText xml:space="preserve"> PAGEREF _Toc419815215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of acting under custom</w:t>
      </w:r>
      <w:r>
        <w:tab/>
      </w:r>
      <w:r>
        <w:fldChar w:fldCharType="begin"/>
      </w:r>
      <w:r>
        <w:instrText xml:space="preserve"> PAGEREF _Toc419815216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_Toc419815218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2004</w:t>
            </w:r>
          </w:p>
        </w:tc>
      </w:tr>
    </w:tbl>
    <w:p>
      <w:pPr>
        <w:pStyle w:val="WA"/>
        <w:spacing w:before="12"/>
      </w:pPr>
      <w:r>
        <w:t>Western Australia</w:t>
      </w:r>
    </w:p>
    <w:p>
      <w:pPr>
        <w:pStyle w:val="PrincipalActReg"/>
        <w:rPr>
          <w:snapToGrid w:val="0"/>
        </w:rPr>
      </w:pPr>
      <w:r>
        <w:rPr>
          <w:snapToGrid w:val="0"/>
        </w:rPr>
        <w:t>Aboriginal Communities Act 1979</w:t>
      </w:r>
    </w:p>
    <w:p>
      <w:pPr>
        <w:pStyle w:val="NameofActReg"/>
      </w:pPr>
      <w:r>
        <w:t>Kalumburu Aboriginal Corporation By</w:t>
      </w:r>
      <w:r>
        <w:noBreakHyphen/>
        <w:t>laws</w:t>
      </w:r>
    </w:p>
    <w:p>
      <w:pPr>
        <w:pStyle w:val="Heading2"/>
        <w:pageBreakBefore w:val="0"/>
      </w:pPr>
      <w:bookmarkStart w:id="3" w:name="_Toc378931641"/>
      <w:bookmarkStart w:id="4" w:name="_Toc419815080"/>
      <w:bookmarkStart w:id="5" w:name="_Toc419815110"/>
      <w:bookmarkStart w:id="6" w:name="_Toc4198151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931642"/>
      <w:bookmarkStart w:id="8" w:name="_Toc419815190"/>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Kalumburu Aboriginal Corporation By</w:t>
      </w:r>
      <w:r>
        <w:rPr>
          <w:i/>
          <w:snapToGrid w:val="0"/>
        </w:rPr>
        <w:noBreakHyphen/>
        <w:t>laws</w:t>
      </w:r>
      <w:r>
        <w:rPr>
          <w:rFonts w:ascii="Times" w:hAnsi="Times"/>
          <w:snapToGrid w:val="0"/>
          <w:vertAlign w:val="superscript"/>
        </w:rPr>
        <w:t> 1</w:t>
      </w:r>
      <w:r>
        <w:rPr>
          <w:snapToGrid w:val="0"/>
        </w:rPr>
        <w:t>.</w:t>
      </w:r>
    </w:p>
    <w:p>
      <w:pPr>
        <w:pStyle w:val="Heading5"/>
        <w:rPr>
          <w:snapToGrid w:val="0"/>
        </w:rPr>
      </w:pPr>
      <w:bookmarkStart w:id="9" w:name="_Toc378931643"/>
      <w:bookmarkStart w:id="10" w:name="_Toc41981519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rFonts w:ascii="Times" w:hAnsi="Times"/>
          <w:snapToGrid w:val="0"/>
          <w:vertAlign w:val="superscript"/>
        </w:rPr>
        <w:t> 1</w:t>
      </w:r>
      <w:r>
        <w:rPr>
          <w:snapToGrid w:val="0"/>
        </w:rPr>
        <w:t>.</w:t>
      </w:r>
    </w:p>
    <w:p>
      <w:pPr>
        <w:pStyle w:val="Heading5"/>
        <w:rPr>
          <w:snapToGrid w:val="0"/>
        </w:rPr>
      </w:pPr>
      <w:bookmarkStart w:id="11" w:name="_Toc378931644"/>
      <w:bookmarkStart w:id="12" w:name="_Toc419815192"/>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the Act</w:t>
      </w:r>
      <w:r>
        <w:t xml:space="preserve"> means the </w:t>
      </w:r>
      <w:r>
        <w:rPr>
          <w:i/>
        </w:rPr>
        <w:t>Aboriginal Communities Act 1979</w:t>
      </w:r>
      <w:r>
        <w:rPr>
          <w:iCs/>
        </w:rPr>
        <w:t>;</w:t>
      </w:r>
    </w:p>
    <w:p>
      <w:pPr>
        <w:pStyle w:val="Defstart"/>
      </w:pPr>
      <w:r>
        <w:rPr>
          <w:b/>
        </w:rPr>
        <w:tab/>
      </w:r>
      <w:r>
        <w:rPr>
          <w:rStyle w:val="CharDefText"/>
        </w:rPr>
        <w:t>community</w:t>
      </w:r>
      <w:r>
        <w:t xml:space="preserve"> means the Kalumburu Aboriginal Corporation;</w:t>
      </w:r>
    </w:p>
    <w:p>
      <w:pPr>
        <w:pStyle w:val="Defstart"/>
      </w:pPr>
      <w:r>
        <w:rPr>
          <w:b/>
        </w:rPr>
        <w:tab/>
      </w:r>
      <w:r>
        <w:rPr>
          <w:rStyle w:val="CharDefText"/>
        </w:rPr>
        <w:t>community land</w:t>
      </w:r>
      <w:r>
        <w:t xml:space="preserve"> means the land declared by the Governor under section 6 of the Act to be the community lands of the community;</w:t>
      </w:r>
    </w:p>
    <w:p>
      <w:pPr>
        <w:pStyle w:val="Defstart"/>
      </w:pPr>
      <w:r>
        <w:rPr>
          <w:b/>
        </w:rPr>
        <w:tab/>
      </w:r>
      <w:r>
        <w:rPr>
          <w:rStyle w:val="CharDefText"/>
        </w:rPr>
        <w:t>the Council</w:t>
      </w:r>
      <w:r>
        <w:t xml:space="preserve"> means the Council of the Kalumburu Aboriginal Corporation;</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vehicle</w:t>
      </w:r>
      <w:r>
        <w:t xml:space="preserve"> has the same meaning as it has under the </w:t>
      </w:r>
      <w:r>
        <w:rPr>
          <w:i/>
        </w:rPr>
        <w:t>Road Traffic Act 1974</w:t>
      </w:r>
      <w:r>
        <w:t xml:space="preserve"> (as amended).</w:t>
      </w:r>
    </w:p>
    <w:p>
      <w:pPr>
        <w:pStyle w:val="Heading2"/>
      </w:pPr>
      <w:bookmarkStart w:id="13" w:name="_Toc378931645"/>
      <w:bookmarkStart w:id="14" w:name="_Toc419815084"/>
      <w:bookmarkStart w:id="15" w:name="_Toc419815114"/>
      <w:bookmarkStart w:id="16" w:name="_Toc419815193"/>
      <w:r>
        <w:rPr>
          <w:rStyle w:val="CharPartNo"/>
        </w:rPr>
        <w:t>Part 2</w:t>
      </w:r>
      <w:r>
        <w:rPr>
          <w:rStyle w:val="CharDivNo"/>
        </w:rPr>
        <w:t> </w:t>
      </w:r>
      <w:r>
        <w:t>—</w:t>
      </w:r>
      <w:r>
        <w:rPr>
          <w:rStyle w:val="CharDivText"/>
        </w:rPr>
        <w:t> </w:t>
      </w:r>
      <w:r>
        <w:rPr>
          <w:rStyle w:val="CharPartText"/>
        </w:rPr>
        <w:t>Community land</w:t>
      </w:r>
      <w:bookmarkEnd w:id="13"/>
      <w:bookmarkEnd w:id="14"/>
      <w:bookmarkEnd w:id="15"/>
      <w:bookmarkEnd w:id="16"/>
      <w:r>
        <w:rPr>
          <w:rStyle w:val="CharPartText"/>
        </w:rPr>
        <w:t xml:space="preserve"> </w:t>
      </w:r>
    </w:p>
    <w:p>
      <w:pPr>
        <w:pStyle w:val="Heading5"/>
        <w:rPr>
          <w:snapToGrid w:val="0"/>
        </w:rPr>
      </w:pPr>
      <w:bookmarkStart w:id="17" w:name="_Toc378931646"/>
      <w:bookmarkStart w:id="18" w:name="_Toc419815194"/>
      <w:r>
        <w:rPr>
          <w:rStyle w:val="CharSectno"/>
        </w:rPr>
        <w:t>4</w:t>
      </w:r>
      <w:r>
        <w:rPr>
          <w:snapToGrid w:val="0"/>
        </w:rPr>
        <w:t>.</w:t>
      </w:r>
      <w:r>
        <w:rPr>
          <w:snapToGrid w:val="0"/>
        </w:rPr>
        <w:tab/>
        <w:t>Permission required to enter and remain on community land</w:t>
      </w:r>
      <w:bookmarkEnd w:id="17"/>
      <w:bookmarkEnd w:id="18"/>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w:t>
      </w:r>
      <w:r>
        <w:rPr>
          <w:snapToGrid w:val="0"/>
        </w:rPr>
        <w:noBreakHyphen/>
        <w:t>law to any community adviser or other officer in the employ of the community as the Council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w:t>
      </w:r>
    </w:p>
    <w:p>
      <w:pPr>
        <w:pStyle w:val="Indenta"/>
        <w:rPr>
          <w:snapToGrid w:val="0"/>
        </w:rPr>
      </w:pPr>
      <w:r>
        <w:rPr>
          <w:snapToGrid w:val="0"/>
        </w:rPr>
        <w:tab/>
        <w:t>(a)</w:t>
      </w:r>
      <w:r>
        <w:rPr>
          <w:snapToGrid w:val="0"/>
        </w:rPr>
        <w:tab/>
        <w:t>enters community land without the prior permission of the Council or its duly authorised delegate;</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19" w:name="_Toc378931647"/>
      <w:bookmarkStart w:id="20" w:name="_Toc419815195"/>
      <w:r>
        <w:rPr>
          <w:rStyle w:val="CharSectno"/>
        </w:rPr>
        <w:t>5</w:t>
      </w:r>
      <w:r>
        <w:rPr>
          <w:snapToGrid w:val="0"/>
        </w:rPr>
        <w:t>.</w:t>
      </w:r>
      <w:r>
        <w:rPr>
          <w:snapToGrid w:val="0"/>
        </w:rPr>
        <w:tab/>
        <w:t>Restriction of entry into areas</w:t>
      </w:r>
      <w:bookmarkEnd w:id="19"/>
      <w:bookmarkEnd w:id="20"/>
      <w:r>
        <w:rPr>
          <w:snapToGrid w:val="0"/>
        </w:rPr>
        <w:t xml:space="preserve"> </w:t>
      </w:r>
    </w:p>
    <w:p>
      <w:pPr>
        <w:pStyle w:val="Subsection"/>
        <w:keepNext/>
        <w:keepLines/>
        <w:rPr>
          <w:snapToGrid w:val="0"/>
        </w:rPr>
      </w:pPr>
      <w:r>
        <w:rPr>
          <w:snapToGrid w:val="0"/>
        </w:rPr>
        <w:tab/>
      </w:r>
      <w:r>
        <w:rPr>
          <w:snapToGrid w:val="0"/>
        </w:rPr>
        <w:tab/>
        <w:t>Subject to the provisions of any Act or regulation to the contrary: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21" w:name="_Toc378931648"/>
      <w:bookmarkStart w:id="22" w:name="_Toc419815196"/>
      <w:r>
        <w:rPr>
          <w:rStyle w:val="CharSectno"/>
        </w:rPr>
        <w:t>6</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t>(1)</w:t>
      </w:r>
      <w:r>
        <w:rPr>
          <w:snapToGrid w:val="0"/>
        </w:rPr>
        <w:tab/>
        <w:t>A person shall not enter the home of another person without obtaining the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23" w:name="_Toc378931649"/>
      <w:bookmarkStart w:id="24" w:name="_Toc419815088"/>
      <w:bookmarkStart w:id="25" w:name="_Toc419815118"/>
      <w:bookmarkStart w:id="26" w:name="_Toc419815197"/>
      <w:r>
        <w:rPr>
          <w:rStyle w:val="CharPartNo"/>
        </w:rPr>
        <w:t>Part 3</w:t>
      </w:r>
      <w:r>
        <w:rPr>
          <w:rStyle w:val="CharDivNo"/>
        </w:rPr>
        <w:t> </w:t>
      </w:r>
      <w:r>
        <w:t>—</w:t>
      </w:r>
      <w:r>
        <w:rPr>
          <w:rStyle w:val="CharDivText"/>
        </w:rPr>
        <w:t> </w:t>
      </w:r>
      <w:r>
        <w:rPr>
          <w:rStyle w:val="CharPartText"/>
        </w:rPr>
        <w:t>Traffic</w:t>
      </w:r>
      <w:bookmarkEnd w:id="23"/>
      <w:bookmarkEnd w:id="24"/>
      <w:bookmarkEnd w:id="25"/>
      <w:bookmarkEnd w:id="26"/>
      <w:r>
        <w:rPr>
          <w:rStyle w:val="CharPartText"/>
        </w:rPr>
        <w:t xml:space="preserve"> </w:t>
      </w:r>
    </w:p>
    <w:p>
      <w:pPr>
        <w:pStyle w:val="Heading5"/>
        <w:rPr>
          <w:snapToGrid w:val="0"/>
        </w:rPr>
      </w:pPr>
      <w:bookmarkStart w:id="27" w:name="_Toc378931650"/>
      <w:bookmarkStart w:id="28" w:name="_Toc419815198"/>
      <w:r>
        <w:rPr>
          <w:rStyle w:val="CharSectno"/>
        </w:rPr>
        <w:t>7</w:t>
      </w:r>
      <w:r>
        <w:rPr>
          <w:snapToGrid w:val="0"/>
        </w:rPr>
        <w:t>.</w:t>
      </w:r>
      <w:r>
        <w:rPr>
          <w:snapToGrid w:val="0"/>
        </w:rPr>
        <w:tab/>
        <w:t>Traffic signs</w:t>
      </w:r>
      <w:bookmarkEnd w:id="27"/>
      <w:bookmarkEnd w:id="28"/>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29" w:name="_Toc378931651"/>
      <w:bookmarkStart w:id="30" w:name="_Toc419815199"/>
      <w:r>
        <w:rPr>
          <w:rStyle w:val="CharSectno"/>
        </w:rPr>
        <w:t>8</w:t>
      </w:r>
      <w:r>
        <w:rPr>
          <w:snapToGrid w:val="0"/>
        </w:rPr>
        <w:t>.</w:t>
      </w:r>
      <w:r>
        <w:rPr>
          <w:snapToGrid w:val="0"/>
        </w:rPr>
        <w:tab/>
        <w:t>Careless and dangerous driving</w:t>
      </w:r>
      <w:bookmarkEnd w:id="29"/>
      <w:bookmarkEnd w:id="30"/>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matter that is, having regard to all the circumstances of the case, dangerous to the public or to any person.</w:t>
      </w:r>
    </w:p>
    <w:p>
      <w:pPr>
        <w:pStyle w:val="Heading5"/>
        <w:rPr>
          <w:snapToGrid w:val="0"/>
        </w:rPr>
      </w:pPr>
      <w:bookmarkStart w:id="31" w:name="_Toc378931652"/>
      <w:bookmarkStart w:id="32" w:name="_Toc419815200"/>
      <w:r>
        <w:rPr>
          <w:rStyle w:val="CharSectno"/>
        </w:rPr>
        <w:t>9</w:t>
      </w:r>
      <w:r>
        <w:rPr>
          <w:snapToGrid w:val="0"/>
        </w:rPr>
        <w:t>.</w:t>
      </w:r>
      <w:r>
        <w:rPr>
          <w:snapToGrid w:val="0"/>
        </w:rPr>
        <w:tab/>
        <w:t>Areas prohibited to vehicles</w:t>
      </w:r>
      <w:bookmarkEnd w:id="31"/>
      <w:bookmarkEnd w:id="32"/>
      <w:r>
        <w:rPr>
          <w:snapToGrid w:val="0"/>
        </w:rPr>
        <w:t xml:space="preserve"> </w:t>
      </w:r>
    </w:p>
    <w:p>
      <w:pPr>
        <w:pStyle w:val="Subsection"/>
        <w:rPr>
          <w:snapToGrid w:val="0"/>
        </w:rPr>
      </w:pPr>
      <w:r>
        <w:rPr>
          <w:snapToGrid w:val="0"/>
        </w:rPr>
        <w:tab/>
        <w:t>(1)</w:t>
      </w:r>
      <w:r>
        <w:rPr>
          <w:snapToGrid w:val="0"/>
        </w:rPr>
        <w:tab/>
        <w:t>The Council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33" w:name="_Toc378931653"/>
      <w:bookmarkStart w:id="34" w:name="_Toc419815092"/>
      <w:bookmarkStart w:id="35" w:name="_Toc419815122"/>
      <w:bookmarkStart w:id="36" w:name="_Toc419815201"/>
      <w:r>
        <w:rPr>
          <w:rStyle w:val="CharPartNo"/>
        </w:rPr>
        <w:t>Part 4</w:t>
      </w:r>
      <w:r>
        <w:rPr>
          <w:rStyle w:val="CharDivNo"/>
        </w:rPr>
        <w:t> </w:t>
      </w:r>
      <w:r>
        <w:t>—</w:t>
      </w:r>
      <w:r>
        <w:rPr>
          <w:rStyle w:val="CharDivText"/>
        </w:rPr>
        <w:t> </w:t>
      </w:r>
      <w:r>
        <w:rPr>
          <w:rStyle w:val="CharPartText"/>
        </w:rPr>
        <w:t>Offences relating to alcohol</w:t>
      </w:r>
      <w:bookmarkEnd w:id="33"/>
      <w:bookmarkEnd w:id="34"/>
      <w:bookmarkEnd w:id="35"/>
      <w:bookmarkEnd w:id="36"/>
      <w:r>
        <w:rPr>
          <w:rStyle w:val="CharPartText"/>
        </w:rPr>
        <w:t xml:space="preserve"> </w:t>
      </w:r>
    </w:p>
    <w:p>
      <w:pPr>
        <w:pStyle w:val="Heading5"/>
        <w:rPr>
          <w:snapToGrid w:val="0"/>
        </w:rPr>
      </w:pPr>
      <w:bookmarkStart w:id="37" w:name="_Toc378931654"/>
      <w:bookmarkStart w:id="38" w:name="_Toc419815202"/>
      <w:r>
        <w:rPr>
          <w:rStyle w:val="CharSectno"/>
        </w:rPr>
        <w:t>10</w:t>
      </w:r>
      <w:r>
        <w:rPr>
          <w:snapToGrid w:val="0"/>
        </w:rPr>
        <w:t>.</w:t>
      </w:r>
      <w:r>
        <w:rPr>
          <w:snapToGrid w:val="0"/>
        </w:rPr>
        <w:tab/>
        <w:t>Prohibition of alcohol on community land</w:t>
      </w:r>
      <w:bookmarkEnd w:id="37"/>
      <w:bookmarkEnd w:id="38"/>
      <w:r>
        <w:rPr>
          <w:snapToGrid w:val="0"/>
        </w:rPr>
        <w:t xml:space="preserve"> </w:t>
      </w:r>
    </w:p>
    <w:p>
      <w:pPr>
        <w:pStyle w:val="Subsection"/>
        <w:rPr>
          <w:snapToGrid w:val="0"/>
        </w:rPr>
      </w:pPr>
      <w:r>
        <w:rPr>
          <w:snapToGrid w:val="0"/>
        </w:rPr>
        <w:tab/>
      </w:r>
      <w:r>
        <w:rPr>
          <w:snapToGrid w:val="0"/>
        </w:rPr>
        <w:tab/>
        <w:t>Subject to the provisions of by</w:t>
      </w:r>
      <w:r>
        <w:rPr>
          <w:snapToGrid w:val="0"/>
        </w:rPr>
        <w:noBreakHyphen/>
        <w:t>law 11, 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 or</w:t>
      </w:r>
    </w:p>
    <w:p>
      <w:pPr>
        <w:pStyle w:val="Indenta"/>
        <w:rPr>
          <w:snapToGrid w:val="0"/>
        </w:rPr>
      </w:pPr>
      <w:r>
        <w:rPr>
          <w:snapToGrid w:val="0"/>
        </w:rPr>
        <w:tab/>
        <w:t>(7)</w:t>
      </w:r>
      <w:r>
        <w:rPr>
          <w:snapToGrid w:val="0"/>
        </w:rPr>
        <w:tab/>
        <w:t xml:space="preserve">drives a vehicle on community land whilst under the influence of alcohol, </w:t>
      </w:r>
    </w:p>
    <w:p>
      <w:pPr>
        <w:pStyle w:val="Subsection"/>
        <w:rPr>
          <w:snapToGrid w:val="0"/>
        </w:rPr>
      </w:pPr>
      <w:r>
        <w:rPr>
          <w:snapToGrid w:val="0"/>
        </w:rPr>
        <w:tab/>
      </w:r>
      <w:r>
        <w:rPr>
          <w:snapToGrid w:val="0"/>
        </w:rPr>
        <w:tab/>
        <w:t>commits an offence.</w:t>
      </w:r>
    </w:p>
    <w:p>
      <w:pPr>
        <w:pStyle w:val="Heading5"/>
        <w:rPr>
          <w:snapToGrid w:val="0"/>
        </w:rPr>
      </w:pPr>
      <w:bookmarkStart w:id="39" w:name="_Toc378931655"/>
      <w:bookmarkStart w:id="40" w:name="_Toc419815203"/>
      <w:r>
        <w:rPr>
          <w:rStyle w:val="CharSectno"/>
        </w:rPr>
        <w:t>11</w:t>
      </w:r>
      <w:r>
        <w:rPr>
          <w:snapToGrid w:val="0"/>
        </w:rPr>
        <w:t>.</w:t>
      </w:r>
      <w:r>
        <w:rPr>
          <w:snapToGrid w:val="0"/>
        </w:rPr>
        <w:tab/>
        <w:t>Mission staff</w:t>
      </w:r>
      <w:bookmarkEnd w:id="39"/>
      <w:bookmarkEnd w:id="40"/>
      <w:r>
        <w:rPr>
          <w:snapToGrid w:val="0"/>
        </w:rPr>
        <w:t xml:space="preserve"> </w:t>
      </w:r>
    </w:p>
    <w:p>
      <w:pPr>
        <w:pStyle w:val="Subsection"/>
        <w:rPr>
          <w:snapToGrid w:val="0"/>
        </w:rPr>
      </w:pPr>
      <w:r>
        <w:rPr>
          <w:snapToGrid w:val="0"/>
        </w:rPr>
        <w:tab/>
      </w:r>
      <w:r>
        <w:rPr>
          <w:snapToGrid w:val="0"/>
        </w:rPr>
        <w:tab/>
        <w:t>Any person in the employ or service of the Roman Catholic Bishop of Broome and stationed at Kalumburu Mission, may transport alcohol through community land for the purposes of its consumption at the Mission by people who are not members of the community or its use in the sacraments of the Church without breaching the provisions of by</w:t>
      </w:r>
      <w:r>
        <w:rPr>
          <w:snapToGrid w:val="0"/>
        </w:rPr>
        <w:noBreakHyphen/>
        <w:t>law 10(1), (2), (3) and (6).</w:t>
      </w:r>
    </w:p>
    <w:p>
      <w:pPr>
        <w:pStyle w:val="Heading2"/>
      </w:pPr>
      <w:bookmarkStart w:id="41" w:name="_Toc378931656"/>
      <w:bookmarkStart w:id="42" w:name="_Toc419815095"/>
      <w:bookmarkStart w:id="43" w:name="_Toc419815125"/>
      <w:bookmarkStart w:id="44" w:name="_Toc419815204"/>
      <w:r>
        <w:rPr>
          <w:rStyle w:val="CharPartNo"/>
        </w:rPr>
        <w:t>Part 5</w:t>
      </w:r>
      <w:r>
        <w:rPr>
          <w:rStyle w:val="CharDivNo"/>
        </w:rPr>
        <w:t> </w:t>
      </w:r>
      <w:r>
        <w:t>—</w:t>
      </w:r>
      <w:r>
        <w:rPr>
          <w:rStyle w:val="CharDivText"/>
        </w:rPr>
        <w:t> </w:t>
      </w:r>
      <w:r>
        <w:rPr>
          <w:rStyle w:val="CharPartText"/>
        </w:rPr>
        <w:t>Regulation to other matters</w:t>
      </w:r>
      <w:bookmarkEnd w:id="41"/>
      <w:bookmarkEnd w:id="42"/>
      <w:bookmarkEnd w:id="43"/>
      <w:bookmarkEnd w:id="44"/>
      <w:r>
        <w:rPr>
          <w:rStyle w:val="CharPartText"/>
        </w:rPr>
        <w:t xml:space="preserve"> </w:t>
      </w:r>
    </w:p>
    <w:p>
      <w:pPr>
        <w:pStyle w:val="Heading5"/>
        <w:rPr>
          <w:snapToGrid w:val="0"/>
        </w:rPr>
      </w:pPr>
      <w:bookmarkStart w:id="45" w:name="_Toc378931657"/>
      <w:bookmarkStart w:id="46" w:name="_Toc419815205"/>
      <w:r>
        <w:rPr>
          <w:rStyle w:val="CharSectno"/>
        </w:rPr>
        <w:t>12</w:t>
      </w:r>
      <w:r>
        <w:rPr>
          <w:snapToGrid w:val="0"/>
        </w:rPr>
        <w:t>.</w:t>
      </w:r>
      <w:r>
        <w:rPr>
          <w:snapToGrid w:val="0"/>
        </w:rPr>
        <w:tab/>
        <w:t>Wilful damage</w:t>
      </w:r>
      <w:bookmarkEnd w:id="45"/>
      <w:bookmarkEnd w:id="46"/>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47" w:name="_Toc378931658"/>
      <w:bookmarkStart w:id="48" w:name="_Toc419815206"/>
      <w:r>
        <w:rPr>
          <w:rStyle w:val="CharSectno"/>
        </w:rPr>
        <w:t>13</w:t>
      </w:r>
      <w:r>
        <w:rPr>
          <w:snapToGrid w:val="0"/>
        </w:rPr>
        <w:t>.</w:t>
      </w:r>
      <w:r>
        <w:rPr>
          <w:snapToGrid w:val="0"/>
        </w:rPr>
        <w:tab/>
        <w:t>Litter</w:t>
      </w:r>
      <w:bookmarkEnd w:id="47"/>
      <w:bookmarkEnd w:id="48"/>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49" w:name="_Toc378931659"/>
      <w:bookmarkStart w:id="50" w:name="_Toc419815207"/>
      <w:r>
        <w:rPr>
          <w:rStyle w:val="CharSectno"/>
        </w:rPr>
        <w:t>14</w:t>
      </w:r>
      <w:r>
        <w:rPr>
          <w:snapToGrid w:val="0"/>
        </w:rPr>
        <w:t>.</w:t>
      </w:r>
      <w:r>
        <w:rPr>
          <w:snapToGrid w:val="0"/>
        </w:rPr>
        <w:tab/>
        <w:t>Offensive behaviour</w:t>
      </w:r>
      <w:bookmarkEnd w:id="49"/>
      <w:bookmarkEnd w:id="50"/>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51" w:name="_Toc378931660"/>
      <w:bookmarkStart w:id="52" w:name="_Toc419815208"/>
      <w:r>
        <w:rPr>
          <w:rStyle w:val="CharSectno"/>
        </w:rPr>
        <w:t>15</w:t>
      </w:r>
      <w:r>
        <w:rPr>
          <w:snapToGrid w:val="0"/>
        </w:rPr>
        <w:t>.</w:t>
      </w:r>
      <w:r>
        <w:rPr>
          <w:snapToGrid w:val="0"/>
        </w:rPr>
        <w:tab/>
        <w:t>Disruption of meetings</w:t>
      </w:r>
      <w:bookmarkEnd w:id="51"/>
      <w:bookmarkEnd w:id="52"/>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5"/>
        <w:rPr>
          <w:snapToGrid w:val="0"/>
        </w:rPr>
      </w:pPr>
      <w:bookmarkStart w:id="53" w:name="_Toc378931661"/>
      <w:bookmarkStart w:id="54" w:name="_Toc419815209"/>
      <w:r>
        <w:rPr>
          <w:rStyle w:val="CharSectno"/>
        </w:rPr>
        <w:t>16</w:t>
      </w:r>
      <w:r>
        <w:rPr>
          <w:snapToGrid w:val="0"/>
        </w:rPr>
        <w:t>.</w:t>
      </w:r>
      <w:r>
        <w:rPr>
          <w:snapToGrid w:val="0"/>
        </w:rPr>
        <w:tab/>
        <w:t>Fires</w:t>
      </w:r>
      <w:bookmarkEnd w:id="53"/>
      <w:bookmarkEnd w:id="54"/>
      <w:r>
        <w:rPr>
          <w:snapToGrid w:val="0"/>
        </w:rPr>
        <w:t xml:space="preserve"> </w:t>
      </w:r>
    </w:p>
    <w:p>
      <w:pPr>
        <w:pStyle w:val="Subsection"/>
        <w:rPr>
          <w:snapToGrid w:val="0"/>
        </w:rPr>
      </w:pPr>
      <w:r>
        <w:rPr>
          <w:snapToGrid w:val="0"/>
        </w:rPr>
        <w:tab/>
        <w:t>(1)</w:t>
      </w:r>
      <w:r>
        <w:rPr>
          <w:snapToGrid w:val="0"/>
        </w:rPr>
        <w:tab/>
        <w:t>A person shall not without the permission of the Council kindle, light, make or use a fire other than in a place set aside by the Council for that purpose.</w:t>
      </w:r>
    </w:p>
    <w:p>
      <w:pPr>
        <w:pStyle w:val="Subsection"/>
        <w:rPr>
          <w:snapToGrid w:val="0"/>
        </w:rPr>
      </w:pPr>
      <w:r>
        <w:rPr>
          <w:snapToGrid w:val="0"/>
        </w:rPr>
        <w:tab/>
        <w:t>(2)</w:t>
      </w:r>
      <w:r>
        <w:rPr>
          <w:snapToGrid w:val="0"/>
        </w:rPr>
        <w:tab/>
        <w:t>Sub</w:t>
      </w:r>
      <w:r>
        <w:rPr>
          <w:snapToGrid w:val="0"/>
        </w:rPr>
        <w:noBreakHyphen/>
        <w:t>bylaw (1) does not apply to a fire for cooking or heating purposes in a fireplace or store in a home or used in conjunction with a home.</w:t>
      </w:r>
    </w:p>
    <w:p>
      <w:pPr>
        <w:pStyle w:val="Subsection"/>
        <w:rPr>
          <w:snapToGrid w:val="0"/>
        </w:rPr>
      </w:pPr>
      <w:r>
        <w:rPr>
          <w:snapToGrid w:val="0"/>
        </w:rPr>
        <w:tab/>
        <w:t>(3)</w:t>
      </w:r>
      <w:r>
        <w:rPr>
          <w:snapToGrid w:val="0"/>
        </w:rPr>
        <w:tab/>
        <w:t>Nothing in this by</w:t>
      </w:r>
      <w:r>
        <w:rPr>
          <w:snapToGrid w:val="0"/>
        </w:rPr>
        <w:noBreakHyphen/>
        <w:t xml:space="preserve">law authorises a person to light a fire in an open fireplace in contravention of the </w:t>
      </w:r>
      <w:r>
        <w:rPr>
          <w:i/>
          <w:snapToGrid w:val="0"/>
        </w:rPr>
        <w:t>Bush Fires Act 1954</w:t>
      </w:r>
      <w:r>
        <w:rPr>
          <w:snapToGrid w:val="0"/>
        </w:rPr>
        <w:t>.</w:t>
      </w:r>
    </w:p>
    <w:p>
      <w:pPr>
        <w:pStyle w:val="Heading2"/>
      </w:pPr>
      <w:bookmarkStart w:id="55" w:name="_Toc378931662"/>
      <w:bookmarkStart w:id="56" w:name="_Toc419815101"/>
      <w:bookmarkStart w:id="57" w:name="_Toc419815131"/>
      <w:bookmarkStart w:id="58" w:name="_Toc419815210"/>
      <w:r>
        <w:rPr>
          <w:rStyle w:val="CharPartNo"/>
        </w:rPr>
        <w:t>Part 6</w:t>
      </w:r>
      <w:r>
        <w:rPr>
          <w:rStyle w:val="CharDivNo"/>
        </w:rPr>
        <w:t> </w:t>
      </w:r>
      <w:r>
        <w:t>—</w:t>
      </w:r>
      <w:r>
        <w:rPr>
          <w:rStyle w:val="CharDivText"/>
        </w:rPr>
        <w:t> </w:t>
      </w:r>
      <w:r>
        <w:rPr>
          <w:rStyle w:val="CharPartText"/>
        </w:rPr>
        <w:t>Enforcement and proceedings</w:t>
      </w:r>
      <w:bookmarkEnd w:id="55"/>
      <w:bookmarkEnd w:id="56"/>
      <w:bookmarkEnd w:id="57"/>
      <w:bookmarkEnd w:id="58"/>
      <w:r>
        <w:rPr>
          <w:rStyle w:val="CharPartText"/>
        </w:rPr>
        <w:t xml:space="preserve"> </w:t>
      </w:r>
    </w:p>
    <w:p>
      <w:pPr>
        <w:pStyle w:val="Heading5"/>
        <w:rPr>
          <w:snapToGrid w:val="0"/>
        </w:rPr>
      </w:pPr>
      <w:bookmarkStart w:id="59" w:name="_Toc378931663"/>
      <w:bookmarkStart w:id="60" w:name="_Toc419815211"/>
      <w:r>
        <w:rPr>
          <w:rStyle w:val="CharSectno"/>
        </w:rPr>
        <w:t>17</w:t>
      </w:r>
      <w:r>
        <w:rPr>
          <w:snapToGrid w:val="0"/>
        </w:rPr>
        <w:t>.</w:t>
      </w:r>
      <w:r>
        <w:rPr>
          <w:snapToGrid w:val="0"/>
        </w:rPr>
        <w:tab/>
        <w:t>Powers of police</w:t>
      </w:r>
      <w:bookmarkEnd w:id="59"/>
      <w:bookmarkEnd w:id="60"/>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24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or a warden appointed pursuant to these by</w:t>
      </w:r>
      <w:r>
        <w:rPr>
          <w:snapToGrid w:val="0"/>
        </w:rPr>
        <w:noBreakHyphen/>
        <w:t>laws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or a warden appointed under these by</w:t>
      </w:r>
      <w:r>
        <w:rPr>
          <w:snapToGrid w:val="0"/>
        </w:rPr>
        <w:noBreakHyphen/>
        <w:t>laws may commence proceedings for any breach of a by</w:t>
      </w:r>
      <w:r>
        <w:rPr>
          <w:snapToGrid w:val="0"/>
        </w:rPr>
        <w:noBreakHyphen/>
        <w:t>law.</w:t>
      </w:r>
    </w:p>
    <w:p>
      <w:pPr>
        <w:pStyle w:val="Heading5"/>
        <w:rPr>
          <w:snapToGrid w:val="0"/>
        </w:rPr>
      </w:pPr>
      <w:bookmarkStart w:id="61" w:name="_Toc378931664"/>
      <w:bookmarkStart w:id="62" w:name="_Toc419815212"/>
      <w:r>
        <w:rPr>
          <w:rStyle w:val="CharSectno"/>
        </w:rPr>
        <w:t>18</w:t>
      </w:r>
      <w:r>
        <w:rPr>
          <w:snapToGrid w:val="0"/>
        </w:rPr>
        <w:t>.</w:t>
      </w:r>
      <w:r>
        <w:rPr>
          <w:snapToGrid w:val="0"/>
        </w:rPr>
        <w:tab/>
        <w:t>Wardens</w:t>
      </w:r>
      <w:bookmarkEnd w:id="61"/>
      <w:bookmarkEnd w:id="62"/>
      <w:r>
        <w:rPr>
          <w:snapToGrid w:val="0"/>
        </w:rPr>
        <w:t xml:space="preserve"> </w:t>
      </w:r>
    </w:p>
    <w:p>
      <w:pPr>
        <w:pStyle w:val="Subsection"/>
        <w:rPr>
          <w:snapToGrid w:val="0"/>
        </w:rPr>
      </w:pPr>
      <w:r>
        <w:rPr>
          <w:snapToGrid w:val="0"/>
        </w:rPr>
        <w:tab/>
        <w:t>(1)</w:t>
      </w:r>
      <w:r>
        <w:rPr>
          <w:snapToGrid w:val="0"/>
        </w:rPr>
        <w:tab/>
        <w:t>The Council may appoint such members of the community as it thinks fit to be wardens.</w:t>
      </w:r>
    </w:p>
    <w:p>
      <w:pPr>
        <w:pStyle w:val="Subsection"/>
        <w:rPr>
          <w:snapToGrid w:val="0"/>
        </w:rPr>
      </w:pPr>
      <w:r>
        <w:rPr>
          <w:snapToGrid w:val="0"/>
        </w:rPr>
        <w:tab/>
        <w:t>(2)</w:t>
      </w:r>
      <w:r>
        <w:rPr>
          <w:snapToGrid w:val="0"/>
        </w:rPr>
        <w:tab/>
        <w:t>It is the duty of the wardens to inquire into alleged breaches of these by</w:t>
      </w:r>
      <w:r>
        <w:rPr>
          <w:snapToGrid w:val="0"/>
        </w:rPr>
        <w:noBreakHyphen/>
        <w:t>laws, co</w:t>
      </w:r>
      <w:r>
        <w:rPr>
          <w:snapToGrid w:val="0"/>
        </w:rPr>
        <w:noBreakHyphen/>
        <w:t>operate with members of the community, the Council and members of the Police Force in the enforcement of the by</w:t>
      </w:r>
      <w:r>
        <w:rPr>
          <w:snapToGrid w:val="0"/>
        </w:rPr>
        <w:noBreakHyphen/>
        <w:t>laws and to enforce the provisions of the by</w:t>
      </w:r>
      <w:r>
        <w:rPr>
          <w:snapToGrid w:val="0"/>
        </w:rPr>
        <w:noBreakHyphen/>
        <w:t>laws generally.</w:t>
      </w:r>
    </w:p>
    <w:p>
      <w:pPr>
        <w:pStyle w:val="Subsection"/>
        <w:rPr>
          <w:snapToGrid w:val="0"/>
        </w:rPr>
      </w:pPr>
      <w:r>
        <w:rPr>
          <w:snapToGrid w:val="0"/>
        </w:rPr>
        <w:tab/>
        <w:t>(3)</w:t>
      </w:r>
      <w:r>
        <w:rPr>
          <w:snapToGrid w:val="0"/>
        </w:rPr>
        <w:tab/>
        <w:t>Any person who obstructs a warden in the lawful execution of his duty under these by</w:t>
      </w:r>
      <w:r>
        <w:rPr>
          <w:snapToGrid w:val="0"/>
        </w:rPr>
        <w:noBreakHyphen/>
        <w:t>laws commits an offence.</w:t>
      </w:r>
    </w:p>
    <w:p>
      <w:pPr>
        <w:pStyle w:val="Heading5"/>
        <w:rPr>
          <w:snapToGrid w:val="0"/>
        </w:rPr>
      </w:pPr>
      <w:bookmarkStart w:id="63" w:name="_Toc378931665"/>
      <w:bookmarkStart w:id="64" w:name="_Toc419815213"/>
      <w:r>
        <w:rPr>
          <w:rStyle w:val="CharSectno"/>
        </w:rPr>
        <w:t>19</w:t>
      </w:r>
      <w:r>
        <w:rPr>
          <w:snapToGrid w:val="0"/>
        </w:rPr>
        <w:t>.</w:t>
      </w:r>
      <w:r>
        <w:rPr>
          <w:snapToGrid w:val="0"/>
        </w:rPr>
        <w:tab/>
        <w:t>Offences</w:t>
      </w:r>
      <w:bookmarkEnd w:id="63"/>
      <w:bookmarkEnd w:id="64"/>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12, 13, 14, 15 and 16 commits an offence.</w:t>
      </w:r>
    </w:p>
    <w:p>
      <w:pPr>
        <w:pStyle w:val="Heading5"/>
      </w:pPr>
      <w:bookmarkStart w:id="65" w:name="_Toc378931666"/>
      <w:bookmarkStart w:id="66" w:name="_Toc419815214"/>
      <w:r>
        <w:rPr>
          <w:rStyle w:val="CharSectno"/>
        </w:rPr>
        <w:t>20</w:t>
      </w:r>
      <w:r>
        <w:t>.</w:t>
      </w:r>
      <w:r>
        <w:tab/>
        <w:t>Fine</w:t>
      </w:r>
      <w:bookmarkEnd w:id="65"/>
      <w:bookmarkEnd w:id="66"/>
    </w:p>
    <w:p>
      <w:pPr>
        <w:pStyle w:val="Subsection"/>
      </w:pPr>
      <w:r>
        <w:tab/>
      </w:r>
      <w:r>
        <w:tab/>
        <w:t>A person who is convicted of an offence against a by</w:t>
      </w:r>
      <w:r>
        <w:noBreakHyphen/>
        <w:t>law is liable to a fine of $100.</w:t>
      </w:r>
    </w:p>
    <w:p>
      <w:pPr>
        <w:pStyle w:val="Footnotesection"/>
      </w:pPr>
      <w:r>
        <w:tab/>
        <w:t>[By</w:t>
      </w:r>
      <w:r>
        <w:noBreakHyphen/>
        <w:t>law 20 inserted: Gazette 14 May 2004 p. 1454.]</w:t>
      </w:r>
    </w:p>
    <w:p>
      <w:pPr>
        <w:pStyle w:val="Heading5"/>
        <w:rPr>
          <w:snapToGrid w:val="0"/>
        </w:rPr>
      </w:pPr>
      <w:bookmarkStart w:id="67" w:name="_Toc378931667"/>
      <w:bookmarkStart w:id="68" w:name="_Toc419815215"/>
      <w:r>
        <w:rPr>
          <w:rStyle w:val="CharSectno"/>
        </w:rPr>
        <w:t>21</w:t>
      </w:r>
      <w:r>
        <w:rPr>
          <w:snapToGrid w:val="0"/>
        </w:rPr>
        <w:t>.</w:t>
      </w:r>
      <w:r>
        <w:rPr>
          <w:snapToGrid w:val="0"/>
        </w:rPr>
        <w:tab/>
        <w:t>Restitution</w:t>
      </w:r>
      <w:bookmarkEnd w:id="67"/>
      <w:bookmarkEnd w:id="68"/>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w:t>
      </w:r>
      <w:r>
        <w:noBreakHyphen/>
        <w:t>law 21 amended: Gazette 14 May 2004 p. 1454.]</w:t>
      </w:r>
    </w:p>
    <w:p>
      <w:pPr>
        <w:pStyle w:val="Heading5"/>
        <w:rPr>
          <w:snapToGrid w:val="0"/>
        </w:rPr>
      </w:pPr>
      <w:bookmarkStart w:id="69" w:name="_Toc378931668"/>
      <w:bookmarkStart w:id="70" w:name="_Toc419815216"/>
      <w:r>
        <w:rPr>
          <w:rStyle w:val="CharSectno"/>
        </w:rPr>
        <w:t>22</w:t>
      </w:r>
      <w:r>
        <w:rPr>
          <w:snapToGrid w:val="0"/>
        </w:rPr>
        <w:t>.</w:t>
      </w:r>
      <w:r>
        <w:rPr>
          <w:snapToGrid w:val="0"/>
        </w:rPr>
        <w:tab/>
        <w:t>Defence of acting under custom</w:t>
      </w:r>
      <w:bookmarkEnd w:id="69"/>
      <w:bookmarkEnd w:id="70"/>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the excused by any custom of the community.</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1" w:name="_Toc378931669"/>
      <w:bookmarkStart w:id="72" w:name="_Toc419815108"/>
      <w:bookmarkStart w:id="73" w:name="_Toc419815138"/>
      <w:bookmarkStart w:id="74" w:name="_Toc419815217"/>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reprint is a compilation as at 24 September 2004 of the </w:t>
      </w:r>
      <w:r>
        <w:rPr>
          <w:i/>
          <w:noProof/>
          <w:snapToGrid w:val="0"/>
        </w:rPr>
        <w:t>Kalumburu Aboriginal Corporation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8931670"/>
      <w:bookmarkStart w:id="76" w:name="_Toc419815218"/>
      <w:r>
        <w:rPr>
          <w:snapToGrid w:val="0"/>
        </w:rPr>
        <w:t>Compilation table</w:t>
      </w:r>
      <w:bookmarkEnd w:id="75"/>
      <w:bookmarkEnd w:id="7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Kalumburu Aboriginal Corporation By</w:t>
            </w:r>
            <w:r>
              <w:rPr>
                <w:i/>
              </w:rPr>
              <w:noBreakHyphen/>
              <w:t>laws</w:t>
            </w:r>
          </w:p>
        </w:tc>
        <w:tc>
          <w:tcPr>
            <w:tcW w:w="1276" w:type="dxa"/>
            <w:tcBorders>
              <w:top w:val="single" w:sz="4" w:space="0" w:color="auto"/>
            </w:tcBorders>
          </w:tcPr>
          <w:p>
            <w:pPr>
              <w:pStyle w:val="nTable"/>
              <w:spacing w:after="40"/>
            </w:pPr>
            <w:r>
              <w:t>26 Apr 1991 p. 1846</w:t>
            </w:r>
            <w:r>
              <w:noBreakHyphen/>
              <w:t>9</w:t>
            </w:r>
          </w:p>
        </w:tc>
        <w:tc>
          <w:tcPr>
            <w:tcW w:w="2693" w:type="dxa"/>
            <w:tcBorders>
              <w:top w:val="single" w:sz="4" w:space="0" w:color="auto"/>
            </w:tcBorders>
          </w:tcPr>
          <w:p>
            <w:pPr>
              <w:pStyle w:val="nTable"/>
              <w:spacing w:after="40"/>
            </w:pPr>
            <w:r>
              <w:t>26 Apr 1991 (see bl. 2)</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10</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4" w:space="0" w:color="auto"/>
            </w:tcBorders>
          </w:tcPr>
          <w:p>
            <w:pPr>
              <w:pStyle w:val="nTable"/>
              <w:spacing w:after="40"/>
            </w:pPr>
            <w:r>
              <w:rPr>
                <w:b/>
                <w:bCs/>
              </w:rPr>
              <w:t xml:space="preserve">Reprint 1: The </w:t>
            </w:r>
            <w:r>
              <w:rPr>
                <w:b/>
                <w:bCs/>
                <w:i/>
              </w:rPr>
              <w:t>Kalumburu Aboriginal Corporation By</w:t>
            </w:r>
            <w:r>
              <w:rPr>
                <w:b/>
                <w:bCs/>
                <w:i/>
              </w:rPr>
              <w:noBreakHyphen/>
              <w:t>laws</w:t>
            </w:r>
            <w:r>
              <w:rPr>
                <w:b/>
                <w:bCs/>
              </w:rPr>
              <w:t xml:space="preserve"> as at 24 Sep 2004</w:t>
            </w:r>
            <w:r>
              <w:t xml:space="preserve"> </w:t>
            </w:r>
            <w:r>
              <w:br/>
              <w:t xml:space="preserve">(includes amendments listed above) </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8" w:name="_Toc419815140"/>
      <w:bookmarkStart w:id="79" w:name="_Toc419815219"/>
      <w:r>
        <w:rPr>
          <w:sz w:val="28"/>
        </w:rPr>
        <w:t>Defined terms</w:t>
      </w:r>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3</w:t>
      </w:r>
    </w:p>
    <w:p>
      <w:pPr>
        <w:pStyle w:val="DefinedTerms"/>
      </w:pPr>
      <w:r>
        <w:t>community land</w:t>
      </w:r>
      <w:r>
        <w:tab/>
        <w:t>3</w:t>
      </w:r>
    </w:p>
    <w:p>
      <w:pPr>
        <w:pStyle w:val="DefinedTerms"/>
      </w:pPr>
      <w:r>
        <w:t>member of the community</w:t>
      </w:r>
      <w:r>
        <w:tab/>
        <w:t>3</w:t>
      </w:r>
    </w:p>
    <w:p>
      <w:pPr>
        <w:pStyle w:val="DefinedTerms"/>
      </w:pPr>
      <w:r>
        <w:t>the Act</w:t>
      </w:r>
      <w:r>
        <w:tab/>
        <w:t>3</w:t>
      </w:r>
    </w:p>
    <w:p>
      <w:pPr>
        <w:pStyle w:val="DefinedTerms"/>
      </w:pPr>
      <w:r>
        <w:t>the Council</w:t>
      </w:r>
      <w:r>
        <w:tab/>
        <w:t>3</w:t>
      </w:r>
    </w:p>
    <w:p>
      <w:pPr>
        <w:pStyle w:val="DefinedTerms"/>
      </w:pPr>
      <w:r>
        <w:t>vehicle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Kalumburu Aboriginal Corporation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426"/>
    <w:docVar w:name="WAFER_20140131112902" w:val="RemoveTocBookmarks,RemoveUnusedBookmarks,RemoveLanguageTags,UsedStyles,ResetPageSize,UpdateArrangement"/>
    <w:docVar w:name="WAFER_20140131112902_GUID" w:val="d03c1785-c865-425c-bdbc-30efd48427ff"/>
    <w:docVar w:name="WAFER_20140131113548" w:val="RemoveTocBookmarks,RunningHeaders"/>
    <w:docVar w:name="WAFER_20140131113548_GUID" w:val="ebd99310-d485-404b-86f0-e421805d367e"/>
    <w:docVar w:name="WAFER_20150519160518" w:val="ResetPageSize,UpdateArrangement,UpdateNTable"/>
    <w:docVar w:name="WAFER_20150519160518_GUID" w:val="bf6fda00-e2a7-4137-ad94-8b7440987b58"/>
    <w:docVar w:name="WAFER_20151106090426" w:val="UpdateStyles,UsedStyles"/>
    <w:docVar w:name="WAFER_20151106090426_GUID" w:val="7def59a1-e7f6-4c3e-99d4-1734853ad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2044</Words>
  <Characters>9628</Characters>
  <Application>Microsoft Office Word</Application>
  <DocSecurity>0</DocSecurity>
  <Lines>320</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11456</CharactersWithSpaces>
  <SharedDoc>false</SharedDoc>
  <HLinks>
    <vt:vector size="12" baseType="variant">
      <vt:variant>
        <vt:i4>65542</vt:i4>
      </vt:variant>
      <vt:variant>
        <vt:i4>2925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Kalumburu Aboriginal Corporation By-laws - 01-a0-09</dc:title>
  <dc:subject/>
  <dc:creator/>
  <cp:keywords/>
  <dc:description/>
  <cp:lastModifiedBy>svcMRProcess</cp:lastModifiedBy>
  <cp:revision>4</cp:revision>
  <cp:lastPrinted>2004-09-16T03:41:00Z</cp:lastPrinted>
  <dcterms:created xsi:type="dcterms:W3CDTF">2019-01-16T07:59:00Z</dcterms:created>
  <dcterms:modified xsi:type="dcterms:W3CDTF">2019-01-16T07:59:00Z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pp.1846-9</vt:lpwstr>
  </property>
  <property fmtid="{D5CDD505-2E9C-101B-9397-08002B2CF9AE}" pid="3" name="CommencementDate">
    <vt:lpwstr>20040924</vt:lpwstr>
  </property>
  <property fmtid="{D5CDD505-2E9C-101B-9397-08002B2CF9AE}" pid="4" name="DocumentType">
    <vt:lpwstr>Reg</vt:lpwstr>
  </property>
  <property fmtid="{D5CDD505-2E9C-101B-9397-08002B2CF9AE}" pid="5" name="OwlsUID">
    <vt:i4>4542</vt:i4>
  </property>
  <property fmtid="{D5CDD505-2E9C-101B-9397-08002B2CF9AE}" pid="6" name="Formerly">
    <vt:lpwstr>Kalumburu Aboriginal Corporation By-Laws</vt:lpwstr>
  </property>
  <property fmtid="{D5CDD505-2E9C-101B-9397-08002B2CF9AE}" pid="7" name="ReprintedAsAt">
    <vt:filetime>2004-09-23T16:00:00Z</vt:filetime>
  </property>
  <property fmtid="{D5CDD505-2E9C-101B-9397-08002B2CF9AE}" pid="8" name="ReprintNo">
    <vt:lpwstr>1</vt:lpwstr>
  </property>
  <property fmtid="{D5CDD505-2E9C-101B-9397-08002B2CF9AE}" pid="9" name="AsAtDate">
    <vt:lpwstr>24 Sep 2004</vt:lpwstr>
  </property>
  <property fmtid="{D5CDD505-2E9C-101B-9397-08002B2CF9AE}" pid="10" name="Suffix">
    <vt:lpwstr>01-a0-09</vt:lpwstr>
  </property>
</Properties>
</file>