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Misuse of Drugs Amendment (Methylamphetamine Offences) Act 2017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Misuse of Drugs Amendment (Methylamphetamine Offences) Act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_Toc491081300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_Toc491081301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Misuse of Drugs Act 1981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_Toc491081303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_Toc491081304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32A amended</w:t>
      </w:r>
      <w:r>
        <w:tab/>
      </w:r>
      <w:r>
        <w:fldChar w:fldCharType="begin"/>
      </w:r>
      <w:r>
        <w:instrText xml:space="preserve"> PAGEREF _Toc491081305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33 amended</w:t>
      </w:r>
      <w:r>
        <w:tab/>
      </w:r>
      <w:r>
        <w:fldChar w:fldCharType="begin"/>
      </w:r>
      <w:r>
        <w:instrText xml:space="preserve"> PAGEREF _Toc491081306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34 amended</w:t>
      </w:r>
      <w:r>
        <w:tab/>
      </w:r>
      <w:r>
        <w:fldChar w:fldCharType="begin"/>
      </w:r>
      <w:r>
        <w:instrText xml:space="preserve"> PAGEREF _Toc491081307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District Court of Western Australia Act 1969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_Toc491081309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42 amended</w:t>
      </w:r>
      <w:r>
        <w:tab/>
      </w:r>
      <w:r>
        <w:fldChar w:fldCharType="begin"/>
      </w:r>
      <w:r>
        <w:instrText xml:space="preserve"> PAGEREF _Toc491081310 \h </w:instrText>
      </w:r>
      <w:r>
        <w:fldChar w:fldCharType="separate"/>
      </w:r>
      <w:r>
        <w:t>7</w:t>
      </w:r>
      <w:r>
        <w:fldChar w:fldCharType="end"/>
      </w:r>
    </w:p>
    <w:p>
      <w:pPr>
        <w:pStyle w:val="NoteHeading"/>
      </w:pPr>
      <w:r>
        <w:fldChar w:fldCharType="end"/>
      </w:r>
    </w:p>
    <w:p>
      <w:r>
        <w:br w:type="page"/>
      </w:r>
    </w:p>
    <w:p>
      <w:pPr>
        <w:pStyle w:val="NoteHeading"/>
      </w:pPr>
      <w:r>
        <w:rPr>
          <w:rStyle w:val="CharPartNo"/>
        </w:rPr>
        <w:lastRenderedPageBreak/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1061322</wp:posOffset>
            </wp:positionV>
            <wp:extent cx="648000" cy="4095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Misuse of Drugs Amendment (Methylamphetamine Offences) Act 2017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 of 2017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Misuse of Drugs Act 1981</w:t>
      </w:r>
      <w:r>
        <w:t xml:space="preserve"> and the </w:t>
      </w:r>
      <w:r>
        <w:rPr>
          <w:i/>
        </w:rPr>
        <w:t>District Court of Western Australia Act 1969</w:t>
      </w:r>
      <w:r>
        <w:t>.</w:t>
      </w:r>
    </w:p>
    <w:p>
      <w:pPr>
        <w:pStyle w:val="AssentNote"/>
      </w:pPr>
      <w:r>
        <w:t>[Assented to 21 August 2017]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481568752"/>
      <w:bookmarkStart w:id="5" w:name="_Toc481568764"/>
      <w:bookmarkStart w:id="6" w:name="_Toc481568776"/>
      <w:bookmarkStart w:id="7" w:name="_Toc481572638"/>
      <w:bookmarkStart w:id="8" w:name="_Toc481572960"/>
      <w:bookmarkStart w:id="9" w:name="_Toc481573588"/>
      <w:bookmarkStart w:id="10" w:name="_Toc481574406"/>
      <w:bookmarkStart w:id="11" w:name="_Toc490644345"/>
      <w:bookmarkStart w:id="12" w:name="_Toc490658771"/>
      <w:bookmarkStart w:id="13" w:name="_Toc491080877"/>
      <w:bookmarkStart w:id="14" w:name="_Toc491081299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Heading5"/>
      </w:pPr>
      <w:bookmarkStart w:id="15" w:name="_Toc490658772"/>
      <w:bookmarkStart w:id="16" w:name="_Toc491080878"/>
      <w:bookmarkStart w:id="17" w:name="_Toc491081300"/>
      <w:r>
        <w:rPr>
          <w:rStyle w:val="CharSectno"/>
        </w:rPr>
        <w:t>1</w:t>
      </w:r>
      <w:r>
        <w:t>.</w:t>
      </w:r>
      <w:r>
        <w:tab/>
        <w:t>Short title</w:t>
      </w:r>
      <w:bookmarkEnd w:id="15"/>
      <w:bookmarkEnd w:id="16"/>
      <w:bookmarkEnd w:id="17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Misuse of Drugs Amendment (Methylamphetamine Offences) Act 2017</w:t>
      </w:r>
      <w:r>
        <w:t>.</w:t>
      </w:r>
    </w:p>
    <w:p>
      <w:pPr>
        <w:pStyle w:val="Heading5"/>
      </w:pPr>
      <w:bookmarkStart w:id="18" w:name="_Toc490658773"/>
      <w:bookmarkStart w:id="19" w:name="_Toc491080879"/>
      <w:bookmarkStart w:id="20" w:name="_Toc491081301"/>
      <w:r>
        <w:rPr>
          <w:rStyle w:val="CharSectno"/>
        </w:rPr>
        <w:t>2</w:t>
      </w:r>
      <w:r>
        <w:t>.</w:t>
      </w:r>
      <w:r>
        <w:tab/>
        <w:t>Commencement</w:t>
      </w:r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28</w:t>
      </w:r>
      <w:r>
        <w:rPr>
          <w:vertAlign w:val="superscript"/>
        </w:rPr>
        <w:t>th</w:t>
      </w:r>
      <w:r>
        <w:t xml:space="preserve"> day after the day on which this Act receives the Royal Assent.</w:t>
      </w:r>
    </w:p>
    <w:p>
      <w:pPr>
        <w:pStyle w:val="Heading2"/>
      </w:pPr>
      <w:bookmarkStart w:id="21" w:name="_Toc481568755"/>
      <w:bookmarkStart w:id="22" w:name="_Toc481568767"/>
      <w:bookmarkStart w:id="23" w:name="_Toc481568779"/>
      <w:bookmarkStart w:id="24" w:name="_Toc481572641"/>
      <w:bookmarkStart w:id="25" w:name="_Toc481572963"/>
      <w:bookmarkStart w:id="26" w:name="_Toc481573591"/>
      <w:bookmarkStart w:id="27" w:name="_Toc481574409"/>
      <w:bookmarkStart w:id="28" w:name="_Toc490644348"/>
      <w:bookmarkStart w:id="29" w:name="_Toc490658774"/>
      <w:bookmarkStart w:id="30" w:name="_Toc491080880"/>
      <w:bookmarkStart w:id="31" w:name="_Toc491081302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Misuse of Drugs Act 1981</w:t>
      </w:r>
      <w:r>
        <w:rPr>
          <w:rStyle w:val="CharPartText"/>
        </w:rPr>
        <w:t xml:space="preserve"> amended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Heading5"/>
        <w:rPr>
          <w:snapToGrid w:val="0"/>
        </w:rPr>
      </w:pPr>
      <w:bookmarkStart w:id="32" w:name="_Toc490658775"/>
      <w:bookmarkStart w:id="33" w:name="_Toc491080881"/>
      <w:bookmarkStart w:id="34" w:name="_Toc49108130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32"/>
      <w:bookmarkEnd w:id="33"/>
      <w:bookmarkEnd w:id="34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Misuse of Drugs Act 1981</w:t>
      </w:r>
      <w:r>
        <w:t>.</w:t>
      </w:r>
    </w:p>
    <w:p>
      <w:pPr>
        <w:pStyle w:val="Heading5"/>
      </w:pPr>
      <w:bookmarkStart w:id="35" w:name="_Toc490658776"/>
      <w:bookmarkStart w:id="36" w:name="_Toc491080882"/>
      <w:bookmarkStart w:id="37" w:name="_Toc491081304"/>
      <w:r>
        <w:rPr>
          <w:rStyle w:val="CharSectno"/>
        </w:rPr>
        <w:t>4</w:t>
      </w:r>
      <w:r>
        <w:t>.</w:t>
      </w:r>
      <w:r>
        <w:tab/>
        <w:t>Section 3 amended</w:t>
      </w:r>
      <w:bookmarkEnd w:id="35"/>
      <w:bookmarkEnd w:id="36"/>
      <w:bookmarkEnd w:id="37"/>
    </w:p>
    <w:p>
      <w:pPr>
        <w:pStyle w:val="Subsection"/>
      </w:pPr>
      <w:r>
        <w:tab/>
      </w:r>
      <w:r>
        <w:tab/>
        <w:t>In section 3(1)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methylamphetamine</w:t>
      </w:r>
      <w:r>
        <w:t xml:space="preserve"> means the prohibited drug referred to in Schedule VII item 8;</w:t>
      </w:r>
    </w:p>
    <w:p>
      <w:pPr>
        <w:pStyle w:val="BlankClose"/>
      </w:pPr>
    </w:p>
    <w:p>
      <w:pPr>
        <w:pStyle w:val="Heading5"/>
      </w:pPr>
      <w:bookmarkStart w:id="38" w:name="_Toc490658777"/>
      <w:bookmarkStart w:id="39" w:name="_Toc491080883"/>
      <w:bookmarkStart w:id="40" w:name="_Toc491081305"/>
      <w:r>
        <w:rPr>
          <w:rStyle w:val="CharSectno"/>
        </w:rPr>
        <w:t>5</w:t>
      </w:r>
      <w:r>
        <w:t>.</w:t>
      </w:r>
      <w:r>
        <w:tab/>
        <w:t>Section 32A amended</w:t>
      </w:r>
      <w:bookmarkEnd w:id="38"/>
      <w:bookmarkEnd w:id="39"/>
      <w:bookmarkEnd w:id="40"/>
    </w:p>
    <w:p>
      <w:pPr>
        <w:pStyle w:val="Subsection"/>
      </w:pPr>
      <w:r>
        <w:tab/>
        <w:t>(1)</w:t>
      </w:r>
      <w:r>
        <w:tab/>
        <w:t xml:space="preserve">In section 32A(3) in the definition of </w:t>
      </w:r>
      <w:r>
        <w:rPr>
          <w:b/>
          <w:i/>
        </w:rPr>
        <w:t xml:space="preserve">external serious drug offence </w:t>
      </w:r>
      <w:r>
        <w:t>delete “7(1), 33(1)(a) or 33(2)(a); or”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7(1) or 33(1)(a) or, under section 33(2), conspiring to commit a crime under section 6(1) or 7(1); or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 xml:space="preserve">In section 32A(3) in the definition of </w:t>
      </w:r>
      <w:r>
        <w:rPr>
          <w:b/>
          <w:i/>
        </w:rPr>
        <w:t>serious drug offence</w:t>
      </w:r>
      <w:r>
        <w:t xml:space="preserve"> delete “7(1), 33(1)(a) or 33(2)(a).”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7(1) or 33(1)(a) or, under section 33(2), conspiring to commit a crime under section 6(1) or 7(1).</w:t>
      </w:r>
    </w:p>
    <w:p>
      <w:pPr>
        <w:pStyle w:val="BlankClose"/>
      </w:pPr>
    </w:p>
    <w:p>
      <w:pPr>
        <w:pStyle w:val="Heading5"/>
      </w:pPr>
      <w:bookmarkStart w:id="41" w:name="_Toc490658778"/>
      <w:bookmarkStart w:id="42" w:name="_Toc491080884"/>
      <w:bookmarkStart w:id="43" w:name="_Toc491081306"/>
      <w:r>
        <w:rPr>
          <w:rStyle w:val="CharSectno"/>
        </w:rPr>
        <w:t>6</w:t>
      </w:r>
      <w:r>
        <w:t>.</w:t>
      </w:r>
      <w:r>
        <w:tab/>
        <w:t>Section 33 amended</w:t>
      </w:r>
      <w:bookmarkEnd w:id="41"/>
      <w:bookmarkEnd w:id="42"/>
      <w:bookmarkEnd w:id="43"/>
    </w:p>
    <w:p>
      <w:pPr>
        <w:pStyle w:val="Subsection"/>
      </w:pPr>
      <w:r>
        <w:tab/>
        <w:t>(1)</w:t>
      </w:r>
      <w:r>
        <w:tab/>
        <w:t>In section 33(1) after “an offence”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 xml:space="preserve">under this Act </w:t>
      </w:r>
    </w:p>
    <w:p>
      <w:pPr>
        <w:pStyle w:val="BlankClose"/>
      </w:pPr>
    </w:p>
    <w:p>
      <w:pPr>
        <w:pStyle w:val="Subsection"/>
        <w:keepNext/>
      </w:pPr>
      <w:r>
        <w:tab/>
        <w:t>(2)</w:t>
      </w:r>
      <w:r>
        <w:tab/>
        <w:t>Delete section 33(2) and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 xml:space="preserve">A person who conspires with another to commit an offence under this Act (the </w:t>
      </w:r>
      <w:r>
        <w:rPr>
          <w:rStyle w:val="CharDefText"/>
        </w:rPr>
        <w:t>principal offence</w:t>
      </w:r>
      <w:r>
        <w:t>) commits — </w:t>
      </w:r>
    </w:p>
    <w:p>
      <w:pPr>
        <w:pStyle w:val="zIndenta"/>
      </w:pPr>
      <w:r>
        <w:tab/>
        <w:t>(a)</w:t>
      </w:r>
      <w:r>
        <w:tab/>
        <w:t>if the principal offence is a crime under section 6(1) that does not involve methylamphetamine, the crime, but is liable on conviction to the penalty referred to in section 34(1)(b); or</w:t>
      </w:r>
    </w:p>
    <w:p>
      <w:pPr>
        <w:pStyle w:val="zIndenta"/>
      </w:pPr>
      <w:r>
        <w:tab/>
        <w:t>(b)</w:t>
      </w:r>
      <w:r>
        <w:tab/>
        <w:t>if the principal offence is a crime under section 7(1), the crime, but is liable on conviction to the penalty referred to in section 34(1)(ba); or</w:t>
      </w:r>
    </w:p>
    <w:p>
      <w:pPr>
        <w:pStyle w:val="zIndenta"/>
      </w:pPr>
      <w:r>
        <w:tab/>
        <w:t>(c)</w:t>
      </w:r>
      <w:r>
        <w:tab/>
        <w:t>if the principal offence is a simple offence or a crime other than a crime referred to in paragraph (a) or (b), the simple offence or the crime, as the case requires, and is liable on conviction to the same penalty to which a person who commits the principal offence is liable.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In section 33(3):</w:t>
      </w:r>
    </w:p>
    <w:p>
      <w:pPr>
        <w:pStyle w:val="Indenta"/>
      </w:pPr>
      <w:r>
        <w:tab/>
        <w:t>(a)</w:t>
      </w:r>
      <w:r>
        <w:tab/>
        <w:t>after “an offence”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under this Act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(c) delete “fine; and” and insert:</w:t>
      </w:r>
    </w:p>
    <w:p>
      <w:pPr>
        <w:pStyle w:val="BlankOpen"/>
      </w:pPr>
    </w:p>
    <w:p>
      <w:pPr>
        <w:pStyle w:val="zIndenta"/>
      </w:pPr>
      <w:r>
        <w:tab/>
      </w:r>
      <w:r>
        <w:tab/>
        <w:t>fine to which a person who commits the principal offence is liable; and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delete paragraph (d) and the passage that begins “to which” and continues to the end of the subsection and insert:</w:t>
      </w:r>
    </w:p>
    <w:p>
      <w:pPr>
        <w:pStyle w:val="BlankOpen"/>
      </w:pPr>
    </w:p>
    <w:p>
      <w:pPr>
        <w:pStyle w:val="zIndenta"/>
      </w:pPr>
      <w:r>
        <w:tab/>
        <w:t>(d)</w:t>
      </w:r>
      <w:r>
        <w:tab/>
        <w:t xml:space="preserve">to imprisonment for a term not exceeding — </w:t>
      </w:r>
    </w:p>
    <w:p>
      <w:pPr>
        <w:pStyle w:val="zIndenti"/>
      </w:pPr>
      <w:r>
        <w:tab/>
        <w:t>(i)</w:t>
      </w:r>
      <w:r>
        <w:tab/>
        <w:t>14 years, in a case where the person who commits the principal offence is liable to imprisonment for life; and</w:t>
      </w:r>
    </w:p>
    <w:p>
      <w:pPr>
        <w:pStyle w:val="zIndenti"/>
      </w:pPr>
      <w:r>
        <w:tab/>
        <w:t>(ii)</w:t>
      </w:r>
      <w:r>
        <w:tab/>
        <w:t>half of the term to which a person who commits the principal offence is liable, in any other case.</w:t>
      </w:r>
    </w:p>
    <w:p>
      <w:pPr>
        <w:pStyle w:val="BlankClose"/>
      </w:pPr>
    </w:p>
    <w:p>
      <w:pPr>
        <w:pStyle w:val="Heading5"/>
      </w:pPr>
      <w:bookmarkStart w:id="44" w:name="_Toc490658779"/>
      <w:bookmarkStart w:id="45" w:name="_Toc491080885"/>
      <w:bookmarkStart w:id="46" w:name="_Toc491081307"/>
      <w:r>
        <w:rPr>
          <w:rStyle w:val="CharSectno"/>
        </w:rPr>
        <w:t>7</w:t>
      </w:r>
      <w:r>
        <w:t>.</w:t>
      </w:r>
      <w:r>
        <w:tab/>
        <w:t>Section 34 amended</w:t>
      </w:r>
      <w:bookmarkEnd w:id="44"/>
      <w:bookmarkEnd w:id="45"/>
      <w:bookmarkEnd w:id="46"/>
    </w:p>
    <w:p>
      <w:pPr>
        <w:pStyle w:val="Subsection"/>
      </w:pPr>
      <w:r>
        <w:tab/>
        <w:t>(1)</w:t>
      </w:r>
      <w:r>
        <w:tab/>
        <w:t>Before section 34(1) insert:</w:t>
      </w:r>
    </w:p>
    <w:p>
      <w:pPr>
        <w:pStyle w:val="BlankOpen"/>
      </w:pPr>
    </w:p>
    <w:p>
      <w:pPr>
        <w:pStyle w:val="zSubsection"/>
      </w:pPr>
      <w:r>
        <w:tab/>
        <w:t>(1A)</w:t>
      </w:r>
      <w:r>
        <w:tab/>
        <w:t xml:space="preserve">In this section — </w:t>
      </w:r>
    </w:p>
    <w:p>
      <w:pPr>
        <w:pStyle w:val="zDefstart"/>
      </w:pPr>
      <w:r>
        <w:tab/>
      </w:r>
      <w:r>
        <w:rPr>
          <w:rStyle w:val="CharDefText"/>
        </w:rPr>
        <w:t>trafficable quantity of methylamphetamine</w:t>
      </w:r>
      <w:r>
        <w:t xml:space="preserve"> means a quantity of methylamphetamine not less than that specified in Schedule VII item 8.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Delete section 34(1)(a) and (b) and insert:</w:t>
      </w:r>
    </w:p>
    <w:p>
      <w:pPr>
        <w:pStyle w:val="BlankOpen"/>
      </w:pPr>
    </w:p>
    <w:p>
      <w:pPr>
        <w:pStyle w:val="zIndenta"/>
      </w:pPr>
      <w:r>
        <w:tab/>
        <w:t>(a)</w:t>
      </w:r>
      <w:r>
        <w:tab/>
        <w:t>a crime under section 6(1) that involves a trafficable quantity of methylamphetamine is liable to imprisonment for life; or</w:t>
      </w:r>
    </w:p>
    <w:p>
      <w:pPr>
        <w:pStyle w:val="zIndenta"/>
      </w:pPr>
      <w:r>
        <w:tab/>
        <w:t>(aa)</w:t>
      </w:r>
      <w:r>
        <w:tab/>
        <w:t>any other crime under section 6(1) is liable to a fine not exceeding $100 000 or to imprisonment for a term not exceeding 25 years or both; or</w:t>
      </w:r>
    </w:p>
    <w:p>
      <w:pPr>
        <w:pStyle w:val="zIndenta"/>
      </w:pPr>
      <w:r>
        <w:tab/>
        <w:t>(ab)</w:t>
      </w:r>
      <w:r>
        <w:tab/>
        <w:t>a crime under section 7(1) is liable to a fine not exceeding $100 000 or to imprisonment for a term not exceeding 25 years or both; or</w:t>
      </w:r>
    </w:p>
    <w:p>
      <w:pPr>
        <w:pStyle w:val="zIndenta"/>
      </w:pPr>
      <w:r>
        <w:tab/>
        <w:t>(b)</w:t>
      </w:r>
      <w:r>
        <w:tab/>
        <w:t>conspiring with another to commit a crime under section 6(1) that does not involve methylamphetamine is liable to a fine not exceeding $75 000 or to imprisonment for a term not exceeding 20 years or both; or</w:t>
      </w:r>
    </w:p>
    <w:p>
      <w:pPr>
        <w:pStyle w:val="zIndenta"/>
      </w:pPr>
      <w:r>
        <w:tab/>
        <w:t>(ba)</w:t>
      </w:r>
      <w:r>
        <w:tab/>
        <w:t>conspiring with another to commit a crime under section 7(1) is liable to a fine not exceeding $75 000 or to imprisonment for a term not exceeding 20 years or both; or</w:t>
      </w:r>
    </w:p>
    <w:p>
      <w:pPr>
        <w:pStyle w:val="Subsection"/>
      </w:pPr>
      <w:r>
        <w:tab/>
        <w:t>(3)</w:t>
      </w:r>
      <w:r>
        <w:tab/>
        <w:t>In section 34(2) and (3) delete “referred to in subsection (1)(a)”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under section 6(1) or 7(1)</w:t>
      </w:r>
    </w:p>
    <w:p>
      <w:pPr>
        <w:pStyle w:val="BlankClose"/>
      </w:pPr>
    </w:p>
    <w:p>
      <w:pPr>
        <w:pStyle w:val="Heading2"/>
      </w:pPr>
      <w:bookmarkStart w:id="47" w:name="_Toc481568761"/>
      <w:bookmarkStart w:id="48" w:name="_Toc481568773"/>
      <w:bookmarkStart w:id="49" w:name="_Toc481568785"/>
      <w:bookmarkStart w:id="50" w:name="_Toc481572647"/>
      <w:bookmarkStart w:id="51" w:name="_Toc481572969"/>
      <w:bookmarkStart w:id="52" w:name="_Toc481573597"/>
      <w:bookmarkStart w:id="53" w:name="_Toc481574415"/>
      <w:bookmarkStart w:id="54" w:name="_Toc490644354"/>
      <w:bookmarkStart w:id="55" w:name="_Toc490658780"/>
      <w:bookmarkStart w:id="56" w:name="_Toc491080886"/>
      <w:bookmarkStart w:id="57" w:name="_Toc491081308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District Court of Western Australia Act 1969</w:t>
      </w:r>
      <w:r>
        <w:rPr>
          <w:rStyle w:val="CharPartText"/>
        </w:rPr>
        <w:t xml:space="preserve"> amended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Heading5"/>
        <w:rPr>
          <w:snapToGrid w:val="0"/>
        </w:rPr>
      </w:pPr>
      <w:bookmarkStart w:id="58" w:name="_Toc490658781"/>
      <w:bookmarkStart w:id="59" w:name="_Toc491080887"/>
      <w:bookmarkStart w:id="60" w:name="_Toc491081309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58"/>
      <w:bookmarkEnd w:id="59"/>
      <w:bookmarkEnd w:id="60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District Court of Western Australia Act 1969</w:t>
      </w:r>
      <w:r>
        <w:t>.</w:t>
      </w:r>
    </w:p>
    <w:p>
      <w:pPr>
        <w:pStyle w:val="Heading5"/>
      </w:pPr>
      <w:bookmarkStart w:id="61" w:name="_Toc490658782"/>
      <w:bookmarkStart w:id="62" w:name="_Toc491080888"/>
      <w:bookmarkStart w:id="63" w:name="_Toc491081310"/>
      <w:r>
        <w:rPr>
          <w:rStyle w:val="CharSectno"/>
        </w:rPr>
        <w:t>9</w:t>
      </w:r>
      <w:r>
        <w:t>.</w:t>
      </w:r>
      <w:r>
        <w:tab/>
        <w:t>Section 42 amended</w:t>
      </w:r>
      <w:bookmarkEnd w:id="61"/>
      <w:bookmarkEnd w:id="62"/>
      <w:bookmarkEnd w:id="63"/>
    </w:p>
    <w:p>
      <w:pPr>
        <w:pStyle w:val="Subsection"/>
      </w:pPr>
      <w:r>
        <w:tab/>
      </w:r>
      <w:r>
        <w:tab/>
        <w:t>In section 42(2) delete “life.” and insert:</w:t>
      </w:r>
    </w:p>
    <w:p>
      <w:pPr>
        <w:pStyle w:val="BlankOpen"/>
      </w:pPr>
    </w:p>
    <w:p>
      <w:pPr>
        <w:pStyle w:val="zSubsection"/>
      </w:pPr>
      <w:r>
        <w:tab/>
      </w:r>
      <w:r>
        <w:tab/>
        <w:t xml:space="preserve">life, unless the offence is — </w:t>
      </w:r>
    </w:p>
    <w:p>
      <w:pPr>
        <w:pStyle w:val="zIndenta"/>
      </w:pPr>
      <w:r>
        <w:tab/>
        <w:t>(a)</w:t>
      </w:r>
      <w:r>
        <w:tab/>
        <w:t xml:space="preserve">a crime under the </w:t>
      </w:r>
      <w:r>
        <w:rPr>
          <w:i/>
        </w:rPr>
        <w:t>Misuse of Drugs Act 1981</w:t>
      </w:r>
      <w:r>
        <w:t xml:space="preserve"> section 6(1) that involves a trafficable quantity of methylamphetamine as defined in section 34(1A) of that Act (a </w:t>
      </w:r>
      <w:r>
        <w:rPr>
          <w:rStyle w:val="CharDefText"/>
        </w:rPr>
        <w:t>serious methylamphetamine crime</w:t>
      </w:r>
      <w:r>
        <w:t xml:space="preserve">); or </w:t>
      </w:r>
    </w:p>
    <w:p>
      <w:pPr>
        <w:pStyle w:val="zIndenta"/>
      </w:pPr>
      <w:r>
        <w:tab/>
        <w:t>(b)</w:t>
      </w:r>
      <w:r>
        <w:tab/>
        <w:t xml:space="preserve">an attempt to commit a serious methylamphetamine crime under the </w:t>
      </w:r>
      <w:r>
        <w:rPr>
          <w:i/>
        </w:rPr>
        <w:t>Misuse of Drugs Act 1981</w:t>
      </w:r>
      <w:r>
        <w:t xml:space="preserve"> section 33(1)(a); or</w:t>
      </w:r>
    </w:p>
    <w:p>
      <w:pPr>
        <w:pStyle w:val="zIndenta"/>
      </w:pPr>
      <w:r>
        <w:tab/>
        <w:t>(c)</w:t>
      </w:r>
      <w:r>
        <w:tab/>
        <w:t xml:space="preserve">conspiring to commit a serious methylamphetamine crime under the </w:t>
      </w:r>
      <w:r>
        <w:rPr>
          <w:i/>
        </w:rPr>
        <w:t>Misuse of Drugs Act 1981</w:t>
      </w:r>
      <w:r>
        <w:t xml:space="preserve"> section 33(2)(c).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30"/>
      <w:headerReference w:type="default" r:id="rId31"/>
      <w:headerReference w:type="first" r:id="rId32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Aug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Misuse of Drugs Amendment (Methylamphetamine Offences)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8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Misuse of Drugs Amendment (Methylamphetamine Offences)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Misuse of Drugs Amendment (Methylamphetamine Offences)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Misuse of Drugs Amendment (Methylamphetamine Offences)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Misuse of Drugs Amendment (Methylamphetamine Offences)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Misuse of Drugs Amendment (Methylamphetamine Offences)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Part 1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Preliminary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7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82112171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70502123330" w:val="RemoveTocBookmarks,RemoveUnusedBookmarks,RemoveLanguageTags,UsedStyles,ResetPageSize"/>
    <w:docVar w:name="WAFER_20170502123330_GUID" w:val="03eedb19-3fb1-44b2-9423-bb0c3b6f259b"/>
    <w:docVar w:name="WAFER_20170503093943" w:val="RemoveTocBookmarks,RemoveUnusedBookmarks,RemoveLanguageTags,UsedStyles,ResetPageSize"/>
    <w:docVar w:name="WAFER_20170503093943_GUID" w:val="bdc26c7f-d8fd-4545-bd96-18571affb0f1"/>
    <w:docVar w:name="WAFER_20170821121716" w:val="UpdateStyles,ResetPageSize"/>
    <w:docVar w:name="WAFER_20170821121716_GUID" w:val="547b905c-da25-4caa-92cb-69f6ec10eab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image" Target="media/image3.png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7BF0-8C78-4F31-957A-00931DE6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1012</Words>
  <Characters>4833</Characters>
  <Application>Microsoft Office Word</Application>
  <DocSecurity>0</DocSecurity>
  <Lines>201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5737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Misuse of Drugs Amendment (Methylamphetamine Offences) Act 2017 - 00-00-00</dc:title>
  <dc:subject/>
  <dc:creator/>
  <cp:keywords/>
  <dc:description/>
  <cp:lastModifiedBy>svcMRProcess</cp:lastModifiedBy>
  <cp:revision>4</cp:revision>
  <cp:lastPrinted>2017-08-21T04:03:00Z</cp:lastPrinted>
  <dcterms:created xsi:type="dcterms:W3CDTF">2017-08-21T06:28:00Z</dcterms:created>
  <dcterms:modified xsi:type="dcterms:W3CDTF">2017-08-21T06:28:00Z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2530</vt:lpwstr>
  </property>
  <property fmtid="{D5CDD505-2E9C-101B-9397-08002B2CF9AE}" pid="3" name="ActNo">
    <vt:lpwstr>3 of 2017</vt:lpwstr>
  </property>
  <property fmtid="{D5CDD505-2E9C-101B-9397-08002B2CF9AE}" pid="4" name="DocumentType">
    <vt:lpwstr>Act</vt:lpwstr>
  </property>
  <property fmtid="{D5CDD505-2E9C-101B-9397-08002B2CF9AE}" pid="5" name="AsAtDate">
    <vt:lpwstr>21 Aug 2017</vt:lpwstr>
  </property>
  <property fmtid="{D5CDD505-2E9C-101B-9397-08002B2CF9AE}" pid="6" name="Suffix">
    <vt:lpwstr>00-00-00</vt:lpwstr>
  </property>
  <property fmtid="{D5CDD505-2E9C-101B-9397-08002B2CF9AE}" pid="7" name="ActNoFooter">
    <vt:lpwstr>No. 3 of 2017</vt:lpwstr>
  </property>
  <property fmtid="{D5CDD505-2E9C-101B-9397-08002B2CF9AE}" pid="8" name="CommencementDate">
    <vt:lpwstr>20170821</vt:lpwstr>
  </property>
</Properties>
</file>