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pStyle w:val="ReprintNo"/>
      </w:pPr>
      <w:r>
        <w:t>Reprint 6:  The Act as at 27 October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C62DC" w:rsidRDefault="00DC62D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C62DC" w:rsidRDefault="00DC62D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C62DC" w:rsidRDefault="00DC62D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C62DC" w:rsidRDefault="00DC62D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_Toc490039104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_Toc490039105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_Toc490039106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_Toc490039107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cemetery may be set aside as site for crematorium</w:t>
      </w:r>
      <w:r>
        <w:tab/>
      </w:r>
      <w:r>
        <w:fldChar w:fldCharType="begin"/>
      </w:r>
      <w:r>
        <w:instrText xml:space="preserve"> PAGEREF _Toc490039108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crematorium not included in cemetery deemed to be cemetery for certain purposes</w:t>
      </w:r>
      <w:r>
        <w:tab/>
      </w:r>
      <w:r>
        <w:fldChar w:fldCharType="begin"/>
      </w:r>
      <w:r>
        <w:instrText xml:space="preserve"> PAGEREF _Toc490039109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site of crematorium</w:t>
      </w:r>
      <w:r>
        <w:tab/>
      </w:r>
      <w:r>
        <w:fldChar w:fldCharType="begin"/>
      </w:r>
      <w:r>
        <w:instrText xml:space="preserve"> PAGEREF _Toc490039110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_Toc490039111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_Toc490039112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_Toc490039113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_Toc490039114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_Toc490039115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_Toc490039116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_Toc490039117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_Toc490039118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_Toc490039119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_Toc490039120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_Toc490039121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_Toc490039123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_Toc490039124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October 2017</w:t>
            </w:r>
          </w:p>
        </w:tc>
      </w:tr>
    </w:tbl>
    <w:p>
      <w:pPr>
        <w:pStyle w:val="WA"/>
        <w:spacing w:before="12"/>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49003910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4" w:name="_Toc490039105"/>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 No. 19 of 2016 s. 122.]</w:t>
      </w:r>
    </w:p>
    <w:p>
      <w:pPr>
        <w:pStyle w:val="Heading5"/>
      </w:pPr>
      <w:bookmarkStart w:id="5" w:name="_Toc490039106"/>
      <w:r>
        <w:rPr>
          <w:rStyle w:val="CharSectno"/>
        </w:rPr>
        <w:t>3</w:t>
      </w:r>
      <w:r>
        <w:t>.</w:t>
      </w:r>
      <w:r>
        <w:tab/>
        <w:t>Cremation without licence prohibited</w:t>
      </w:r>
      <w:bookmarkEnd w:id="5"/>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6" w:name="_Toc490039107"/>
      <w:r>
        <w:rPr>
          <w:rStyle w:val="CharSectno"/>
        </w:rPr>
        <w:t>4</w:t>
      </w:r>
      <w:r>
        <w:rPr>
          <w:snapToGrid w:val="0"/>
        </w:rPr>
        <w:t>.</w:t>
      </w:r>
      <w:r>
        <w:rPr>
          <w:snapToGrid w:val="0"/>
        </w:rPr>
        <w:tab/>
        <w:t>Issue of licences</w:t>
      </w:r>
      <w:bookmarkEnd w:id="6"/>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(a)</w:t>
      </w:r>
      <w:r>
        <w:rPr>
          <w:snapToGrid w:val="0"/>
        </w:rPr>
        <w:tab/>
        <w:t>that they have sufficient authority to use the site or proposed site;</w:t>
      </w:r>
    </w:p>
    <w:p>
      <w:pPr>
        <w:pStyle w:val="Indenta"/>
        <w:rPr>
          <w:snapToGrid w:val="0"/>
        </w:rPr>
      </w:pPr>
      <w:r>
        <w:rPr>
          <w:snapToGrid w:val="0"/>
        </w:rPr>
        <w:tab/>
        <w:t>(b)</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(c)</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(d)</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 No. 19 of 2016 s. 125.]</w:t>
      </w:r>
    </w:p>
    <w:p>
      <w:pPr>
        <w:pStyle w:val="Heading5"/>
        <w:rPr>
          <w:snapToGrid w:val="0"/>
        </w:rPr>
      </w:pPr>
      <w:bookmarkStart w:id="7" w:name="_Toc490039108"/>
      <w:r>
        <w:rPr>
          <w:rStyle w:val="CharSectno"/>
        </w:rPr>
        <w:t>5</w:t>
      </w:r>
      <w:r>
        <w:rPr>
          <w:snapToGrid w:val="0"/>
        </w:rPr>
        <w:t>.</w:t>
      </w:r>
      <w:r>
        <w:rPr>
          <w:snapToGrid w:val="0"/>
        </w:rPr>
        <w:tab/>
        <w:t>Portion of cemetery may be set aside as site for crematorium</w:t>
      </w:r>
      <w:bookmarkEnd w:id="7"/>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8" w:name="_Toc490039109"/>
      <w:r>
        <w:rPr>
          <w:rStyle w:val="CharSectno"/>
        </w:rPr>
        <w:t>6</w:t>
      </w:r>
      <w:r>
        <w:rPr>
          <w:snapToGrid w:val="0"/>
        </w:rPr>
        <w:t>.</w:t>
      </w:r>
      <w:r>
        <w:rPr>
          <w:snapToGrid w:val="0"/>
        </w:rPr>
        <w:tab/>
        <w:t>Site of crematorium not included in cemetery deemed to be cemetery for certain purposes</w:t>
      </w:r>
      <w:bookmarkEnd w:id="8"/>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9" w:name="_Toc490039110"/>
      <w:r>
        <w:rPr>
          <w:rStyle w:val="CharSectno"/>
        </w:rPr>
        <w:t>7</w:t>
      </w:r>
      <w:r>
        <w:rPr>
          <w:snapToGrid w:val="0"/>
        </w:rPr>
        <w:t>.</w:t>
      </w:r>
      <w:r>
        <w:rPr>
          <w:snapToGrid w:val="0"/>
        </w:rPr>
        <w:tab/>
        <w:t>Disposal of ashes otherwise than by burial on site of crematorium</w:t>
      </w:r>
      <w:bookmarkEnd w:id="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0" w:name="_Toc490039111"/>
      <w:r>
        <w:rPr>
          <w:rStyle w:val="CharSectno"/>
        </w:rPr>
        <w:t>8</w:t>
      </w:r>
      <w:r>
        <w:rPr>
          <w:snapToGrid w:val="0"/>
        </w:rPr>
        <w:t>.</w:t>
      </w:r>
      <w:r>
        <w:rPr>
          <w:snapToGrid w:val="0"/>
        </w:rPr>
        <w:tab/>
        <w:t>Appointment of medical referees</w:t>
      </w:r>
      <w:bookmarkEnd w:id="10"/>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 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keepNext/>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1" w:name="_Toc490039112"/>
      <w:r>
        <w:rPr>
          <w:rStyle w:val="CharSectno"/>
        </w:rPr>
        <w:t>8A</w:t>
      </w:r>
      <w:r>
        <w:rPr>
          <w:snapToGrid w:val="0"/>
        </w:rPr>
        <w:t>.</w:t>
      </w:r>
      <w:r>
        <w:rPr>
          <w:snapToGrid w:val="0"/>
        </w:rPr>
        <w:tab/>
        <w:t>Permits</w:t>
      </w:r>
      <w:bookmarkEnd w:id="11"/>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r>
        <w:t xml:space="preserve"> or the </w:t>
      </w:r>
      <w:r>
        <w:rPr>
          <w:i/>
        </w:rPr>
        <w:t>Public Health Act 2016</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 No. 19 of 2016 s. 123, 125 and 285(1).]</w:t>
      </w:r>
    </w:p>
    <w:p>
      <w:pPr>
        <w:pStyle w:val="Heading5"/>
        <w:pageBreakBefore/>
        <w:spacing w:before="0"/>
        <w:rPr>
          <w:snapToGrid w:val="0"/>
        </w:rPr>
      </w:pPr>
      <w:bookmarkStart w:id="12" w:name="_Toc490039113"/>
      <w:r>
        <w:rPr>
          <w:rStyle w:val="CharSectno"/>
        </w:rPr>
        <w:t>8B</w:t>
      </w:r>
      <w:r>
        <w:rPr>
          <w:snapToGrid w:val="0"/>
        </w:rPr>
        <w:t>.</w:t>
      </w:r>
      <w:r>
        <w:rPr>
          <w:snapToGrid w:val="0"/>
        </w:rPr>
        <w:tab/>
        <w:t>Permit to cremate still</w:t>
      </w:r>
      <w:r>
        <w:rPr>
          <w:snapToGrid w:val="0"/>
        </w:rPr>
        <w:noBreakHyphen/>
        <w:t>born child</w:t>
      </w:r>
      <w:bookmarkEnd w:id="1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 by No. 80 of 1953 s. 8; amended by No. 19 of 2016 s. 124.]</w:t>
      </w:r>
    </w:p>
    <w:p>
      <w:pPr>
        <w:pStyle w:val="Heading5"/>
        <w:rPr>
          <w:snapToGrid w:val="0"/>
        </w:rPr>
      </w:pPr>
      <w:bookmarkStart w:id="13" w:name="_Toc490039114"/>
      <w:r>
        <w:rPr>
          <w:rStyle w:val="CharSectno"/>
        </w:rPr>
        <w:t>9</w:t>
      </w:r>
      <w:r>
        <w:rPr>
          <w:snapToGrid w:val="0"/>
        </w:rPr>
        <w:t>.</w:t>
      </w:r>
      <w:r>
        <w:rPr>
          <w:snapToGrid w:val="0"/>
        </w:rPr>
        <w:tab/>
        <w:t>Permit to be sufficient authority to cremate body</w:t>
      </w:r>
      <w:bookmarkEnd w:id="13"/>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14" w:name="_Toc490039115"/>
      <w:r>
        <w:rPr>
          <w:rStyle w:val="CharSectno"/>
        </w:rPr>
        <w:t>10</w:t>
      </w:r>
      <w:r>
        <w:rPr>
          <w:snapToGrid w:val="0"/>
        </w:rPr>
        <w:t>.</w:t>
      </w:r>
      <w:r>
        <w:rPr>
          <w:snapToGrid w:val="0"/>
        </w:rPr>
        <w:tab/>
        <w:t>Medical referee not to issue permit improperly; and no person to cremate body without permit</w:t>
      </w:r>
      <w:bookmarkEnd w:id="14"/>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15" w:name="_Toc490039116"/>
      <w:r>
        <w:rPr>
          <w:rStyle w:val="CharSectno"/>
        </w:rPr>
        <w:t>12</w:t>
      </w:r>
      <w:r>
        <w:rPr>
          <w:snapToGrid w:val="0"/>
        </w:rPr>
        <w:t>.</w:t>
      </w:r>
      <w:r>
        <w:rPr>
          <w:snapToGrid w:val="0"/>
        </w:rPr>
        <w:tab/>
        <w:t>Interested persons not to give certificates</w:t>
      </w:r>
      <w:bookmarkEnd w:id="15"/>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16" w:name="_Toc490039117"/>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1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17" w:name="_Toc490039118"/>
      <w:r>
        <w:rPr>
          <w:rStyle w:val="CharSectno"/>
        </w:rPr>
        <w:t>14</w:t>
      </w:r>
      <w:r>
        <w:rPr>
          <w:snapToGrid w:val="0"/>
        </w:rPr>
        <w:t>.</w:t>
      </w:r>
      <w:r>
        <w:rPr>
          <w:snapToGrid w:val="0"/>
        </w:rPr>
        <w:tab/>
        <w:t>Attorney General or coroner may forbid cremation</w:t>
      </w:r>
      <w:bookmarkEnd w:id="17"/>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18" w:name="_Toc490039119"/>
      <w:r>
        <w:rPr>
          <w:rStyle w:val="CharSectno"/>
        </w:rPr>
        <w:t>15</w:t>
      </w:r>
      <w:r>
        <w:rPr>
          <w:snapToGrid w:val="0"/>
        </w:rPr>
        <w:t>.</w:t>
      </w:r>
      <w:r>
        <w:rPr>
          <w:snapToGrid w:val="0"/>
        </w:rPr>
        <w:tab/>
        <w:t>Offences</w:t>
      </w:r>
      <w:bookmarkEnd w:id="18"/>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19" w:name="_Toc490039120"/>
      <w:r>
        <w:rPr>
          <w:rStyle w:val="CharSectno"/>
        </w:rPr>
        <w:t>16</w:t>
      </w:r>
      <w:r>
        <w:rPr>
          <w:snapToGrid w:val="0"/>
        </w:rPr>
        <w:t>.</w:t>
      </w:r>
      <w:r>
        <w:rPr>
          <w:snapToGrid w:val="0"/>
        </w:rPr>
        <w:tab/>
        <w:t>Revocation of licences</w:t>
      </w:r>
      <w:bookmarkEnd w:id="1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 by No. 113 of 1965 s. 8; No. 28 of 1984 s. 12 and 13; No. 19 of 2010 s. 51; No. 19 of 2016 s. 125.]</w:t>
      </w:r>
    </w:p>
    <w:p>
      <w:pPr>
        <w:pStyle w:val="Heading5"/>
        <w:rPr>
          <w:snapToGrid w:val="0"/>
        </w:rPr>
      </w:pPr>
      <w:bookmarkStart w:id="20" w:name="_Toc490039121"/>
      <w:r>
        <w:rPr>
          <w:rStyle w:val="CharSectno"/>
        </w:rPr>
        <w:t>17</w:t>
      </w:r>
      <w:r>
        <w:rPr>
          <w:snapToGrid w:val="0"/>
        </w:rPr>
        <w:t>.</w:t>
      </w:r>
      <w:r>
        <w:rPr>
          <w:snapToGrid w:val="0"/>
        </w:rPr>
        <w:tab/>
        <w:t>Regulations</w:t>
      </w:r>
      <w:bookmarkEnd w:id="20"/>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1" w:name="_Toc485280842"/>
      <w:bookmarkStart w:id="22" w:name="_Toc489260697"/>
      <w:bookmarkStart w:id="23" w:name="_Toc489260945"/>
      <w:bookmarkStart w:id="24" w:name="_Toc490039122"/>
      <w:r>
        <w:t>Notes</w:t>
      </w:r>
      <w:bookmarkEnd w:id="21"/>
      <w:bookmarkEnd w:id="22"/>
      <w:bookmarkEnd w:id="23"/>
      <w:bookmarkEnd w:id="24"/>
    </w:p>
    <w:p>
      <w:pPr>
        <w:pStyle w:val="nSubsection"/>
      </w:pPr>
      <w:r>
        <w:rPr>
          <w:vertAlign w:val="superscript"/>
        </w:rPr>
        <w:t>1</w:t>
      </w:r>
      <w:r>
        <w:tab/>
        <w:t xml:space="preserve">This reprint is a compilation as at 27 October 2017 of the </w:t>
      </w:r>
      <w:r>
        <w:rPr>
          <w:i/>
          <w:noProof/>
        </w:rPr>
        <w:t>Cremation Act 1929</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25" w:name="_Toc490039123"/>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Cremation Act 1929</w:t>
            </w:r>
          </w:p>
        </w:tc>
        <w:tc>
          <w:tcPr>
            <w:tcW w:w="1134"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51" w:type="dxa"/>
            <w:tcBorders>
              <w:top w:val="single" w:sz="8" w:space="0" w:color="auto"/>
            </w:tcBorders>
          </w:tcPr>
          <w:p>
            <w:pPr>
              <w:pStyle w:val="nTable"/>
              <w:spacing w:after="40"/>
            </w:pPr>
            <w:r>
              <w:t>11 Dec 1929</w:t>
            </w:r>
          </w:p>
        </w:tc>
      </w:tr>
      <w:tr>
        <w:trPr>
          <w:cantSplit/>
        </w:trPr>
        <w:tc>
          <w:tcPr>
            <w:tcW w:w="2268" w:type="dxa"/>
          </w:tcPr>
          <w:p>
            <w:pPr>
              <w:pStyle w:val="nTable"/>
              <w:spacing w:after="40"/>
              <w:ind w:right="113"/>
            </w:pPr>
            <w:r>
              <w:rPr>
                <w:i/>
              </w:rPr>
              <w:t>Cremation Act Amendment Act 1935</w:t>
            </w:r>
          </w:p>
        </w:tc>
        <w:tc>
          <w:tcPr>
            <w:tcW w:w="1134" w:type="dxa"/>
          </w:tcPr>
          <w:p>
            <w:pPr>
              <w:pStyle w:val="nTable"/>
              <w:spacing w:after="40"/>
            </w:pPr>
            <w:r>
              <w:t>8 of 1935</w:t>
            </w:r>
            <w:r>
              <w:br/>
              <w:t>(26 Geo. V No. 8)</w:t>
            </w:r>
          </w:p>
        </w:tc>
        <w:tc>
          <w:tcPr>
            <w:tcW w:w="1135" w:type="dxa"/>
          </w:tcPr>
          <w:p>
            <w:pPr>
              <w:pStyle w:val="nTable"/>
              <w:spacing w:after="40"/>
            </w:pPr>
            <w:r>
              <w:t>5 Oct 1935</w:t>
            </w:r>
          </w:p>
        </w:tc>
        <w:tc>
          <w:tcPr>
            <w:tcW w:w="2551" w:type="dxa"/>
          </w:tcPr>
          <w:p>
            <w:pPr>
              <w:pStyle w:val="nTable"/>
              <w:spacing w:after="40"/>
            </w:pPr>
            <w:r>
              <w:t>5 Oct 1935</w:t>
            </w:r>
          </w:p>
        </w:tc>
      </w:tr>
      <w:tr>
        <w:trPr>
          <w:cantSplit/>
        </w:trPr>
        <w:tc>
          <w:tcPr>
            <w:tcW w:w="7087" w:type="dxa"/>
            <w:gridSpan w:val="4"/>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68" w:type="dxa"/>
          </w:tcPr>
          <w:p>
            <w:pPr>
              <w:pStyle w:val="nTable"/>
              <w:spacing w:after="40"/>
              <w:ind w:right="113"/>
            </w:pPr>
            <w:r>
              <w:rPr>
                <w:i/>
              </w:rPr>
              <w:t>Cremation Act Amendment Act 1953</w:t>
            </w:r>
          </w:p>
        </w:tc>
        <w:tc>
          <w:tcPr>
            <w:tcW w:w="1134" w:type="dxa"/>
          </w:tcPr>
          <w:p>
            <w:pPr>
              <w:pStyle w:val="nTable"/>
              <w:spacing w:after="40"/>
            </w:pPr>
            <w:r>
              <w:t>80 of 1953</w:t>
            </w:r>
            <w:r>
              <w:br/>
              <w:t>(2 Eliz. II No. 80)</w:t>
            </w:r>
          </w:p>
        </w:tc>
        <w:tc>
          <w:tcPr>
            <w:tcW w:w="1135" w:type="dxa"/>
          </w:tcPr>
          <w:p>
            <w:pPr>
              <w:pStyle w:val="nTable"/>
              <w:spacing w:after="40"/>
            </w:pPr>
            <w:r>
              <w:t>18 Jan 1954</w:t>
            </w:r>
          </w:p>
        </w:tc>
        <w:tc>
          <w:tcPr>
            <w:tcW w:w="2551" w:type="dxa"/>
          </w:tcPr>
          <w:p>
            <w:pPr>
              <w:pStyle w:val="nTable"/>
              <w:spacing w:after="40"/>
            </w:pPr>
            <w:r>
              <w:t xml:space="preserve">6 Sep 1954 (see s. 2 and </w:t>
            </w:r>
            <w:r>
              <w:rPr>
                <w:i/>
              </w:rPr>
              <w:t>Gazette</w:t>
            </w:r>
            <w:r>
              <w:t xml:space="preserve"> 20 Aug 1954 p. 1429)</w:t>
            </w:r>
          </w:p>
        </w:tc>
      </w:tr>
      <w:tr>
        <w:trPr>
          <w:cantSplit/>
        </w:trPr>
        <w:tc>
          <w:tcPr>
            <w:tcW w:w="7087" w:type="dxa"/>
            <w:gridSpan w:val="4"/>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Cremation Act Amendment Act 1967</w:t>
            </w:r>
          </w:p>
        </w:tc>
        <w:tc>
          <w:tcPr>
            <w:tcW w:w="1134" w:type="dxa"/>
          </w:tcPr>
          <w:p>
            <w:pPr>
              <w:pStyle w:val="nTable"/>
              <w:spacing w:after="40"/>
            </w:pPr>
            <w:r>
              <w:t>35 of 1967</w:t>
            </w:r>
          </w:p>
        </w:tc>
        <w:tc>
          <w:tcPr>
            <w:tcW w:w="1135"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Cremation Act Amendment Act 1968</w:t>
            </w:r>
          </w:p>
        </w:tc>
        <w:tc>
          <w:tcPr>
            <w:tcW w:w="1134" w:type="dxa"/>
          </w:tcPr>
          <w:p>
            <w:pPr>
              <w:pStyle w:val="nTable"/>
              <w:spacing w:after="40"/>
            </w:pPr>
            <w:r>
              <w:t>2 of 1968</w:t>
            </w:r>
          </w:p>
        </w:tc>
        <w:tc>
          <w:tcPr>
            <w:tcW w:w="1135" w:type="dxa"/>
          </w:tcPr>
          <w:p>
            <w:pPr>
              <w:pStyle w:val="nTable"/>
              <w:spacing w:after="40"/>
            </w:pPr>
            <w:r>
              <w:t>26 Sep 1968</w:t>
            </w:r>
          </w:p>
        </w:tc>
        <w:tc>
          <w:tcPr>
            <w:tcW w:w="2551" w:type="dxa"/>
          </w:tcPr>
          <w:p>
            <w:pPr>
              <w:pStyle w:val="nTable"/>
              <w:spacing w:after="40"/>
            </w:pPr>
            <w:r>
              <w:t>26 Sep 1968</w:t>
            </w:r>
          </w:p>
        </w:tc>
      </w:tr>
      <w:tr>
        <w:trPr>
          <w:cantSplit/>
        </w:trPr>
        <w:tc>
          <w:tcPr>
            <w:tcW w:w="7087" w:type="dxa"/>
            <w:gridSpan w:val="4"/>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68" w:type="dxa"/>
          </w:tcPr>
          <w:p>
            <w:pPr>
              <w:pStyle w:val="nTable"/>
              <w:spacing w:after="40"/>
              <w:ind w:right="113"/>
            </w:pPr>
            <w:r>
              <w:rPr>
                <w:i/>
              </w:rPr>
              <w:t>Health Legislation Amendment Act 1984</w:t>
            </w:r>
            <w:r>
              <w:t xml:space="preserve"> Pt. IV</w:t>
            </w:r>
          </w:p>
        </w:tc>
        <w:tc>
          <w:tcPr>
            <w:tcW w:w="1134" w:type="dxa"/>
          </w:tcPr>
          <w:p>
            <w:pPr>
              <w:pStyle w:val="nTable"/>
              <w:spacing w:after="40"/>
            </w:pPr>
            <w:r>
              <w:t>28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Cremation Amendment Act 1986</w:t>
            </w:r>
          </w:p>
        </w:tc>
        <w:tc>
          <w:tcPr>
            <w:tcW w:w="1134" w:type="dxa"/>
          </w:tcPr>
          <w:p>
            <w:pPr>
              <w:pStyle w:val="nTable"/>
              <w:spacing w:after="40"/>
            </w:pPr>
            <w:r>
              <w:t>103 of 1986</w:t>
            </w:r>
          </w:p>
        </w:tc>
        <w:tc>
          <w:tcPr>
            <w:tcW w:w="1135" w:type="dxa"/>
          </w:tcPr>
          <w:p>
            <w:pPr>
              <w:pStyle w:val="nTable"/>
              <w:spacing w:after="40"/>
            </w:pPr>
            <w:r>
              <w:t>12 Dec 1986</w:t>
            </w:r>
          </w:p>
        </w:tc>
        <w:tc>
          <w:tcPr>
            <w:tcW w:w="2551" w:type="dxa"/>
          </w:tcPr>
          <w:p>
            <w:pPr>
              <w:pStyle w:val="nTable"/>
              <w:spacing w:after="40"/>
            </w:pPr>
            <w:r>
              <w:t xml:space="preserve">1 Jul 1987 (see s. 3 and </w:t>
            </w:r>
            <w:r>
              <w:rPr>
                <w:i/>
              </w:rPr>
              <w:t>Gazette</w:t>
            </w:r>
            <w:r>
              <w:t xml:space="preserve"> 12 Jun 1987 p. 2319)</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Statutes (Repeals and Minor Amendments) Act (No. 2) 1998</w:t>
            </w:r>
            <w:r>
              <w:t xml:space="preserve"> s. 25</w:t>
            </w:r>
          </w:p>
        </w:tc>
        <w:tc>
          <w:tcPr>
            <w:tcW w:w="1134"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9</w:t>
            </w:r>
          </w:p>
        </w:tc>
        <w:tc>
          <w:tcPr>
            <w:tcW w:w="1134" w:type="dxa"/>
          </w:tcPr>
          <w:p>
            <w:pPr>
              <w:pStyle w:val="nTable"/>
              <w:spacing w:after="40"/>
            </w:pPr>
            <w:r>
              <w:t>40 of 1998</w:t>
            </w:r>
          </w:p>
        </w:tc>
        <w:tc>
          <w:tcPr>
            <w:tcW w:w="1135"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cantSplit/>
        </w:trPr>
        <w:tc>
          <w:tcPr>
            <w:tcW w:w="7087" w:type="dxa"/>
            <w:gridSpan w:val="4"/>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6</w:t>
            </w:r>
          </w:p>
        </w:tc>
        <w:tc>
          <w:tcPr>
            <w:tcW w:w="1134" w:type="dxa"/>
          </w:tcPr>
          <w:p>
            <w:pPr>
              <w:pStyle w:val="nTable"/>
              <w:spacing w:after="40"/>
            </w:pPr>
            <w:r>
              <w:t>3 of 2002</w:t>
            </w:r>
          </w:p>
        </w:tc>
        <w:tc>
          <w:tcPr>
            <w:tcW w:w="1135"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3</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13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7" w:type="dxa"/>
            <w:gridSpan w:val="4"/>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ind w:right="113"/>
              <w:rPr>
                <w:i/>
                <w:snapToGrid w:val="0"/>
              </w:rPr>
            </w:pPr>
            <w:r>
              <w:rPr>
                <w:i/>
                <w:noProof/>
              </w:rPr>
              <w:t xml:space="preserve">Associations Incorporation Act 2015 </w:t>
            </w:r>
            <w:r>
              <w:rPr>
                <w:noProof/>
              </w:rPr>
              <w:t>s. 213</w:t>
            </w:r>
          </w:p>
        </w:tc>
        <w:tc>
          <w:tcPr>
            <w:tcW w:w="1134"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1"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68" w:type="dxa"/>
          </w:tcPr>
          <w:p>
            <w:pPr>
              <w:pStyle w:val="nTable"/>
              <w:spacing w:after="40"/>
              <w:ind w:right="113"/>
              <w:rPr>
                <w:i/>
                <w:noProof/>
              </w:rPr>
            </w:pPr>
            <w:r>
              <w:rPr>
                <w:i/>
              </w:rPr>
              <w:t>Public Health (Consequential Provisions) Act 2016</w:t>
            </w:r>
          </w:p>
        </w:tc>
        <w:tc>
          <w:tcPr>
            <w:tcW w:w="1134" w:type="dxa"/>
          </w:tcPr>
          <w:p>
            <w:pPr>
              <w:pStyle w:val="nTable"/>
              <w:spacing w:after="40"/>
            </w:pPr>
            <w:r>
              <w:t>19 of 2016</w:t>
            </w:r>
          </w:p>
        </w:tc>
        <w:tc>
          <w:tcPr>
            <w:tcW w:w="1135" w:type="dxa"/>
          </w:tcPr>
          <w:p>
            <w:pPr>
              <w:pStyle w:val="nTable"/>
              <w:spacing w:after="40"/>
            </w:pPr>
            <w:r>
              <w:t>25 Jul 2016</w:t>
            </w:r>
          </w:p>
        </w:tc>
        <w:tc>
          <w:tcPr>
            <w:tcW w:w="2551" w:type="dxa"/>
          </w:tcPr>
          <w:p>
            <w:pPr>
              <w:pStyle w:val="nTable"/>
              <w:spacing w:after="40"/>
              <w:rPr>
                <w:snapToGrid w:val="0"/>
              </w:rPr>
            </w:pPr>
            <w:r>
              <w:rPr>
                <w:snapToGrid w:val="0"/>
              </w:rPr>
              <w:t xml:space="preserve">Pt. 3 Div. 9: 24 Jan 2017 (see s. 2(1)(c) and </w:t>
            </w:r>
            <w:r>
              <w:rPr>
                <w:i/>
                <w:snapToGrid w:val="0"/>
              </w:rPr>
              <w:t>Gazette</w:t>
            </w:r>
            <w:r>
              <w:rPr>
                <w:snapToGrid w:val="0"/>
              </w:rPr>
              <w:t xml:space="preserve"> 10 Jan 2017 p. 165);</w:t>
            </w:r>
            <w:r>
              <w:rPr>
                <w:snapToGrid w:val="0"/>
              </w:rPr>
              <w:br/>
              <w:t xml:space="preserve">Pt. 5 Div. 4 (s. 284 and 285(1): 20 Sep 2017 (see s. 2(1)(c) and </w:t>
            </w:r>
            <w:r>
              <w:rPr>
                <w:i/>
                <w:snapToGrid w:val="0"/>
              </w:rPr>
              <w:t>Gazette</w:t>
            </w:r>
            <w:r>
              <w:rPr>
                <w:snapToGrid w:val="0"/>
              </w:rPr>
              <w:t xml:space="preserve"> 19 Sep 2017 p. 4880)</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Cremation Act 1929</w:t>
            </w:r>
            <w:r>
              <w:rPr>
                <w:b/>
                <w:snapToGrid w:val="0"/>
              </w:rPr>
              <w:t xml:space="preserve"> as at 27 Oct 2017</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6" w:name="_Toc490039124"/>
      <w:r>
        <w:t>Provisions that have not come into operation</w:t>
      </w:r>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2551"/>
      </w:tblGrid>
      <w:tr>
        <w:trPr>
          <w:tblHeader/>
        </w:trPr>
        <w:tc>
          <w:tcPr>
            <w:tcW w:w="2268" w:type="dxa"/>
            <w:tcBorders>
              <w:bottom w:val="single" w:sz="8" w:space="0" w:color="auto"/>
            </w:tcBorders>
            <w:shd w:val="clear" w:color="auto" w:fill="auto"/>
          </w:tcPr>
          <w:p>
            <w:pPr>
              <w:pStyle w:val="nTable"/>
              <w:keepNext/>
              <w:spacing w:after="40"/>
              <w:rPr>
                <w:b/>
                <w:szCs w:val="19"/>
              </w:rPr>
            </w:pPr>
            <w:r>
              <w:rPr>
                <w:b/>
                <w:szCs w:val="19"/>
              </w:rPr>
              <w:t>Short title</w:t>
            </w:r>
          </w:p>
        </w:tc>
        <w:tc>
          <w:tcPr>
            <w:tcW w:w="1139" w:type="dxa"/>
            <w:tcBorders>
              <w:bottom w:val="single" w:sz="8" w:space="0" w:color="auto"/>
            </w:tcBorders>
            <w:shd w:val="clear" w:color="auto" w:fill="auto"/>
          </w:tcPr>
          <w:p>
            <w:pPr>
              <w:pStyle w:val="nTable"/>
              <w:keepNext/>
              <w:spacing w:after="40"/>
              <w:rPr>
                <w:b/>
                <w:szCs w:val="19"/>
              </w:rPr>
            </w:pPr>
            <w:r>
              <w:rPr>
                <w:b/>
                <w:szCs w:val="19"/>
              </w:rPr>
              <w:t>Number and year</w:t>
            </w:r>
          </w:p>
        </w:tc>
        <w:tc>
          <w:tcPr>
            <w:tcW w:w="1134" w:type="dxa"/>
            <w:tcBorders>
              <w:bottom w:val="single" w:sz="8" w:space="0" w:color="auto"/>
            </w:tcBorders>
            <w:shd w:val="clear" w:color="auto" w:fill="auto"/>
          </w:tcPr>
          <w:p>
            <w:pPr>
              <w:pStyle w:val="nTable"/>
              <w:keepNext/>
              <w:spacing w:after="40"/>
              <w:rPr>
                <w:b/>
                <w:szCs w:val="19"/>
              </w:rPr>
            </w:pPr>
            <w:r>
              <w:rPr>
                <w:b/>
                <w:szCs w:val="19"/>
              </w:rPr>
              <w:t>Assent</w:t>
            </w:r>
          </w:p>
        </w:tc>
        <w:tc>
          <w:tcPr>
            <w:tcW w:w="2551" w:type="dxa"/>
            <w:tcBorders>
              <w:bottom w:val="single" w:sz="8" w:space="0" w:color="auto"/>
            </w:tcBorders>
            <w:shd w:val="clear" w:color="auto" w:fill="auto"/>
          </w:tcPr>
          <w:p>
            <w:pPr>
              <w:pStyle w:val="nTable"/>
              <w:keepNext/>
              <w:spacing w:after="40"/>
              <w:rPr>
                <w:b/>
                <w:szCs w:val="19"/>
              </w:rPr>
            </w:pPr>
            <w:r>
              <w:rPr>
                <w:b/>
                <w:szCs w:val="19"/>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noProof/>
                <w:snapToGrid w:val="0"/>
                <w:vertAlign w:val="superscript"/>
              </w:rPr>
            </w:pPr>
            <w:r>
              <w:rPr>
                <w:i/>
              </w:rPr>
              <w:t>Public Health (Consequential Provisions) Act 2016</w:t>
            </w:r>
            <w:r>
              <w:t xml:space="preserve"> s. 285(2) </w:t>
            </w:r>
            <w:r>
              <w:rPr>
                <w:vertAlign w:val="superscript"/>
              </w:rPr>
              <w:t>4</w:t>
            </w:r>
          </w:p>
        </w:tc>
        <w:tc>
          <w:tcPr>
            <w:tcW w:w="1134" w:type="dxa"/>
            <w:tcBorders>
              <w:top w:val="single" w:sz="8" w:space="0" w:color="auto"/>
              <w:bottom w:val="single" w:sz="8" w:space="0" w:color="auto"/>
            </w:tcBorders>
            <w:shd w:val="clear" w:color="auto" w:fill="auto"/>
          </w:tcPr>
          <w:p>
            <w:pPr>
              <w:pStyle w:val="nTable"/>
              <w:keepNext/>
              <w:spacing w:after="40"/>
            </w:pPr>
            <w:r>
              <w:t>19 of 2016</w:t>
            </w:r>
          </w:p>
        </w:tc>
        <w:tc>
          <w:tcPr>
            <w:tcW w:w="1134" w:type="dxa"/>
            <w:tcBorders>
              <w:top w:val="single" w:sz="8" w:space="0" w:color="auto"/>
              <w:bottom w:val="single" w:sz="8" w:space="0" w:color="auto"/>
            </w:tcBorders>
            <w:shd w:val="clear" w:color="auto" w:fill="auto"/>
          </w:tcPr>
          <w:p>
            <w:pPr>
              <w:pStyle w:val="nTable"/>
              <w:keepNext/>
              <w:spacing w:after="40"/>
            </w:pPr>
            <w:r>
              <w:t>25 Jul 2016</w:t>
            </w:r>
          </w:p>
        </w:tc>
        <w:tc>
          <w:tcPr>
            <w:tcW w:w="2551" w:type="dxa"/>
            <w:tcBorders>
              <w:top w:val="single" w:sz="8" w:space="0" w:color="auto"/>
              <w:bottom w:val="single" w:sz="8" w:space="0" w:color="auto"/>
            </w:tcBorders>
            <w:shd w:val="clear" w:color="auto" w:fill="auto"/>
          </w:tcPr>
          <w:p>
            <w:pPr>
              <w:pStyle w:val="nTable"/>
              <w:keepNext/>
              <w:spacing w:after="40"/>
              <w:rPr>
                <w:snapToGrid w:val="0"/>
              </w:rPr>
            </w:pPr>
            <w:r>
              <w:rPr>
                <w:snapToGrid w:val="0"/>
              </w:rPr>
              <w:t>To be proclaimed (see s. 2(1)(c))</w:t>
            </w:r>
          </w:p>
        </w:tc>
      </w:tr>
    </w:tbl>
    <w:p>
      <w:pPr>
        <w:pStyle w:val="nSubsection"/>
      </w:pPr>
      <w:r>
        <w:rPr>
          <w:vertAlign w:val="superscript"/>
        </w:rPr>
        <w:t>2</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pPr>
      <w:r>
        <w:rPr>
          <w:vertAlign w:val="superscript"/>
        </w:rPr>
        <w:t>4</w:t>
      </w:r>
      <w:r>
        <w:tab/>
      </w:r>
      <w:r>
        <w:rPr>
          <w:snapToGrid w:val="0"/>
        </w:rPr>
        <w:t xml:space="preserve">On the date as at which this reprint was prepared, the </w:t>
      </w:r>
      <w:r>
        <w:rPr>
          <w:i/>
          <w:noProof/>
        </w:rPr>
        <w:t>Public Health (Consequential Provisions) Act 2016</w:t>
      </w:r>
      <w:r>
        <w:rPr>
          <w:noProof/>
        </w:rPr>
        <w:t xml:space="preserve"> s. 285(2) </w:t>
      </w:r>
      <w:r>
        <w:rPr>
          <w:snapToGrid w:val="0"/>
        </w:rPr>
        <w:t>had not come into operation. It reads as follows:</w:t>
      </w:r>
    </w:p>
    <w:p>
      <w:pPr>
        <w:pStyle w:val="BlankOpen"/>
      </w:pPr>
    </w:p>
    <w:p>
      <w:pPr>
        <w:pStyle w:val="nzHeading5"/>
      </w:pPr>
      <w:r>
        <w:rPr>
          <w:rStyle w:val="CharSectno"/>
        </w:rPr>
        <w:t>285</w:t>
      </w:r>
      <w:r>
        <w:t>.</w:t>
      </w:r>
      <w:r>
        <w:tab/>
        <w:t>Section 8A amended</w:t>
      </w:r>
    </w:p>
    <w:p>
      <w:pPr>
        <w:pStyle w:val="nzSubsection"/>
      </w:pPr>
      <w:r>
        <w:tab/>
        <w:t>(2)</w:t>
      </w:r>
      <w:r>
        <w:tab/>
        <w:t>In section 8A(b) delete “</w:t>
      </w:r>
      <w:r>
        <w:rPr>
          <w:i/>
        </w:rPr>
        <w:t>Health (Miscellaneous Provisions) Act 1911</w:t>
      </w:r>
      <w:r>
        <w:t xml:space="preserve"> or the”.</w:t>
      </w:r>
    </w:p>
    <w:p>
      <w:pPr>
        <w:pStyle w:val="BlankOpen"/>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28" w:name="_Toc485280845"/>
      <w:bookmarkStart w:id="29" w:name="_Toc489260700"/>
      <w:bookmarkStart w:id="30" w:name="_Toc489260948"/>
      <w:bookmarkStart w:id="31" w:name="_Toc490039125"/>
      <w:r>
        <w:rPr>
          <w:sz w:val="28"/>
        </w:rPr>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association</w:t>
      </w:r>
      <w:r>
        <w:tab/>
        <w:t>4(1A)</w:t>
      </w:r>
    </w:p>
    <w:p>
      <w:pPr>
        <w:pStyle w:val="DefinedTerms"/>
      </w:pPr>
      <w:r>
        <w:t>Board</w:t>
      </w:r>
      <w:r>
        <w:tab/>
        <w:t>2</w:t>
      </w:r>
    </w:p>
    <w:p>
      <w:pPr>
        <w:pStyle w:val="DefinedTerms"/>
      </w:pPr>
      <w:r>
        <w:t>body</w:t>
      </w:r>
      <w:r>
        <w:tab/>
        <w:t>2</w:t>
      </w:r>
    </w:p>
    <w:p>
      <w:pPr>
        <w:pStyle w:val="DefinedTerms"/>
      </w:pPr>
      <w:r>
        <w:t>cemetery</w:t>
      </w:r>
      <w:r>
        <w:tab/>
        <w:t>2</w:t>
      </w:r>
    </w:p>
    <w:p>
      <w:pPr>
        <w:pStyle w:val="DefinedTerms"/>
      </w:pPr>
      <w:r>
        <w:t>Chief Health Officer</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DC62DC" w:rsidRDefault="00DC62DC">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77"/>
    </w:tblGrid>
    <w:tr>
      <w:trPr>
        <w:cantSplit/>
      </w:trPr>
      <w:tc>
        <w:tcPr>
          <w:tcW w:w="7225"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677" w:type="dxa"/>
        </w:tcPr>
        <w:p>
          <w:pPr>
            <w:pStyle w:val="Header"/>
            <w:spacing w:before="40"/>
          </w:pPr>
        </w:p>
      </w:tc>
    </w:tr>
    <w:tr>
      <w:tc>
        <w:tcPr>
          <w:tcW w:w="1548" w:type="dxa"/>
        </w:tcPr>
        <w:p>
          <w:pPr>
            <w:pStyle w:val="Header"/>
            <w:spacing w:before="40"/>
          </w:pPr>
        </w:p>
      </w:tc>
      <w:tc>
        <w:tcPr>
          <w:tcW w:w="5677" w:type="dxa"/>
        </w:tcPr>
        <w:p>
          <w:pPr>
            <w:pStyle w:val="Header"/>
            <w:spacing w:before="40"/>
          </w:pPr>
        </w:p>
      </w:tc>
    </w:tr>
    <w:tr>
      <w:trPr>
        <w:cantSplit/>
      </w:trPr>
      <w:tc>
        <w:tcPr>
          <w:tcW w:w="722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23"/>
    </w:tblGrid>
    <w:tr>
      <w:trPr>
        <w:cantSplit/>
      </w:trPr>
      <w:tc>
        <w:tcPr>
          <w:tcW w:w="718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423" w:type="dxa"/>
        </w:tcPr>
        <w:p>
          <w:pPr>
            <w:pStyle w:val="Header"/>
            <w:spacing w:before="40"/>
            <w:ind w:right="17"/>
            <w:jc w:val="right"/>
          </w:pPr>
        </w:p>
      </w:tc>
    </w:tr>
    <w:tr>
      <w:tc>
        <w:tcPr>
          <w:tcW w:w="5760" w:type="dxa"/>
        </w:tcPr>
        <w:p>
          <w:pPr>
            <w:pStyle w:val="Header"/>
            <w:spacing w:before="40"/>
            <w:jc w:val="right"/>
          </w:pPr>
        </w:p>
      </w:tc>
      <w:tc>
        <w:tcPr>
          <w:tcW w:w="1423" w:type="dxa"/>
        </w:tcPr>
        <w:p>
          <w:pPr>
            <w:pStyle w:val="Header"/>
            <w:spacing w:before="40"/>
            <w:ind w:right="17"/>
            <w:jc w:val="right"/>
          </w:pPr>
        </w:p>
      </w:tc>
    </w:tr>
    <w:tr>
      <w:trPr>
        <w:cantSplit/>
      </w:trPr>
      <w:tc>
        <w:tcPr>
          <w:tcW w:w="718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92"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26"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25150856"/>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 w:name="WAFER_20170525150856" w:val="RemoveTocBookmarks,RemoveUnusedBookmarks,RemoveLanguageTags,UsedStyles,ResetPageSize,RemoveCustomizations"/>
    <w:docVar w:name="WAFER_20170525150856_GUID" w:val="a4e6a401-b307-4aa5-bf11-3d3126b75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5474</Words>
  <Characters>25181</Characters>
  <Application>Microsoft Office Word</Application>
  <DocSecurity>0</DocSecurity>
  <Lines>740</Lines>
  <Paragraphs>378</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30277</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1929 - 06-00-00</dc:title>
  <dc:subject/>
  <dc:creator/>
  <cp:keywords/>
  <dc:description/>
  <cp:lastModifiedBy>svcMRProcess</cp:lastModifiedBy>
  <cp:revision>4</cp:revision>
  <cp:lastPrinted>2017-10-23T01:16:00Z</cp:lastPrinted>
  <dcterms:created xsi:type="dcterms:W3CDTF">2020-03-07T03:40:00Z</dcterms:created>
  <dcterms:modified xsi:type="dcterms:W3CDTF">2020-03-07T03:40:00Z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AsAtDate">
    <vt:lpwstr>27 Oct 2017</vt:lpwstr>
  </property>
  <property fmtid="{D5CDD505-2E9C-101B-9397-08002B2CF9AE}" pid="6" name="Suffix">
    <vt:lpwstr>06-00-00</vt:lpwstr>
  </property>
  <property fmtid="{D5CDD505-2E9C-101B-9397-08002B2CF9AE}" pid="7" name="ReprintedAsAt">
    <vt:filetime>2017-10-26T16:00:00Z</vt:filetime>
  </property>
  <property fmtid="{D5CDD505-2E9C-101B-9397-08002B2CF9AE}" pid="8" name="ReprintNo">
    <vt:lpwstr>6</vt:lpwstr>
  </property>
  <property fmtid="{D5CDD505-2E9C-101B-9397-08002B2CF9AE}" pid="9" name="CommencementDate">
    <vt:lpwstr>20171027</vt:lpwstr>
  </property>
</Properties>
</file>