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Petroleum Retailers Rights and Liabilities Act 1982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Retailers Rights and Liabilities Regulations 1982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Retailers Rights and Liabilities Regulations 1982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_Toc424222857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_Toc424222858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r>
        <w:tab/>
      </w:r>
      <w:r>
        <w:fldChar w:fldCharType="begin"/>
      </w:r>
      <w:r>
        <w:instrText xml:space="preserve"> PAGEREF _Toc424222859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Prescribed particulars — section 4(3)(d)</w:t>
      </w:r>
      <w:r>
        <w:tab/>
      </w:r>
      <w:r>
        <w:fldChar w:fldCharType="begin"/>
      </w:r>
      <w:r>
        <w:instrText xml:space="preserve"> PAGEREF _Toc424222860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Notice that motor fuel is unbranded</w:t>
      </w:r>
      <w:r>
        <w:tab/>
      </w:r>
      <w:r>
        <w:fldChar w:fldCharType="begin"/>
      </w:r>
      <w:r>
        <w:instrText xml:space="preserve"> PAGEREF _Toc424222861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Prescribed amount of tenant’s insurance (s. 5(8)(a))</w:t>
      </w:r>
      <w:r>
        <w:tab/>
      </w:r>
      <w:r>
        <w:fldChar w:fldCharType="begin"/>
      </w:r>
      <w:r>
        <w:instrText xml:space="preserve"> PAGEREF _Toc424222862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_Toc424222864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Petroleum Retailers Rights and Liabilities Act 1982</w:t>
      </w:r>
    </w:p>
    <w:p>
      <w:pPr>
        <w:pStyle w:val="NameofActReg"/>
      </w:pPr>
      <w:r>
        <w:t>Petroleum Retailers Rights and Liabilities Regulations 1982</w:t>
      </w:r>
    </w:p>
    <w:p>
      <w:pPr>
        <w:pStyle w:val="Heading5"/>
        <w:rPr>
          <w:snapToGrid w:val="0"/>
        </w:rPr>
      </w:pPr>
      <w:bookmarkStart w:id="3" w:name="_Toc378250630"/>
      <w:bookmarkStart w:id="4" w:name="_Toc424222857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Petroleum Retailers Rights and Liabilities Regulations 1982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8250631"/>
      <w:bookmarkStart w:id="6" w:name="_Toc42422285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take effect on and from 1 January 1983.</w:t>
      </w:r>
    </w:p>
    <w:p>
      <w:pPr>
        <w:pStyle w:val="Heading5"/>
        <w:rPr>
          <w:snapToGrid w:val="0"/>
        </w:rPr>
      </w:pPr>
      <w:bookmarkStart w:id="7" w:name="_Toc378250632"/>
      <w:bookmarkStart w:id="8" w:name="_Toc42422285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contrary intention appears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the Act</w:t>
      </w:r>
      <w:r>
        <w:t xml:space="preserve"> means the </w:t>
      </w:r>
      <w:r>
        <w:rPr>
          <w:i/>
        </w:rPr>
        <w:t>Petroleum Retailers Rights and Liabilities Act 1982</w:t>
      </w:r>
      <w:r>
        <w:t>.</w:t>
      </w:r>
    </w:p>
    <w:p>
      <w:pPr>
        <w:pStyle w:val="Heading5"/>
        <w:rPr>
          <w:snapToGrid w:val="0"/>
        </w:rPr>
      </w:pPr>
      <w:bookmarkStart w:id="9" w:name="_Toc378250633"/>
      <w:bookmarkStart w:id="10" w:name="_Toc424222860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Prescribed particulars — section 4(3)(d)</w:t>
      </w:r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permanent register required to be maintained pursuant to section 4(3)(d) of the Act shall contain the following particulars of any purchase of motor fuel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date of the purchase;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name of the supplier of the motor fuel;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quantity of motor fuel purchased;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type of the motor fuel purchased.</w:t>
      </w:r>
    </w:p>
    <w:p>
      <w:pPr>
        <w:pStyle w:val="Heading5"/>
      </w:pPr>
      <w:bookmarkStart w:id="11" w:name="_Toc378250634"/>
      <w:bookmarkStart w:id="12" w:name="_Toc424222861"/>
      <w:r>
        <w:rPr>
          <w:rStyle w:val="CharSectno"/>
        </w:rPr>
        <w:t>5</w:t>
      </w:r>
      <w:r>
        <w:t>.</w:t>
      </w:r>
      <w:r>
        <w:tab/>
        <w:t>Notice that motor fuel is unbranded</w:t>
      </w:r>
      <w:bookmarkEnd w:id="11"/>
      <w:bookmarkEnd w:id="12"/>
    </w:p>
    <w:p>
      <w:pPr>
        <w:pStyle w:val="Subsection"/>
      </w:pPr>
      <w:r>
        <w:tab/>
        <w:t>(1)</w:t>
      </w:r>
      <w:r>
        <w:tab/>
        <w:t xml:space="preserve">Under section 4(6) of the Act, the following notices are to be displayed on dispensing equipment — </w:t>
      </w:r>
    </w:p>
    <w:p>
      <w:pPr>
        <w:pStyle w:val="Indenta"/>
      </w:pPr>
      <w:r>
        <w:tab/>
        <w:t>(a)</w:t>
      </w:r>
      <w:r>
        <w:tab/>
        <w:t xml:space="preserve">on the dispensing equipment itself, a notice stating — </w:t>
      </w:r>
    </w:p>
    <w:p>
      <w:pPr>
        <w:pStyle w:val="Indenta"/>
      </w:pPr>
      <w:r>
        <w:tab/>
      </w:r>
      <w:r>
        <w:tab/>
        <w:t>“</w:t>
      </w:r>
      <w:r>
        <w:rPr>
          <w:b/>
        </w:rPr>
        <w:t>The</w:t>
      </w:r>
      <w:r>
        <w:t xml:space="preserve"> (</w:t>
      </w:r>
      <w:r>
        <w:rPr>
          <w:i/>
        </w:rPr>
        <w:t>insert type of motor fuel: LPG, petrol or diesel</w:t>
      </w:r>
      <w:r>
        <w:t xml:space="preserve">) </w:t>
      </w:r>
      <w:r>
        <w:rPr>
          <w:b/>
        </w:rPr>
        <w:t xml:space="preserve">dispensed from the tagged nozzle is </w:t>
      </w:r>
      <w:r>
        <w:rPr>
          <w:b/>
          <w:u w:val="single"/>
        </w:rPr>
        <w:t>UNBRANDED</w:t>
      </w:r>
      <w:r>
        <w:t xml:space="preserve"> (</w:t>
      </w:r>
      <w:r>
        <w:rPr>
          <w:i/>
        </w:rPr>
        <w:t>insert type of motor fuel: LPG, petrol or diesel</w:t>
      </w:r>
      <w:r>
        <w:t>)</w:t>
      </w:r>
      <w:r>
        <w:rPr>
          <w:b/>
        </w:rPr>
        <w:t>.</w:t>
      </w:r>
      <w:r>
        <w:t>”; and</w:t>
      </w:r>
    </w:p>
    <w:p>
      <w:pPr>
        <w:pStyle w:val="Indenta"/>
      </w:pPr>
      <w:r>
        <w:tab/>
        <w:t>(b)</w:t>
      </w:r>
      <w:r>
        <w:tab/>
        <w:t xml:space="preserve">on the particular nozzle of the dispensing equipment that delivers the unbranded motor fuel, a notice stating — </w:t>
      </w:r>
    </w:p>
    <w:p>
      <w:pPr>
        <w:pStyle w:val="Indenta"/>
      </w:pPr>
      <w:r>
        <w:tab/>
      </w:r>
      <w:r>
        <w:tab/>
        <w:t>“</w:t>
      </w:r>
      <w:r>
        <w:rPr>
          <w:b/>
        </w:rPr>
        <w:t>The</w:t>
      </w:r>
      <w:r>
        <w:t xml:space="preserve"> (</w:t>
      </w:r>
      <w:r>
        <w:rPr>
          <w:i/>
        </w:rPr>
        <w:t>insert type of motor fuel: LPG, petrol or diesel</w:t>
      </w:r>
      <w:r>
        <w:t xml:space="preserve">) </w:t>
      </w:r>
      <w:r>
        <w:rPr>
          <w:b/>
        </w:rPr>
        <w:t xml:space="preserve">dispensed from this nozzle is </w:t>
      </w:r>
      <w:r>
        <w:rPr>
          <w:b/>
          <w:u w:val="single"/>
        </w:rPr>
        <w:t>UNBRANDED</w:t>
      </w:r>
      <w:r>
        <w:t xml:space="preserve"> (</w:t>
      </w:r>
      <w:r>
        <w:rPr>
          <w:i/>
        </w:rPr>
        <w:t>insert type of motor fuel: LPG, petrol or diesel</w:t>
      </w:r>
      <w:r>
        <w:t>)</w:t>
      </w:r>
      <w:r>
        <w:rPr>
          <w:b/>
        </w:rPr>
        <w:t>.</w:t>
      </w:r>
      <w:r>
        <w:t>”.</w:t>
      </w:r>
    </w:p>
    <w:p>
      <w:pPr>
        <w:pStyle w:val="Subsection"/>
      </w:pPr>
      <w:r>
        <w:tab/>
        <w:t>(2)</w:t>
      </w:r>
      <w:r>
        <w:tab/>
        <w:t xml:space="preserve">The notice referred to in subregulation (1)(a) shall be — </w:t>
      </w:r>
    </w:p>
    <w:p>
      <w:pPr>
        <w:pStyle w:val="Indenta"/>
      </w:pPr>
      <w:r>
        <w:tab/>
        <w:t>(a)</w:t>
      </w:r>
      <w:r>
        <w:tab/>
        <w:t>printed in a typeface that is; or</w:t>
      </w:r>
    </w:p>
    <w:p>
      <w:pPr>
        <w:pStyle w:val="Indenta"/>
      </w:pPr>
      <w:r>
        <w:tab/>
        <w:t>(b)</w:t>
      </w:r>
      <w:r>
        <w:tab/>
        <w:t>handwritten using letters that are,</w:t>
      </w:r>
    </w:p>
    <w:p>
      <w:pPr>
        <w:pStyle w:val="Subsection"/>
      </w:pPr>
      <w:r>
        <w:tab/>
      </w:r>
      <w:r>
        <w:tab/>
        <w:t>at least the equivalent in size to the type known as 72 Pt Bold Times Roman.</w:t>
      </w:r>
    </w:p>
    <w:p>
      <w:pPr>
        <w:pStyle w:val="Subsection"/>
      </w:pPr>
      <w:r>
        <w:tab/>
        <w:t>(3)</w:t>
      </w:r>
      <w:r>
        <w:tab/>
        <w:t xml:space="preserve">The notice referred to in subregulation (1)(b) shall be laminated, and — </w:t>
      </w:r>
    </w:p>
    <w:p>
      <w:pPr>
        <w:pStyle w:val="Indenta"/>
      </w:pPr>
      <w:r>
        <w:tab/>
        <w:t>(a)</w:t>
      </w:r>
      <w:r>
        <w:tab/>
        <w:t>printed on both sides in a typeface that is; or</w:t>
      </w:r>
    </w:p>
    <w:p>
      <w:pPr>
        <w:pStyle w:val="Indenta"/>
      </w:pPr>
      <w:r>
        <w:tab/>
        <w:t>(b)</w:t>
      </w:r>
      <w:r>
        <w:tab/>
        <w:t>handwritten on both sides using letters that are,</w:t>
      </w:r>
    </w:p>
    <w:p>
      <w:pPr>
        <w:pStyle w:val="Subsection"/>
      </w:pPr>
      <w:r>
        <w:tab/>
      </w:r>
      <w:r>
        <w:tab/>
        <w:t>the equivalent in size to the type known as 48 Pt Bold Times Roman.</w:t>
      </w:r>
    </w:p>
    <w:p>
      <w:pPr>
        <w:pStyle w:val="Footnotesection"/>
      </w:pPr>
      <w:r>
        <w:tab/>
        <w:t>[Regulation 5 inserted: Gazette 31 Dec 2001 p. 6762</w:t>
      </w:r>
      <w:r>
        <w:noBreakHyphen/>
        <w:t>3.]</w:t>
      </w:r>
    </w:p>
    <w:p>
      <w:pPr>
        <w:pStyle w:val="Heading5"/>
      </w:pPr>
      <w:bookmarkStart w:id="13" w:name="_Toc378250635"/>
      <w:bookmarkStart w:id="14" w:name="_Toc424222862"/>
      <w:r>
        <w:rPr>
          <w:rStyle w:val="CharSectno"/>
        </w:rPr>
        <w:t>6</w:t>
      </w:r>
      <w:r>
        <w:t>.</w:t>
      </w:r>
      <w:r>
        <w:tab/>
        <w:t>Prescribed amount of tenant’s insurance (s. 5(8)(a))</w:t>
      </w:r>
      <w:bookmarkEnd w:id="13"/>
      <w:bookmarkEnd w:id="14"/>
    </w:p>
    <w:p>
      <w:pPr>
        <w:pStyle w:val="Subsection"/>
      </w:pPr>
      <w:r>
        <w:tab/>
      </w:r>
      <w:r>
        <w:tab/>
        <w:t>For the purposes of section 5(8)(a) of the Act, an amount of $10 000 000 is prescribed as the amount of insurance that must be taken out and maintained by a tenant in respect of any one occurrence which may give rise to the indemnity liability set out in section 5(7) of the Act.</w:t>
      </w:r>
    </w:p>
    <w:p>
      <w:pPr>
        <w:pStyle w:val="Footnotesection"/>
      </w:pPr>
      <w:r>
        <w:tab/>
        <w:t>[Regulation 6 inserted: Gazette 31 Dec 2001 p. 6763.]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5" w:name="_Toc378250636"/>
      <w:bookmarkStart w:id="16" w:name="_Toc424222863"/>
      <w:r>
        <w:t>Notes</w:t>
      </w:r>
      <w:bookmarkEnd w:id="15"/>
      <w:bookmarkEnd w:id="1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2 July 2004 of the </w:t>
      </w:r>
      <w:r>
        <w:rPr>
          <w:i/>
          <w:noProof/>
          <w:snapToGrid w:val="0"/>
        </w:rPr>
        <w:t>Petroleum Retailers Rights and Liabilities Regulations 1982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7" w:name="_Toc378250637"/>
      <w:bookmarkStart w:id="18" w:name="_Toc424222864"/>
      <w:r>
        <w:rPr>
          <w:snapToGrid w:val="0"/>
        </w:rPr>
        <w:t>Compilation table</w:t>
      </w:r>
      <w:bookmarkEnd w:id="17"/>
      <w:bookmarkEnd w:id="18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Petroleum Retailers Rights and Liabilities Regulations 1982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31 Dec 1982 p. 5061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 Jan 1983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Retailers Rights and Liabilities Amendment Regulations 2001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31 Dec 2001 p. 6762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Jan 2002 (see r. 2 and </w:t>
            </w:r>
            <w:r>
              <w:rPr>
                <w:i/>
              </w:rPr>
              <w:t>Gazette</w:t>
            </w:r>
            <w:r>
              <w:t xml:space="preserve"> 31 Dec 2001 p. 6761)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Petroleum Retailers Rights and Liabilities Regulations 1982</w:t>
            </w:r>
            <w:r>
              <w:rPr>
                <w:b/>
              </w:rPr>
              <w:t xml:space="preserve"> as at 2 Jul 2004</w:t>
            </w:r>
            <w:r>
              <w:t xml:space="preserve"> (includes amendments listed above)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type w:val="nextColumn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r>
        <w:rPr>
          <w:sz w:val="28"/>
        </w:rPr>
        <w:t>Defined terms</w:t>
      </w:r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the Act</w:t>
      </w:r>
      <w:r>
        <w:tab/>
        <w:t>3</w:t>
      </w:r>
    </w:p>
    <w:p>
      <w:pPr>
        <w:pStyle w:val="DefinedTerms"/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Jul 2004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Jul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Jul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Jul 2004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Jul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Jul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Retailers Rights and Liabilities Regulations 1982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Retailers Rights and Liabilities Regulations 1982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9" w:name="Compilation"/>
    <w:bookmarkEnd w:id="19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Retailers Rights and Liabilities Regulations 1982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Retailers Rights and Liabilities Regulations 1982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0" w:name="DefinedTerms"/>
    <w:bookmarkEnd w:id="20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1" w:name="Coversheet"/>
    <w:bookmarkEnd w:id="2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Retailers Rights and Liabilities Regulations 1982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Retailers Rights and Liabilities Regulations 1982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Retailers Rights and Liabilities Regulations 1982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Retailers Rights and Liabilities Regulations 1982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20"/>
  </w:num>
  <w:num w:numId="14">
    <w:abstractNumId w:val="16"/>
  </w:num>
  <w:num w:numId="15">
    <w:abstractNumId w:val="1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9114009"/>
    <w:docVar w:name="WAFER_20140123121751" w:val="RemoveTocBookmarks,RemoveUnusedBookmarks,RemoveLanguageTags,UsedStyles,ResetPageSize"/>
    <w:docVar w:name="WAFER_20140123121751_GUID" w:val="f768fc55-3993-4945-ba39-c74a095e0b12"/>
    <w:docVar w:name="WAFER_20140123121806" w:val="RemoveTocBookmarks,RemoveUnusedBookmarks,RemoveLanguageTags,UsedStyles,ResetPageSize,UpdateArrangement"/>
    <w:docVar w:name="WAFER_20140123121806_GUID" w:val="d5ed916e-4e90-4804-b8fb-d3bf0f4db347"/>
    <w:docVar w:name="WAFER_20140123142810" w:val="RemoveTocBookmarks,RunningHeaders"/>
    <w:docVar w:name="WAFER_20140123142810_GUID" w:val="b3b6be69-063d-4a2d-a07f-145f6d64861b"/>
    <w:docVar w:name="WAFER_20150709161240" w:val="ResetPageSize,UpdateArrangement,UpdateNTable"/>
    <w:docVar w:name="WAFER_20150709161240_GUID" w:val="84772090-90fd-41e1-9eee-ace66451521a"/>
    <w:docVar w:name="WAFER_20151109114009" w:val="UpdateStyles,UsedStyles"/>
    <w:docVar w:name="WAFER_20151109114009_GUID" w:val="32fd9b70-05a7-48e5-b1cc-01bcefc68fc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8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717</Words>
  <Characters>3650</Characters>
  <Application>Microsoft Office Word</Application>
  <DocSecurity>0</DocSecurity>
  <Lines>125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4277</CharactersWithSpaces>
  <SharedDoc>false</SharedDoc>
  <HLinks>
    <vt:vector size="18" baseType="variant">
      <vt:variant>
        <vt:i4>65542</vt:i4>
      </vt:variant>
      <vt:variant>
        <vt:i4>1971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1026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Retailers Rights and Liabilities Regulations 1982 - 01-a0-10</dc:title>
  <dc:subject/>
  <dc:creator/>
  <cp:keywords/>
  <dc:description/>
  <cp:lastModifiedBy>svcMRProcess</cp:lastModifiedBy>
  <cp:revision>4</cp:revision>
  <cp:lastPrinted>2004-05-13T07:36:00Z</cp:lastPrinted>
  <dcterms:created xsi:type="dcterms:W3CDTF">2019-01-17T08:04:00Z</dcterms:created>
  <dcterms:modified xsi:type="dcterms:W3CDTF">2019-01-17T08:05:00Z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31-Dec-1982 p.5061 </vt:lpwstr>
  </property>
  <property fmtid="{D5CDD505-2E9C-101B-9397-08002B2CF9AE}" pid="3" name="CommencementDate">
    <vt:lpwstr>20040702</vt:lpwstr>
  </property>
  <property fmtid="{D5CDD505-2E9C-101B-9397-08002B2CF9AE}" pid="4" name="DocumentType">
    <vt:lpwstr>Reg</vt:lpwstr>
  </property>
  <property fmtid="{D5CDD505-2E9C-101B-9397-08002B2CF9AE}" pid="5" name="OwlsUID">
    <vt:i4>4691</vt:i4>
  </property>
  <property fmtid="{D5CDD505-2E9C-101B-9397-08002B2CF9AE}" pid="6" name="AsAtDate">
    <vt:lpwstr>02 Jul 2004</vt:lpwstr>
  </property>
  <property fmtid="{D5CDD505-2E9C-101B-9397-08002B2CF9AE}" pid="7" name="Suffix">
    <vt:lpwstr>01-a0-10</vt:lpwstr>
  </property>
</Properties>
</file>