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_Toc513794269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_Toc513794270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_Toc513794271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_Toc513794273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authorised person</w:t>
      </w:r>
      <w:r>
        <w:tab/>
      </w:r>
      <w:r>
        <w:fldChar w:fldCharType="begin"/>
      </w:r>
      <w:r>
        <w:instrText xml:space="preserve"> PAGEREF _Toc513794274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_Toc513794275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_Toc513794276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_Toc513794277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_Toc513794278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_Toc513794279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_Toc513794280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environment</w:t>
      </w:r>
      <w:r>
        <w:tab/>
      </w:r>
      <w:r>
        <w:fldChar w:fldCharType="begin"/>
      </w:r>
      <w:r>
        <w:instrText xml:space="preserve"> PAGEREF _Toc513794281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_Toc513794282 \h </w:instrText>
      </w:r>
      <w:r>
        <w:fldChar w:fldCharType="separate"/>
      </w:r>
      <w:r>
        <w:t>10</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_Toc513794283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_Toc513794284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_Toc513794285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_Toc513794286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_Toc513794287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_Toc513794288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_Toc513794290 \h </w:instrText>
      </w:r>
      <w:r>
        <w:fldChar w:fldCharType="separate"/>
      </w:r>
      <w:r>
        <w:t>16</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_Toc513794291 \h </w:instrText>
      </w:r>
      <w:r>
        <w:fldChar w:fldCharType="separate"/>
      </w:r>
      <w:r>
        <w:t>17</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_Toc513794292 \h </w:instrText>
      </w:r>
      <w:r>
        <w:fldChar w:fldCharType="separate"/>
      </w:r>
      <w:r>
        <w:t>18</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_Toc513794293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_Toc513794296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51379426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3794269"/>
      <w:r>
        <w:rPr>
          <w:rStyle w:val="CharSectno"/>
        </w:rPr>
        <w:t>1</w:t>
      </w:r>
      <w:r>
        <w:t>.</w:t>
      </w:r>
      <w:r>
        <w:tab/>
        <w:t>Citation</w:t>
      </w:r>
      <w:bookmarkEnd w:id="4"/>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5" w:name="_Toc513794270"/>
      <w:r>
        <w:rPr>
          <w:rStyle w:val="CharSectno"/>
        </w:rPr>
        <w:t>2</w:t>
      </w:r>
      <w:r>
        <w:t>.</w:t>
      </w:r>
      <w:r>
        <w:tab/>
        <w:t>Terms used</w:t>
      </w:r>
      <w:bookmarkEnd w:id="5"/>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Gazette 10 Aug 2007 p. 4075; 8 Jan 2015 p. 117</w:t>
      </w:r>
      <w:r>
        <w:noBreakHyphen/>
        <w:t xml:space="preserve">18.] </w:t>
      </w:r>
    </w:p>
    <w:p>
      <w:pPr>
        <w:pStyle w:val="Heading5"/>
      </w:pPr>
      <w:bookmarkStart w:id="6" w:name="_Toc513794271"/>
      <w:r>
        <w:rPr>
          <w:rStyle w:val="CharSectno"/>
        </w:rPr>
        <w:t>3</w:t>
      </w:r>
      <w:r>
        <w:t>.</w:t>
      </w:r>
      <w:r>
        <w:tab/>
        <w:t>Application</w:t>
      </w:r>
      <w:bookmarkEnd w:id="6"/>
    </w:p>
    <w:p>
      <w:pPr>
        <w:pStyle w:val="Subsection"/>
      </w:pPr>
      <w:r>
        <w:tab/>
      </w:r>
      <w:r>
        <w:tab/>
        <w:t xml:space="preserve">These regulations apply to — </w:t>
      </w:r>
    </w:p>
    <w:p>
      <w:pPr>
        <w:pStyle w:val="Indenta"/>
      </w:pPr>
      <w:r>
        <w:tab/>
        <w:t>(a)</w:t>
      </w:r>
      <w:r>
        <w:tab/>
        <w:t>unallocated Crown land; 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7" w:name="_Toc513794272"/>
      <w:r>
        <w:rPr>
          <w:rStyle w:val="CharPartNo"/>
        </w:rPr>
        <w:t>Part 2</w:t>
      </w:r>
      <w:r>
        <w:t> — </w:t>
      </w:r>
      <w:r>
        <w:rPr>
          <w:rStyle w:val="CharPartText"/>
        </w:rPr>
        <w:t>General</w:t>
      </w:r>
      <w:bookmarkEnd w:id="7"/>
    </w:p>
    <w:p>
      <w:pPr>
        <w:pStyle w:val="Heading5"/>
      </w:pPr>
      <w:bookmarkStart w:id="8" w:name="_Toc513794273"/>
      <w:r>
        <w:rPr>
          <w:rStyle w:val="CharSectno"/>
        </w:rPr>
        <w:t>4</w:t>
      </w:r>
      <w:r>
        <w:t>.</w:t>
      </w:r>
      <w:r>
        <w:tab/>
        <w:t>Authorised persons</w:t>
      </w:r>
      <w:bookmarkEnd w:id="8"/>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9" w:name="_Toc513794274"/>
      <w:r>
        <w:rPr>
          <w:rStyle w:val="CharSectno"/>
        </w:rPr>
        <w:t>5</w:t>
      </w:r>
      <w:r>
        <w:t>.</w:t>
      </w:r>
      <w:r>
        <w:tab/>
        <w:t>Obstructing or impersonating authorised person</w:t>
      </w:r>
      <w:bookmarkEnd w:id="9"/>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0" w:name="_Toc513794275"/>
      <w:r>
        <w:rPr>
          <w:rStyle w:val="CharSectno"/>
        </w:rPr>
        <w:t>6</w:t>
      </w:r>
      <w:r>
        <w:t>.</w:t>
      </w:r>
      <w:r>
        <w:tab/>
        <w:t>Permissions</w:t>
      </w:r>
      <w:bookmarkEnd w:id="10"/>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1" w:name="_Toc513794276"/>
      <w:r>
        <w:rPr>
          <w:rStyle w:val="CharSectno"/>
        </w:rPr>
        <w:t>7</w:t>
      </w:r>
      <w:r>
        <w:t>.</w:t>
      </w:r>
      <w:r>
        <w:tab/>
        <w:t>Authorisation under another written law</w:t>
      </w:r>
      <w:bookmarkEnd w:id="11"/>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2" w:name="_Toc513794277"/>
      <w:r>
        <w:rPr>
          <w:rStyle w:val="CharSectno"/>
        </w:rPr>
        <w:t>8</w:t>
      </w:r>
      <w:r>
        <w:t>.</w:t>
      </w:r>
      <w:r>
        <w:tab/>
        <w:t>Directions</w:t>
      </w:r>
      <w:bookmarkEnd w:id="12"/>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3" w:name="_Toc513794278"/>
      <w:r>
        <w:rPr>
          <w:rStyle w:val="CharSectno"/>
          <w:rFonts w:eastAsia="MS Mincho"/>
        </w:rPr>
        <w:t>9</w:t>
      </w:r>
      <w:r>
        <w:rPr>
          <w:rFonts w:eastAsia="MS Mincho"/>
        </w:rPr>
        <w:t>.</w:t>
      </w:r>
      <w:r>
        <w:rPr>
          <w:rFonts w:eastAsia="MS Mincho"/>
        </w:rPr>
        <w:tab/>
        <w:t>Signs</w:t>
      </w:r>
      <w:bookmarkEnd w:id="13"/>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 or</w:t>
      </w:r>
    </w:p>
    <w:p>
      <w:pPr>
        <w:pStyle w:val="Indenta"/>
        <w:rPr>
          <w:rFonts w:eastAsia="MS Mincho"/>
        </w:rPr>
      </w:pPr>
      <w:r>
        <w:rPr>
          <w:rFonts w:eastAsia="MS Mincho"/>
        </w:rPr>
        <w:tab/>
        <w:t>(b)</w:t>
      </w:r>
      <w:r>
        <w:rPr>
          <w:rFonts w:eastAsia="MS Mincho"/>
        </w:rPr>
        <w:tab/>
        <w:t>a restriction on the doing of certain things in a particular area; or</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keepNext/>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14" w:name="_Toc513794279"/>
      <w:r>
        <w:rPr>
          <w:rStyle w:val="CharSectno"/>
        </w:rPr>
        <w:t>10</w:t>
      </w:r>
      <w:r>
        <w:t>.</w:t>
      </w:r>
      <w:r>
        <w:tab/>
        <w:t>Vehicles</w:t>
      </w:r>
      <w:bookmarkEnd w:id="14"/>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 or</w:t>
      </w:r>
    </w:p>
    <w:p>
      <w:pPr>
        <w:pStyle w:val="Indenta"/>
      </w:pPr>
      <w:r>
        <w:tab/>
        <w:t>(b)</w:t>
      </w:r>
      <w:r>
        <w:tab/>
        <w:t>other than on a road or track or in a designated parking area; or</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another person or vehicle; or</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as near as practicable to, and parallel with, the left side of the track; and</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keepNext/>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Gazette 10 Aug 2007 p. 4076; 19 Feb 2013 p. 983-4; 21 Jul 2015 p. 2935.] </w:t>
      </w:r>
    </w:p>
    <w:p>
      <w:pPr>
        <w:pStyle w:val="Heading5"/>
      </w:pPr>
      <w:bookmarkStart w:id="15" w:name="_Toc513794280"/>
      <w:r>
        <w:rPr>
          <w:rStyle w:val="CharSectno"/>
        </w:rPr>
        <w:t>11</w:t>
      </w:r>
      <w:r>
        <w:t>.</w:t>
      </w:r>
      <w:r>
        <w:tab/>
        <w:t>Protection of property</w:t>
      </w:r>
      <w:bookmarkEnd w:id="15"/>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Gazette 10 Aug 2007 p. 4076.] </w:t>
      </w:r>
    </w:p>
    <w:p>
      <w:pPr>
        <w:pStyle w:val="Heading5"/>
      </w:pPr>
      <w:bookmarkStart w:id="16" w:name="_Toc513794281"/>
      <w:r>
        <w:rPr>
          <w:rStyle w:val="CharSectno"/>
        </w:rPr>
        <w:t>12</w:t>
      </w:r>
      <w:r>
        <w:t>.</w:t>
      </w:r>
      <w:r>
        <w:tab/>
        <w:t>Protection of environment</w:t>
      </w:r>
      <w:bookmarkEnd w:id="16"/>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17" w:name="_Toc513794282"/>
      <w:r>
        <w:rPr>
          <w:rStyle w:val="CharSectno"/>
        </w:rPr>
        <w:t>13</w:t>
      </w:r>
      <w:r>
        <w:t>.</w:t>
      </w:r>
      <w:r>
        <w:tab/>
        <w:t>Protection of plants and animals</w:t>
      </w:r>
      <w:bookmarkEnd w:id="17"/>
    </w:p>
    <w:p>
      <w:pPr>
        <w:pStyle w:val="Subsection"/>
        <w:keepNext/>
      </w:pPr>
      <w:r>
        <w:tab/>
        <w:t>(1)</w:t>
      </w:r>
      <w:r>
        <w:tab/>
        <w:t xml:space="preserve">A person must not, on regulated land — </w:t>
      </w:r>
    </w:p>
    <w:p>
      <w:pPr>
        <w:pStyle w:val="Indenta"/>
      </w:pPr>
      <w:r>
        <w:tab/>
        <w:t>(a)</w:t>
      </w:r>
      <w:r>
        <w:tab/>
        <w:t>pull or dig up, damage, pick or injure any plant; or</w:t>
      </w:r>
    </w:p>
    <w:p>
      <w:pPr>
        <w:pStyle w:val="Indenta"/>
      </w:pPr>
      <w:r>
        <w:tab/>
        <w:t>(b)</w:t>
      </w:r>
      <w:r>
        <w:tab/>
        <w:t>kill, injure, capture, chase, disturb, interfere with or feed any animal; or</w:t>
      </w:r>
    </w:p>
    <w:p>
      <w:pPr>
        <w:pStyle w:val="Indenta"/>
        <w:keepNext/>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keepNext/>
      </w:pPr>
      <w:r>
        <w:rPr>
          <w:b/>
        </w:rPr>
        <w:tab/>
      </w:r>
      <w:r>
        <w:rPr>
          <w:rStyle w:val="CharDefText"/>
        </w:rPr>
        <w:t>hunting device</w:t>
      </w:r>
      <w:r>
        <w:t xml:space="preserve"> means — </w:t>
      </w:r>
    </w:p>
    <w:p>
      <w:pPr>
        <w:pStyle w:val="Defpara"/>
      </w:pPr>
      <w:r>
        <w:tab/>
        <w:t>(a)</w:t>
      </w:r>
      <w:r>
        <w:tab/>
        <w:t>a snare, trap or net; or</w:t>
      </w:r>
    </w:p>
    <w:p>
      <w:pPr>
        <w:pStyle w:val="Defpara"/>
      </w:pPr>
      <w:r>
        <w:tab/>
        <w:t>(b)</w:t>
      </w:r>
      <w:r>
        <w:tab/>
        <w:t>a firearm, spear, speargun, bow, cross</w:t>
      </w:r>
      <w:r>
        <w:noBreakHyphen/>
        <w:t>bow or other weapon; or</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spacing w:before="240"/>
        <w:ind w:left="0" w:firstLine="0"/>
      </w:pPr>
      <w:bookmarkStart w:id="18" w:name="_Toc513794283"/>
      <w:r>
        <w:rPr>
          <w:rStyle w:val="CharSectno"/>
        </w:rPr>
        <w:t>14</w:t>
      </w:r>
      <w:r>
        <w:t>.</w:t>
      </w:r>
      <w:r>
        <w:tab/>
        <w:t>Fires</w:t>
      </w:r>
      <w:bookmarkEnd w:id="18"/>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keepNext/>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keepNext/>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19" w:name="_Toc513794284"/>
      <w:r>
        <w:rPr>
          <w:rStyle w:val="CharSectno"/>
        </w:rPr>
        <w:t>15</w:t>
      </w:r>
      <w:r>
        <w:t>.</w:t>
      </w:r>
      <w:r>
        <w:tab/>
        <w:t>Camping</w:t>
      </w:r>
      <w:bookmarkEnd w:id="19"/>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20" w:name="_Toc513794285"/>
      <w:r>
        <w:rPr>
          <w:rStyle w:val="CharSectno"/>
        </w:rPr>
        <w:t>16</w:t>
      </w:r>
      <w:r>
        <w:t>.</w:t>
      </w:r>
      <w:r>
        <w:tab/>
        <w:t>Races, meetings etc.</w:t>
      </w:r>
      <w:bookmarkEnd w:id="20"/>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keepNext/>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21" w:name="_Toc513794286"/>
      <w:r>
        <w:rPr>
          <w:rStyle w:val="CharSectno"/>
        </w:rPr>
        <w:t>17</w:t>
      </w:r>
      <w:r>
        <w:t>.</w:t>
      </w:r>
      <w:r>
        <w:tab/>
        <w:t>Commercial activities, advertising, collecting money etc.</w:t>
      </w:r>
      <w:bookmarkEnd w:id="21"/>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2" w:name="_Toc513794287"/>
      <w:r>
        <w:rPr>
          <w:rStyle w:val="CharSectno"/>
          <w:rFonts w:eastAsia="MS Mincho"/>
        </w:rPr>
        <w:t>18</w:t>
      </w:r>
      <w:r>
        <w:rPr>
          <w:rFonts w:eastAsia="MS Mincho"/>
        </w:rPr>
        <w:t>.</w:t>
      </w:r>
      <w:r>
        <w:rPr>
          <w:rFonts w:eastAsia="MS Mincho"/>
        </w:rPr>
        <w:tab/>
        <w:t>Removing obstructions</w:t>
      </w:r>
      <w:bookmarkEnd w:id="22"/>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a road, track or path; or</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Gazette 10 Aug 2007 p. 4077.] </w:t>
      </w:r>
    </w:p>
    <w:p>
      <w:pPr>
        <w:pStyle w:val="Heading5"/>
      </w:pPr>
      <w:bookmarkStart w:id="23" w:name="_Toc513794288"/>
      <w:r>
        <w:rPr>
          <w:rStyle w:val="CharSectno"/>
        </w:rPr>
        <w:t>19</w:t>
      </w:r>
      <w:r>
        <w:t>.</w:t>
      </w:r>
      <w:r>
        <w:tab/>
        <w:t>General behaviour</w:t>
      </w:r>
      <w:bookmarkEnd w:id="23"/>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keepNext/>
      </w:pPr>
      <w:r>
        <w:tab/>
        <w:t>(3)</w:t>
      </w:r>
      <w:r>
        <w:tab/>
        <w:t>A person must not bring any alcohol onto regulated land with the intention that it be consumed.</w:t>
      </w:r>
    </w:p>
    <w:p>
      <w:pPr>
        <w:pStyle w:val="Penstart"/>
      </w:pPr>
      <w:r>
        <w:tab/>
        <w:t>Penalty: a fine of $500.</w:t>
      </w:r>
    </w:p>
    <w:p>
      <w:pPr>
        <w:pStyle w:val="Heading2"/>
      </w:pPr>
      <w:bookmarkStart w:id="24" w:name="_Toc513794289"/>
      <w:r>
        <w:rPr>
          <w:rStyle w:val="CharPartNo"/>
        </w:rPr>
        <w:t>Part 3</w:t>
      </w:r>
      <w:r>
        <w:rPr>
          <w:rStyle w:val="CharDivNo"/>
        </w:rPr>
        <w:t> </w:t>
      </w:r>
      <w:r>
        <w:t>—</w:t>
      </w:r>
      <w:r>
        <w:rPr>
          <w:rStyle w:val="CharDivText"/>
        </w:rPr>
        <w:t> </w:t>
      </w:r>
      <w:r>
        <w:rPr>
          <w:rStyle w:val="CharPartText"/>
        </w:rPr>
        <w:t>Offences relating to Schedule 1 reserves</w:t>
      </w:r>
      <w:bookmarkEnd w:id="24"/>
    </w:p>
    <w:p>
      <w:pPr>
        <w:pStyle w:val="Heading5"/>
      </w:pPr>
      <w:bookmarkStart w:id="25" w:name="_Toc513794290"/>
      <w:r>
        <w:rPr>
          <w:rStyle w:val="CharSectno"/>
        </w:rPr>
        <w:t>20</w:t>
      </w:r>
      <w:r>
        <w:t>.</w:t>
      </w:r>
      <w:r>
        <w:tab/>
        <w:t>Entry onto designated Schedule 1 reserves</w:t>
      </w:r>
      <w:bookmarkEnd w:id="25"/>
    </w:p>
    <w:p>
      <w:pPr>
        <w:pStyle w:val="Subsection"/>
        <w:spacing w:before="120"/>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spacing w:before="120"/>
      </w:pPr>
      <w:r>
        <w:tab/>
        <w:t>(2)</w:t>
      </w:r>
      <w:r>
        <w:tab/>
        <w:t xml:space="preserve">A person must not enter or remain in, or in the immediate vicinity of — </w:t>
      </w:r>
    </w:p>
    <w:p>
      <w:pPr>
        <w:pStyle w:val="Indenta"/>
      </w:pPr>
      <w:r>
        <w:tab/>
        <w:t>(a)</w:t>
      </w:r>
      <w:r>
        <w:tab/>
        <w:t>a building or area on a Schedule 1 reserve where machinery, equipment or vehicles are kept; or</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spacing w:before="120"/>
      </w:pPr>
      <w:r>
        <w:tab/>
        <w:t>(3)</w:t>
      </w:r>
      <w:r>
        <w:tab/>
        <w:t>A person must not enter a Schedule 1 reserve, or any area of the reserve, except through an entrance provided for that purpose.</w:t>
      </w:r>
    </w:p>
    <w:p>
      <w:pPr>
        <w:pStyle w:val="Penstart"/>
      </w:pPr>
      <w:r>
        <w:tab/>
        <w:t>Penalty: a fine of $500.</w:t>
      </w:r>
    </w:p>
    <w:p>
      <w:pPr>
        <w:pStyle w:val="Subsection"/>
        <w:spacing w:before="120"/>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spacing w:before="120"/>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26" w:name="_Toc513794291"/>
      <w:r>
        <w:rPr>
          <w:rStyle w:val="CharSectno"/>
        </w:rPr>
        <w:t>21</w:t>
      </w:r>
      <w:r>
        <w:t>.</w:t>
      </w:r>
      <w:r>
        <w:tab/>
        <w:t>Vessels</w:t>
      </w:r>
      <w:bookmarkEnd w:id="26"/>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r>
        <w:t xml:space="preserve"> or</w:t>
      </w:r>
    </w:p>
    <w:p>
      <w:pPr>
        <w:pStyle w:val="Indenta"/>
      </w:pPr>
      <w:r>
        <w:tab/>
        <w:t>(b)</w:t>
      </w:r>
      <w:r>
        <w:tab/>
        <w:t>at a speed in excess of the speed limit indicated for that area by signs; or</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another person or vessel; or</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Gazette 10 Aug 2007 p. 4077.] </w:t>
      </w:r>
    </w:p>
    <w:p>
      <w:pPr>
        <w:pStyle w:val="Heading5"/>
      </w:pPr>
      <w:bookmarkStart w:id="27" w:name="_Toc513794292"/>
      <w:r>
        <w:rPr>
          <w:rStyle w:val="CharSectno"/>
        </w:rPr>
        <w:t>22</w:t>
      </w:r>
      <w:r>
        <w:t>.</w:t>
      </w:r>
      <w:r>
        <w:tab/>
        <w:t>Aircraft</w:t>
      </w:r>
      <w:bookmarkEnd w:id="27"/>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28" w:name="_Toc513794293"/>
      <w:r>
        <w:rPr>
          <w:rStyle w:val="CharSectno"/>
        </w:rPr>
        <w:t>23</w:t>
      </w:r>
      <w:r>
        <w:t>.</w:t>
      </w:r>
      <w:r>
        <w:tab/>
        <w:t>Animals</w:t>
      </w:r>
      <w:bookmarkEnd w:id="28"/>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 w:name="_Toc513794294"/>
      <w:r>
        <w:rPr>
          <w:rStyle w:val="CharSchNo"/>
        </w:rPr>
        <w:t>Schedule 1</w:t>
      </w:r>
      <w:r>
        <w:t> — </w:t>
      </w:r>
      <w:r>
        <w:rPr>
          <w:rStyle w:val="CharSchText"/>
        </w:rPr>
        <w:t>Managed reserves to which these regulations apply</w:t>
      </w:r>
      <w:bookmarkEnd w:id="29"/>
    </w:p>
    <w:p>
      <w:pPr>
        <w:pStyle w:val="yShoulderClause"/>
      </w:pPr>
      <w:r>
        <w:t>[r. 2]</w:t>
      </w:r>
    </w:p>
    <w:p>
      <w:pPr>
        <w:pStyle w:val="yFootnoteheading"/>
        <w:spacing w:after="60"/>
      </w:pPr>
      <w:r>
        <w:tab/>
        <w:t>[Heading inserted: Gazette 6 Sep 2016 p. 3827.]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tcPr>
          <w:p>
            <w:pPr>
              <w:pStyle w:val="yTableNAm"/>
            </w:pPr>
            <w:r>
              <w:rPr>
                <w:b/>
              </w:rPr>
              <w:t>Item</w:t>
            </w:r>
          </w:p>
        </w:tc>
        <w:tc>
          <w:tcPr>
            <w:tcW w:w="1843" w:type="dxa"/>
          </w:tcPr>
          <w:p>
            <w:pPr>
              <w:pStyle w:val="yTableNAm"/>
            </w:pPr>
            <w:r>
              <w:rPr>
                <w:b/>
              </w:rPr>
              <w:t>Reserve number</w:t>
            </w:r>
          </w:p>
        </w:tc>
        <w:tc>
          <w:tcPr>
            <w:tcW w:w="3402" w:type="dxa"/>
          </w:tcPr>
          <w:p>
            <w:pPr>
              <w:pStyle w:val="yTableNAm"/>
            </w:pPr>
            <w:r>
              <w:rPr>
                <w:b/>
              </w:rPr>
              <w:t>Reserve location</w:t>
            </w:r>
          </w:p>
        </w:tc>
      </w:tr>
      <w:tr>
        <w:tc>
          <w:tcPr>
            <w:tcW w:w="992" w:type="dxa"/>
          </w:tcPr>
          <w:p>
            <w:pPr>
              <w:pStyle w:val="yTableNAm"/>
            </w:pPr>
            <w:r>
              <w:t>1.</w:t>
            </w:r>
          </w:p>
        </w:tc>
        <w:tc>
          <w:tcPr>
            <w:tcW w:w="1843" w:type="dxa"/>
          </w:tcPr>
          <w:p>
            <w:pPr>
              <w:pStyle w:val="yTableNAm"/>
            </w:pPr>
            <w:r>
              <w:t>30360</w:t>
            </w:r>
          </w:p>
        </w:tc>
        <w:tc>
          <w:tcPr>
            <w:tcW w:w="3402" w:type="dxa"/>
          </w:tcPr>
          <w:p>
            <w:pPr>
              <w:pStyle w:val="yTableNAm"/>
            </w:pPr>
            <w:r>
              <w:t>Quaranup, Albany</w:t>
            </w:r>
          </w:p>
        </w:tc>
      </w:tr>
      <w:tr>
        <w:tc>
          <w:tcPr>
            <w:tcW w:w="992" w:type="dxa"/>
          </w:tcPr>
          <w:p>
            <w:pPr>
              <w:pStyle w:val="yTableNAm"/>
            </w:pPr>
            <w:r>
              <w:t>2.</w:t>
            </w:r>
          </w:p>
        </w:tc>
        <w:tc>
          <w:tcPr>
            <w:tcW w:w="1843" w:type="dxa"/>
          </w:tcPr>
          <w:p>
            <w:pPr>
              <w:pStyle w:val="yTableNAm"/>
            </w:pPr>
            <w:r>
              <w:t>27853</w:t>
            </w:r>
          </w:p>
        </w:tc>
        <w:tc>
          <w:tcPr>
            <w:tcW w:w="3402" w:type="dxa"/>
          </w:tcPr>
          <w:p>
            <w:pPr>
              <w:pStyle w:val="yTableNAm"/>
            </w:pPr>
            <w:r>
              <w:t>Point Peron, Rockingham</w:t>
            </w:r>
          </w:p>
        </w:tc>
      </w:tr>
      <w:tr>
        <w:tc>
          <w:tcPr>
            <w:tcW w:w="992" w:type="dxa"/>
          </w:tcPr>
          <w:p>
            <w:pPr>
              <w:pStyle w:val="yTableNAm"/>
            </w:pPr>
            <w:r>
              <w:t>3.</w:t>
            </w:r>
          </w:p>
        </w:tc>
        <w:tc>
          <w:tcPr>
            <w:tcW w:w="1843" w:type="dxa"/>
          </w:tcPr>
          <w:p>
            <w:pPr>
              <w:pStyle w:val="yTableNAm"/>
            </w:pPr>
            <w:r>
              <w:t>40184</w:t>
            </w:r>
          </w:p>
        </w:tc>
        <w:tc>
          <w:tcPr>
            <w:tcW w:w="3402" w:type="dxa"/>
          </w:tcPr>
          <w:p>
            <w:pPr>
              <w:pStyle w:val="yTableNAm"/>
            </w:pPr>
            <w:r>
              <w:t>Woodman Point, Munster</w:t>
            </w:r>
          </w:p>
        </w:tc>
      </w:tr>
      <w:tr>
        <w:tc>
          <w:tcPr>
            <w:tcW w:w="992" w:type="dxa"/>
          </w:tcPr>
          <w:p>
            <w:pPr>
              <w:pStyle w:val="yTableNAm"/>
            </w:pPr>
            <w:r>
              <w:t>4.</w:t>
            </w:r>
          </w:p>
        </w:tc>
        <w:tc>
          <w:tcPr>
            <w:tcW w:w="1843" w:type="dxa"/>
          </w:tcPr>
          <w:p>
            <w:pPr>
              <w:pStyle w:val="yTableNAm"/>
            </w:pPr>
            <w:r>
              <w:t>23563</w:t>
            </w:r>
          </w:p>
        </w:tc>
        <w:tc>
          <w:tcPr>
            <w:tcW w:w="3402" w:type="dxa"/>
          </w:tcPr>
          <w:p>
            <w:pPr>
              <w:pStyle w:val="yTableNAm"/>
            </w:pPr>
            <w:r>
              <w:t>Ern Halliday Centre, Hillarys</w:t>
            </w:r>
          </w:p>
        </w:tc>
      </w:tr>
      <w:tr>
        <w:tc>
          <w:tcPr>
            <w:tcW w:w="992" w:type="dxa"/>
          </w:tcPr>
          <w:p>
            <w:pPr>
              <w:pStyle w:val="yTableNAm"/>
            </w:pPr>
            <w:r>
              <w:t>5.</w:t>
            </w:r>
          </w:p>
        </w:tc>
        <w:tc>
          <w:tcPr>
            <w:tcW w:w="1843" w:type="dxa"/>
          </w:tcPr>
          <w:p>
            <w:pPr>
              <w:pStyle w:val="yTableNAm"/>
            </w:pPr>
            <w:r>
              <w:t>1667</w:t>
            </w:r>
          </w:p>
        </w:tc>
        <w:tc>
          <w:tcPr>
            <w:tcW w:w="3402" w:type="dxa"/>
          </w:tcPr>
          <w:p>
            <w:pPr>
              <w:pStyle w:val="yTableNAm"/>
            </w:pPr>
            <w:r>
              <w:t>Birdwood Parade, Dalkeith</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1843" w:type="dxa"/>
            <w:tcBorders>
              <w:top w:val="single" w:sz="4" w:space="0" w:color="auto"/>
              <w:left w:val="single" w:sz="4" w:space="0" w:color="auto"/>
              <w:bottom w:val="single" w:sz="4" w:space="0" w:color="auto"/>
              <w:right w:val="single" w:sz="4" w:space="0" w:color="auto"/>
            </w:tcBorders>
          </w:tcPr>
          <w:p>
            <w:pPr>
              <w:pStyle w:val="yTableNAm"/>
            </w:pPr>
            <w:r>
              <w:t>30718</w:t>
            </w:r>
          </w:p>
        </w:tc>
        <w:tc>
          <w:tcPr>
            <w:tcW w:w="3402" w:type="dxa"/>
            <w:tcBorders>
              <w:top w:val="single" w:sz="4" w:space="0" w:color="auto"/>
              <w:left w:val="single" w:sz="4" w:space="0" w:color="auto"/>
              <w:bottom w:val="single" w:sz="4" w:space="0" w:color="auto"/>
              <w:right w:val="single" w:sz="4" w:space="0" w:color="auto"/>
            </w:tcBorders>
          </w:tcPr>
          <w:p>
            <w:pPr>
              <w:pStyle w:val="yTableNAm"/>
            </w:pPr>
            <w:r>
              <w:t>Muresk Road, Northam</w:t>
            </w:r>
          </w:p>
        </w:tc>
      </w:tr>
    </w:tbl>
    <w:p>
      <w:pPr>
        <w:pStyle w:val="yFootnotesection"/>
      </w:pPr>
      <w:r>
        <w:tab/>
        <w:t>[Schedule 1 inserted: Gazette 6 Sep 2016 p. 3827; amended: Gazette 11 May 2018 p. 1509.]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1" w:name="_Toc513794295"/>
      <w:r>
        <w:t>Notes</w:t>
      </w:r>
      <w:bookmarkEnd w:id="31"/>
    </w:p>
    <w:p>
      <w:pPr>
        <w:pStyle w:val="nSubsection"/>
      </w:pPr>
      <w:r>
        <w:rPr>
          <w:vertAlign w:val="superscript"/>
        </w:rPr>
        <w:t>1</w:t>
      </w:r>
      <w:r>
        <w:tab/>
        <w:t xml:space="preserve">This is a compilation of the </w:t>
      </w:r>
      <w:r>
        <w:rPr>
          <w:i/>
          <w:noProof/>
        </w:rPr>
        <w:t>Land Administration (Land Management) Regulations 2006</w:t>
      </w:r>
      <w:r>
        <w:t xml:space="preserve"> and includes the amendments made by the other written laws referred to in the following table.  The table also contains information about any reprint.</w:t>
      </w:r>
    </w:p>
    <w:p>
      <w:pPr>
        <w:pStyle w:val="nHeading3"/>
      </w:pPr>
      <w:bookmarkStart w:id="32" w:name="_Toc513794296"/>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Land Administration (Land Management) Regulations 2006</w:t>
            </w:r>
          </w:p>
        </w:tc>
        <w:tc>
          <w:tcPr>
            <w:tcW w:w="1276" w:type="dxa"/>
            <w:tcBorders>
              <w:top w:val="single" w:sz="8" w:space="0" w:color="auto"/>
            </w:tcBorders>
          </w:tcPr>
          <w:p>
            <w:pPr>
              <w:pStyle w:val="nTable"/>
              <w:spacing w:after="40"/>
            </w:pPr>
            <w:r>
              <w:t>14 Jun 2006 p. 2085-106</w:t>
            </w:r>
          </w:p>
        </w:tc>
        <w:tc>
          <w:tcPr>
            <w:tcW w:w="2693" w:type="dxa"/>
            <w:tcBorders>
              <w:top w:val="single" w:sz="8" w:space="0" w:color="auto"/>
            </w:tcBorders>
          </w:tcPr>
          <w:p>
            <w:pPr>
              <w:pStyle w:val="nTable"/>
              <w:spacing w:after="40"/>
            </w:pPr>
            <w:r>
              <w:t>14 Jun 2006</w:t>
            </w:r>
          </w:p>
        </w:tc>
      </w:tr>
      <w:tr>
        <w:tc>
          <w:tcPr>
            <w:tcW w:w="3118" w:type="dxa"/>
          </w:tcPr>
          <w:p>
            <w:pPr>
              <w:pStyle w:val="nTable"/>
              <w:spacing w:after="40"/>
              <w:rPr>
                <w:i/>
              </w:rPr>
            </w:pPr>
            <w:r>
              <w:rPr>
                <w:i/>
              </w:rPr>
              <w:t>Land Administration (Land Management) Amendment Regulations 2007</w:t>
            </w:r>
          </w:p>
        </w:tc>
        <w:tc>
          <w:tcPr>
            <w:tcW w:w="1276" w:type="dxa"/>
          </w:tcPr>
          <w:p>
            <w:pPr>
              <w:pStyle w:val="nTable"/>
              <w:spacing w:after="40"/>
            </w:pPr>
            <w:r>
              <w:t>10 Aug 2007 p. 4075-7</w:t>
            </w:r>
          </w:p>
        </w:tc>
        <w:tc>
          <w:tcPr>
            <w:tcW w:w="2693" w:type="dxa"/>
          </w:tcPr>
          <w:p>
            <w:pPr>
              <w:pStyle w:val="nTable"/>
              <w:spacing w:after="40"/>
            </w:pPr>
            <w:r>
              <w:t>r. 1 and 2: 10 Aug 2007 (see r. 2(a));</w:t>
            </w:r>
            <w:r>
              <w:br/>
              <w:t>Regulations other than r. 1 and 2: 11 Aug 2007 (see r. 2(b))</w:t>
            </w:r>
          </w:p>
        </w:tc>
      </w:tr>
      <w:tr>
        <w:tc>
          <w:tcPr>
            <w:tcW w:w="3118" w:type="dxa"/>
          </w:tcPr>
          <w:p>
            <w:pPr>
              <w:pStyle w:val="nTable"/>
              <w:spacing w:after="40"/>
              <w:rPr>
                <w:i/>
              </w:rPr>
            </w:pPr>
            <w:r>
              <w:rPr>
                <w:i/>
              </w:rPr>
              <w:t>Land Administration (Land Management) Amendment Regulations 2012</w:t>
            </w:r>
          </w:p>
        </w:tc>
        <w:tc>
          <w:tcPr>
            <w:tcW w:w="1276" w:type="dxa"/>
          </w:tcPr>
          <w:p>
            <w:pPr>
              <w:pStyle w:val="nTable"/>
              <w:spacing w:after="40"/>
            </w:pPr>
            <w:r>
              <w:t>31 Jul 2012 p. 3695</w:t>
            </w:r>
            <w:r>
              <w:noBreakHyphen/>
              <w:t>6</w:t>
            </w:r>
          </w:p>
        </w:tc>
        <w:tc>
          <w:tcPr>
            <w:tcW w:w="2693" w:type="dxa"/>
          </w:tcPr>
          <w:p>
            <w:pPr>
              <w:pStyle w:val="nTable"/>
              <w:spacing w:after="40"/>
            </w:pPr>
            <w:r>
              <w:t>r. 1 and 2: 31 Jul 2012 (see r. 2(a));</w:t>
            </w:r>
            <w:r>
              <w:br/>
              <w:t>Regulations other than r. 1 and 2: 1 Aug 2012 (see r. 2(b))</w:t>
            </w:r>
          </w:p>
        </w:tc>
      </w:tr>
      <w:tr>
        <w:tc>
          <w:tcPr>
            <w:tcW w:w="3118" w:type="dxa"/>
          </w:tcPr>
          <w:p>
            <w:pPr>
              <w:pStyle w:val="nTable"/>
              <w:spacing w:after="40"/>
              <w:rPr>
                <w:i/>
              </w:rPr>
            </w:pPr>
            <w:r>
              <w:rPr>
                <w:i/>
              </w:rPr>
              <w:t>Land Administration (Land Management) Amendment Regulations (No. 2) 2012</w:t>
            </w:r>
          </w:p>
        </w:tc>
        <w:tc>
          <w:tcPr>
            <w:tcW w:w="1276" w:type="dxa"/>
          </w:tcPr>
          <w:p>
            <w:pPr>
              <w:pStyle w:val="nTable"/>
              <w:spacing w:after="40"/>
            </w:pPr>
            <w:r>
              <w:t>19 Feb 2013 p. 983-4</w:t>
            </w:r>
          </w:p>
        </w:tc>
        <w:tc>
          <w:tcPr>
            <w:tcW w:w="2693" w:type="dxa"/>
          </w:tcPr>
          <w:p>
            <w:pPr>
              <w:pStyle w:val="nTable"/>
              <w:spacing w:after="40"/>
            </w:pPr>
            <w:r>
              <w:t>r. 1 and 2: 19 Feb 2013 (see r. 2(a));</w:t>
            </w:r>
            <w:r>
              <w:br/>
              <w:t>Regulations other than r. 1 and 2: 20 Feb 2013 (see r. 2(b))</w:t>
            </w:r>
          </w:p>
        </w:tc>
      </w:tr>
      <w:tr>
        <w:tc>
          <w:tcPr>
            <w:tcW w:w="3118" w:type="dxa"/>
          </w:tcPr>
          <w:p>
            <w:pPr>
              <w:pStyle w:val="nTable"/>
              <w:spacing w:after="40"/>
              <w:rPr>
                <w:i/>
              </w:rPr>
            </w:pPr>
            <w:r>
              <w:rPr>
                <w:i/>
              </w:rPr>
              <w:t>Land Administration (Land Management) Amendment Regulations 2014</w:t>
            </w:r>
          </w:p>
        </w:tc>
        <w:tc>
          <w:tcPr>
            <w:tcW w:w="1276" w:type="dxa"/>
          </w:tcPr>
          <w:p>
            <w:pPr>
              <w:pStyle w:val="nTable"/>
              <w:spacing w:after="40"/>
            </w:pPr>
            <w:r>
              <w:t>8 Jan 2015 p. 117</w:t>
            </w:r>
            <w:r>
              <w:noBreakHyphen/>
              <w:t>18</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Land Administration (Land Management) Amendment Regulations 2015</w:t>
            </w:r>
          </w:p>
        </w:tc>
        <w:tc>
          <w:tcPr>
            <w:tcW w:w="1276" w:type="dxa"/>
          </w:tcPr>
          <w:p>
            <w:pPr>
              <w:pStyle w:val="nTable"/>
              <w:spacing w:after="40"/>
            </w:pPr>
            <w:r>
              <w:t>21 Jul 2015 p. 2935</w:t>
            </w:r>
          </w:p>
        </w:tc>
        <w:tc>
          <w:tcPr>
            <w:tcW w:w="2693" w:type="dxa"/>
          </w:tcPr>
          <w:p>
            <w:pPr>
              <w:pStyle w:val="nTable"/>
              <w:spacing w:after="40"/>
              <w:rPr>
                <w:snapToGrid w:val="0"/>
                <w:spacing w:val="-2"/>
              </w:rPr>
            </w:pPr>
            <w:r>
              <w:t>r. 1 and 2: 21 Jul 2015 (see r. 2(a));</w:t>
            </w:r>
            <w:r>
              <w:br/>
              <w:t>Regulations other than r. 1 and 2: 22 Jul 2015 (see r. 2(b))</w:t>
            </w:r>
          </w:p>
        </w:tc>
      </w:tr>
      <w:tr>
        <w:tc>
          <w:tcPr>
            <w:tcW w:w="3118" w:type="dxa"/>
          </w:tcPr>
          <w:p>
            <w:pPr>
              <w:pStyle w:val="nTable"/>
              <w:spacing w:after="40"/>
              <w:rPr>
                <w:i/>
              </w:rPr>
            </w:pPr>
            <w:r>
              <w:rPr>
                <w:i/>
              </w:rPr>
              <w:t xml:space="preserve">Land Administration Regulations Amendment Regulations 2016 </w:t>
            </w:r>
            <w:r>
              <w:t>Pt. 3</w:t>
            </w:r>
          </w:p>
        </w:tc>
        <w:tc>
          <w:tcPr>
            <w:tcW w:w="1276" w:type="dxa"/>
          </w:tcPr>
          <w:p>
            <w:pPr>
              <w:pStyle w:val="nTable"/>
              <w:spacing w:after="40"/>
            </w:pPr>
            <w:r>
              <w:t>6 Sep 2016 p. 3826-7</w:t>
            </w:r>
          </w:p>
        </w:tc>
        <w:tc>
          <w:tcPr>
            <w:tcW w:w="2693" w:type="dxa"/>
          </w:tcPr>
          <w:p>
            <w:pPr>
              <w:pStyle w:val="nTable"/>
              <w:spacing w:after="40"/>
            </w:pPr>
            <w:r>
              <w:t>7 Sep 2016 (see r. 2(b))</w:t>
            </w:r>
          </w:p>
        </w:tc>
      </w:tr>
      <w:tr>
        <w:tc>
          <w:tcPr>
            <w:tcW w:w="7087" w:type="dxa"/>
            <w:gridSpan w:val="3"/>
            <w:shd w:val="clear" w:color="auto" w:fill="auto"/>
          </w:tcPr>
          <w:p>
            <w:pPr>
              <w:pStyle w:val="nTable"/>
              <w:spacing w:after="40"/>
            </w:pPr>
            <w:r>
              <w:rPr>
                <w:b/>
              </w:rPr>
              <w:t xml:space="preserve">Reprint 1: The </w:t>
            </w:r>
            <w:r>
              <w:rPr>
                <w:b/>
                <w:i/>
                <w:noProof/>
              </w:rPr>
              <w:t>Land Administration (Land Management) Regulations 2006</w:t>
            </w:r>
            <w:r>
              <w:rPr>
                <w:b/>
              </w:rPr>
              <w:t xml:space="preserve"> as at 3 Mar 2017</w:t>
            </w:r>
            <w:r>
              <w:t xml:space="preserve"> (includes amendments listed above)</w:t>
            </w:r>
          </w:p>
        </w:tc>
      </w:tr>
      <w:tr>
        <w:tc>
          <w:tcPr>
            <w:tcW w:w="3118" w:type="dxa"/>
            <w:tcBorders>
              <w:bottom w:val="single" w:sz="4" w:space="0" w:color="auto"/>
            </w:tcBorders>
          </w:tcPr>
          <w:p>
            <w:pPr>
              <w:pStyle w:val="nTable"/>
              <w:spacing w:after="40"/>
              <w:rPr>
                <w:i/>
              </w:rPr>
            </w:pPr>
            <w:r>
              <w:rPr>
                <w:i/>
              </w:rPr>
              <w:t>Land Administration (Land Management) Amendment Regulations 2018</w:t>
            </w:r>
          </w:p>
        </w:tc>
        <w:tc>
          <w:tcPr>
            <w:tcW w:w="1276" w:type="dxa"/>
            <w:tcBorders>
              <w:bottom w:val="single" w:sz="4" w:space="0" w:color="auto"/>
            </w:tcBorders>
          </w:tcPr>
          <w:p>
            <w:pPr>
              <w:pStyle w:val="nTable"/>
              <w:spacing w:after="40"/>
            </w:pPr>
            <w:r>
              <w:t>11 May 2018 p. 1509</w:t>
            </w:r>
          </w:p>
        </w:tc>
        <w:tc>
          <w:tcPr>
            <w:tcW w:w="2693" w:type="dxa"/>
            <w:tcBorders>
              <w:bottom w:val="single" w:sz="4" w:space="0" w:color="auto"/>
            </w:tcBorders>
          </w:tcPr>
          <w:p>
            <w:pPr>
              <w:pStyle w:val="nTable"/>
              <w:spacing w:after="40"/>
            </w:pPr>
            <w:r>
              <w:rPr>
                <w:rFonts w:ascii="Times" w:hAnsi="Times"/>
                <w:bCs/>
                <w:snapToGrid w:val="0"/>
                <w:spacing w:val="-2"/>
              </w:rPr>
              <w:t>r. 1 and 2: 11 May 2018 (see r. 2(a));</w:t>
            </w:r>
            <w:r>
              <w:rPr>
                <w:rFonts w:ascii="Times" w:hAnsi="Times"/>
                <w:bCs/>
                <w:snapToGrid w:val="0"/>
                <w:spacing w:val="-2"/>
              </w:rPr>
              <w:br/>
              <w:t>Regulations other than r. 1 and 2: 12 May 2018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4" w:name="_Toc513794297"/>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lvlText w:val="%1."/>
      <w:lvlJc w:val="left"/>
      <w:pPr>
        <w:tabs>
          <w:tab w:val="num" w:pos="1492"/>
        </w:tabs>
        <w:ind w:left="1492" w:hanging="360"/>
      </w:pPr>
    </w:lvl>
  </w:abstractNum>
  <w:abstractNum w:abstractNumId="1">
    <w:nsid w:val="FFFFFF7D"/>
    <w:multiLevelType w:val="singleLevel"/>
    <w:tmpl w:val="92508730"/>
    <w:lvl w:ilvl="0">
      <w:start w:val="1"/>
      <w:numFmt w:val="decimal"/>
      <w:lvlText w:val="%1."/>
      <w:lvlJc w:val="left"/>
      <w:pPr>
        <w:tabs>
          <w:tab w:val="num" w:pos="1209"/>
        </w:tabs>
        <w:ind w:left="1209" w:hanging="360"/>
      </w:pPr>
    </w:lvl>
  </w:abstractNum>
  <w:abstractNum w:abstractNumId="2">
    <w:nsid w:val="FFFFFF7E"/>
    <w:multiLevelType w:val="singleLevel"/>
    <w:tmpl w:val="C1CC5FAA"/>
    <w:lvl w:ilvl="0">
      <w:start w:val="1"/>
      <w:numFmt w:val="decimal"/>
      <w:lvlText w:val="%1."/>
      <w:lvlJc w:val="left"/>
      <w:pPr>
        <w:tabs>
          <w:tab w:val="num" w:pos="926"/>
        </w:tabs>
        <w:ind w:left="926" w:hanging="360"/>
      </w:pPr>
    </w:lvl>
  </w:abstractNum>
  <w:abstractNum w:abstractNumId="3">
    <w:nsid w:val="FFFFFF7F"/>
    <w:multiLevelType w:val="singleLevel"/>
    <w:tmpl w:val="8C9CC0AA"/>
    <w:lvl w:ilvl="0">
      <w:start w:val="1"/>
      <w:numFmt w:val="decimal"/>
      <w:lvlText w:val="%1."/>
      <w:lvlJc w:val="left"/>
      <w:pPr>
        <w:tabs>
          <w:tab w:val="num" w:pos="643"/>
        </w:tabs>
        <w:ind w:left="643" w:hanging="360"/>
      </w:pPr>
    </w:lvl>
  </w:abstractNum>
  <w:abstractNum w:abstractNumId="4">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lvlText w:val="%1."/>
      <w:lvlJc w:val="left"/>
      <w:pPr>
        <w:tabs>
          <w:tab w:val="num" w:pos="360"/>
        </w:tabs>
        <w:ind w:left="360" w:hanging="360"/>
      </w:pPr>
    </w:lvl>
  </w:abstractNum>
  <w:abstractNum w:abstractNumId="9">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055"/>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 w:name="WAFER_20161013093856" w:val="RemoveTocBookmarks,RemoveUnusedBookmarks,RemoveLanguageTags,UsedStyles,ResetPageSize,RemoveCustomizations"/>
    <w:docVar w:name="WAFER_20161013093856_GUID" w:val="b9b2ffd5-cee8-4cda-aa9d-9c819168c23b"/>
    <w:docVar w:name="WAFER_20180510142055" w:val="RemoveTocBookmarks,RemoveUnusedBookmarks,RemoveLanguageTags,UsedStyles,ResetPageSize"/>
    <w:docVar w:name="WAFER_20180510142055_GUID" w:val="b94453bb-fdc9-47da-8b3a-65a6a40ea6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4332</Words>
  <Characters>20361</Characters>
  <Application>Microsoft Office Word</Application>
  <DocSecurity>0</DocSecurity>
  <Lines>702</Lines>
  <Paragraphs>514</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2006 - 01-b0-01</dc:title>
  <dc:subject/>
  <dc:creator/>
  <cp:keywords/>
  <dc:description/>
  <cp:lastModifiedBy>svcMRProcess</cp:lastModifiedBy>
  <cp:revision>4</cp:revision>
  <cp:lastPrinted>2017-03-20T01:20:00Z</cp:lastPrinted>
  <dcterms:created xsi:type="dcterms:W3CDTF">2019-01-17T02:36:00Z</dcterms:created>
  <dcterms:modified xsi:type="dcterms:W3CDTF">2019-01-17T02:36:00Z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1</vt:lpwstr>
  </property>
  <property fmtid="{D5CDD505-2E9C-101B-9397-08002B2CF9AE}" pid="7" name="AsAtDate">
    <vt:lpwstr>12 May 2018</vt:lpwstr>
  </property>
  <property fmtid="{D5CDD505-2E9C-101B-9397-08002B2CF9AE}" pid="8" name="Suffix">
    <vt:lpwstr>01-b0-01</vt:lpwstr>
  </property>
  <property fmtid="{D5CDD505-2E9C-101B-9397-08002B2CF9AE}" pid="9" name="CommencementDate">
    <vt:lpwstr>20180512</vt:lpwstr>
  </property>
</Properties>
</file>