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Liquor Control Act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_Toc473119135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_Toc473119136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_Toc473119137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drunk</w:t>
      </w:r>
      <w:r>
        <w:tab/>
      </w:r>
      <w:r>
        <w:fldChar w:fldCharType="begin"/>
      </w:r>
      <w:r>
        <w:instrText xml:space="preserve"> PAGEREF _Toc473119138 \h </w:instrText>
      </w:r>
      <w:r>
        <w:fldChar w:fldCharType="separate"/>
      </w:r>
      <w:r>
        <w:t>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Storing and receiving liquor for licensed premises at other premises; records to be kept</w:t>
      </w:r>
      <w:r>
        <w:tab/>
      </w:r>
      <w:r>
        <w:fldChar w:fldCharType="begin"/>
      </w:r>
      <w:r>
        <w:instrText xml:space="preserve"> PAGEREF _Toc473119139 \h </w:instrText>
      </w:r>
      <w:r>
        <w:fldChar w:fldCharType="separate"/>
      </w:r>
      <w:r>
        <w:t>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Act</w:t>
      </w:r>
      <w:r>
        <w:tab/>
      </w:r>
      <w:r>
        <w:fldChar w:fldCharType="begin"/>
      </w:r>
      <w:r>
        <w:instrText xml:space="preserve"> PAGEREF _Toc473119140 \h </w:instrText>
      </w:r>
      <w:r>
        <w:fldChar w:fldCharType="separate"/>
      </w:r>
      <w:r>
        <w:t>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not to apply in certain cases</w:t>
      </w:r>
      <w:r>
        <w:tab/>
      </w:r>
      <w:r>
        <w:fldChar w:fldCharType="begin"/>
      </w:r>
      <w:r>
        <w:instrText xml:space="preserve"> PAGEREF _Toc473119141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The licensing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licensing authority</w:t>
      </w:r>
    </w:p>
    <w:p>
      <w:pPr>
        <w:pStyle w:val="TOC8"/>
        <w:rPr>
          <w:rFonts w:asciiTheme="minorHAnsi" w:eastAsiaTheme="minorEastAsia" w:hAnsiTheme="minorHAnsi" w:cstheme="minorBidi"/>
          <w:szCs w:val="22"/>
        </w:rPr>
      </w:pPr>
      <w:r>
        <w:t>7</w:t>
      </w:r>
      <w:r>
        <w:rPr>
          <w:snapToGrid w:val="0"/>
        </w:rPr>
        <w:t>.</w:t>
      </w:r>
      <w:r>
        <w:rPr>
          <w:snapToGrid w:val="0"/>
        </w:rPr>
        <w:tab/>
        <w:t>Constitution and jurisdiction of licensing authority</w:t>
      </w:r>
      <w:r>
        <w:tab/>
      </w:r>
      <w:r>
        <w:fldChar w:fldCharType="begin"/>
      </w:r>
      <w:r>
        <w:instrText xml:space="preserve"> PAGEREF _Toc473119144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The Liquor Commission</w:t>
      </w:r>
    </w:p>
    <w:p>
      <w:pPr>
        <w:pStyle w:val="TOC8"/>
        <w:rPr>
          <w:rFonts w:asciiTheme="minorHAnsi" w:eastAsiaTheme="minorEastAsia" w:hAnsiTheme="minorHAnsi" w:cstheme="minorBidi"/>
          <w:szCs w:val="22"/>
        </w:rPr>
      </w:pPr>
      <w:r>
        <w:t>8.</w:t>
      </w:r>
      <w:r>
        <w:tab/>
        <w:t>Commission established</w:t>
      </w:r>
      <w:r>
        <w:tab/>
      </w:r>
      <w:r>
        <w:fldChar w:fldCharType="begin"/>
      </w:r>
      <w:r>
        <w:instrText xml:space="preserve"> PAGEREF _Toc473119146 \h </w:instrText>
      </w:r>
      <w:r>
        <w:fldChar w:fldCharType="separate"/>
      </w:r>
      <w:r>
        <w:t>19</w:t>
      </w:r>
      <w:r>
        <w:fldChar w:fldCharType="end"/>
      </w:r>
    </w:p>
    <w:p>
      <w:pPr>
        <w:pStyle w:val="TOC8"/>
        <w:rPr>
          <w:rFonts w:asciiTheme="minorHAnsi" w:eastAsiaTheme="minorEastAsia" w:hAnsiTheme="minorHAnsi" w:cstheme="minorBidi"/>
          <w:szCs w:val="22"/>
        </w:rPr>
      </w:pPr>
      <w:r>
        <w:t>9.</w:t>
      </w:r>
      <w:r>
        <w:tab/>
        <w:t>Jurisdiction of Commission</w:t>
      </w:r>
      <w:r>
        <w:tab/>
      </w:r>
      <w:r>
        <w:fldChar w:fldCharType="begin"/>
      </w:r>
      <w:r>
        <w:instrText xml:space="preserve"> PAGEREF _Toc473119147 \h </w:instrText>
      </w:r>
      <w:r>
        <w:fldChar w:fldCharType="separate"/>
      </w:r>
      <w:r>
        <w:t>20</w:t>
      </w:r>
      <w:r>
        <w:fldChar w:fldCharType="end"/>
      </w:r>
    </w:p>
    <w:p>
      <w:pPr>
        <w:pStyle w:val="TOC8"/>
        <w:rPr>
          <w:rFonts w:asciiTheme="minorHAnsi" w:eastAsiaTheme="minorEastAsia" w:hAnsiTheme="minorHAnsi" w:cstheme="minorBidi"/>
          <w:szCs w:val="22"/>
        </w:rPr>
      </w:pPr>
      <w:r>
        <w:t>9A.</w:t>
      </w:r>
      <w:r>
        <w:tab/>
        <w:t>Constitution of Commission</w:t>
      </w:r>
      <w:r>
        <w:tab/>
      </w:r>
      <w:r>
        <w:fldChar w:fldCharType="begin"/>
      </w:r>
      <w:r>
        <w:instrText xml:space="preserve"> PAGEREF _Toc473119148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2A — Members of the Commission</w:t>
      </w:r>
    </w:p>
    <w:p>
      <w:pPr>
        <w:pStyle w:val="TOC8"/>
        <w:rPr>
          <w:rFonts w:asciiTheme="minorHAnsi" w:eastAsiaTheme="minorEastAsia" w:hAnsiTheme="minorHAnsi" w:cstheme="minorBidi"/>
          <w:szCs w:val="22"/>
        </w:rPr>
      </w:pPr>
      <w:r>
        <w:t>9B.</w:t>
      </w:r>
      <w:r>
        <w:tab/>
        <w:t>Commission members</w:t>
      </w:r>
      <w:r>
        <w:tab/>
      </w:r>
      <w:r>
        <w:fldChar w:fldCharType="begin"/>
      </w:r>
      <w:r>
        <w:instrText xml:space="preserve"> PAGEREF _Toc473119150 \h </w:instrText>
      </w:r>
      <w:r>
        <w:fldChar w:fldCharType="separate"/>
      </w:r>
      <w:r>
        <w:t>20</w:t>
      </w:r>
      <w:r>
        <w:fldChar w:fldCharType="end"/>
      </w:r>
    </w:p>
    <w:p>
      <w:pPr>
        <w:pStyle w:val="TOC8"/>
        <w:rPr>
          <w:rFonts w:asciiTheme="minorHAnsi" w:eastAsiaTheme="minorEastAsia" w:hAnsiTheme="minorHAnsi" w:cstheme="minorBidi"/>
          <w:szCs w:val="22"/>
        </w:rPr>
      </w:pPr>
      <w:r>
        <w:t>9C.</w:t>
      </w:r>
      <w:r>
        <w:tab/>
        <w:t>Tenure of office</w:t>
      </w:r>
      <w:r>
        <w:tab/>
      </w:r>
      <w:r>
        <w:fldChar w:fldCharType="begin"/>
      </w:r>
      <w:r>
        <w:instrText xml:space="preserve"> PAGEREF _Toc473119151 \h </w:instrText>
      </w:r>
      <w:r>
        <w:fldChar w:fldCharType="separate"/>
      </w:r>
      <w:r>
        <w:t>21</w:t>
      </w:r>
      <w:r>
        <w:fldChar w:fldCharType="end"/>
      </w:r>
    </w:p>
    <w:p>
      <w:pPr>
        <w:pStyle w:val="TOC8"/>
        <w:rPr>
          <w:rFonts w:asciiTheme="minorHAnsi" w:eastAsiaTheme="minorEastAsia" w:hAnsiTheme="minorHAnsi" w:cstheme="minorBidi"/>
          <w:szCs w:val="22"/>
        </w:rPr>
      </w:pPr>
      <w:r>
        <w:t>9D.</w:t>
      </w:r>
      <w:r>
        <w:tab/>
        <w:t>Deputy chairperson</w:t>
      </w:r>
      <w:r>
        <w:tab/>
      </w:r>
      <w:r>
        <w:fldChar w:fldCharType="begin"/>
      </w:r>
      <w:r>
        <w:instrText xml:space="preserve"> PAGEREF _Toc473119152 \h </w:instrText>
      </w:r>
      <w:r>
        <w:fldChar w:fldCharType="separate"/>
      </w:r>
      <w:r>
        <w:t>21</w:t>
      </w:r>
      <w:r>
        <w:fldChar w:fldCharType="end"/>
      </w:r>
    </w:p>
    <w:p>
      <w:pPr>
        <w:pStyle w:val="TOC8"/>
        <w:rPr>
          <w:rFonts w:asciiTheme="minorHAnsi" w:eastAsiaTheme="minorEastAsia" w:hAnsiTheme="minorHAnsi" w:cstheme="minorBidi"/>
          <w:szCs w:val="22"/>
        </w:rPr>
      </w:pPr>
      <w:r>
        <w:t>9E.</w:t>
      </w:r>
      <w:r>
        <w:tab/>
        <w:t>Removal or resignation</w:t>
      </w:r>
      <w:r>
        <w:tab/>
      </w:r>
      <w:r>
        <w:fldChar w:fldCharType="begin"/>
      </w:r>
      <w:r>
        <w:instrText xml:space="preserve"> PAGEREF _Toc473119153 \h </w:instrText>
      </w:r>
      <w:r>
        <w:fldChar w:fldCharType="separate"/>
      </w:r>
      <w:r>
        <w:t>22</w:t>
      </w:r>
      <w:r>
        <w:fldChar w:fldCharType="end"/>
      </w:r>
    </w:p>
    <w:p>
      <w:pPr>
        <w:pStyle w:val="TOC8"/>
        <w:rPr>
          <w:rFonts w:asciiTheme="minorHAnsi" w:eastAsiaTheme="minorEastAsia" w:hAnsiTheme="minorHAnsi" w:cstheme="minorBidi"/>
          <w:szCs w:val="22"/>
        </w:rPr>
      </w:pPr>
      <w:r>
        <w:t>9F.</w:t>
      </w:r>
      <w:r>
        <w:tab/>
        <w:t>Leave of absence</w:t>
      </w:r>
      <w:r>
        <w:tab/>
      </w:r>
      <w:r>
        <w:fldChar w:fldCharType="begin"/>
      </w:r>
      <w:r>
        <w:instrText xml:space="preserve"> PAGEREF _Toc473119154 \h </w:instrText>
      </w:r>
      <w:r>
        <w:fldChar w:fldCharType="separate"/>
      </w:r>
      <w:r>
        <w:t>22</w:t>
      </w:r>
      <w:r>
        <w:fldChar w:fldCharType="end"/>
      </w:r>
    </w:p>
    <w:p>
      <w:pPr>
        <w:pStyle w:val="TOC8"/>
        <w:rPr>
          <w:rFonts w:asciiTheme="minorHAnsi" w:eastAsiaTheme="minorEastAsia" w:hAnsiTheme="minorHAnsi" w:cstheme="minorBidi"/>
          <w:szCs w:val="22"/>
        </w:rPr>
      </w:pPr>
      <w:r>
        <w:t>9G.</w:t>
      </w:r>
      <w:r>
        <w:tab/>
        <w:t>Member whose term has expired may continue in office</w:t>
      </w:r>
      <w:r>
        <w:tab/>
      </w:r>
      <w:r>
        <w:fldChar w:fldCharType="begin"/>
      </w:r>
      <w:r>
        <w:instrText xml:space="preserve"> PAGEREF _Toc473119155 \h </w:instrText>
      </w:r>
      <w:r>
        <w:fldChar w:fldCharType="separate"/>
      </w:r>
      <w:r>
        <w:t>22</w:t>
      </w:r>
      <w:r>
        <w:fldChar w:fldCharType="end"/>
      </w:r>
    </w:p>
    <w:p>
      <w:pPr>
        <w:pStyle w:val="TOC8"/>
        <w:rPr>
          <w:rFonts w:asciiTheme="minorHAnsi" w:eastAsiaTheme="minorEastAsia" w:hAnsiTheme="minorHAnsi" w:cstheme="minorBidi"/>
          <w:szCs w:val="22"/>
        </w:rPr>
      </w:pPr>
      <w:r>
        <w:t>9H.</w:t>
      </w:r>
      <w:r>
        <w:tab/>
        <w:t>Remuneration and conditions of office</w:t>
      </w:r>
      <w:r>
        <w:tab/>
      </w:r>
      <w:r>
        <w:fldChar w:fldCharType="begin"/>
      </w:r>
      <w:r>
        <w:instrText xml:space="preserve"> PAGEREF _Toc473119156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2B — Other matters</w:t>
      </w:r>
    </w:p>
    <w:p>
      <w:pPr>
        <w:pStyle w:val="TOC8"/>
        <w:rPr>
          <w:rFonts w:asciiTheme="minorHAnsi" w:eastAsiaTheme="minorEastAsia" w:hAnsiTheme="minorHAnsi" w:cstheme="minorBidi"/>
          <w:szCs w:val="22"/>
        </w:rPr>
      </w:pPr>
      <w:r>
        <w:t>9I.</w:t>
      </w:r>
      <w:r>
        <w:tab/>
        <w:t>Decisions of Commission to be written etc.</w:t>
      </w:r>
      <w:r>
        <w:tab/>
      </w:r>
      <w:r>
        <w:fldChar w:fldCharType="begin"/>
      </w:r>
      <w:r>
        <w:instrText xml:space="preserve"> PAGEREF _Toc473119158 \h </w:instrText>
      </w:r>
      <w:r>
        <w:fldChar w:fldCharType="separate"/>
      </w:r>
      <w:r>
        <w:t>23</w:t>
      </w:r>
      <w:r>
        <w:fldChar w:fldCharType="end"/>
      </w:r>
    </w:p>
    <w:p>
      <w:pPr>
        <w:pStyle w:val="TOC8"/>
        <w:rPr>
          <w:rFonts w:asciiTheme="minorHAnsi" w:eastAsiaTheme="minorEastAsia" w:hAnsiTheme="minorHAnsi" w:cstheme="minorBidi"/>
          <w:szCs w:val="22"/>
        </w:rPr>
      </w:pPr>
      <w:r>
        <w:t>9J.</w:t>
      </w:r>
      <w:r>
        <w:tab/>
        <w:t>Seal of Commission</w:t>
      </w:r>
      <w:r>
        <w:tab/>
      </w:r>
      <w:r>
        <w:fldChar w:fldCharType="begin"/>
      </w:r>
      <w:r>
        <w:instrText xml:space="preserve"> PAGEREF _Toc473119159 \h </w:instrText>
      </w:r>
      <w:r>
        <w:fldChar w:fldCharType="separate"/>
      </w:r>
      <w:r>
        <w:t>23</w:t>
      </w:r>
      <w:r>
        <w:fldChar w:fldCharType="end"/>
      </w:r>
    </w:p>
    <w:p>
      <w:pPr>
        <w:pStyle w:val="TOC8"/>
        <w:rPr>
          <w:rFonts w:asciiTheme="minorHAnsi" w:eastAsiaTheme="minorEastAsia" w:hAnsiTheme="minorHAnsi" w:cstheme="minorBidi"/>
          <w:szCs w:val="22"/>
        </w:rPr>
      </w:pPr>
      <w:r>
        <w:t>9K.</w:t>
      </w:r>
      <w:r>
        <w:tab/>
        <w:t>Annual reports by Commission</w:t>
      </w:r>
      <w:r>
        <w:tab/>
      </w:r>
      <w:r>
        <w:fldChar w:fldCharType="begin"/>
      </w:r>
      <w:r>
        <w:instrText xml:space="preserve"> PAGEREF _Toc473119160 \h </w:instrText>
      </w:r>
      <w:r>
        <w:fldChar w:fldCharType="separate"/>
      </w:r>
      <w:r>
        <w:t>24</w:t>
      </w:r>
      <w:r>
        <w:fldChar w:fldCharType="end"/>
      </w:r>
    </w:p>
    <w:p>
      <w:pPr>
        <w:pStyle w:val="TOC8"/>
        <w:rPr>
          <w:rFonts w:asciiTheme="minorHAnsi" w:eastAsiaTheme="minorEastAsia" w:hAnsiTheme="minorHAnsi" w:cstheme="minorBidi"/>
          <w:szCs w:val="22"/>
        </w:rPr>
      </w:pPr>
      <w:r>
        <w:t>9L.</w:t>
      </w:r>
      <w:r>
        <w:tab/>
        <w:t>Laying annual report before House of Parliament not sitting</w:t>
      </w:r>
      <w:r>
        <w:tab/>
      </w:r>
      <w:r>
        <w:fldChar w:fldCharType="begin"/>
      </w:r>
      <w:r>
        <w:instrText xml:space="preserve"> PAGEREF _Toc473119161 \h </w:instrText>
      </w:r>
      <w:r>
        <w:fldChar w:fldCharType="separate"/>
      </w:r>
      <w:r>
        <w:t>25</w:t>
      </w:r>
      <w:r>
        <w:fldChar w:fldCharType="end"/>
      </w:r>
    </w:p>
    <w:p>
      <w:pPr>
        <w:pStyle w:val="TOC8"/>
        <w:rPr>
          <w:rFonts w:asciiTheme="minorHAnsi" w:eastAsiaTheme="minorEastAsia" w:hAnsiTheme="minorHAnsi" w:cstheme="minorBidi"/>
          <w:szCs w:val="22"/>
        </w:rPr>
      </w:pPr>
      <w:r>
        <w:t>9M.</w:t>
      </w:r>
      <w:r>
        <w:tab/>
        <w:t>Protection and immunity of members, parties etc.</w:t>
      </w:r>
      <w:r>
        <w:tab/>
      </w:r>
      <w:r>
        <w:fldChar w:fldCharType="begin"/>
      </w:r>
      <w:r>
        <w:instrText xml:space="preserve"> PAGEREF _Toc473119162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Director of Liquor Licensing</w:t>
      </w:r>
    </w:p>
    <w:p>
      <w:pPr>
        <w:pStyle w:val="TOC8"/>
        <w:rPr>
          <w:rFonts w:asciiTheme="minorHAnsi" w:eastAsiaTheme="minorEastAsia" w:hAnsiTheme="minorHAnsi" w:cstheme="minorBidi"/>
          <w:szCs w:val="22"/>
        </w:rPr>
      </w:pPr>
      <w:r>
        <w:t>13</w:t>
      </w:r>
      <w:r>
        <w:rPr>
          <w:snapToGrid w:val="0"/>
        </w:rPr>
        <w:t>.</w:t>
      </w:r>
      <w:r>
        <w:rPr>
          <w:snapToGrid w:val="0"/>
        </w:rPr>
        <w:tab/>
        <w:t>Functions of and hearings by Director</w:t>
      </w:r>
      <w:r>
        <w:tab/>
      </w:r>
      <w:r>
        <w:fldChar w:fldCharType="begin"/>
      </w:r>
      <w:r>
        <w:instrText xml:space="preserve"> PAGEREF _Toc473119164 \h </w:instrText>
      </w:r>
      <w:r>
        <w:fldChar w:fldCharType="separate"/>
      </w:r>
      <w:r>
        <w:t>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Inspectors etc., appointment of etc.</w:t>
      </w:r>
      <w:r>
        <w:tab/>
      </w:r>
      <w:r>
        <w:fldChar w:fldCharType="begin"/>
      </w:r>
      <w:r>
        <w:instrText xml:space="preserve"> PAGEREF _Toc473119165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staff of the licensing authority</w:t>
      </w:r>
    </w:p>
    <w:p>
      <w:pPr>
        <w:pStyle w:val="TOC8"/>
        <w:rPr>
          <w:rFonts w:asciiTheme="minorHAnsi" w:eastAsiaTheme="minorEastAsia" w:hAnsiTheme="minorHAnsi" w:cstheme="minorBidi"/>
          <w:szCs w:val="22"/>
        </w:rPr>
      </w:pPr>
      <w:r>
        <w:t>15</w:t>
      </w:r>
      <w:r>
        <w:rPr>
          <w:snapToGrid w:val="0"/>
        </w:rPr>
        <w:t>.</w:t>
      </w:r>
      <w:r>
        <w:rPr>
          <w:snapToGrid w:val="0"/>
        </w:rPr>
        <w:tab/>
        <w:t>Director may delegate etc.</w:t>
      </w:r>
      <w:r>
        <w:tab/>
      </w:r>
      <w:r>
        <w:fldChar w:fldCharType="begin"/>
      </w:r>
      <w:r>
        <w:instrText xml:space="preserve"> PAGEREF _Toc473119167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 before the licensing authority</w:t>
      </w:r>
    </w:p>
    <w:p>
      <w:pPr>
        <w:pStyle w:val="TOC8"/>
        <w:rPr>
          <w:rFonts w:asciiTheme="minorHAnsi" w:eastAsiaTheme="minorEastAsia" w:hAnsiTheme="minorHAnsi" w:cstheme="minorBidi"/>
          <w:szCs w:val="22"/>
        </w:rPr>
      </w:pPr>
      <w:r>
        <w:t>16</w:t>
      </w:r>
      <w:r>
        <w:rPr>
          <w:snapToGrid w:val="0"/>
        </w:rPr>
        <w:t>.</w:t>
      </w:r>
      <w:r>
        <w:rPr>
          <w:snapToGrid w:val="0"/>
        </w:rPr>
        <w:tab/>
        <w:t>Procedure, sittings, use of experts, evidentiary rules etc.</w:t>
      </w:r>
      <w:r>
        <w:tab/>
      </w:r>
      <w:r>
        <w:fldChar w:fldCharType="begin"/>
      </w:r>
      <w:r>
        <w:instrText xml:space="preserve"> PAGEREF _Toc473119169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Representation of parties</w:t>
      </w:r>
      <w:r>
        <w:tab/>
      </w:r>
      <w:r>
        <w:fldChar w:fldCharType="begin"/>
      </w:r>
      <w:r>
        <w:instrText xml:space="preserve"> PAGEREF _Toc473119170 \h </w:instrText>
      </w:r>
      <w:r>
        <w:fldChar w:fldCharType="separate"/>
      </w:r>
      <w:r>
        <w:t>32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Witnesses and evidence, powers to summon etc.</w:t>
      </w:r>
      <w:r>
        <w:tab/>
      </w:r>
      <w:r>
        <w:fldChar w:fldCharType="begin"/>
      </w:r>
      <w:r>
        <w:instrText xml:space="preserve"> PAGEREF _Toc473119171 \h </w:instrText>
      </w:r>
      <w:r>
        <w:fldChar w:fldCharType="separate"/>
      </w:r>
      <w:r>
        <w:t>33</w:t>
      </w:r>
      <w:r>
        <w:fldChar w:fldCharType="end"/>
      </w:r>
    </w:p>
    <w:p>
      <w:pPr>
        <w:pStyle w:val="TOC8"/>
        <w:rPr>
          <w:rFonts w:asciiTheme="minorHAnsi" w:eastAsiaTheme="minorEastAsia" w:hAnsiTheme="minorHAnsi" w:cstheme="minorBidi"/>
          <w:szCs w:val="22"/>
        </w:rPr>
      </w:pPr>
      <w:r>
        <w:t>18A.</w:t>
      </w:r>
      <w:r>
        <w:tab/>
        <w:t>Enforcing decisions</w:t>
      </w:r>
      <w:r>
        <w:tab/>
      </w:r>
      <w:r>
        <w:fldChar w:fldCharType="begin"/>
      </w:r>
      <w:r>
        <w:instrText xml:space="preserve"> PAGEREF _Toc473119172 \h </w:instrText>
      </w:r>
      <w:r>
        <w:fldChar w:fldCharType="separate"/>
      </w:r>
      <w:r>
        <w:t>34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Enforcing monetary penalties</w:t>
      </w:r>
      <w:r>
        <w:tab/>
      </w:r>
      <w:r>
        <w:fldChar w:fldCharType="begin"/>
      </w:r>
      <w:r>
        <w:instrText xml:space="preserve"> PAGEREF _Toc473119173 \h </w:instrText>
      </w:r>
      <w:r>
        <w:fldChar w:fldCharType="separate"/>
      </w:r>
      <w:r>
        <w:t>35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Contempt etc.</w:t>
      </w:r>
      <w:r>
        <w:tab/>
      </w:r>
      <w:r>
        <w:fldChar w:fldCharType="begin"/>
      </w:r>
      <w:r>
        <w:instrText xml:space="preserve"> PAGEREF _Toc473119174 \h </w:instrText>
      </w:r>
      <w:r>
        <w:fldChar w:fldCharType="separate"/>
      </w:r>
      <w:r>
        <w:t>35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Costs</w:t>
      </w:r>
      <w:r>
        <w:tab/>
      </w:r>
      <w:r>
        <w:fldChar w:fldCharType="begin"/>
      </w:r>
      <w:r>
        <w:instrText xml:space="preserve"> PAGEREF _Toc473119175 \h </w:instrText>
      </w:r>
      <w:r>
        <w:fldChar w:fldCharType="separate"/>
      </w:r>
      <w:r>
        <w:t>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Rules </w:t>
      </w:r>
      <w:r>
        <w:t>of Commission</w:t>
      </w:r>
      <w:r>
        <w:tab/>
      </w:r>
      <w:r>
        <w:fldChar w:fldCharType="begin"/>
      </w:r>
      <w:r>
        <w:instrText xml:space="preserve"> PAGEREF _Toc473119176 \h </w:instrText>
      </w:r>
      <w:r>
        <w:fldChar w:fldCharType="separate"/>
      </w:r>
      <w:r>
        <w:t>38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Proof of process; protection from personal liability</w:t>
      </w:r>
      <w:r>
        <w:tab/>
      </w:r>
      <w:r>
        <w:fldChar w:fldCharType="begin"/>
      </w:r>
      <w:r>
        <w:instrText xml:space="preserve"> PAGEREF _Toc473119177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Reference to the Commission, review and appeals</w:t>
      </w:r>
    </w:p>
    <w:p>
      <w:pPr>
        <w:pStyle w:val="TOC8"/>
        <w:rPr>
          <w:rFonts w:asciiTheme="minorHAnsi" w:eastAsiaTheme="minorEastAsia" w:hAnsiTheme="minorHAnsi" w:cstheme="minorBidi"/>
          <w:szCs w:val="22"/>
        </w:rPr>
      </w:pPr>
      <w:r>
        <w:t>24</w:t>
      </w:r>
      <w:r>
        <w:rPr>
          <w:snapToGrid w:val="0"/>
        </w:rPr>
        <w:t>.</w:t>
      </w:r>
      <w:r>
        <w:rPr>
          <w:snapToGrid w:val="0"/>
        </w:rPr>
        <w:tab/>
        <w:t>Director may refer matters to Commission</w:t>
      </w:r>
      <w:r>
        <w:tab/>
      </w:r>
      <w:r>
        <w:fldChar w:fldCharType="begin"/>
      </w:r>
      <w:r>
        <w:instrText xml:space="preserve"> PAGEREF _Toc473119179 \h </w:instrText>
      </w:r>
      <w:r>
        <w:fldChar w:fldCharType="separate"/>
      </w:r>
      <w:r>
        <w:t>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Review of Director’s decisions</w:t>
      </w:r>
      <w:r>
        <w:tab/>
      </w:r>
      <w:r>
        <w:fldChar w:fldCharType="begin"/>
      </w:r>
      <w:r>
        <w:instrText xml:space="preserve"> PAGEREF _Toc473119180 \h </w:instrText>
      </w:r>
      <w:r>
        <w:fldChar w:fldCharType="separate"/>
      </w:r>
      <w:r>
        <w:t>39</w:t>
      </w:r>
      <w:r>
        <w:fldChar w:fldCharType="end"/>
      </w:r>
    </w:p>
    <w:p>
      <w:pPr>
        <w:pStyle w:val="TOC8"/>
        <w:rPr>
          <w:rFonts w:asciiTheme="minorHAnsi" w:eastAsiaTheme="minorEastAsia" w:hAnsiTheme="minorHAnsi" w:cstheme="minorBidi"/>
          <w:szCs w:val="22"/>
        </w:rPr>
      </w:pPr>
      <w:r>
        <w:t>26.</w:t>
      </w:r>
      <w:r>
        <w:tab/>
        <w:t>Some Director’s decisions have effect despite application to review</w:t>
      </w:r>
      <w:r>
        <w:tab/>
      </w:r>
      <w:r>
        <w:fldChar w:fldCharType="begin"/>
      </w:r>
      <w:r>
        <w:instrText xml:space="preserve"> PAGEREF _Toc473119181 \h </w:instrText>
      </w:r>
      <w:r>
        <w:fldChar w:fldCharType="separate"/>
      </w:r>
      <w:r>
        <w:t>42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Question of law, Commission may state to Supreme Court</w:t>
      </w:r>
      <w:r>
        <w:tab/>
      </w:r>
      <w:r>
        <w:fldChar w:fldCharType="begin"/>
      </w:r>
      <w:r>
        <w:instrText xml:space="preserve"> PAGEREF _Toc473119182 \h </w:instrText>
      </w:r>
      <w:r>
        <w:fldChar w:fldCharType="separate"/>
      </w:r>
      <w:r>
        <w:t>43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Appeals against Commission’s decisions</w:t>
      </w:r>
      <w:r>
        <w:tab/>
      </w:r>
      <w:r>
        <w:fldChar w:fldCharType="begin"/>
      </w:r>
      <w:r>
        <w:instrText xml:space="preserve"> PAGEREF _Toc473119183 \h </w:instrText>
      </w:r>
      <w:r>
        <w:fldChar w:fldCharType="separate"/>
      </w:r>
      <w:r>
        <w:t>43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Licence or permit continues to have effect pending appeal</w:t>
      </w:r>
      <w:r>
        <w:tab/>
      </w:r>
      <w:r>
        <w:fldChar w:fldCharType="begin"/>
      </w:r>
      <w:r>
        <w:instrText xml:space="preserve"> PAGEREF _Toc473119184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30.</w:t>
      </w:r>
      <w:r>
        <w:tab/>
        <w:t>Confidential police information, use and protection of</w:t>
      </w:r>
      <w:r>
        <w:tab/>
      </w:r>
      <w:r>
        <w:fldChar w:fldCharType="begin"/>
      </w:r>
      <w:r>
        <w:instrText xml:space="preserve"> PAGEREF _Toc473119186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30A</w:t>
      </w:r>
      <w:r>
        <w:rPr>
          <w:snapToGrid w:val="0"/>
        </w:rPr>
        <w:t>.</w:t>
      </w:r>
      <w:r>
        <w:rPr>
          <w:snapToGrid w:val="0"/>
        </w:rPr>
        <w:tab/>
        <w:t>Licences to sell liquor, grant and nature of</w:t>
      </w:r>
      <w:r>
        <w:tab/>
      </w:r>
      <w:r>
        <w:fldChar w:fldCharType="begin"/>
      </w:r>
      <w:r>
        <w:instrText xml:space="preserve"> PAGEREF _Toc473119189 \h </w:instrText>
      </w:r>
      <w:r>
        <w:fldChar w:fldCharType="separate"/>
      </w:r>
      <w:r>
        <w:t>49</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Power of attorney does not empower donee to act for licensee under this Act</w:t>
      </w:r>
      <w:r>
        <w:tab/>
      </w:r>
      <w:r>
        <w:fldChar w:fldCharType="begin"/>
      </w:r>
      <w:r>
        <w:instrText xml:space="preserve"> PAGEREF _Toc473119190 \h </w:instrText>
      </w:r>
      <w:r>
        <w:fldChar w:fldCharType="separate"/>
      </w:r>
      <w:r>
        <w:t>49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Licences, generally</w:t>
      </w:r>
      <w:r>
        <w:tab/>
      </w:r>
      <w:r>
        <w:fldChar w:fldCharType="begin"/>
      </w:r>
      <w:r>
        <w:instrText xml:space="preserve"> PAGEREF _Toc473119191 \h </w:instrText>
      </w:r>
      <w:r>
        <w:fldChar w:fldCharType="separate"/>
      </w:r>
      <w:r>
        <w:t>49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Duration of licences</w:t>
      </w:r>
      <w:r>
        <w:tab/>
      </w:r>
      <w:r>
        <w:fldChar w:fldCharType="begin"/>
      </w:r>
      <w:r>
        <w:instrText xml:space="preserve"> PAGEREF _Toc473119192 \h </w:instrText>
      </w:r>
      <w:r>
        <w:fldChar w:fldCharType="separate"/>
      </w:r>
      <w:r>
        <w:t>51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licensing authority when deciding applications</w:t>
      </w:r>
      <w:r>
        <w:tab/>
      </w:r>
      <w:r>
        <w:fldChar w:fldCharType="begin"/>
      </w:r>
      <w:r>
        <w:instrText xml:space="preserve"> PAGEREF _Toc473119193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applications not to be decided</w:t>
      </w:r>
      <w:r>
        <w:tab/>
      </w:r>
      <w:r>
        <w:fldChar w:fldCharType="begin"/>
      </w:r>
      <w:r>
        <w:instrText xml:space="preserve"> PAGEREF _Toc473119194 \h </w:instrText>
      </w:r>
      <w:r>
        <w:fldChar w:fldCharType="separate"/>
      </w:r>
      <w:r>
        <w:t>55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Persons who may hold licences</w:t>
      </w:r>
      <w:r>
        <w:tab/>
      </w:r>
      <w:r>
        <w:fldChar w:fldCharType="begin"/>
      </w:r>
      <w:r>
        <w:instrText xml:space="preserve"> PAGEREF _Toc473119195 \h </w:instrText>
      </w:r>
      <w:r>
        <w:fldChar w:fldCharType="separate"/>
      </w:r>
      <w:r>
        <w:t>56</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Trustees for unincorporated bodies</w:t>
      </w:r>
      <w:r>
        <w:tab/>
      </w:r>
      <w:r>
        <w:fldChar w:fldCharType="begin"/>
      </w:r>
      <w:r>
        <w:instrText xml:space="preserve"> PAGEREF _Toc473119196 \h </w:instrText>
      </w:r>
      <w:r>
        <w:fldChar w:fldCharType="separate"/>
      </w:r>
      <w:r>
        <w:t>57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Two or more licences for same premises, restrictions on</w:t>
      </w:r>
      <w:r>
        <w:tab/>
      </w:r>
      <w:r>
        <w:fldChar w:fldCharType="begin"/>
      </w:r>
      <w:r>
        <w:instrText xml:space="preserve"> PAGEREF _Toc473119197 \h </w:instrText>
      </w:r>
      <w:r>
        <w:fldChar w:fldCharType="separate"/>
      </w:r>
      <w:r>
        <w:t>57</w:t>
      </w:r>
      <w:r>
        <w:fldChar w:fldCharType="end"/>
      </w:r>
    </w:p>
    <w:p>
      <w:pPr>
        <w:pStyle w:val="TOC8"/>
        <w:rPr>
          <w:rFonts w:asciiTheme="minorHAnsi" w:eastAsiaTheme="minorEastAsia" w:hAnsiTheme="minorHAnsi" w:cstheme="minorBidi"/>
          <w:szCs w:val="22"/>
        </w:rPr>
      </w:pPr>
      <w:r>
        <w:t>36A.</w:t>
      </w:r>
      <w:r>
        <w:tab/>
        <w:t>Petrol stations in some areas not to be granted licences</w:t>
      </w:r>
      <w:r>
        <w:tab/>
      </w:r>
      <w:r>
        <w:fldChar w:fldCharType="begin"/>
      </w:r>
      <w:r>
        <w:instrText xml:space="preserve"> PAGEREF _Toc473119198 \h </w:instrText>
      </w:r>
      <w:r>
        <w:fldChar w:fldCharType="separate"/>
      </w:r>
      <w:r>
        <w:t>58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Pre-requisites for grants of licences etc.; conditions on licences</w:t>
      </w:r>
      <w:r>
        <w:tab/>
      </w:r>
      <w:r>
        <w:fldChar w:fldCharType="begin"/>
      </w:r>
      <w:r>
        <w:instrText xml:space="preserve"> PAGEREF _Toc473119199 \h </w:instrText>
      </w:r>
      <w:r>
        <w:fldChar w:fldCharType="separate"/>
      </w:r>
      <w:r>
        <w:t>59</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Conviction of licensee etc., duty to inform Director</w:t>
      </w:r>
      <w:r>
        <w:tab/>
      </w:r>
      <w:r>
        <w:fldChar w:fldCharType="begin"/>
      </w:r>
      <w:r>
        <w:instrText xml:space="preserve"> PAGEREF _Toc473119200 \h </w:instrText>
      </w:r>
      <w:r>
        <w:fldChar w:fldCharType="separate"/>
      </w:r>
      <w:r>
        <w:t>62</w:t>
      </w:r>
      <w:r>
        <w:fldChar w:fldCharType="end"/>
      </w:r>
    </w:p>
    <w:p>
      <w:pPr>
        <w:pStyle w:val="TOC8"/>
        <w:rPr>
          <w:rFonts w:asciiTheme="minorHAnsi" w:eastAsiaTheme="minorEastAsia" w:hAnsiTheme="minorHAnsi" w:cstheme="minorBidi"/>
          <w:szCs w:val="22"/>
        </w:rPr>
      </w:pPr>
      <w:r>
        <w:t>37B.</w:t>
      </w:r>
      <w:r>
        <w:tab/>
        <w:t>Fingerprints etc., licensing authority’s powers to obtain</w:t>
      </w:r>
      <w:r>
        <w:tab/>
      </w:r>
      <w:r>
        <w:fldChar w:fldCharType="begin"/>
      </w:r>
      <w:r>
        <w:instrText xml:space="preserve"> PAGEREF _Toc473119201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38.</w:t>
      </w:r>
      <w:r>
        <w:tab/>
        <w:t>Some applications not to be granted unless in the public interest</w:t>
      </w:r>
      <w:r>
        <w:tab/>
      </w:r>
      <w:r>
        <w:fldChar w:fldCharType="begin"/>
      </w:r>
      <w:r>
        <w:instrText xml:space="preserve"> PAGEREF _Toc473119203 \h </w:instrText>
      </w:r>
      <w:r>
        <w:fldChar w:fldCharType="separate"/>
      </w:r>
      <w:r>
        <w:t>64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Certificate of local government as to whether premises comply with laws</w:t>
      </w:r>
      <w:r>
        <w:tab/>
      </w:r>
      <w:r>
        <w:fldChar w:fldCharType="begin"/>
      </w:r>
      <w:r>
        <w:instrText xml:space="preserve"> PAGEREF _Toc473119204 \h </w:instrText>
      </w:r>
      <w:r>
        <w:fldChar w:fldCharType="separate"/>
      </w:r>
      <w:r>
        <w:t>65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Certificate of planning authority as to whether use of premises complies with planning laws</w:t>
      </w:r>
      <w:r>
        <w:tab/>
      </w:r>
      <w:r>
        <w:fldChar w:fldCharType="begin"/>
      </w:r>
      <w:r>
        <w:instrText xml:space="preserve"> PAGEREF _Toc473119205 \h </w:instrText>
      </w:r>
      <w:r>
        <w:fldChar w:fldCharType="separate"/>
      </w:r>
      <w:r>
        <w:t>66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Hotel licence, kinds, conditions and effect of</w:t>
      </w:r>
      <w:r>
        <w:tab/>
      </w:r>
      <w:r>
        <w:fldChar w:fldCharType="begin"/>
      </w:r>
      <w:r>
        <w:instrText xml:space="preserve"> PAGEREF _Toc473119206 \h </w:instrText>
      </w:r>
      <w:r>
        <w:fldChar w:fldCharType="separate"/>
      </w:r>
      <w:r>
        <w:t>67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Nightclub licence, effect and conditions of</w:t>
      </w:r>
      <w:r>
        <w:tab/>
      </w:r>
      <w:r>
        <w:fldChar w:fldCharType="begin"/>
      </w:r>
      <w:r>
        <w:instrText xml:space="preserve"> PAGEREF _Toc473119207 \h </w:instrText>
      </w:r>
      <w:r>
        <w:fldChar w:fldCharType="separate"/>
      </w:r>
      <w:r>
        <w:t>70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w:t>
      </w:r>
      <w:r>
        <w:t xml:space="preserve">ightclub </w:t>
      </w:r>
      <w:r>
        <w:rPr>
          <w:snapToGrid w:val="0"/>
        </w:rPr>
        <w:t>licence, pre-requisites for grant of</w:t>
      </w:r>
      <w:r>
        <w:tab/>
      </w:r>
      <w:r>
        <w:fldChar w:fldCharType="begin"/>
      </w:r>
      <w:r>
        <w:instrText xml:space="preserve"> PAGEREF _Toc473119208 \h </w:instrText>
      </w:r>
      <w:r>
        <w:fldChar w:fldCharType="separate"/>
      </w:r>
      <w:r>
        <w:t>71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Casino liquor licence, effect and conditions of</w:t>
      </w:r>
      <w:r>
        <w:tab/>
      </w:r>
      <w:r>
        <w:fldChar w:fldCharType="begin"/>
      </w:r>
      <w:r>
        <w:instrText xml:space="preserve"> PAGEREF _Toc473119209 \h </w:instrText>
      </w:r>
      <w:r>
        <w:fldChar w:fldCharType="separate"/>
      </w:r>
      <w:r>
        <w:t>71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Casino liquor licence, pre-requisites for grant of</w:t>
      </w:r>
      <w:r>
        <w:tab/>
      </w:r>
      <w:r>
        <w:fldChar w:fldCharType="begin"/>
      </w:r>
      <w:r>
        <w:instrText xml:space="preserve"> PAGEREF _Toc473119210 \h </w:instrText>
      </w:r>
      <w:r>
        <w:fldChar w:fldCharType="separate"/>
      </w:r>
      <w:r>
        <w:t>73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Special facility licence, pre-requisites for grant of</w:t>
      </w:r>
      <w:r>
        <w:tab/>
      </w:r>
      <w:r>
        <w:fldChar w:fldCharType="begin"/>
      </w:r>
      <w:r>
        <w:instrText xml:space="preserve"> PAGEREF _Toc473119211 \h </w:instrText>
      </w:r>
      <w:r>
        <w:fldChar w:fldCharType="separate"/>
      </w:r>
      <w:r>
        <w:t>74</w:t>
      </w:r>
      <w:r>
        <w:fldChar w:fldCharType="end"/>
      </w:r>
    </w:p>
    <w:p>
      <w:pPr>
        <w:pStyle w:val="TOC8"/>
        <w:rPr>
          <w:rFonts w:asciiTheme="minorHAnsi" w:eastAsiaTheme="minorEastAsia" w:hAnsiTheme="minorHAnsi" w:cstheme="minorBidi"/>
          <w:szCs w:val="22"/>
        </w:rPr>
      </w:pPr>
      <w:r>
        <w:t>46A.</w:t>
      </w:r>
      <w:r>
        <w:tab/>
        <w:t>Special facility licence, restrictions on varying</w:t>
      </w:r>
      <w:r>
        <w:tab/>
      </w:r>
      <w:r>
        <w:fldChar w:fldCharType="begin"/>
      </w:r>
      <w:r>
        <w:instrText xml:space="preserve"> PAGEREF _Toc473119212 \h </w:instrText>
      </w:r>
      <w:r>
        <w:fldChar w:fldCharType="separate"/>
      </w:r>
      <w:r>
        <w:t>75</w:t>
      </w:r>
      <w:r>
        <w:fldChar w:fldCharType="end"/>
      </w:r>
    </w:p>
    <w:p>
      <w:pPr>
        <w:pStyle w:val="TOC8"/>
        <w:rPr>
          <w:rFonts w:asciiTheme="minorHAnsi" w:eastAsiaTheme="minorEastAsia" w:hAnsiTheme="minorHAnsi" w:cstheme="minorBidi"/>
          <w:szCs w:val="22"/>
        </w:rPr>
      </w:pPr>
      <w:r>
        <w:t>46B.</w:t>
      </w:r>
      <w:r>
        <w:tab/>
        <w:t>Alternatives to granting or varying special facility licences</w:t>
      </w:r>
      <w:r>
        <w:tab/>
      </w:r>
      <w:r>
        <w:fldChar w:fldCharType="begin"/>
      </w:r>
      <w:r>
        <w:instrText xml:space="preserve"> PAGEREF _Toc473119213 \h </w:instrText>
      </w:r>
      <w:r>
        <w:fldChar w:fldCharType="separate"/>
      </w:r>
      <w:r>
        <w:t>76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Liquor store licence, effect of</w:t>
      </w:r>
      <w:r>
        <w:tab/>
      </w:r>
      <w:r>
        <w:fldChar w:fldCharType="begin"/>
      </w:r>
      <w:r>
        <w:instrText xml:space="preserve"> PAGEREF _Toc473119214 \h </w:instrText>
      </w:r>
      <w:r>
        <w:fldChar w:fldCharType="separate"/>
      </w:r>
      <w:r>
        <w:t>77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 licence, kinds, conditions and effect of</w:t>
      </w:r>
      <w:r>
        <w:tab/>
      </w:r>
      <w:r>
        <w:fldChar w:fldCharType="begin"/>
      </w:r>
      <w:r>
        <w:instrText xml:space="preserve"> PAGEREF _Toc473119215 \h </w:instrText>
      </w:r>
      <w:r>
        <w:fldChar w:fldCharType="separate"/>
      </w:r>
      <w:r>
        <w:t>77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Club licence, pre-requisites for grant of</w:t>
      </w:r>
      <w:r>
        <w:tab/>
      </w:r>
      <w:r>
        <w:fldChar w:fldCharType="begin"/>
      </w:r>
      <w:r>
        <w:instrText xml:space="preserve"> PAGEREF _Toc473119216 \h </w:instrText>
      </w:r>
      <w:r>
        <w:fldChar w:fldCharType="separate"/>
      </w:r>
      <w:r>
        <w:t>81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Restaurant licence, effect and conditions of</w:t>
      </w:r>
      <w:r>
        <w:tab/>
      </w:r>
      <w:r>
        <w:fldChar w:fldCharType="begin"/>
      </w:r>
      <w:r>
        <w:instrText xml:space="preserve"> PAGEREF _Toc473119217 \h </w:instrText>
      </w:r>
      <w:r>
        <w:fldChar w:fldCharType="separate"/>
      </w:r>
      <w:r>
        <w:t>84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Unlicensed restaurants, supply of liquor in</w:t>
      </w:r>
      <w:r>
        <w:tab/>
      </w:r>
      <w:r>
        <w:fldChar w:fldCharType="begin"/>
      </w:r>
      <w:r>
        <w:instrText xml:space="preserve"> PAGEREF _Toc473119218 \h </w:instrText>
      </w:r>
      <w:r>
        <w:fldChar w:fldCharType="separate"/>
      </w:r>
      <w:r>
        <w:t>85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Liquor sold or consumed with meals, effect of extended trading permit which authorises; evidentiary provisions</w:t>
      </w:r>
      <w:r>
        <w:tab/>
      </w:r>
      <w:r>
        <w:fldChar w:fldCharType="begin"/>
      </w:r>
      <w:r>
        <w:instrText xml:space="preserve"> PAGEREF _Toc473119219 \h </w:instrText>
      </w:r>
      <w:r>
        <w:fldChar w:fldCharType="separate"/>
      </w:r>
      <w:r>
        <w:t>86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Restaurant licence and extended trading permit, effect of may be restricted as to selling liquor with meals</w:t>
      </w:r>
      <w:r>
        <w:tab/>
      </w:r>
      <w:r>
        <w:fldChar w:fldCharType="begin"/>
      </w:r>
      <w:r>
        <w:instrText xml:space="preserve"> PAGEREF _Toc473119220 \h </w:instrText>
      </w:r>
      <w:r>
        <w:fldChar w:fldCharType="separate"/>
      </w:r>
      <w:r>
        <w:t>87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Producer’s licence, effect of</w:t>
      </w:r>
      <w:r>
        <w:tab/>
      </w:r>
      <w:r>
        <w:fldChar w:fldCharType="begin"/>
      </w:r>
      <w:r>
        <w:instrText xml:space="preserve"> PAGEREF _Toc473119221 \h </w:instrText>
      </w:r>
      <w:r>
        <w:fldChar w:fldCharType="separate"/>
      </w:r>
      <w:r>
        <w:t>88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Production of liquor by person, presumption of</w:t>
      </w:r>
      <w:r>
        <w:tab/>
      </w:r>
      <w:r>
        <w:fldChar w:fldCharType="begin"/>
      </w:r>
      <w:r>
        <w:instrText xml:space="preserve"> PAGEREF _Toc473119222 \h </w:instrText>
      </w:r>
      <w:r>
        <w:fldChar w:fldCharType="separate"/>
      </w:r>
      <w:r>
        <w:t>89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Producer’s licence, pre-requisites for grant of</w:t>
      </w:r>
      <w:r>
        <w:tab/>
      </w:r>
      <w:r>
        <w:fldChar w:fldCharType="begin"/>
      </w:r>
      <w:r>
        <w:instrText xml:space="preserve"> PAGEREF _Toc473119223 \h </w:instrText>
      </w:r>
      <w:r>
        <w:fldChar w:fldCharType="separate"/>
      </w:r>
      <w:r>
        <w:t>90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Wholesaler’s licence, effect and conditions of</w:t>
      </w:r>
      <w:r>
        <w:tab/>
      </w:r>
      <w:r>
        <w:fldChar w:fldCharType="begin"/>
      </w:r>
      <w:r>
        <w:instrText xml:space="preserve"> PAGEREF _Toc473119224 \h </w:instrText>
      </w:r>
      <w:r>
        <w:fldChar w:fldCharType="separate"/>
      </w:r>
      <w:r>
        <w:t>91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Occasional licence, effect, conditions and pre-requisites for grant of</w:t>
      </w:r>
      <w:r>
        <w:tab/>
      </w:r>
      <w:r>
        <w:fldChar w:fldCharType="begin"/>
      </w:r>
      <w:r>
        <w:instrText xml:space="preserve"> PAGEREF _Toc473119225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Permits</w:t>
      </w:r>
    </w:p>
    <w:p>
      <w:pPr>
        <w:pStyle w:val="TOC8"/>
        <w:rPr>
          <w:rFonts w:asciiTheme="minorHAnsi" w:eastAsiaTheme="minorEastAsia" w:hAnsiTheme="minorHAnsi" w:cstheme="minorBidi"/>
          <w:szCs w:val="22"/>
        </w:rPr>
      </w:pPr>
      <w:r>
        <w:t>60</w:t>
      </w:r>
      <w:r>
        <w:rPr>
          <w:snapToGrid w:val="0"/>
        </w:rPr>
        <w:t>.</w:t>
      </w:r>
      <w:r>
        <w:rPr>
          <w:snapToGrid w:val="0"/>
        </w:rPr>
        <w:tab/>
        <w:t>Extended trading permit, purposes, effect and conditions of</w:t>
      </w:r>
      <w:r>
        <w:tab/>
      </w:r>
      <w:r>
        <w:fldChar w:fldCharType="begin"/>
      </w:r>
      <w:r>
        <w:instrText xml:space="preserve"> PAGEREF _Toc473119227 \h </w:instrText>
      </w:r>
      <w:r>
        <w:fldChar w:fldCharType="separate"/>
      </w:r>
      <w:r>
        <w:t>95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Extended trading permit for extended area (s. 60(4)(h)), pre</w:t>
      </w:r>
      <w:r>
        <w:rPr>
          <w:snapToGrid w:val="0"/>
        </w:rPr>
        <w:noBreakHyphen/>
        <w:t>requisites for grant of</w:t>
      </w:r>
      <w:r>
        <w:tab/>
      </w:r>
      <w:r>
        <w:fldChar w:fldCharType="begin"/>
      </w:r>
      <w:r>
        <w:instrText xml:space="preserve"> PAGEREF _Toc473119228 \h </w:instrText>
      </w:r>
      <w:r>
        <w:fldChar w:fldCharType="separate"/>
      </w:r>
      <w:r>
        <w:t>100</w:t>
      </w:r>
      <w:r>
        <w:fldChar w:fldCharType="end"/>
      </w:r>
    </w:p>
    <w:p>
      <w:pPr>
        <w:pStyle w:val="TOC8"/>
        <w:rPr>
          <w:rFonts w:asciiTheme="minorHAnsi" w:eastAsiaTheme="minorEastAsia" w:hAnsiTheme="minorHAnsi" w:cstheme="minorBidi"/>
          <w:szCs w:val="22"/>
        </w:rPr>
      </w:pPr>
      <w:r>
        <w:t>61A.</w:t>
      </w:r>
      <w:r>
        <w:tab/>
        <w:t>Extended trading permit for the sale of wine or beer (s. 60(4)(ia))</w:t>
      </w:r>
      <w:r>
        <w:tab/>
      </w:r>
      <w:r>
        <w:fldChar w:fldCharType="begin"/>
      </w:r>
      <w:r>
        <w:instrText xml:space="preserve"> PAGEREF _Toc473119229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Conditional grants or approvals</w:t>
      </w:r>
    </w:p>
    <w:p>
      <w:pPr>
        <w:pStyle w:val="TOC8"/>
        <w:rPr>
          <w:rFonts w:asciiTheme="minorHAnsi" w:eastAsiaTheme="minorEastAsia" w:hAnsiTheme="minorHAnsi" w:cstheme="minorBidi"/>
          <w:szCs w:val="22"/>
        </w:rPr>
      </w:pPr>
      <w:r>
        <w:t>62</w:t>
      </w:r>
      <w:r>
        <w:rPr>
          <w:snapToGrid w:val="0"/>
        </w:rPr>
        <w:t>.</w:t>
      </w:r>
      <w:r>
        <w:rPr>
          <w:snapToGrid w:val="0"/>
        </w:rPr>
        <w:tab/>
        <w:t>Uncompleted premises, conditional grant or removal in case of</w:t>
      </w:r>
      <w:r>
        <w:tab/>
      </w:r>
      <w:r>
        <w:fldChar w:fldCharType="begin"/>
      </w:r>
      <w:r>
        <w:instrText xml:space="preserve"> PAGEREF _Toc473119231 \h </w:instrText>
      </w:r>
      <w:r>
        <w:fldChar w:fldCharType="separate"/>
      </w:r>
      <w:r>
        <w:t>102</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Pending certificate (s. 39 or 40) etc., conditional grant in case of</w:t>
      </w:r>
      <w:r>
        <w:tab/>
      </w:r>
      <w:r>
        <w:fldChar w:fldCharType="begin"/>
      </w:r>
      <w:r>
        <w:instrText xml:space="preserve"> PAGEREF _Toc473119232 \h </w:instrText>
      </w:r>
      <w:r>
        <w:fldChar w:fldCharType="separate"/>
      </w:r>
      <w:r>
        <w:t>105</w:t>
      </w:r>
      <w:r>
        <w:fldChar w:fldCharType="end"/>
      </w:r>
    </w:p>
    <w:p>
      <w:pPr>
        <w:pStyle w:val="TOC8"/>
        <w:rPr>
          <w:rFonts w:asciiTheme="minorHAnsi" w:eastAsiaTheme="minorEastAsia" w:hAnsiTheme="minorHAnsi" w:cstheme="minorBidi"/>
          <w:szCs w:val="22"/>
        </w:rPr>
      </w:pPr>
      <w:r>
        <w:t>62B</w:t>
      </w:r>
      <w:r>
        <w:rPr>
          <w:snapToGrid w:val="0"/>
        </w:rPr>
        <w:t>.</w:t>
      </w:r>
      <w:r>
        <w:rPr>
          <w:snapToGrid w:val="0"/>
        </w:rPr>
        <w:tab/>
        <w:t>Pending approval etc. (s. 77(5)), conditional approval of alteration etc. in case of</w:t>
      </w:r>
      <w:r>
        <w:tab/>
      </w:r>
      <w:r>
        <w:fldChar w:fldCharType="begin"/>
      </w:r>
      <w:r>
        <w:instrText xml:space="preserve"> PAGEREF _Toc473119233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Conditions, generally</w:t>
      </w:r>
    </w:p>
    <w:p>
      <w:pPr>
        <w:pStyle w:val="TOC8"/>
        <w:rPr>
          <w:rFonts w:asciiTheme="minorHAnsi" w:eastAsiaTheme="minorEastAsia" w:hAnsiTheme="minorHAnsi" w:cstheme="minorBidi"/>
          <w:szCs w:val="22"/>
        </w:rPr>
      </w:pPr>
      <w:r>
        <w:t>63</w:t>
      </w:r>
      <w:r>
        <w:rPr>
          <w:snapToGrid w:val="0"/>
        </w:rPr>
        <w:t>.</w:t>
      </w:r>
      <w:r>
        <w:rPr>
          <w:snapToGrid w:val="0"/>
        </w:rPr>
        <w:tab/>
        <w:t>Terms fixed and conditions imposed by Act, only some can be varied etc.</w:t>
      </w:r>
      <w:r>
        <w:tab/>
      </w:r>
      <w:r>
        <w:fldChar w:fldCharType="begin"/>
      </w:r>
      <w:r>
        <w:instrText xml:space="preserve"> PAGEREF _Toc473119235 \h </w:instrText>
      </w:r>
      <w:r>
        <w:fldChar w:fldCharType="separate"/>
      </w:r>
      <w:r>
        <w:t>107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Imposing, varying and cancelling conditions</w:t>
      </w:r>
      <w:r>
        <w:tab/>
      </w:r>
      <w:r>
        <w:fldChar w:fldCharType="begin"/>
      </w:r>
      <w:r>
        <w:instrText xml:space="preserve"> PAGEREF _Toc473119236 \h </w:instrText>
      </w:r>
      <w:r>
        <w:fldChar w:fldCharType="separate"/>
      </w:r>
      <w:r>
        <w:t>108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Packaged liquor, conditions relating to sale of for consumption off licensed premises</w:t>
      </w:r>
      <w:r>
        <w:tab/>
      </w:r>
      <w:r>
        <w:fldChar w:fldCharType="begin"/>
      </w:r>
      <w:r>
        <w:instrText xml:space="preserve"> PAGEREF _Toc473119237 \h </w:instrText>
      </w:r>
      <w:r>
        <w:fldChar w:fldCharType="separate"/>
      </w:r>
      <w:r>
        <w:t>113</w:t>
      </w:r>
      <w:r>
        <w:fldChar w:fldCharType="end"/>
      </w:r>
    </w:p>
    <w:p>
      <w:pPr>
        <w:pStyle w:val="TOC8"/>
        <w:rPr>
          <w:rFonts w:asciiTheme="minorHAnsi" w:eastAsiaTheme="minorEastAsia" w:hAnsiTheme="minorHAnsi" w:cstheme="minorBidi"/>
          <w:szCs w:val="22"/>
        </w:rPr>
      </w:pPr>
      <w:r>
        <w:t>65A.</w:t>
      </w:r>
      <w:r>
        <w:tab/>
        <w:t>Petrol station not to be established on premises from which packaged liquor is sold</w:t>
      </w:r>
      <w:r>
        <w:tab/>
      </w:r>
      <w:r>
        <w:fldChar w:fldCharType="begin"/>
      </w:r>
      <w:r>
        <w:instrText xml:space="preserve"> PAGEREF _Toc473119238 \h </w:instrText>
      </w:r>
      <w:r>
        <w:fldChar w:fldCharType="separate"/>
      </w:r>
      <w:r>
        <w:t>114</w:t>
      </w:r>
      <w:r>
        <w:fldChar w:fldCharType="end"/>
      </w:r>
    </w:p>
    <w:p>
      <w:pPr>
        <w:pStyle w:val="TOC8"/>
        <w:rPr>
          <w:rFonts w:asciiTheme="minorHAnsi" w:eastAsiaTheme="minorEastAsia" w:hAnsiTheme="minorHAnsi" w:cstheme="minorBidi"/>
          <w:szCs w:val="22"/>
        </w:rPr>
      </w:pPr>
      <w:r>
        <w:t>65B.</w:t>
      </w:r>
      <w:r>
        <w:tab/>
        <w:t>Promoting liquor, regulations may prescribe conditions about</w:t>
      </w:r>
      <w:r>
        <w:tab/>
      </w:r>
      <w:r>
        <w:fldChar w:fldCharType="begin"/>
      </w:r>
      <w:r>
        <w:instrText xml:space="preserve"> PAGEREF _Toc473119239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Applications</w:t>
      </w:r>
    </w:p>
    <w:p>
      <w:pPr>
        <w:pStyle w:val="TOC8"/>
        <w:rPr>
          <w:rFonts w:asciiTheme="minorHAnsi" w:eastAsiaTheme="minorEastAsia" w:hAnsiTheme="minorHAnsi" w:cstheme="minorBidi"/>
          <w:szCs w:val="22"/>
        </w:rPr>
      </w:pPr>
      <w:r>
        <w:t>66</w:t>
      </w:r>
      <w:r>
        <w:rPr>
          <w:snapToGrid w:val="0"/>
        </w:rPr>
        <w:t>.</w:t>
      </w:r>
      <w:r>
        <w:rPr>
          <w:snapToGrid w:val="0"/>
        </w:rPr>
        <w:tab/>
        <w:t>Plans and specifications of premises, requirements as to</w:t>
      </w:r>
      <w:r>
        <w:tab/>
      </w:r>
      <w:r>
        <w:fldChar w:fldCharType="begin"/>
      </w:r>
      <w:r>
        <w:instrText xml:space="preserve"> PAGEREF _Toc473119241 \h </w:instrText>
      </w:r>
      <w:r>
        <w:fldChar w:fldCharType="separate"/>
      </w:r>
      <w:r>
        <w:t>115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Advertisement of applications</w:t>
      </w:r>
      <w:r>
        <w:tab/>
      </w:r>
      <w:r>
        <w:fldChar w:fldCharType="begin"/>
      </w:r>
      <w:r>
        <w:instrText xml:space="preserve"> PAGEREF _Toc473119242 \h </w:instrText>
      </w:r>
      <w:r>
        <w:fldChar w:fldCharType="separate"/>
      </w:r>
      <w:r>
        <w:t>116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Form, manner, notice and public inspection of applications</w:t>
      </w:r>
      <w:r>
        <w:tab/>
      </w:r>
      <w:r>
        <w:fldChar w:fldCharType="begin"/>
      </w:r>
      <w:r>
        <w:instrText xml:space="preserve"> PAGEREF _Toc473119243 \h </w:instrText>
      </w:r>
      <w:r>
        <w:fldChar w:fldCharType="separate"/>
      </w:r>
      <w:r>
        <w:t>117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Advertising, referring, investigating and intervening in applications</w:t>
      </w:r>
      <w:r>
        <w:tab/>
      </w:r>
      <w:r>
        <w:fldChar w:fldCharType="begin"/>
      </w:r>
      <w:r>
        <w:instrText xml:space="preserve"> PAGEREF _Toc473119244 \h </w:instrText>
      </w:r>
      <w:r>
        <w:fldChar w:fldCharType="separate"/>
      </w:r>
      <w:r>
        <w:t>118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Club licence applications, intervening in</w:t>
      </w:r>
      <w:r>
        <w:tab/>
      </w:r>
      <w:r>
        <w:fldChar w:fldCharType="begin"/>
      </w:r>
      <w:r>
        <w:instrText xml:space="preserve"> PAGEREF _Toc473119245 \h </w:instrText>
      </w:r>
      <w:r>
        <w:fldChar w:fldCharType="separate"/>
      </w:r>
      <w:r>
        <w:t>122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Owner etc. of premises, when consent of required; right of owner, lessee etc. to object</w:t>
      </w:r>
      <w:r>
        <w:tab/>
      </w:r>
      <w:r>
        <w:fldChar w:fldCharType="begin"/>
      </w:r>
      <w:r>
        <w:instrText xml:space="preserve"> PAGEREF _Toc473119246 \h </w:instrText>
      </w:r>
      <w:r>
        <w:fldChar w:fldCharType="separate"/>
      </w:r>
      <w:r>
        <w:t>123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Objecting to applications, general right and rules as to</w:t>
      </w:r>
      <w:r>
        <w:tab/>
      </w:r>
      <w:r>
        <w:fldChar w:fldCharType="begin"/>
      </w:r>
      <w:r>
        <w:instrText xml:space="preserve"> PAGEREF _Toc473119247 \h </w:instrText>
      </w:r>
      <w:r>
        <w:fldChar w:fldCharType="separate"/>
      </w:r>
      <w:r>
        <w:t>124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Objecting to applications, grounds for etc.</w:t>
      </w:r>
      <w:r>
        <w:tab/>
      </w:r>
      <w:r>
        <w:fldChar w:fldCharType="begin"/>
      </w:r>
      <w:r>
        <w:instrText xml:space="preserve"> PAGEREF _Toc473119248 \h </w:instrText>
      </w:r>
      <w:r>
        <w:fldChar w:fldCharType="separate"/>
      </w:r>
      <w:r>
        <w:t>126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Occasional licence, applications for</w:t>
      </w:r>
      <w:r>
        <w:tab/>
      </w:r>
      <w:r>
        <w:fldChar w:fldCharType="begin"/>
      </w:r>
      <w:r>
        <w:instrText xml:space="preserve"> PAGEREF _Toc473119249 \h </w:instrText>
      </w:r>
      <w:r>
        <w:fldChar w:fldCharType="separate"/>
      </w:r>
      <w:r>
        <w:t>128</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Extended trading permit, applications for</w:t>
      </w:r>
      <w:r>
        <w:tab/>
      </w:r>
      <w:r>
        <w:fldChar w:fldCharType="begin"/>
      </w:r>
      <w:r>
        <w:instrText xml:space="preserve"> PAGEREF _Toc473119250 \h </w:instrText>
      </w:r>
      <w:r>
        <w:fldChar w:fldCharType="separate"/>
      </w:r>
      <w:r>
        <w:t>128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 alteration of licensed premises without approval; application for approvals of alterations or redefinition of premises</w:t>
      </w:r>
      <w:r>
        <w:tab/>
      </w:r>
      <w:r>
        <w:fldChar w:fldCharType="begin"/>
      </w:r>
      <w:r>
        <w:instrText xml:space="preserve"> PAGEREF _Toc473119251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Removals</w:t>
      </w:r>
    </w:p>
    <w:p>
      <w:pPr>
        <w:pStyle w:val="TOC8"/>
        <w:rPr>
          <w:rFonts w:asciiTheme="minorHAnsi" w:eastAsiaTheme="minorEastAsia" w:hAnsiTheme="minorHAnsi" w:cstheme="minorBidi"/>
          <w:szCs w:val="22"/>
        </w:rPr>
      </w:pPr>
      <w:r>
        <w:t>78</w:t>
      </w:r>
      <w:r>
        <w:rPr>
          <w:snapToGrid w:val="0"/>
        </w:rPr>
        <w:t>.</w:t>
      </w:r>
      <w:r>
        <w:rPr>
          <w:snapToGrid w:val="0"/>
        </w:rPr>
        <w:tab/>
        <w:t>Casino liquor licence not removable without authority</w:t>
      </w:r>
      <w:r>
        <w:tab/>
      </w:r>
      <w:r>
        <w:fldChar w:fldCharType="begin"/>
      </w:r>
      <w:r>
        <w:instrText xml:space="preserve"> PAGEREF _Toc473119253 \h </w:instrText>
      </w:r>
      <w:r>
        <w:fldChar w:fldCharType="separate"/>
      </w:r>
      <w:r>
        <w:t>132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Licence relating to transport, when removable</w:t>
      </w:r>
      <w:r>
        <w:tab/>
      </w:r>
      <w:r>
        <w:fldChar w:fldCharType="begin"/>
      </w:r>
      <w:r>
        <w:instrText xml:space="preserve"> PAGEREF _Toc473119254 \h </w:instrText>
      </w:r>
      <w:r>
        <w:fldChar w:fldCharType="separate"/>
      </w:r>
      <w:r>
        <w:t>132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Temporary removal or redefinition of licence</w:t>
      </w:r>
      <w:r>
        <w:tab/>
      </w:r>
      <w:r>
        <w:fldChar w:fldCharType="begin"/>
      </w:r>
      <w:r>
        <w:instrText xml:space="preserve"> PAGEREF _Toc473119255 \h </w:instrText>
      </w:r>
      <w:r>
        <w:fldChar w:fldCharType="separate"/>
      </w:r>
      <w:r>
        <w:t>132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Applications for removal of licence</w:t>
      </w:r>
      <w:r>
        <w:tab/>
      </w:r>
      <w:r>
        <w:fldChar w:fldCharType="begin"/>
      </w:r>
      <w:r>
        <w:instrText xml:space="preserve"> PAGEREF _Toc473119256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Applications for transfer of licences</w:t>
      </w:r>
      <w:r>
        <w:tab/>
      </w:r>
      <w:r>
        <w:fldChar w:fldCharType="begin"/>
      </w:r>
      <w:r>
        <w:instrText xml:space="preserve"> PAGEREF _Toc473119258 \h </w:instrText>
      </w:r>
      <w:r>
        <w:fldChar w:fldCharType="separate"/>
      </w:r>
      <w:r>
        <w:t>135</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Transfer of licence between licence holders</w:t>
      </w:r>
      <w:r>
        <w:tab/>
      </w:r>
      <w:r>
        <w:fldChar w:fldCharType="begin"/>
      </w:r>
      <w:r>
        <w:instrText xml:space="preserve"> PAGEREF _Toc473119259 \h </w:instrText>
      </w:r>
      <w:r>
        <w:fldChar w:fldCharType="separate"/>
      </w:r>
      <w:r>
        <w:t>135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Certain licences not transferable</w:t>
      </w:r>
      <w:r>
        <w:tab/>
      </w:r>
      <w:r>
        <w:fldChar w:fldCharType="begin"/>
      </w:r>
      <w:r>
        <w:instrText xml:space="preserve"> PAGEREF _Toc473119260 \h </w:instrText>
      </w:r>
      <w:r>
        <w:fldChar w:fldCharType="separate"/>
      </w:r>
      <w:r>
        <w:t>136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Pre-requisites for transfer of licence</w:t>
      </w:r>
      <w:r>
        <w:tab/>
      </w:r>
      <w:r>
        <w:fldChar w:fldCharType="begin"/>
      </w:r>
      <w:r>
        <w:instrText xml:space="preserve"> PAGEREF _Toc473119261 \h </w:instrText>
      </w:r>
      <w:r>
        <w:fldChar w:fldCharType="separate"/>
      </w:r>
      <w:r>
        <w:t>136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Transferee to succeed to certain of transferor’s liabilities and rights</w:t>
      </w:r>
      <w:r>
        <w:tab/>
      </w:r>
      <w:r>
        <w:fldChar w:fldCharType="begin"/>
      </w:r>
      <w:r>
        <w:instrText xml:space="preserve"> PAGEREF _Toc473119262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Interim authorisations and protection orders</w:t>
      </w:r>
    </w:p>
    <w:p>
      <w:pPr>
        <w:pStyle w:val="TOC8"/>
        <w:rPr>
          <w:rFonts w:asciiTheme="minorHAnsi" w:eastAsiaTheme="minorEastAsia" w:hAnsiTheme="minorHAnsi" w:cstheme="minorBidi"/>
          <w:szCs w:val="22"/>
        </w:rPr>
      </w:pPr>
      <w:r>
        <w:t>86</w:t>
      </w:r>
      <w:r>
        <w:rPr>
          <w:snapToGrid w:val="0"/>
        </w:rPr>
        <w:t>.</w:t>
      </w:r>
      <w:r>
        <w:rPr>
          <w:snapToGrid w:val="0"/>
        </w:rPr>
        <w:tab/>
        <w:t>Interim authorisations to carry on business under licence</w:t>
      </w:r>
      <w:r>
        <w:tab/>
      </w:r>
      <w:r>
        <w:fldChar w:fldCharType="begin"/>
      </w:r>
      <w:r>
        <w:instrText xml:space="preserve"> PAGEREF _Toc473119264 \h </w:instrText>
      </w:r>
      <w:r>
        <w:fldChar w:fldCharType="separate"/>
      </w:r>
      <w:r>
        <w:t>139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Protection orders, grant and term of etc.</w:t>
      </w:r>
      <w:r>
        <w:tab/>
      </w:r>
      <w:r>
        <w:fldChar w:fldCharType="begin"/>
      </w:r>
      <w:r>
        <w:instrText xml:space="preserve"> PAGEREF _Toc473119265 \h </w:instrText>
      </w:r>
      <w:r>
        <w:fldChar w:fldCharType="separate"/>
      </w:r>
      <w:r>
        <w:t>142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Protection order, effect of</w:t>
      </w:r>
      <w:r>
        <w:tab/>
      </w:r>
      <w:r>
        <w:fldChar w:fldCharType="begin"/>
      </w:r>
      <w:r>
        <w:instrText xml:space="preserve"> PAGEREF _Toc473119266 \h </w:instrText>
      </w:r>
      <w:r>
        <w:fldChar w:fldCharType="separate"/>
      </w:r>
      <w:r>
        <w:t>145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Dispute as to terms of lease, Director’s powers in case of</w:t>
      </w:r>
      <w:r>
        <w:tab/>
      </w:r>
      <w:r>
        <w:fldChar w:fldCharType="begin"/>
      </w:r>
      <w:r>
        <w:instrText xml:space="preserve"> PAGEREF _Toc473119267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Suspensions</w:t>
      </w:r>
    </w:p>
    <w:p>
      <w:pPr>
        <w:pStyle w:val="TOC8"/>
        <w:rPr>
          <w:rFonts w:asciiTheme="minorHAnsi" w:eastAsiaTheme="minorEastAsia" w:hAnsiTheme="minorHAnsi" w:cstheme="minorBidi"/>
          <w:szCs w:val="22"/>
        </w:rPr>
      </w:pPr>
      <w:r>
        <w:t>91</w:t>
      </w:r>
      <w:r>
        <w:rPr>
          <w:snapToGrid w:val="0"/>
        </w:rPr>
        <w:t>.</w:t>
      </w:r>
      <w:r>
        <w:rPr>
          <w:snapToGrid w:val="0"/>
        </w:rPr>
        <w:tab/>
        <w:t>Suspension of licence or permit in the public interest</w:t>
      </w:r>
      <w:r>
        <w:tab/>
      </w:r>
      <w:r>
        <w:fldChar w:fldCharType="begin"/>
      </w:r>
      <w:r>
        <w:instrText xml:space="preserve"> PAGEREF _Toc473119269 \h </w:instrText>
      </w:r>
      <w:r>
        <w:fldChar w:fldCharType="separate"/>
      </w:r>
      <w:r>
        <w:t>146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Suspension because business has ceased etc.</w:t>
      </w:r>
      <w:r>
        <w:tab/>
      </w:r>
      <w:r>
        <w:fldChar w:fldCharType="begin"/>
      </w:r>
      <w:r>
        <w:instrText xml:space="preserve"> PAGEREF _Toc473119270 \h </w:instrText>
      </w:r>
      <w:r>
        <w:fldChar w:fldCharType="separate"/>
      </w:r>
      <w:r>
        <w:t>147</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Cancellation of suspension</w:t>
      </w:r>
      <w:r>
        <w:tab/>
      </w:r>
      <w:r>
        <w:fldChar w:fldCharType="begin"/>
      </w:r>
      <w:r>
        <w:instrText xml:space="preserve"> PAGEREF _Toc473119271 \h </w:instrText>
      </w:r>
      <w:r>
        <w:fldChar w:fldCharType="separate"/>
      </w:r>
      <w:r>
        <w:t>147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Cancellation of suspended licences</w:t>
      </w:r>
      <w:r>
        <w:tab/>
      </w:r>
      <w:r>
        <w:fldChar w:fldCharType="begin"/>
      </w:r>
      <w:r>
        <w:instrText xml:space="preserve"> PAGEREF _Toc473119272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Surrenders</w:t>
      </w:r>
    </w:p>
    <w:p>
      <w:pPr>
        <w:pStyle w:val="TOC8"/>
        <w:rPr>
          <w:rFonts w:asciiTheme="minorHAnsi" w:eastAsiaTheme="minorEastAsia" w:hAnsiTheme="minorHAnsi" w:cstheme="minorBidi"/>
          <w:szCs w:val="22"/>
        </w:rPr>
      </w:pPr>
      <w:r>
        <w:t>94</w:t>
      </w:r>
      <w:r>
        <w:rPr>
          <w:snapToGrid w:val="0"/>
        </w:rPr>
        <w:t>.</w:t>
      </w:r>
      <w:r>
        <w:rPr>
          <w:snapToGrid w:val="0"/>
        </w:rPr>
        <w:tab/>
        <w:t>Surrendering licences</w:t>
      </w:r>
      <w:r>
        <w:tab/>
      </w:r>
      <w:r>
        <w:fldChar w:fldCharType="begin"/>
      </w:r>
      <w:r>
        <w:instrText xml:space="preserve"> PAGEREF _Toc473119274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13</w:t>
      </w:r>
      <w:r>
        <w:rPr>
          <w:snapToGrid w:val="0"/>
        </w:rPr>
        <w:t> — </w:t>
      </w:r>
      <w:r>
        <w:t>Disciplinary matters</w:t>
      </w:r>
    </w:p>
    <w:p>
      <w:pPr>
        <w:pStyle w:val="TOC8"/>
        <w:rPr>
          <w:rFonts w:asciiTheme="minorHAnsi" w:eastAsiaTheme="minorEastAsia" w:hAnsiTheme="minorHAnsi" w:cstheme="minorBidi"/>
          <w:szCs w:val="22"/>
        </w:rPr>
      </w:pPr>
      <w:r>
        <w:t>95</w:t>
      </w:r>
      <w:r>
        <w:rPr>
          <w:snapToGrid w:val="0"/>
        </w:rPr>
        <w:t>.</w:t>
      </w:r>
      <w:r>
        <w:rPr>
          <w:snapToGrid w:val="0"/>
        </w:rPr>
        <w:tab/>
        <w:t>Disciplinary action against licensees, grounds and procedure for</w:t>
      </w:r>
      <w:r>
        <w:tab/>
      </w:r>
      <w:r>
        <w:fldChar w:fldCharType="begin"/>
      </w:r>
      <w:r>
        <w:instrText xml:space="preserve"> PAGEREF _Toc473119276 \h </w:instrText>
      </w:r>
      <w:r>
        <w:fldChar w:fldCharType="separate"/>
      </w:r>
      <w:r>
        <w:t>150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Disciplinary action, powers to take</w:t>
      </w:r>
      <w:r>
        <w:tab/>
      </w:r>
      <w:r>
        <w:fldChar w:fldCharType="begin"/>
      </w:r>
      <w:r>
        <w:instrText xml:space="preserve"> PAGEREF _Toc473119277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4 — The conduct of business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Hours of trading</w:t>
      </w:r>
    </w:p>
    <w:p>
      <w:pPr>
        <w:pStyle w:val="TOC8"/>
        <w:rPr>
          <w:rFonts w:asciiTheme="minorHAnsi" w:eastAsiaTheme="minorEastAsia" w:hAnsiTheme="minorHAnsi" w:cstheme="minorBidi"/>
          <w:szCs w:val="22"/>
        </w:rPr>
      </w:pPr>
      <w:r>
        <w:t>97</w:t>
      </w:r>
      <w:r>
        <w:rPr>
          <w:snapToGrid w:val="0"/>
        </w:rPr>
        <w:t>.</w:t>
      </w:r>
      <w:r>
        <w:rPr>
          <w:snapToGrid w:val="0"/>
        </w:rPr>
        <w:tab/>
        <w:t>Permitted hours generally</w:t>
      </w:r>
      <w:r>
        <w:tab/>
      </w:r>
      <w:r>
        <w:fldChar w:fldCharType="begin"/>
      </w:r>
      <w:r>
        <w:instrText xml:space="preserve"> PAGEREF _Toc473119280 \h </w:instrText>
      </w:r>
      <w:r>
        <w:fldChar w:fldCharType="separate"/>
      </w:r>
      <w:r>
        <w:t>157</w:t>
      </w:r>
      <w:r>
        <w:fldChar w:fldCharType="end"/>
      </w:r>
    </w:p>
    <w:p>
      <w:pPr>
        <w:pStyle w:val="TOC8"/>
        <w:rPr>
          <w:rFonts w:asciiTheme="minorHAnsi" w:eastAsiaTheme="minorEastAsia" w:hAnsiTheme="minorHAnsi" w:cstheme="minorBidi"/>
          <w:szCs w:val="22"/>
        </w:rPr>
      </w:pPr>
      <w:r>
        <w:t>98.</w:t>
      </w:r>
      <w:r>
        <w:tab/>
        <w:t>Hotel licence, permitted hours under</w:t>
      </w:r>
      <w:r>
        <w:tab/>
      </w:r>
      <w:r>
        <w:fldChar w:fldCharType="begin"/>
      </w:r>
      <w:r>
        <w:instrText xml:space="preserve"> PAGEREF _Toc473119281 \h </w:instrText>
      </w:r>
      <w:r>
        <w:fldChar w:fldCharType="separate"/>
      </w:r>
      <w:r>
        <w:t>157</w:t>
      </w:r>
      <w:r>
        <w:fldChar w:fldCharType="end"/>
      </w:r>
    </w:p>
    <w:p>
      <w:pPr>
        <w:pStyle w:val="TOC8"/>
        <w:rPr>
          <w:rFonts w:asciiTheme="minorHAnsi" w:eastAsiaTheme="minorEastAsia" w:hAnsiTheme="minorHAnsi" w:cstheme="minorBidi"/>
          <w:szCs w:val="22"/>
        </w:rPr>
      </w:pPr>
      <w:r>
        <w:t>98A.</w:t>
      </w:r>
      <w:r>
        <w:tab/>
        <w:t>Nightclub licence, permitted hours under</w:t>
      </w:r>
      <w:r>
        <w:tab/>
      </w:r>
      <w:r>
        <w:fldChar w:fldCharType="begin"/>
      </w:r>
      <w:r>
        <w:instrText xml:space="preserve"> PAGEREF _Toc473119282 \h </w:instrText>
      </w:r>
      <w:r>
        <w:fldChar w:fldCharType="separate"/>
      </w:r>
      <w:r>
        <w:t>158</w:t>
      </w:r>
      <w:r>
        <w:fldChar w:fldCharType="end"/>
      </w:r>
    </w:p>
    <w:p>
      <w:pPr>
        <w:pStyle w:val="TOC8"/>
        <w:rPr>
          <w:rFonts w:asciiTheme="minorHAnsi" w:eastAsiaTheme="minorEastAsia" w:hAnsiTheme="minorHAnsi" w:cstheme="minorBidi"/>
          <w:szCs w:val="22"/>
        </w:rPr>
      </w:pPr>
      <w:r>
        <w:t>98B.</w:t>
      </w:r>
      <w:r>
        <w:tab/>
        <w:t>Casino liquor licence, permitted hours under</w:t>
      </w:r>
      <w:r>
        <w:tab/>
      </w:r>
      <w:r>
        <w:fldChar w:fldCharType="begin"/>
      </w:r>
      <w:r>
        <w:instrText xml:space="preserve"> PAGEREF _Toc473119283 \h </w:instrText>
      </w:r>
      <w:r>
        <w:fldChar w:fldCharType="separate"/>
      </w:r>
      <w:r>
        <w:t>159</w:t>
      </w:r>
      <w:r>
        <w:fldChar w:fldCharType="end"/>
      </w:r>
    </w:p>
    <w:p>
      <w:pPr>
        <w:pStyle w:val="TOC8"/>
        <w:rPr>
          <w:rFonts w:asciiTheme="minorHAnsi" w:eastAsiaTheme="minorEastAsia" w:hAnsiTheme="minorHAnsi" w:cstheme="minorBidi"/>
          <w:szCs w:val="22"/>
        </w:rPr>
      </w:pPr>
      <w:r>
        <w:t>98C.</w:t>
      </w:r>
      <w:r>
        <w:tab/>
        <w:t>Special facility licence, permitted hours under</w:t>
      </w:r>
      <w:r>
        <w:tab/>
      </w:r>
      <w:r>
        <w:fldChar w:fldCharType="begin"/>
      </w:r>
      <w:r>
        <w:instrText xml:space="preserve"> PAGEREF _Toc473119284 \h </w:instrText>
      </w:r>
      <w:r>
        <w:fldChar w:fldCharType="separate"/>
      </w:r>
      <w:r>
        <w:t>159</w:t>
      </w:r>
      <w:r>
        <w:fldChar w:fldCharType="end"/>
      </w:r>
    </w:p>
    <w:p>
      <w:pPr>
        <w:pStyle w:val="TOC8"/>
        <w:rPr>
          <w:rFonts w:asciiTheme="minorHAnsi" w:eastAsiaTheme="minorEastAsia" w:hAnsiTheme="minorHAnsi" w:cstheme="minorBidi"/>
          <w:szCs w:val="22"/>
        </w:rPr>
      </w:pPr>
      <w:r>
        <w:t>98D.</w:t>
      </w:r>
      <w:r>
        <w:tab/>
        <w:t>Liquor store licence, permitted hours under</w:t>
      </w:r>
      <w:r>
        <w:tab/>
      </w:r>
      <w:r>
        <w:fldChar w:fldCharType="begin"/>
      </w:r>
      <w:r>
        <w:instrText xml:space="preserve"> PAGEREF _Toc473119285 \h </w:instrText>
      </w:r>
      <w:r>
        <w:fldChar w:fldCharType="separate"/>
      </w:r>
      <w:r>
        <w:t>159</w:t>
      </w:r>
      <w:r>
        <w:fldChar w:fldCharType="end"/>
      </w:r>
    </w:p>
    <w:p>
      <w:pPr>
        <w:pStyle w:val="TOC8"/>
        <w:rPr>
          <w:rFonts w:asciiTheme="minorHAnsi" w:eastAsiaTheme="minorEastAsia" w:hAnsiTheme="minorHAnsi" w:cstheme="minorBidi"/>
          <w:szCs w:val="22"/>
        </w:rPr>
      </w:pPr>
      <w:r>
        <w:t>98E.</w:t>
      </w:r>
      <w:r>
        <w:tab/>
        <w:t>Club licence and club restricted licence, permitted hours under</w:t>
      </w:r>
      <w:r>
        <w:tab/>
      </w:r>
      <w:r>
        <w:fldChar w:fldCharType="begin"/>
      </w:r>
      <w:r>
        <w:instrText xml:space="preserve"> PAGEREF _Toc473119286 \h </w:instrText>
      </w:r>
      <w:r>
        <w:fldChar w:fldCharType="separate"/>
      </w:r>
      <w:r>
        <w:t>160</w:t>
      </w:r>
      <w:r>
        <w:fldChar w:fldCharType="end"/>
      </w:r>
    </w:p>
    <w:p>
      <w:pPr>
        <w:pStyle w:val="TOC8"/>
        <w:rPr>
          <w:rFonts w:asciiTheme="minorHAnsi" w:eastAsiaTheme="minorEastAsia" w:hAnsiTheme="minorHAnsi" w:cstheme="minorBidi"/>
          <w:szCs w:val="22"/>
        </w:rPr>
      </w:pPr>
      <w:r>
        <w:t>98F.</w:t>
      </w:r>
      <w:r>
        <w:tab/>
        <w:t>Restaurant licence, permitted hours under</w:t>
      </w:r>
      <w:r>
        <w:tab/>
      </w:r>
      <w:r>
        <w:fldChar w:fldCharType="begin"/>
      </w:r>
      <w:r>
        <w:instrText xml:space="preserve"> PAGEREF _Toc473119287 \h </w:instrText>
      </w:r>
      <w:r>
        <w:fldChar w:fldCharType="separate"/>
      </w:r>
      <w:r>
        <w:t>161</w:t>
      </w:r>
      <w:r>
        <w:fldChar w:fldCharType="end"/>
      </w:r>
    </w:p>
    <w:p>
      <w:pPr>
        <w:pStyle w:val="TOC8"/>
        <w:rPr>
          <w:rFonts w:asciiTheme="minorHAnsi" w:eastAsiaTheme="minorEastAsia" w:hAnsiTheme="minorHAnsi" w:cstheme="minorBidi"/>
          <w:szCs w:val="22"/>
        </w:rPr>
      </w:pPr>
      <w:r>
        <w:t>98G.</w:t>
      </w:r>
      <w:r>
        <w:tab/>
        <w:t>Producer’s licence, permitted hours under</w:t>
      </w:r>
      <w:r>
        <w:tab/>
      </w:r>
      <w:r>
        <w:fldChar w:fldCharType="begin"/>
      </w:r>
      <w:r>
        <w:instrText xml:space="preserve"> PAGEREF _Toc473119288 \h </w:instrText>
      </w:r>
      <w:r>
        <w:fldChar w:fldCharType="separate"/>
      </w:r>
      <w:r>
        <w:t>161</w:t>
      </w:r>
      <w:r>
        <w:fldChar w:fldCharType="end"/>
      </w:r>
    </w:p>
    <w:p>
      <w:pPr>
        <w:pStyle w:val="TOC8"/>
        <w:rPr>
          <w:rFonts w:asciiTheme="minorHAnsi" w:eastAsiaTheme="minorEastAsia" w:hAnsiTheme="minorHAnsi" w:cstheme="minorBidi"/>
          <w:szCs w:val="22"/>
        </w:rPr>
      </w:pPr>
      <w:r>
        <w:t>98H.</w:t>
      </w:r>
      <w:r>
        <w:tab/>
        <w:t>Wholesaler’s licence, permitted hours under</w:t>
      </w:r>
      <w:r>
        <w:tab/>
      </w:r>
      <w:r>
        <w:fldChar w:fldCharType="begin"/>
      </w:r>
      <w:r>
        <w:instrText xml:space="preserve"> PAGEREF _Toc473119289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Maintenance of the premises</w:t>
      </w:r>
    </w:p>
    <w:p>
      <w:pPr>
        <w:pStyle w:val="TOC8"/>
        <w:rPr>
          <w:rFonts w:asciiTheme="minorHAnsi" w:eastAsiaTheme="minorEastAsia" w:hAnsiTheme="minorHAnsi" w:cstheme="minorBidi"/>
          <w:szCs w:val="22"/>
        </w:rPr>
      </w:pPr>
      <w:r>
        <w:t>99</w:t>
      </w:r>
      <w:r>
        <w:rPr>
          <w:snapToGrid w:val="0"/>
        </w:rPr>
        <w:t>.</w:t>
      </w:r>
      <w:r>
        <w:rPr>
          <w:snapToGrid w:val="0"/>
        </w:rPr>
        <w:tab/>
        <w:t>Duty to keep premises clean and in good repair; powers to enforce duty and require alterations</w:t>
      </w:r>
      <w:r>
        <w:tab/>
      </w:r>
      <w:r>
        <w:fldChar w:fldCharType="begin"/>
      </w:r>
      <w:r>
        <w:instrText xml:space="preserve"> PAGEREF _Toc473119291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Supervision and management</w:t>
      </w:r>
    </w:p>
    <w:p>
      <w:pPr>
        <w:pStyle w:val="TOC6"/>
        <w:tabs>
          <w:tab w:val="right" w:leader="dot" w:pos="7077"/>
        </w:tabs>
        <w:rPr>
          <w:rFonts w:asciiTheme="minorHAnsi" w:eastAsiaTheme="minorEastAsia" w:hAnsiTheme="minorHAnsi" w:cstheme="minorBidi"/>
          <w:b w:val="0"/>
          <w:sz w:val="22"/>
          <w:szCs w:val="22"/>
        </w:rPr>
      </w:pPr>
      <w:r>
        <w:t>Subdivision 1 — Licensed premises to be supervised and managed</w:t>
      </w:r>
    </w:p>
    <w:p>
      <w:pPr>
        <w:pStyle w:val="TOC8"/>
        <w:rPr>
          <w:rFonts w:asciiTheme="minorHAnsi" w:eastAsiaTheme="minorEastAsia" w:hAnsiTheme="minorHAnsi" w:cstheme="minorBidi"/>
          <w:szCs w:val="22"/>
        </w:rPr>
      </w:pPr>
      <w:r>
        <w:t>100</w:t>
      </w:r>
      <w:r>
        <w:rPr>
          <w:snapToGrid w:val="0"/>
        </w:rPr>
        <w:t>.</w:t>
      </w:r>
      <w:r>
        <w:rPr>
          <w:snapToGrid w:val="0"/>
        </w:rPr>
        <w:tab/>
        <w:t>Licensee’s duties</w:t>
      </w:r>
      <w:r>
        <w:tab/>
      </w:r>
      <w:r>
        <w:fldChar w:fldCharType="begin"/>
      </w:r>
      <w:r>
        <w:instrText xml:space="preserve"> PAGEREF _Toc473119294 \h </w:instrText>
      </w:r>
      <w:r>
        <w:fldChar w:fldCharType="separate"/>
      </w:r>
      <w:r>
        <w:t>164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Managers etc., liabilities of</w:t>
      </w:r>
      <w:r>
        <w:tab/>
      </w:r>
      <w:r>
        <w:fldChar w:fldCharType="begin"/>
      </w:r>
      <w:r>
        <w:instrText xml:space="preserve"> PAGEREF _Toc473119295 \h </w:instrText>
      </w:r>
      <w:r>
        <w:fldChar w:fldCharType="separate"/>
      </w:r>
      <w:r>
        <w:t>166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managers</w:t>
      </w:r>
    </w:p>
    <w:p>
      <w:pPr>
        <w:pStyle w:val="TOC8"/>
        <w:rPr>
          <w:rFonts w:asciiTheme="minorHAnsi" w:eastAsiaTheme="minorEastAsia" w:hAnsiTheme="minorHAnsi" w:cstheme="minorBidi"/>
          <w:szCs w:val="22"/>
        </w:rPr>
      </w:pPr>
      <w:r>
        <w:t>102A.</w:t>
      </w:r>
      <w:r>
        <w:tab/>
        <w:t>Terms used</w:t>
      </w:r>
      <w:r>
        <w:tab/>
      </w:r>
      <w:r>
        <w:fldChar w:fldCharType="begin"/>
      </w:r>
      <w:r>
        <w:instrText xml:space="preserve"> PAGEREF _Toc473119297 \h </w:instrText>
      </w:r>
      <w:r>
        <w:fldChar w:fldCharType="separate"/>
      </w:r>
      <w:r>
        <w:t>167</w:t>
      </w:r>
      <w:r>
        <w:fldChar w:fldCharType="end"/>
      </w:r>
    </w:p>
    <w:p>
      <w:pPr>
        <w:pStyle w:val="TOC8"/>
        <w:rPr>
          <w:rFonts w:asciiTheme="minorHAnsi" w:eastAsiaTheme="minorEastAsia" w:hAnsiTheme="minorHAnsi" w:cstheme="minorBidi"/>
          <w:szCs w:val="22"/>
        </w:rPr>
      </w:pPr>
      <w:r>
        <w:t>102B.</w:t>
      </w:r>
      <w:r>
        <w:tab/>
        <w:t>Applications for and granting approvals</w:t>
      </w:r>
      <w:r>
        <w:tab/>
      </w:r>
      <w:r>
        <w:fldChar w:fldCharType="begin"/>
      </w:r>
      <w:r>
        <w:instrText xml:space="preserve"> PAGEREF _Toc473119298 \h </w:instrText>
      </w:r>
      <w:r>
        <w:fldChar w:fldCharType="separate"/>
      </w:r>
      <w:r>
        <w:t>167</w:t>
      </w:r>
      <w:r>
        <w:fldChar w:fldCharType="end"/>
      </w:r>
    </w:p>
    <w:p>
      <w:pPr>
        <w:pStyle w:val="TOC8"/>
        <w:rPr>
          <w:rFonts w:asciiTheme="minorHAnsi" w:eastAsiaTheme="minorEastAsia" w:hAnsiTheme="minorHAnsi" w:cstheme="minorBidi"/>
          <w:szCs w:val="22"/>
        </w:rPr>
      </w:pPr>
      <w:r>
        <w:t>102C.</w:t>
      </w:r>
      <w:r>
        <w:tab/>
        <w:t>Conditions on manager’s approval</w:t>
      </w:r>
      <w:r>
        <w:tab/>
      </w:r>
      <w:r>
        <w:fldChar w:fldCharType="begin"/>
      </w:r>
      <w:r>
        <w:instrText xml:space="preserve"> PAGEREF _Toc473119299 \h </w:instrText>
      </w:r>
      <w:r>
        <w:fldChar w:fldCharType="separate"/>
      </w:r>
      <w:r>
        <w:t>168</w:t>
      </w:r>
      <w:r>
        <w:fldChar w:fldCharType="end"/>
      </w:r>
    </w:p>
    <w:p>
      <w:pPr>
        <w:pStyle w:val="TOC8"/>
        <w:rPr>
          <w:rFonts w:asciiTheme="minorHAnsi" w:eastAsiaTheme="minorEastAsia" w:hAnsiTheme="minorHAnsi" w:cstheme="minorBidi"/>
          <w:szCs w:val="22"/>
        </w:rPr>
      </w:pPr>
      <w:r>
        <w:t>102D.</w:t>
      </w:r>
      <w:r>
        <w:tab/>
        <w:t>Duration of manager’s approval</w:t>
      </w:r>
      <w:r>
        <w:tab/>
      </w:r>
      <w:r>
        <w:fldChar w:fldCharType="begin"/>
      </w:r>
      <w:r>
        <w:instrText xml:space="preserve"> PAGEREF _Toc473119300 \h </w:instrText>
      </w:r>
      <w:r>
        <w:fldChar w:fldCharType="separate"/>
      </w:r>
      <w:r>
        <w:t>168</w:t>
      </w:r>
      <w:r>
        <w:fldChar w:fldCharType="end"/>
      </w:r>
    </w:p>
    <w:p>
      <w:pPr>
        <w:pStyle w:val="TOC8"/>
        <w:rPr>
          <w:rFonts w:asciiTheme="minorHAnsi" w:eastAsiaTheme="minorEastAsia" w:hAnsiTheme="minorHAnsi" w:cstheme="minorBidi"/>
          <w:szCs w:val="22"/>
        </w:rPr>
      </w:pPr>
      <w:r>
        <w:t>102E.</w:t>
      </w:r>
      <w:r>
        <w:tab/>
        <w:t>Renewal of manager’s approval</w:t>
      </w:r>
      <w:r>
        <w:tab/>
      </w:r>
      <w:r>
        <w:fldChar w:fldCharType="begin"/>
      </w:r>
      <w:r>
        <w:instrText xml:space="preserve"> PAGEREF _Toc473119301 \h </w:instrText>
      </w:r>
      <w:r>
        <w:fldChar w:fldCharType="separate"/>
      </w:r>
      <w:r>
        <w:t>169</w:t>
      </w:r>
      <w:r>
        <w:fldChar w:fldCharType="end"/>
      </w:r>
    </w:p>
    <w:p>
      <w:pPr>
        <w:pStyle w:val="TOC8"/>
        <w:rPr>
          <w:rFonts w:asciiTheme="minorHAnsi" w:eastAsiaTheme="minorEastAsia" w:hAnsiTheme="minorHAnsi" w:cstheme="minorBidi"/>
          <w:szCs w:val="22"/>
        </w:rPr>
      </w:pPr>
      <w:r>
        <w:t>102F.</w:t>
      </w:r>
      <w:r>
        <w:tab/>
        <w:t>Disciplinary action against approved managers</w:t>
      </w:r>
      <w:r>
        <w:tab/>
      </w:r>
      <w:r>
        <w:fldChar w:fldCharType="begin"/>
      </w:r>
      <w:r>
        <w:instrText xml:space="preserve"> PAGEREF _Toc473119302 \h </w:instrText>
      </w:r>
      <w:r>
        <w:fldChar w:fldCharType="separate"/>
      </w:r>
      <w:r>
        <w:t>169</w:t>
      </w:r>
      <w:r>
        <w:fldChar w:fldCharType="end"/>
      </w:r>
    </w:p>
    <w:p>
      <w:pPr>
        <w:pStyle w:val="TOC8"/>
        <w:rPr>
          <w:rFonts w:asciiTheme="minorHAnsi" w:eastAsiaTheme="minorEastAsia" w:hAnsiTheme="minorHAnsi" w:cstheme="minorBidi"/>
          <w:szCs w:val="22"/>
        </w:rPr>
      </w:pPr>
      <w:r>
        <w:t>102G.</w:t>
      </w:r>
      <w:r>
        <w:tab/>
        <w:t>Approval may be cancelled on request</w:t>
      </w:r>
      <w:r>
        <w:tab/>
      </w:r>
      <w:r>
        <w:fldChar w:fldCharType="begin"/>
      </w:r>
      <w:r>
        <w:instrText xml:space="preserve"> PAGEREF _Toc473119303 \h </w:instrText>
      </w:r>
      <w:r>
        <w:fldChar w:fldCharType="separate"/>
      </w:r>
      <w:r>
        <w:t>170</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matters</w:t>
      </w:r>
    </w:p>
    <w:p>
      <w:pPr>
        <w:pStyle w:val="TOC8"/>
        <w:rPr>
          <w:rFonts w:asciiTheme="minorHAnsi" w:eastAsiaTheme="minorEastAsia" w:hAnsiTheme="minorHAnsi" w:cstheme="minorBidi"/>
          <w:szCs w:val="22"/>
        </w:rPr>
      </w:pPr>
      <w:r>
        <w:t>102</w:t>
      </w:r>
      <w:r>
        <w:rPr>
          <w:snapToGrid w:val="0"/>
        </w:rPr>
        <w:t>.</w:t>
      </w:r>
      <w:r>
        <w:rPr>
          <w:snapToGrid w:val="0"/>
        </w:rPr>
        <w:tab/>
        <w:t>Management and control of incorporated licensees, approvals required</w:t>
      </w:r>
      <w:r>
        <w:tab/>
      </w:r>
      <w:r>
        <w:fldChar w:fldCharType="begin"/>
      </w:r>
      <w:r>
        <w:instrText xml:space="preserve"> PAGEREF _Toc473119305 \h </w:instrText>
      </w:r>
      <w:r>
        <w:fldChar w:fldCharType="separate"/>
      </w:r>
      <w:r>
        <w:t>170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Owners of licensed premises to notify Director of certain matters</w:t>
      </w:r>
      <w:r>
        <w:tab/>
      </w:r>
      <w:r>
        <w:fldChar w:fldCharType="begin"/>
      </w:r>
      <w:r>
        <w:instrText xml:space="preserve"> PAGEREF _Toc473119306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3A — Responsible practices in selling, supplying and serving liquor</w:t>
      </w:r>
    </w:p>
    <w:p>
      <w:pPr>
        <w:pStyle w:val="TOC8"/>
        <w:rPr>
          <w:rFonts w:asciiTheme="minorHAnsi" w:eastAsiaTheme="minorEastAsia" w:hAnsiTheme="minorHAnsi" w:cstheme="minorBidi"/>
          <w:szCs w:val="22"/>
        </w:rPr>
      </w:pPr>
      <w:r>
        <w:t>103AA.</w:t>
      </w:r>
      <w:r>
        <w:tab/>
        <w:t>Register of responsible practices’ training</w:t>
      </w:r>
      <w:r>
        <w:tab/>
      </w:r>
      <w:r>
        <w:fldChar w:fldCharType="begin"/>
      </w:r>
      <w:r>
        <w:instrText xml:space="preserve"> PAGEREF _Toc473119308 \h </w:instrText>
      </w:r>
      <w:r>
        <w:fldChar w:fldCharType="separate"/>
      </w:r>
      <w:r>
        <w:t>172</w:t>
      </w:r>
      <w:r>
        <w:fldChar w:fldCharType="end"/>
      </w:r>
    </w:p>
    <w:p>
      <w:pPr>
        <w:pStyle w:val="TOC8"/>
        <w:rPr>
          <w:rFonts w:asciiTheme="minorHAnsi" w:eastAsiaTheme="minorEastAsia" w:hAnsiTheme="minorHAnsi" w:cstheme="minorBidi"/>
          <w:szCs w:val="22"/>
        </w:rPr>
      </w:pPr>
      <w:r>
        <w:t>103A.</w:t>
      </w:r>
      <w:r>
        <w:tab/>
        <w:t>Regulations about training people in responsible practices</w:t>
      </w:r>
      <w:r>
        <w:tab/>
      </w:r>
      <w:r>
        <w:fldChar w:fldCharType="begin"/>
      </w:r>
      <w:r>
        <w:instrText xml:space="preserve"> PAGEREF _Toc473119309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Profit sharing</w:t>
      </w:r>
    </w:p>
    <w:p>
      <w:pPr>
        <w:pStyle w:val="TOC8"/>
        <w:rPr>
          <w:rFonts w:asciiTheme="minorHAnsi" w:eastAsiaTheme="minorEastAsia" w:hAnsiTheme="minorHAnsi" w:cstheme="minorBidi"/>
          <w:szCs w:val="22"/>
        </w:rPr>
      </w:pPr>
      <w:r>
        <w:t>104</w:t>
      </w:r>
      <w:r>
        <w:rPr>
          <w:snapToGrid w:val="0"/>
        </w:rPr>
        <w:t>.</w:t>
      </w:r>
      <w:r>
        <w:rPr>
          <w:snapToGrid w:val="0"/>
        </w:rPr>
        <w:tab/>
        <w:t>Profit sharing etc. prohibited without approval</w:t>
      </w:r>
      <w:r>
        <w:tab/>
      </w:r>
      <w:r>
        <w:fldChar w:fldCharType="begin"/>
      </w:r>
      <w:r>
        <w:instrText xml:space="preserve"> PAGEREF _Toc473119311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Lodgers</w:t>
      </w:r>
    </w:p>
    <w:p>
      <w:pPr>
        <w:pStyle w:val="TOC8"/>
        <w:rPr>
          <w:rFonts w:asciiTheme="minorHAnsi" w:eastAsiaTheme="minorEastAsia" w:hAnsiTheme="minorHAnsi" w:cstheme="minorBidi"/>
          <w:szCs w:val="22"/>
        </w:rPr>
      </w:pPr>
      <w:r>
        <w:t>105</w:t>
      </w:r>
      <w:r>
        <w:rPr>
          <w:snapToGrid w:val="0"/>
        </w:rPr>
        <w:t>.</w:t>
      </w:r>
      <w:r>
        <w:rPr>
          <w:snapToGrid w:val="0"/>
        </w:rPr>
        <w:tab/>
        <w:t>Persons deemed lodgers of licensed premises in some cases</w:t>
      </w:r>
      <w:r>
        <w:tab/>
      </w:r>
      <w:r>
        <w:fldChar w:fldCharType="begin"/>
      </w:r>
      <w:r>
        <w:instrText xml:space="preserve"> PAGEREF _Toc473119313 \h </w:instrText>
      </w:r>
      <w:r>
        <w:fldChar w:fldCharType="separate"/>
      </w:r>
      <w:r>
        <w:t>175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Liquor supplied to lodgers etc., conditions applying to</w:t>
      </w:r>
      <w:r>
        <w:tab/>
      </w:r>
      <w:r>
        <w:fldChar w:fldCharType="begin"/>
      </w:r>
      <w:r>
        <w:instrText xml:space="preserve"> PAGEREF _Toc473119314 \h </w:instrText>
      </w:r>
      <w:r>
        <w:fldChar w:fldCharType="separate"/>
      </w:r>
      <w:r>
        <w:t>175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Loss of lodger’s property, licensee’s liability for</w:t>
      </w:r>
      <w:r>
        <w:tab/>
      </w:r>
      <w:r>
        <w:fldChar w:fldCharType="begin"/>
      </w:r>
      <w:r>
        <w:instrText xml:space="preserve"> PAGEREF _Toc473119315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The sale and consumption of liquor, etc.</w:t>
      </w:r>
    </w:p>
    <w:p>
      <w:pPr>
        <w:pStyle w:val="TOC8"/>
        <w:rPr>
          <w:rFonts w:asciiTheme="minorHAnsi" w:eastAsiaTheme="minorEastAsia" w:hAnsiTheme="minorHAnsi" w:cstheme="minorBidi"/>
          <w:szCs w:val="22"/>
        </w:rPr>
      </w:pPr>
      <w:r>
        <w:t>108.</w:t>
      </w:r>
      <w:r>
        <w:tab/>
        <w:t>Certain licensees to exhibit charges for meals and liquor</w:t>
      </w:r>
      <w:r>
        <w:tab/>
      </w:r>
      <w:r>
        <w:fldChar w:fldCharType="begin"/>
      </w:r>
      <w:r>
        <w:instrText xml:space="preserve"> PAGEREF _Toc473119317 \h </w:instrText>
      </w:r>
      <w:r>
        <w:fldChar w:fldCharType="separate"/>
      </w:r>
      <w:r>
        <w:t>177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Sale of liquor, offences as to</w:t>
      </w:r>
      <w:r>
        <w:tab/>
      </w:r>
      <w:r>
        <w:fldChar w:fldCharType="begin"/>
      </w:r>
      <w:r>
        <w:instrText xml:space="preserve"> PAGEREF _Toc473119318 \h </w:instrText>
      </w:r>
      <w:r>
        <w:fldChar w:fldCharType="separate"/>
      </w:r>
      <w:r>
        <w:t>178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Licensed premises and sports arenas, offences as to</w:t>
      </w:r>
      <w:r>
        <w:tab/>
      </w:r>
      <w:r>
        <w:fldChar w:fldCharType="begin"/>
      </w:r>
      <w:r>
        <w:instrText xml:space="preserve"> PAGEREF _Toc473119319 \h </w:instrText>
      </w:r>
      <w:r>
        <w:fldChar w:fldCharType="separate"/>
      </w:r>
      <w:r>
        <w:t>180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Trading outside permitted hours, offences as to</w:t>
      </w:r>
      <w:r>
        <w:tab/>
      </w:r>
      <w:r>
        <w:fldChar w:fldCharType="begin"/>
      </w:r>
      <w:r>
        <w:instrText xml:space="preserve"> PAGEREF _Toc473119320 \h </w:instrText>
      </w:r>
      <w:r>
        <w:fldChar w:fldCharType="separate"/>
      </w:r>
      <w:r>
        <w:t>184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Exceptions to s. 109, 110 and 111</w:t>
      </w:r>
      <w:r>
        <w:tab/>
      </w:r>
      <w:r>
        <w:fldChar w:fldCharType="begin"/>
      </w:r>
      <w:r>
        <w:instrText xml:space="preserve"> PAGEREF _Toc473119321 \h </w:instrText>
      </w:r>
      <w:r>
        <w:fldChar w:fldCharType="separate"/>
      </w:r>
      <w:r>
        <w:t>185</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Offence under s. 109, 110 or 111, finding as to unlawful dealing in liquor; forfeiture of liquor</w:t>
      </w:r>
      <w:r>
        <w:tab/>
      </w:r>
      <w:r>
        <w:fldChar w:fldCharType="begin"/>
      </w:r>
      <w:r>
        <w:instrText xml:space="preserve"> PAGEREF _Toc473119322 \h </w:instrText>
      </w:r>
      <w:r>
        <w:fldChar w:fldCharType="separate"/>
      </w:r>
      <w:r>
        <w:t>186</w:t>
      </w:r>
      <w:r>
        <w:fldChar w:fldCharType="end"/>
      </w:r>
    </w:p>
    <w:p>
      <w:pPr>
        <w:pStyle w:val="TOC8"/>
        <w:rPr>
          <w:rFonts w:asciiTheme="minorHAnsi" w:eastAsiaTheme="minorEastAsia" w:hAnsiTheme="minorHAnsi" w:cstheme="minorBidi"/>
          <w:szCs w:val="22"/>
        </w:rPr>
      </w:pPr>
      <w:r>
        <w:t>113A.</w:t>
      </w:r>
      <w:r>
        <w:tab/>
        <w:t>Websites of some licensees, information to be displayed on</w:t>
      </w:r>
      <w:r>
        <w:tab/>
      </w:r>
      <w:r>
        <w:fldChar w:fldCharType="begin"/>
      </w:r>
      <w:r>
        <w:instrText xml:space="preserve"> PAGEREF _Toc473119323 \h </w:instrText>
      </w:r>
      <w:r>
        <w:fldChar w:fldCharType="separate"/>
      </w:r>
      <w:r>
        <w:t>187</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Closure of licensed premises, police powers as to</w:t>
      </w:r>
      <w:r>
        <w:tab/>
      </w:r>
      <w:r>
        <w:fldChar w:fldCharType="begin"/>
      </w:r>
      <w:r>
        <w:instrText xml:space="preserve"> PAGEREF _Toc473119324 \h </w:instrText>
      </w:r>
      <w:r>
        <w:fldChar w:fldCharType="separate"/>
      </w:r>
      <w:r>
        <w:t>187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Drunk etc. people, offences as to, refusal of entry to etc.</w:t>
      </w:r>
      <w:r>
        <w:tab/>
      </w:r>
      <w:r>
        <w:fldChar w:fldCharType="begin"/>
      </w:r>
      <w:r>
        <w:instrText xml:space="preserve"> PAGEREF _Toc473119325 \h </w:instrText>
      </w:r>
      <w:r>
        <w:fldChar w:fldCharType="separate"/>
      </w:r>
      <w:r>
        <w:t>188</w:t>
      </w:r>
      <w:r>
        <w:fldChar w:fldCharType="end"/>
      </w:r>
    </w:p>
    <w:p>
      <w:pPr>
        <w:pStyle w:val="TOC8"/>
        <w:rPr>
          <w:rFonts w:asciiTheme="minorHAnsi" w:eastAsiaTheme="minorEastAsia" w:hAnsiTheme="minorHAnsi" w:cstheme="minorBidi"/>
          <w:szCs w:val="22"/>
        </w:rPr>
      </w:pPr>
      <w:r>
        <w:t>115AA.</w:t>
      </w:r>
      <w:r>
        <w:tab/>
        <w:t>Banning people from licensed premises, Commissioner of Police’s power for</w:t>
      </w:r>
      <w:r>
        <w:tab/>
      </w:r>
      <w:r>
        <w:fldChar w:fldCharType="begin"/>
      </w:r>
      <w:r>
        <w:instrText xml:space="preserve"> PAGEREF _Toc473119326 \h </w:instrText>
      </w:r>
      <w:r>
        <w:fldChar w:fldCharType="separate"/>
      </w:r>
      <w:r>
        <w:t>193</w:t>
      </w:r>
      <w:r>
        <w:fldChar w:fldCharType="end"/>
      </w:r>
    </w:p>
    <w:p>
      <w:pPr>
        <w:pStyle w:val="TOC8"/>
        <w:rPr>
          <w:rFonts w:asciiTheme="minorHAnsi" w:eastAsiaTheme="minorEastAsia" w:hAnsiTheme="minorHAnsi" w:cstheme="minorBidi"/>
          <w:szCs w:val="22"/>
        </w:rPr>
      </w:pPr>
      <w:r>
        <w:t>115AB.</w:t>
      </w:r>
      <w:r>
        <w:tab/>
        <w:t>Delegation by Commissioner of Police</w:t>
      </w:r>
      <w:r>
        <w:tab/>
      </w:r>
      <w:r>
        <w:fldChar w:fldCharType="begin"/>
      </w:r>
      <w:r>
        <w:instrText xml:space="preserve"> PAGEREF _Toc473119327 \h </w:instrText>
      </w:r>
      <w:r>
        <w:fldChar w:fldCharType="separate"/>
      </w:r>
      <w:r>
        <w:t>194</w:t>
      </w:r>
      <w:r>
        <w:fldChar w:fldCharType="end"/>
      </w:r>
    </w:p>
    <w:p>
      <w:pPr>
        <w:pStyle w:val="TOC8"/>
        <w:rPr>
          <w:rFonts w:asciiTheme="minorHAnsi" w:eastAsiaTheme="minorEastAsia" w:hAnsiTheme="minorHAnsi" w:cstheme="minorBidi"/>
          <w:szCs w:val="22"/>
        </w:rPr>
      </w:pPr>
      <w:r>
        <w:t>115AC.</w:t>
      </w:r>
      <w:r>
        <w:tab/>
        <w:t>Publication of details of people banned under s. 115AA</w:t>
      </w:r>
      <w:r>
        <w:tab/>
      </w:r>
      <w:r>
        <w:fldChar w:fldCharType="begin"/>
      </w:r>
      <w:r>
        <w:instrText xml:space="preserve"> PAGEREF _Toc473119328 \h </w:instrText>
      </w:r>
      <w:r>
        <w:fldChar w:fldCharType="separate"/>
      </w:r>
      <w:r>
        <w:t>194</w:t>
      </w:r>
      <w:r>
        <w:fldChar w:fldCharType="end"/>
      </w:r>
    </w:p>
    <w:p>
      <w:pPr>
        <w:pStyle w:val="TOC8"/>
        <w:rPr>
          <w:rFonts w:asciiTheme="minorHAnsi" w:eastAsiaTheme="minorEastAsia" w:hAnsiTheme="minorHAnsi" w:cstheme="minorBidi"/>
          <w:szCs w:val="22"/>
        </w:rPr>
      </w:pPr>
      <w:r>
        <w:t>115AD.</w:t>
      </w:r>
      <w:r>
        <w:tab/>
        <w:t>Review of s. 115AA notices</w:t>
      </w:r>
      <w:r>
        <w:tab/>
      </w:r>
      <w:r>
        <w:fldChar w:fldCharType="begin"/>
      </w:r>
      <w:r>
        <w:instrText xml:space="preserve"> PAGEREF _Toc473119329 \h </w:instrText>
      </w:r>
      <w:r>
        <w:fldChar w:fldCharType="separate"/>
      </w:r>
      <w:r>
        <w:t>195</w:t>
      </w:r>
      <w:r>
        <w:fldChar w:fldCharType="end"/>
      </w:r>
    </w:p>
    <w:p>
      <w:pPr>
        <w:pStyle w:val="TOC8"/>
        <w:rPr>
          <w:rFonts w:asciiTheme="minorHAnsi" w:eastAsiaTheme="minorEastAsia" w:hAnsiTheme="minorHAnsi" w:cstheme="minorBidi"/>
          <w:szCs w:val="22"/>
        </w:rPr>
      </w:pPr>
      <w:r>
        <w:t>115AE.</w:t>
      </w:r>
      <w:r>
        <w:tab/>
        <w:t>Permitting entry to premises contrary to s. 115AA notice</w:t>
      </w:r>
      <w:r>
        <w:tab/>
      </w:r>
      <w:r>
        <w:fldChar w:fldCharType="begin"/>
      </w:r>
      <w:r>
        <w:instrText xml:space="preserve"> PAGEREF _Toc473119330 \h </w:instrText>
      </w:r>
      <w:r>
        <w:fldChar w:fldCharType="separate"/>
      </w:r>
      <w:r>
        <w:t>197</w:t>
      </w:r>
      <w:r>
        <w:fldChar w:fldCharType="end"/>
      </w:r>
    </w:p>
    <w:p>
      <w:pPr>
        <w:pStyle w:val="TOC8"/>
        <w:rPr>
          <w:rFonts w:asciiTheme="minorHAnsi" w:eastAsiaTheme="minorEastAsia" w:hAnsiTheme="minorHAnsi" w:cstheme="minorBidi"/>
          <w:szCs w:val="22"/>
        </w:rPr>
      </w:pPr>
      <w:r>
        <w:t>115A.</w:t>
      </w:r>
      <w:r>
        <w:tab/>
        <w:t>Drinking water to be provided free at certain licensed premises</w:t>
      </w:r>
      <w:r>
        <w:tab/>
      </w:r>
      <w:r>
        <w:fldChar w:fldCharType="begin"/>
      </w:r>
      <w:r>
        <w:instrText xml:space="preserve"> PAGEREF _Toc473119331 \h </w:instrText>
      </w:r>
      <w:r>
        <w:fldChar w:fldCharType="separate"/>
      </w:r>
      <w:r>
        <w:t>197</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Documents to be displayed etc. at premises and produced</w:t>
      </w:r>
      <w:r>
        <w:tab/>
      </w:r>
      <w:r>
        <w:fldChar w:fldCharType="begin"/>
      </w:r>
      <w:r>
        <w:instrText xml:space="preserve"> PAGEREF _Toc473119332 \h </w:instrText>
      </w:r>
      <w:r>
        <w:fldChar w:fldCharType="separate"/>
      </w:r>
      <w:r>
        <w:t>197</w:t>
      </w:r>
      <w:r>
        <w:fldChar w:fldCharType="end"/>
      </w:r>
    </w:p>
    <w:p>
      <w:pPr>
        <w:pStyle w:val="TOC8"/>
        <w:rPr>
          <w:rFonts w:asciiTheme="minorHAnsi" w:eastAsiaTheme="minorEastAsia" w:hAnsiTheme="minorHAnsi" w:cstheme="minorBidi"/>
          <w:szCs w:val="22"/>
        </w:rPr>
      </w:pPr>
      <w:r>
        <w:t>116A.</w:t>
      </w:r>
      <w:r>
        <w:tab/>
        <w:t>Register of incidents at licensed premises to be maintained</w:t>
      </w:r>
      <w:r>
        <w:tab/>
      </w:r>
      <w:r>
        <w:fldChar w:fldCharType="begin"/>
      </w:r>
      <w:r>
        <w:instrText xml:space="preserve"> PAGEREF _Toc473119333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7 — Complaints to Director</w:t>
      </w:r>
    </w:p>
    <w:p>
      <w:pPr>
        <w:pStyle w:val="TOC8"/>
        <w:rPr>
          <w:rFonts w:asciiTheme="minorHAnsi" w:eastAsiaTheme="minorEastAsia" w:hAnsiTheme="minorHAnsi" w:cstheme="minorBidi"/>
          <w:szCs w:val="22"/>
        </w:rPr>
      </w:pPr>
      <w:r>
        <w:t>117</w:t>
      </w:r>
      <w:r>
        <w:rPr>
          <w:snapToGrid w:val="0"/>
        </w:rPr>
        <w:t>.</w:t>
      </w:r>
      <w:r>
        <w:rPr>
          <w:snapToGrid w:val="0"/>
        </w:rPr>
        <w:tab/>
        <w:t>Noise or behaviour related to licensed premises, complaints about</w:t>
      </w:r>
      <w:r>
        <w:tab/>
      </w:r>
      <w:r>
        <w:fldChar w:fldCharType="begin"/>
      </w:r>
      <w:r>
        <w:instrText xml:space="preserve"> PAGEREF _Toc473119335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Liquor on unlicensed premises</w:t>
      </w:r>
    </w:p>
    <w:p>
      <w:pPr>
        <w:pStyle w:val="TOC8"/>
        <w:rPr>
          <w:rFonts w:asciiTheme="minorHAnsi" w:eastAsiaTheme="minorEastAsia" w:hAnsiTheme="minorHAnsi" w:cstheme="minorBidi"/>
          <w:szCs w:val="22"/>
        </w:rPr>
      </w:pPr>
      <w:r>
        <w:t>118</w:t>
      </w:r>
      <w:r>
        <w:rPr>
          <w:snapToGrid w:val="0"/>
        </w:rPr>
        <w:t>.</w:t>
      </w:r>
      <w:r>
        <w:rPr>
          <w:snapToGrid w:val="0"/>
        </w:rPr>
        <w:tab/>
        <w:t>Persons purporting to be licensee</w:t>
      </w:r>
      <w:r>
        <w:tab/>
      </w:r>
      <w:r>
        <w:fldChar w:fldCharType="begin"/>
      </w:r>
      <w:r>
        <w:instrText xml:space="preserve"> PAGEREF _Toc473119337 \h </w:instrText>
      </w:r>
      <w:r>
        <w:fldChar w:fldCharType="separate"/>
      </w:r>
      <w:r>
        <w:t>204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Unlicensed premises etc., offences as to</w:t>
      </w:r>
      <w:r>
        <w:tab/>
      </w:r>
      <w:r>
        <w:fldChar w:fldCharType="begin"/>
      </w:r>
      <w:r>
        <w:instrText xml:space="preserve"> PAGEREF _Toc473119338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Division 8A — Conduct of unapproved businesses on or from licensed premises</w:t>
      </w:r>
    </w:p>
    <w:p>
      <w:pPr>
        <w:pStyle w:val="TOC8"/>
        <w:rPr>
          <w:rFonts w:asciiTheme="minorHAnsi" w:eastAsiaTheme="minorEastAsia" w:hAnsiTheme="minorHAnsi" w:cstheme="minorBidi"/>
          <w:szCs w:val="22"/>
        </w:rPr>
      </w:pPr>
      <w:r>
        <w:t>119A.</w:t>
      </w:r>
      <w:r>
        <w:tab/>
        <w:t>Non-liquor businesses on licensed premises, conduct of requires approval</w:t>
      </w:r>
      <w:r>
        <w:tab/>
      </w:r>
      <w:r>
        <w:fldChar w:fldCharType="begin"/>
      </w:r>
      <w:r>
        <w:instrText xml:space="preserve"> PAGEREF _Toc473119340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Juveniles</w:t>
      </w:r>
    </w:p>
    <w:p>
      <w:pPr>
        <w:pStyle w:val="TOC8"/>
        <w:rPr>
          <w:rFonts w:asciiTheme="minorHAnsi" w:eastAsiaTheme="minorEastAsia" w:hAnsiTheme="minorHAnsi" w:cstheme="minorBidi"/>
          <w:szCs w:val="22"/>
        </w:rPr>
      </w:pPr>
      <w:r>
        <w:t>120</w:t>
      </w:r>
      <w:r>
        <w:rPr>
          <w:snapToGrid w:val="0"/>
        </w:rPr>
        <w:t>.</w:t>
      </w:r>
      <w:r>
        <w:rPr>
          <w:snapToGrid w:val="0"/>
        </w:rPr>
        <w:tab/>
        <w:t>When juveniles permitted on licensed premises</w:t>
      </w:r>
      <w:r>
        <w:tab/>
      </w:r>
      <w:r>
        <w:fldChar w:fldCharType="begin"/>
      </w:r>
      <w:r>
        <w:instrText xml:space="preserve"> PAGEREF _Toc473119342 \h </w:instrText>
      </w:r>
      <w:r>
        <w:fldChar w:fldCharType="separate"/>
      </w:r>
      <w:r>
        <w:t>209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Licensed premises, offences as to juveniles</w:t>
      </w:r>
      <w:r>
        <w:tab/>
      </w:r>
      <w:r>
        <w:fldChar w:fldCharType="begin"/>
      </w:r>
      <w:r>
        <w:instrText xml:space="preserve"> PAGEREF _Toc473119343 \h </w:instrText>
      </w:r>
      <w:r>
        <w:fldChar w:fldCharType="separate"/>
      </w:r>
      <w:r>
        <w:t>211</w:t>
      </w:r>
      <w:r>
        <w:fldChar w:fldCharType="end"/>
      </w:r>
    </w:p>
    <w:p>
      <w:pPr>
        <w:pStyle w:val="TOC8"/>
        <w:rPr>
          <w:rFonts w:asciiTheme="minorHAnsi" w:eastAsiaTheme="minorEastAsia" w:hAnsiTheme="minorHAnsi" w:cstheme="minorBidi"/>
          <w:szCs w:val="22"/>
        </w:rPr>
      </w:pPr>
      <w:r>
        <w:t>122A.</w:t>
      </w:r>
      <w:r>
        <w:tab/>
        <w:t>Supplying juveniles with alcohol on unlicensed premises</w:t>
      </w:r>
      <w:r>
        <w:tab/>
      </w:r>
      <w:r>
        <w:fldChar w:fldCharType="begin"/>
      </w:r>
      <w:r>
        <w:instrText xml:space="preserve"> PAGEREF _Toc473119344 \h </w:instrText>
      </w:r>
      <w:r>
        <w:fldChar w:fldCharType="separate"/>
      </w:r>
      <w:r>
        <w:t>215</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Regulated premises, offences as to juveniles</w:t>
      </w:r>
      <w:r>
        <w:tab/>
      </w:r>
      <w:r>
        <w:fldChar w:fldCharType="begin"/>
      </w:r>
      <w:r>
        <w:instrText xml:space="preserve"> PAGEREF _Toc473119345 \h </w:instrText>
      </w:r>
      <w:r>
        <w:fldChar w:fldCharType="separate"/>
      </w:r>
      <w:r>
        <w:t>216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Possession etc. of liquor, offences by juveniles</w:t>
      </w:r>
      <w:r>
        <w:tab/>
      </w:r>
      <w:r>
        <w:fldChar w:fldCharType="begin"/>
      </w:r>
      <w:r>
        <w:instrText xml:space="preserve"> PAGEREF _Toc473119346 \h </w:instrText>
      </w:r>
      <w:r>
        <w:fldChar w:fldCharType="separate"/>
      </w:r>
      <w:r>
        <w:t>218</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Sending juveniles to obtain liquor, offence</w:t>
      </w:r>
      <w:r>
        <w:tab/>
      </w:r>
      <w:r>
        <w:fldChar w:fldCharType="begin"/>
      </w:r>
      <w:r>
        <w:instrText xml:space="preserve"> PAGEREF _Toc473119347 \h </w:instrText>
      </w:r>
      <w:r>
        <w:fldChar w:fldCharType="separate"/>
      </w:r>
      <w:r>
        <w:t>219</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Defences to offences under this Division</w:t>
      </w:r>
      <w:r>
        <w:tab/>
      </w:r>
      <w:r>
        <w:fldChar w:fldCharType="begin"/>
      </w:r>
      <w:r>
        <w:instrText xml:space="preserve"> PAGEREF _Toc473119348 \h </w:instrText>
      </w:r>
      <w:r>
        <w:fldChar w:fldCharType="separate"/>
      </w:r>
      <w:r>
        <w:t>219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Suspected juveniles, authorised persons’ powers as to, offences by</w:t>
      </w:r>
      <w:r>
        <w:tab/>
      </w:r>
      <w:r>
        <w:fldChar w:fldCharType="begin"/>
      </w:r>
      <w:r>
        <w:instrText xml:space="preserve"> PAGEREF _Toc473119349 \h </w:instrText>
      </w:r>
      <w:r>
        <w:fldChar w:fldCharType="separate"/>
      </w:r>
      <w:r>
        <w:t>221</w:t>
      </w:r>
      <w:r>
        <w:fldChar w:fldCharType="end"/>
      </w:r>
    </w:p>
    <w:p>
      <w:pPr>
        <w:pStyle w:val="TOC8"/>
        <w:rPr>
          <w:rFonts w:asciiTheme="minorHAnsi" w:eastAsiaTheme="minorEastAsia" w:hAnsiTheme="minorHAnsi" w:cstheme="minorBidi"/>
          <w:szCs w:val="22"/>
        </w:rPr>
      </w:pPr>
      <w:r>
        <w:t>126A.</w:t>
      </w:r>
      <w:r>
        <w:tab/>
        <w:t>Entertainment for juveniles on licensed premises, application for approval of</w:t>
      </w:r>
      <w:r>
        <w:tab/>
      </w:r>
      <w:r>
        <w:fldChar w:fldCharType="begin"/>
      </w:r>
      <w:r>
        <w:instrText xml:space="preserve"> PAGEREF _Toc473119350 \h </w:instrText>
      </w:r>
      <w:r>
        <w:fldChar w:fldCharType="separate"/>
      </w:r>
      <w:r>
        <w:t>223</w:t>
      </w:r>
      <w:r>
        <w:fldChar w:fldCharType="end"/>
      </w:r>
    </w:p>
    <w:p>
      <w:pPr>
        <w:pStyle w:val="TOC8"/>
        <w:rPr>
          <w:rFonts w:asciiTheme="minorHAnsi" w:eastAsiaTheme="minorEastAsia" w:hAnsiTheme="minorHAnsi" w:cstheme="minorBidi"/>
          <w:szCs w:val="22"/>
        </w:rPr>
      </w:pPr>
      <w:r>
        <w:t>126B.</w:t>
      </w:r>
      <w:r>
        <w:tab/>
        <w:t>Entertainment for juveniles on licensed premises, approval of</w:t>
      </w:r>
      <w:r>
        <w:tab/>
      </w:r>
      <w:r>
        <w:fldChar w:fldCharType="begin"/>
      </w:r>
      <w:r>
        <w:instrText xml:space="preserve"> PAGEREF _Toc473119351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126C.</w:t>
      </w:r>
      <w:r>
        <w:tab/>
        <w:t>Crowd controllers to be authorised when exercising powers of removal</w:t>
      </w:r>
      <w:r>
        <w:tab/>
      </w:r>
      <w:r>
        <w:fldChar w:fldCharType="begin"/>
      </w:r>
      <w:r>
        <w:instrText xml:space="preserve"> PAGEREF _Toc473119353 \h </w:instrText>
      </w:r>
      <w:r>
        <w:fldChar w:fldCharType="separate"/>
      </w:r>
      <w:r>
        <w:t>224</w:t>
      </w:r>
      <w:r>
        <w:fldChar w:fldCharType="end"/>
      </w:r>
    </w:p>
    <w:p>
      <w:pPr>
        <w:pStyle w:val="TOC8"/>
        <w:rPr>
          <w:rFonts w:asciiTheme="minorHAnsi" w:eastAsiaTheme="minorEastAsia" w:hAnsiTheme="minorHAnsi" w:cstheme="minorBidi"/>
          <w:szCs w:val="22"/>
        </w:rPr>
      </w:pPr>
      <w:r>
        <w:t>126D.</w:t>
      </w:r>
      <w:r>
        <w:tab/>
        <w:t>Undesirable liquor products, declaration of and offence as to</w:t>
      </w:r>
      <w:r>
        <w:tab/>
      </w:r>
      <w:r>
        <w:fldChar w:fldCharType="begin"/>
      </w:r>
      <w:r>
        <w:instrText xml:space="preserve"> PAGEREF _Toc473119354 \h </w:instrText>
      </w:r>
      <w:r>
        <w:fldChar w:fldCharType="separate"/>
      </w:r>
      <w:r>
        <w:t>225</w:t>
      </w:r>
      <w:r>
        <w:fldChar w:fldCharType="end"/>
      </w:r>
    </w:p>
    <w:p>
      <w:pPr>
        <w:pStyle w:val="TOC8"/>
        <w:rPr>
          <w:rFonts w:asciiTheme="minorHAnsi" w:eastAsiaTheme="minorEastAsia" w:hAnsiTheme="minorHAnsi" w:cstheme="minorBidi"/>
          <w:szCs w:val="22"/>
        </w:rPr>
      </w:pPr>
      <w:r>
        <w:t>126E.</w:t>
      </w:r>
      <w:r>
        <w:tab/>
        <w:t>Special events, operation of Act may be modified for</w:t>
      </w:r>
      <w:r>
        <w:tab/>
      </w:r>
      <w:r>
        <w:fldChar w:fldCharType="begin"/>
      </w:r>
      <w:r>
        <w:instrText xml:space="preserve"> PAGEREF _Toc473119355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Licence fees</w:t>
      </w:r>
    </w:p>
    <w:p>
      <w:pPr>
        <w:pStyle w:val="TOC8"/>
        <w:rPr>
          <w:rFonts w:asciiTheme="minorHAnsi" w:eastAsiaTheme="minorEastAsia" w:hAnsiTheme="minorHAnsi" w:cstheme="minorBidi"/>
          <w:szCs w:val="22"/>
        </w:rPr>
      </w:pPr>
      <w:r>
        <w:t>127</w:t>
      </w:r>
      <w:r>
        <w:rPr>
          <w:snapToGrid w:val="0"/>
        </w:rPr>
        <w:t>.</w:t>
      </w:r>
      <w:r>
        <w:rPr>
          <w:snapToGrid w:val="0"/>
        </w:rPr>
        <w:tab/>
        <w:t>Payment of licence fees</w:t>
      </w:r>
      <w:r>
        <w:tab/>
      </w:r>
      <w:r>
        <w:fldChar w:fldCharType="begin"/>
      </w:r>
      <w:r>
        <w:instrText xml:space="preserve"> PAGEREF _Toc473119358 \h </w:instrText>
      </w:r>
      <w:r>
        <w:fldChar w:fldCharType="separate"/>
      </w:r>
      <w:r>
        <w:t>228</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about licence fees</w:t>
      </w:r>
      <w:r>
        <w:tab/>
      </w:r>
      <w:r>
        <w:fldChar w:fldCharType="begin"/>
      </w:r>
      <w:r>
        <w:instrText xml:space="preserve"> PAGEREF _Toc473119359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Subsidies</w:t>
      </w:r>
    </w:p>
    <w:p>
      <w:pPr>
        <w:pStyle w:val="TOC8"/>
        <w:rPr>
          <w:rFonts w:asciiTheme="minorHAnsi" w:eastAsiaTheme="minorEastAsia" w:hAnsiTheme="minorHAnsi" w:cstheme="minorBidi"/>
          <w:szCs w:val="22"/>
        </w:rPr>
      </w:pPr>
      <w:r>
        <w:t>129</w:t>
      </w:r>
      <w:r>
        <w:rPr>
          <w:snapToGrid w:val="0"/>
        </w:rPr>
        <w:t>.</w:t>
      </w:r>
      <w:r>
        <w:rPr>
          <w:snapToGrid w:val="0"/>
        </w:rPr>
        <w:tab/>
        <w:t>Terms used</w:t>
      </w:r>
      <w:r>
        <w:tab/>
      </w:r>
      <w:r>
        <w:fldChar w:fldCharType="begin"/>
      </w:r>
      <w:r>
        <w:instrText xml:space="preserve"> PAGEREF _Toc473119361 \h </w:instrText>
      </w:r>
      <w:r>
        <w:fldChar w:fldCharType="separate"/>
      </w:r>
      <w:r>
        <w:t>229</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Subsidies for wholesalers and producers</w:t>
      </w:r>
      <w:r>
        <w:tab/>
      </w:r>
      <w:r>
        <w:fldChar w:fldCharType="begin"/>
      </w:r>
      <w:r>
        <w:instrText xml:space="preserve"> PAGEREF _Toc473119362 \h </w:instrText>
      </w:r>
      <w:r>
        <w:fldChar w:fldCharType="separate"/>
      </w:r>
      <w:r>
        <w:t>229</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Application for subsidy</w:t>
      </w:r>
      <w:r>
        <w:tab/>
      </w:r>
      <w:r>
        <w:fldChar w:fldCharType="begin"/>
      </w:r>
      <w:r>
        <w:instrText xml:space="preserve"> PAGEREF _Toc473119363 \h </w:instrText>
      </w:r>
      <w:r>
        <w:fldChar w:fldCharType="separate"/>
      </w:r>
      <w:r>
        <w:t>230</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Director to pay subsidies</w:t>
      </w:r>
      <w:r>
        <w:tab/>
      </w:r>
      <w:r>
        <w:fldChar w:fldCharType="begin"/>
      </w:r>
      <w:r>
        <w:instrText xml:space="preserve"> PAGEREF _Toc473119364 \h </w:instrText>
      </w:r>
      <w:r>
        <w:fldChar w:fldCharType="separate"/>
      </w:r>
      <w:r>
        <w:t>230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Consolidated Account appropriated</w:t>
      </w:r>
      <w:r>
        <w:tab/>
      </w:r>
      <w:r>
        <w:fldChar w:fldCharType="begin"/>
      </w:r>
      <w:r>
        <w:instrText xml:space="preserve"> PAGEREF _Toc473119365 \h </w:instrText>
      </w:r>
      <w:r>
        <w:fldChar w:fldCharType="separate"/>
      </w:r>
      <w:r>
        <w:t>230</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Correcting incorrect subsidy payments</w:t>
      </w:r>
      <w:r>
        <w:tab/>
      </w:r>
      <w:r>
        <w:fldChar w:fldCharType="begin"/>
      </w:r>
      <w:r>
        <w:instrText xml:space="preserve"> PAGEREF _Toc473119366 \h </w:instrText>
      </w:r>
      <w:r>
        <w:fldChar w:fldCharType="separate"/>
      </w:r>
      <w:r>
        <w:t>231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Failure to correct incorrect subsidy application</w:t>
      </w:r>
      <w:r>
        <w:tab/>
      </w:r>
      <w:r>
        <w:fldChar w:fldCharType="begin"/>
      </w:r>
      <w:r>
        <w:instrText xml:space="preserve"> PAGEREF _Toc473119367 \h </w:instrText>
      </w:r>
      <w:r>
        <w:fldChar w:fldCharType="separate"/>
      </w:r>
      <w:r>
        <w:t>231</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Minister may order subsidies to cease</w:t>
      </w:r>
      <w:r>
        <w:tab/>
      </w:r>
      <w:r>
        <w:fldChar w:fldCharType="begin"/>
      </w:r>
      <w:r>
        <w:instrText xml:space="preserve"> PAGEREF _Toc473119368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Power of Commission with respect to moneys due</w:t>
      </w:r>
    </w:p>
    <w:p>
      <w:pPr>
        <w:pStyle w:val="TOC8"/>
        <w:rPr>
          <w:rFonts w:asciiTheme="minorHAnsi" w:eastAsiaTheme="minorEastAsia" w:hAnsiTheme="minorHAnsi" w:cstheme="minorBidi"/>
          <w:szCs w:val="22"/>
        </w:rPr>
      </w:pPr>
      <w:r>
        <w:t>143</w:t>
      </w:r>
      <w:r>
        <w:rPr>
          <w:snapToGrid w:val="0"/>
        </w:rPr>
        <w:t>.</w:t>
      </w:r>
      <w:r>
        <w:rPr>
          <w:snapToGrid w:val="0"/>
        </w:rPr>
        <w:tab/>
        <w:t>Order for payment of money</w:t>
      </w:r>
      <w:r>
        <w:tab/>
      </w:r>
      <w:r>
        <w:fldChar w:fldCharType="begin"/>
      </w:r>
      <w:r>
        <w:instrText xml:space="preserve"> PAGEREF _Toc473119370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Records and returns</w:t>
      </w:r>
    </w:p>
    <w:p>
      <w:pPr>
        <w:pStyle w:val="TOC8"/>
        <w:rPr>
          <w:rFonts w:asciiTheme="minorHAnsi" w:eastAsiaTheme="minorEastAsia" w:hAnsiTheme="minorHAnsi" w:cstheme="minorBidi"/>
          <w:szCs w:val="22"/>
        </w:rPr>
      </w:pPr>
      <w:r>
        <w:t>145</w:t>
      </w:r>
      <w:r>
        <w:rPr>
          <w:snapToGrid w:val="0"/>
        </w:rPr>
        <w:t>.</w:t>
      </w:r>
      <w:r>
        <w:rPr>
          <w:snapToGrid w:val="0"/>
        </w:rPr>
        <w:tab/>
        <w:t>Records of liquor transactions to be kept by licensees etc.</w:t>
      </w:r>
      <w:r>
        <w:tab/>
      </w:r>
      <w:r>
        <w:fldChar w:fldCharType="begin"/>
      </w:r>
      <w:r>
        <w:instrText xml:space="preserve"> PAGEREF _Toc473119372 \h </w:instrText>
      </w:r>
      <w:r>
        <w:fldChar w:fldCharType="separate"/>
      </w:r>
      <w:r>
        <w:t>234</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Information to be given to Director in returns</w:t>
      </w:r>
      <w:r>
        <w:tab/>
      </w:r>
      <w:r>
        <w:fldChar w:fldCharType="begin"/>
      </w:r>
      <w:r>
        <w:instrText xml:space="preserve"> PAGEREF _Toc473119373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Recovery of illegal gains</w:t>
      </w:r>
    </w:p>
    <w:p>
      <w:pPr>
        <w:pStyle w:val="TOC8"/>
        <w:rPr>
          <w:rFonts w:asciiTheme="minorHAnsi" w:eastAsiaTheme="minorEastAsia" w:hAnsiTheme="minorHAnsi" w:cstheme="minorBidi"/>
          <w:szCs w:val="22"/>
        </w:rPr>
      </w:pPr>
      <w:r>
        <w:t>147</w:t>
      </w:r>
      <w:r>
        <w:rPr>
          <w:snapToGrid w:val="0"/>
        </w:rPr>
        <w:t>.</w:t>
      </w:r>
      <w:r>
        <w:rPr>
          <w:snapToGrid w:val="0"/>
        </w:rPr>
        <w:tab/>
        <w:t>Illegal gains, estimation and recovery of</w:t>
      </w:r>
      <w:r>
        <w:tab/>
      </w:r>
      <w:r>
        <w:fldChar w:fldCharType="begin"/>
      </w:r>
      <w:r>
        <w:instrText xml:space="preserve"> PAGEREF _Toc473119375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Information</w:t>
      </w:r>
    </w:p>
    <w:p>
      <w:pPr>
        <w:pStyle w:val="TOC8"/>
        <w:rPr>
          <w:rFonts w:asciiTheme="minorHAnsi" w:eastAsiaTheme="minorEastAsia" w:hAnsiTheme="minorHAnsi" w:cstheme="minorBidi"/>
          <w:szCs w:val="22"/>
        </w:rPr>
      </w:pPr>
      <w:r>
        <w:t>148</w:t>
      </w:r>
      <w:r>
        <w:rPr>
          <w:snapToGrid w:val="0"/>
        </w:rPr>
        <w:t>.</w:t>
      </w:r>
      <w:r>
        <w:rPr>
          <w:snapToGrid w:val="0"/>
        </w:rPr>
        <w:tab/>
        <w:t>Information etc., Director’s powers to obtain</w:t>
      </w:r>
      <w:r>
        <w:tab/>
      </w:r>
      <w:r>
        <w:fldChar w:fldCharType="begin"/>
      </w:r>
      <w:r>
        <w:instrText xml:space="preserve"> PAGEREF _Toc473119377 \h </w:instrText>
      </w:r>
      <w:r>
        <w:fldChar w:fldCharType="separate"/>
      </w:r>
      <w:r>
        <w:t>237</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Use of information, Director’s powers as to</w:t>
      </w:r>
      <w:r>
        <w:tab/>
      </w:r>
      <w:r>
        <w:fldChar w:fldCharType="begin"/>
      </w:r>
      <w:r>
        <w:instrText xml:space="preserve"> PAGEREF _Toc473119378 \h </w:instrText>
      </w:r>
      <w:r>
        <w:fldChar w:fldCharType="separate"/>
      </w:r>
      <w:r>
        <w:t>237</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Premises and records, Director’s right of access to etc.</w:t>
      </w:r>
      <w:r>
        <w:tab/>
      </w:r>
      <w:r>
        <w:fldChar w:fldCharType="begin"/>
      </w:r>
      <w:r>
        <w:instrText xml:space="preserve"> PAGEREF _Toc473119379 \h </w:instrText>
      </w:r>
      <w:r>
        <w:fldChar w:fldCharType="separate"/>
      </w:r>
      <w:r>
        <w:t>237</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Licensing authority may assist other authorities</w:t>
      </w:r>
      <w:r>
        <w:tab/>
      </w:r>
      <w:r>
        <w:fldChar w:fldCharType="begin"/>
      </w:r>
      <w:r>
        <w:instrText xml:space="preserve"> PAGEREF _Toc473119380 \h </w:instrText>
      </w:r>
      <w:r>
        <w:fldChar w:fldCharType="separate"/>
      </w:r>
      <w:r>
        <w:t>238</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Disclosure of information by officials</w:t>
      </w:r>
      <w:r>
        <w:tab/>
      </w:r>
      <w:r>
        <w:fldChar w:fldCharType="begin"/>
      </w:r>
      <w:r>
        <w:instrText xml:space="preserve"> PAGEREF _Toc473119381 \h </w:instrText>
      </w:r>
      <w:r>
        <w:fldChar w:fldCharType="separate"/>
      </w:r>
      <w:r>
        <w:t>238</w:t>
      </w:r>
      <w:r>
        <w:fldChar w:fldCharType="end"/>
      </w:r>
    </w:p>
    <w:p>
      <w:pPr>
        <w:pStyle w:val="TOC2"/>
        <w:tabs>
          <w:tab w:val="right" w:leader="dot" w:pos="7077"/>
        </w:tabs>
        <w:rPr>
          <w:rFonts w:asciiTheme="minorHAnsi" w:eastAsiaTheme="minorEastAsia" w:hAnsiTheme="minorHAnsi" w:cstheme="minorBidi"/>
          <w:b w:val="0"/>
          <w:sz w:val="22"/>
          <w:szCs w:val="22"/>
        </w:rPr>
      </w:pPr>
      <w:r>
        <w:t>Part 5A — Prohibition orders</w:t>
      </w:r>
    </w:p>
    <w:p>
      <w:pPr>
        <w:pStyle w:val="TOC8"/>
        <w:rPr>
          <w:rFonts w:asciiTheme="minorHAnsi" w:eastAsiaTheme="minorEastAsia" w:hAnsiTheme="minorHAnsi" w:cstheme="minorBidi"/>
          <w:szCs w:val="22"/>
        </w:rPr>
      </w:pPr>
      <w:r>
        <w:t>152A.</w:t>
      </w:r>
      <w:r>
        <w:tab/>
        <w:t>Terms used</w:t>
      </w:r>
      <w:r>
        <w:tab/>
      </w:r>
      <w:r>
        <w:fldChar w:fldCharType="begin"/>
      </w:r>
      <w:r>
        <w:instrText xml:space="preserve"> PAGEREF _Toc473119383 \h </w:instrText>
      </w:r>
      <w:r>
        <w:fldChar w:fldCharType="separate"/>
      </w:r>
      <w:r>
        <w:t>240</w:t>
      </w:r>
      <w:r>
        <w:fldChar w:fldCharType="end"/>
      </w:r>
    </w:p>
    <w:p>
      <w:pPr>
        <w:pStyle w:val="TOC8"/>
        <w:rPr>
          <w:rFonts w:asciiTheme="minorHAnsi" w:eastAsiaTheme="minorEastAsia" w:hAnsiTheme="minorHAnsi" w:cstheme="minorBidi"/>
          <w:szCs w:val="22"/>
        </w:rPr>
      </w:pPr>
      <w:r>
        <w:t>152B.</w:t>
      </w:r>
      <w:r>
        <w:tab/>
        <w:t>Commissioner of Police may apply for prohibition orders</w:t>
      </w:r>
      <w:r>
        <w:tab/>
      </w:r>
      <w:r>
        <w:fldChar w:fldCharType="begin"/>
      </w:r>
      <w:r>
        <w:instrText xml:space="preserve"> PAGEREF _Toc473119384 \h </w:instrText>
      </w:r>
      <w:r>
        <w:fldChar w:fldCharType="separate"/>
      </w:r>
      <w:r>
        <w:t>240</w:t>
      </w:r>
      <w:r>
        <w:fldChar w:fldCharType="end"/>
      </w:r>
    </w:p>
    <w:p>
      <w:pPr>
        <w:pStyle w:val="TOC8"/>
        <w:rPr>
          <w:rFonts w:asciiTheme="minorHAnsi" w:eastAsiaTheme="minorEastAsia" w:hAnsiTheme="minorHAnsi" w:cstheme="minorBidi"/>
          <w:szCs w:val="22"/>
        </w:rPr>
      </w:pPr>
      <w:r>
        <w:t>152C.</w:t>
      </w:r>
      <w:r>
        <w:tab/>
        <w:t>Evidence in support of s. 152B application</w:t>
      </w:r>
      <w:r>
        <w:tab/>
      </w:r>
      <w:r>
        <w:fldChar w:fldCharType="begin"/>
      </w:r>
      <w:r>
        <w:instrText xml:space="preserve"> PAGEREF _Toc473119385 \h </w:instrText>
      </w:r>
      <w:r>
        <w:fldChar w:fldCharType="separate"/>
      </w:r>
      <w:r>
        <w:t>241</w:t>
      </w:r>
      <w:r>
        <w:fldChar w:fldCharType="end"/>
      </w:r>
    </w:p>
    <w:p>
      <w:pPr>
        <w:pStyle w:val="TOC8"/>
        <w:rPr>
          <w:rFonts w:asciiTheme="minorHAnsi" w:eastAsiaTheme="minorEastAsia" w:hAnsiTheme="minorHAnsi" w:cstheme="minorBidi"/>
          <w:szCs w:val="22"/>
        </w:rPr>
      </w:pPr>
      <w:r>
        <w:t>152D.</w:t>
      </w:r>
      <w:r>
        <w:tab/>
        <w:t>Notice of s. 152B application etc. to be given to relevant person</w:t>
      </w:r>
      <w:r>
        <w:tab/>
      </w:r>
      <w:r>
        <w:fldChar w:fldCharType="begin"/>
      </w:r>
      <w:r>
        <w:instrText xml:space="preserve"> PAGEREF _Toc473119386 \h </w:instrText>
      </w:r>
      <w:r>
        <w:fldChar w:fldCharType="separate"/>
      </w:r>
      <w:r>
        <w:t>241</w:t>
      </w:r>
      <w:r>
        <w:fldChar w:fldCharType="end"/>
      </w:r>
    </w:p>
    <w:p>
      <w:pPr>
        <w:pStyle w:val="TOC8"/>
        <w:rPr>
          <w:rFonts w:asciiTheme="minorHAnsi" w:eastAsiaTheme="minorEastAsia" w:hAnsiTheme="minorHAnsi" w:cstheme="minorBidi"/>
          <w:szCs w:val="22"/>
        </w:rPr>
      </w:pPr>
      <w:r>
        <w:t>152E.</w:t>
      </w:r>
      <w:r>
        <w:tab/>
        <w:t>Director may make prohibition orders</w:t>
      </w:r>
      <w:r>
        <w:tab/>
      </w:r>
      <w:r>
        <w:fldChar w:fldCharType="begin"/>
      </w:r>
      <w:r>
        <w:instrText xml:space="preserve"> PAGEREF _Toc473119387 \h </w:instrText>
      </w:r>
      <w:r>
        <w:fldChar w:fldCharType="separate"/>
      </w:r>
      <w:r>
        <w:t>242</w:t>
      </w:r>
      <w:r>
        <w:fldChar w:fldCharType="end"/>
      </w:r>
    </w:p>
    <w:p>
      <w:pPr>
        <w:pStyle w:val="TOC8"/>
        <w:rPr>
          <w:rFonts w:asciiTheme="minorHAnsi" w:eastAsiaTheme="minorEastAsia" w:hAnsiTheme="minorHAnsi" w:cstheme="minorBidi"/>
          <w:szCs w:val="22"/>
        </w:rPr>
      </w:pPr>
      <w:r>
        <w:t>152F.</w:t>
      </w:r>
      <w:r>
        <w:tab/>
        <w:t>Term of prohibition orders</w:t>
      </w:r>
      <w:r>
        <w:tab/>
      </w:r>
      <w:r>
        <w:fldChar w:fldCharType="begin"/>
      </w:r>
      <w:r>
        <w:instrText xml:space="preserve"> PAGEREF _Toc473119388 \h </w:instrText>
      </w:r>
      <w:r>
        <w:fldChar w:fldCharType="separate"/>
      </w:r>
      <w:r>
        <w:t>242</w:t>
      </w:r>
      <w:r>
        <w:fldChar w:fldCharType="end"/>
      </w:r>
    </w:p>
    <w:p>
      <w:pPr>
        <w:pStyle w:val="TOC8"/>
        <w:rPr>
          <w:rFonts w:asciiTheme="minorHAnsi" w:eastAsiaTheme="minorEastAsia" w:hAnsiTheme="minorHAnsi" w:cstheme="minorBidi"/>
          <w:szCs w:val="22"/>
        </w:rPr>
      </w:pPr>
      <w:r>
        <w:t>152G.</w:t>
      </w:r>
      <w:r>
        <w:tab/>
        <w:t>Applications to vary or revoke prohibition orders</w:t>
      </w:r>
      <w:r>
        <w:tab/>
      </w:r>
      <w:r>
        <w:fldChar w:fldCharType="begin"/>
      </w:r>
      <w:r>
        <w:instrText xml:space="preserve"> PAGEREF _Toc473119389 \h </w:instrText>
      </w:r>
      <w:r>
        <w:fldChar w:fldCharType="separate"/>
      </w:r>
      <w:r>
        <w:t>243</w:t>
      </w:r>
      <w:r>
        <w:fldChar w:fldCharType="end"/>
      </w:r>
    </w:p>
    <w:p>
      <w:pPr>
        <w:pStyle w:val="TOC8"/>
        <w:rPr>
          <w:rFonts w:asciiTheme="minorHAnsi" w:eastAsiaTheme="minorEastAsia" w:hAnsiTheme="minorHAnsi" w:cstheme="minorBidi"/>
          <w:szCs w:val="22"/>
        </w:rPr>
      </w:pPr>
      <w:r>
        <w:t>152H.</w:t>
      </w:r>
      <w:r>
        <w:tab/>
        <w:t>Evidence in support of s. 152G application</w:t>
      </w:r>
      <w:r>
        <w:tab/>
      </w:r>
      <w:r>
        <w:fldChar w:fldCharType="begin"/>
      </w:r>
      <w:r>
        <w:instrText xml:space="preserve"> PAGEREF _Toc473119390 \h </w:instrText>
      </w:r>
      <w:r>
        <w:fldChar w:fldCharType="separate"/>
      </w:r>
      <w:r>
        <w:t>243</w:t>
      </w:r>
      <w:r>
        <w:fldChar w:fldCharType="end"/>
      </w:r>
    </w:p>
    <w:p>
      <w:pPr>
        <w:pStyle w:val="TOC8"/>
        <w:rPr>
          <w:rFonts w:asciiTheme="minorHAnsi" w:eastAsiaTheme="minorEastAsia" w:hAnsiTheme="minorHAnsi" w:cstheme="minorBidi"/>
          <w:szCs w:val="22"/>
        </w:rPr>
      </w:pPr>
      <w:r>
        <w:t>152I.</w:t>
      </w:r>
      <w:r>
        <w:tab/>
        <w:t>Notice of s. 152G application etc. to be given to respondent</w:t>
      </w:r>
      <w:r>
        <w:tab/>
      </w:r>
      <w:r>
        <w:fldChar w:fldCharType="begin"/>
      </w:r>
      <w:r>
        <w:instrText xml:space="preserve"> PAGEREF _Toc473119391 \h </w:instrText>
      </w:r>
      <w:r>
        <w:fldChar w:fldCharType="separate"/>
      </w:r>
      <w:r>
        <w:t>243</w:t>
      </w:r>
      <w:r>
        <w:fldChar w:fldCharType="end"/>
      </w:r>
    </w:p>
    <w:p>
      <w:pPr>
        <w:pStyle w:val="TOC8"/>
        <w:rPr>
          <w:rFonts w:asciiTheme="minorHAnsi" w:eastAsiaTheme="minorEastAsia" w:hAnsiTheme="minorHAnsi" w:cstheme="minorBidi"/>
          <w:szCs w:val="22"/>
        </w:rPr>
      </w:pPr>
      <w:r>
        <w:t>152J.</w:t>
      </w:r>
      <w:r>
        <w:tab/>
        <w:t>Director may vary or revoke prohibition orders</w:t>
      </w:r>
      <w:r>
        <w:tab/>
      </w:r>
      <w:r>
        <w:fldChar w:fldCharType="begin"/>
      </w:r>
      <w:r>
        <w:instrText xml:space="preserve"> PAGEREF _Toc473119392 \h </w:instrText>
      </w:r>
      <w:r>
        <w:fldChar w:fldCharType="separate"/>
      </w:r>
      <w:r>
        <w:t>244</w:t>
      </w:r>
      <w:r>
        <w:fldChar w:fldCharType="end"/>
      </w:r>
    </w:p>
    <w:p>
      <w:pPr>
        <w:pStyle w:val="TOC8"/>
        <w:rPr>
          <w:rFonts w:asciiTheme="minorHAnsi" w:eastAsiaTheme="minorEastAsia" w:hAnsiTheme="minorHAnsi" w:cstheme="minorBidi"/>
          <w:szCs w:val="22"/>
        </w:rPr>
      </w:pPr>
      <w:r>
        <w:t>152K.</w:t>
      </w:r>
      <w:r>
        <w:tab/>
        <w:t>Service and publication of prohibition orders</w:t>
      </w:r>
      <w:r>
        <w:tab/>
      </w:r>
      <w:r>
        <w:fldChar w:fldCharType="begin"/>
      </w:r>
      <w:r>
        <w:instrText xml:space="preserve"> PAGEREF _Toc473119393 \h </w:instrText>
      </w:r>
      <w:r>
        <w:fldChar w:fldCharType="separate"/>
      </w:r>
      <w:r>
        <w:t>244</w:t>
      </w:r>
      <w:r>
        <w:fldChar w:fldCharType="end"/>
      </w:r>
    </w:p>
    <w:p>
      <w:pPr>
        <w:pStyle w:val="TOC8"/>
        <w:rPr>
          <w:rFonts w:asciiTheme="minorHAnsi" w:eastAsiaTheme="minorEastAsia" w:hAnsiTheme="minorHAnsi" w:cstheme="minorBidi"/>
          <w:szCs w:val="22"/>
        </w:rPr>
      </w:pPr>
      <w:r>
        <w:t>152L.</w:t>
      </w:r>
      <w:r>
        <w:tab/>
        <w:t>Failing to comply with prohibition orders</w:t>
      </w:r>
      <w:r>
        <w:tab/>
      </w:r>
      <w:r>
        <w:fldChar w:fldCharType="begin"/>
      </w:r>
      <w:r>
        <w:instrText xml:space="preserve"> PAGEREF _Toc473119394 \h </w:instrText>
      </w:r>
      <w:r>
        <w:fldChar w:fldCharType="separate"/>
      </w:r>
      <w:r>
        <w:t>245</w:t>
      </w:r>
      <w:r>
        <w:fldChar w:fldCharType="end"/>
      </w:r>
    </w:p>
    <w:p>
      <w:pPr>
        <w:pStyle w:val="TOC8"/>
        <w:rPr>
          <w:rFonts w:asciiTheme="minorHAnsi" w:eastAsiaTheme="minorEastAsia" w:hAnsiTheme="minorHAnsi" w:cstheme="minorBidi"/>
          <w:szCs w:val="22"/>
        </w:rPr>
      </w:pPr>
      <w:r>
        <w:t>152M.</w:t>
      </w:r>
      <w:r>
        <w:tab/>
        <w:t>Permitting entry to premises contrary to prohibition order</w:t>
      </w:r>
      <w:r>
        <w:tab/>
      </w:r>
      <w:r>
        <w:fldChar w:fldCharType="begin"/>
      </w:r>
      <w:r>
        <w:instrText xml:space="preserve"> PAGEREF _Toc473119395 \h </w:instrText>
      </w:r>
      <w:r>
        <w:fldChar w:fldCharType="separate"/>
      </w:r>
      <w:r>
        <w:t>246</w:t>
      </w:r>
      <w:r>
        <w:fldChar w:fldCharType="end"/>
      </w:r>
    </w:p>
    <w:p>
      <w:pPr>
        <w:pStyle w:val="TOC8"/>
        <w:rPr>
          <w:rFonts w:asciiTheme="minorHAnsi" w:eastAsiaTheme="minorEastAsia" w:hAnsiTheme="minorHAnsi" w:cstheme="minorBidi"/>
          <w:szCs w:val="22"/>
        </w:rPr>
      </w:pPr>
      <w:r>
        <w:t>152NA.</w:t>
      </w:r>
      <w:r>
        <w:tab/>
        <w:t xml:space="preserve">Relationship with </w:t>
      </w:r>
      <w:r>
        <w:rPr>
          <w:i/>
        </w:rPr>
        <w:t>Criminal Organisations Control Act 2012</w:t>
      </w:r>
      <w:r>
        <w:tab/>
      </w:r>
      <w:r>
        <w:fldChar w:fldCharType="begin"/>
      </w:r>
      <w:r>
        <w:instrText xml:space="preserve"> PAGEREF _Toc473119396 \h </w:instrText>
      </w:r>
      <w:r>
        <w:fldChar w:fldCharType="separate"/>
      </w:r>
      <w:r>
        <w:t>246</w:t>
      </w:r>
      <w:r>
        <w:fldChar w:fldCharType="end"/>
      </w:r>
    </w:p>
    <w:p>
      <w:pPr>
        <w:pStyle w:val="TOC2"/>
        <w:tabs>
          <w:tab w:val="right" w:leader="dot" w:pos="7077"/>
        </w:tabs>
        <w:rPr>
          <w:rFonts w:asciiTheme="minorHAnsi" w:eastAsiaTheme="minorEastAsia" w:hAnsiTheme="minorHAnsi" w:cstheme="minorBidi"/>
          <w:b w:val="0"/>
          <w:sz w:val="22"/>
          <w:szCs w:val="22"/>
        </w:rPr>
      </w:pPr>
      <w:r>
        <w:t>Part 5B — Liquor restricted premises</w:t>
      </w:r>
    </w:p>
    <w:p>
      <w:pPr>
        <w:pStyle w:val="TOC8"/>
        <w:rPr>
          <w:rFonts w:asciiTheme="minorHAnsi" w:eastAsiaTheme="minorEastAsia" w:hAnsiTheme="minorHAnsi" w:cstheme="minorBidi"/>
          <w:szCs w:val="22"/>
        </w:rPr>
      </w:pPr>
      <w:r>
        <w:t>152N.</w:t>
      </w:r>
      <w:r>
        <w:tab/>
        <w:t>Terms used</w:t>
      </w:r>
      <w:r>
        <w:tab/>
      </w:r>
      <w:r>
        <w:fldChar w:fldCharType="begin"/>
      </w:r>
      <w:r>
        <w:instrText xml:space="preserve"> PAGEREF _Toc473119398 \h </w:instrText>
      </w:r>
      <w:r>
        <w:fldChar w:fldCharType="separate"/>
      </w:r>
      <w:r>
        <w:t>247</w:t>
      </w:r>
      <w:r>
        <w:fldChar w:fldCharType="end"/>
      </w:r>
    </w:p>
    <w:p>
      <w:pPr>
        <w:pStyle w:val="TOC8"/>
        <w:rPr>
          <w:rFonts w:asciiTheme="minorHAnsi" w:eastAsiaTheme="minorEastAsia" w:hAnsiTheme="minorHAnsi" w:cstheme="minorBidi"/>
          <w:szCs w:val="22"/>
        </w:rPr>
      </w:pPr>
      <w:r>
        <w:t>152O.</w:t>
      </w:r>
      <w:r>
        <w:tab/>
        <w:t>Liquor on liquor restricted premises, offences as to</w:t>
      </w:r>
      <w:r>
        <w:tab/>
      </w:r>
      <w:r>
        <w:fldChar w:fldCharType="begin"/>
      </w:r>
      <w:r>
        <w:instrText xml:space="preserve"> PAGEREF _Toc473119399 \h </w:instrText>
      </w:r>
      <w:r>
        <w:fldChar w:fldCharType="separate"/>
      </w:r>
      <w:r>
        <w:t>247</w:t>
      </w:r>
      <w:r>
        <w:fldChar w:fldCharType="end"/>
      </w:r>
    </w:p>
    <w:p>
      <w:pPr>
        <w:pStyle w:val="TOC8"/>
        <w:rPr>
          <w:rFonts w:asciiTheme="minorHAnsi" w:eastAsiaTheme="minorEastAsia" w:hAnsiTheme="minorHAnsi" w:cstheme="minorBidi"/>
          <w:szCs w:val="22"/>
        </w:rPr>
      </w:pPr>
      <w:r>
        <w:t>152P.</w:t>
      </w:r>
      <w:r>
        <w:tab/>
        <w:t>Declaration of liquor restricted premises</w:t>
      </w:r>
      <w:r>
        <w:tab/>
      </w:r>
      <w:r>
        <w:fldChar w:fldCharType="begin"/>
      </w:r>
      <w:r>
        <w:instrText xml:space="preserve"> PAGEREF _Toc473119400 \h </w:instrText>
      </w:r>
      <w:r>
        <w:fldChar w:fldCharType="separate"/>
      </w:r>
      <w:r>
        <w:t>248</w:t>
      </w:r>
      <w:r>
        <w:fldChar w:fldCharType="end"/>
      </w:r>
    </w:p>
    <w:p>
      <w:pPr>
        <w:pStyle w:val="TOC8"/>
        <w:rPr>
          <w:rFonts w:asciiTheme="minorHAnsi" w:eastAsiaTheme="minorEastAsia" w:hAnsiTheme="minorHAnsi" w:cstheme="minorBidi"/>
          <w:szCs w:val="22"/>
        </w:rPr>
      </w:pPr>
      <w:r>
        <w:t>152Q.</w:t>
      </w:r>
      <w:r>
        <w:tab/>
        <w:t>Liquor restriction declarations, power to make</w:t>
      </w:r>
      <w:r>
        <w:tab/>
      </w:r>
      <w:r>
        <w:fldChar w:fldCharType="begin"/>
      </w:r>
      <w:r>
        <w:instrText xml:space="preserve"> PAGEREF _Toc473119401 \h </w:instrText>
      </w:r>
      <w:r>
        <w:fldChar w:fldCharType="separate"/>
      </w:r>
      <w:r>
        <w:t>249</w:t>
      </w:r>
      <w:r>
        <w:fldChar w:fldCharType="end"/>
      </w:r>
    </w:p>
    <w:p>
      <w:pPr>
        <w:pStyle w:val="TOC8"/>
        <w:rPr>
          <w:rFonts w:asciiTheme="minorHAnsi" w:eastAsiaTheme="minorEastAsia" w:hAnsiTheme="minorHAnsi" w:cstheme="minorBidi"/>
          <w:szCs w:val="22"/>
        </w:rPr>
      </w:pPr>
      <w:r>
        <w:t>152R.</w:t>
      </w:r>
      <w:r>
        <w:tab/>
        <w:t>Service etc. of liquor restriction declarations</w:t>
      </w:r>
      <w:r>
        <w:tab/>
      </w:r>
      <w:r>
        <w:fldChar w:fldCharType="begin"/>
      </w:r>
      <w:r>
        <w:instrText xml:space="preserve"> PAGEREF _Toc473119402 \h </w:instrText>
      </w:r>
      <w:r>
        <w:fldChar w:fldCharType="separate"/>
      </w:r>
      <w:r>
        <w:t>250</w:t>
      </w:r>
      <w:r>
        <w:fldChar w:fldCharType="end"/>
      </w:r>
    </w:p>
    <w:p>
      <w:pPr>
        <w:pStyle w:val="TOC8"/>
        <w:rPr>
          <w:rFonts w:asciiTheme="minorHAnsi" w:eastAsiaTheme="minorEastAsia" w:hAnsiTheme="minorHAnsi" w:cstheme="minorBidi"/>
          <w:szCs w:val="22"/>
        </w:rPr>
      </w:pPr>
      <w:r>
        <w:t>152S.</w:t>
      </w:r>
      <w:r>
        <w:tab/>
        <w:t>Notice of liquor restriction declaration to be displayed at premises</w:t>
      </w:r>
      <w:r>
        <w:tab/>
      </w:r>
      <w:r>
        <w:fldChar w:fldCharType="begin"/>
      </w:r>
      <w:r>
        <w:instrText xml:space="preserve"> PAGEREF _Toc473119403 \h </w:instrText>
      </w:r>
      <w:r>
        <w:fldChar w:fldCharType="separate"/>
      </w:r>
      <w:r>
        <w:t>251</w:t>
      </w:r>
      <w:r>
        <w:fldChar w:fldCharType="end"/>
      </w:r>
    </w:p>
    <w:p>
      <w:pPr>
        <w:pStyle w:val="TOC8"/>
        <w:rPr>
          <w:rFonts w:asciiTheme="minorHAnsi" w:eastAsiaTheme="minorEastAsia" w:hAnsiTheme="minorHAnsi" w:cstheme="minorBidi"/>
          <w:szCs w:val="22"/>
        </w:rPr>
      </w:pPr>
      <w:r>
        <w:t>152T.</w:t>
      </w:r>
      <w:r>
        <w:tab/>
        <w:t>Duration of liquor restriction declarations</w:t>
      </w:r>
      <w:r>
        <w:tab/>
      </w:r>
      <w:r>
        <w:fldChar w:fldCharType="begin"/>
      </w:r>
      <w:r>
        <w:instrText xml:space="preserve"> PAGEREF _Toc473119404 \h </w:instrText>
      </w:r>
      <w:r>
        <w:fldChar w:fldCharType="separate"/>
      </w:r>
      <w:r>
        <w:t>252</w:t>
      </w:r>
      <w:r>
        <w:fldChar w:fldCharType="end"/>
      </w:r>
    </w:p>
    <w:p>
      <w:pPr>
        <w:pStyle w:val="TOC8"/>
        <w:rPr>
          <w:rFonts w:asciiTheme="minorHAnsi" w:eastAsiaTheme="minorEastAsia" w:hAnsiTheme="minorHAnsi" w:cstheme="minorBidi"/>
          <w:szCs w:val="22"/>
        </w:rPr>
      </w:pPr>
      <w:r>
        <w:t>152U.</w:t>
      </w:r>
      <w:r>
        <w:tab/>
        <w:t>Varying liquor restriction declarations</w:t>
      </w:r>
      <w:r>
        <w:tab/>
      </w:r>
      <w:r>
        <w:fldChar w:fldCharType="begin"/>
      </w:r>
      <w:r>
        <w:instrText xml:space="preserve"> PAGEREF _Toc473119405 \h </w:instrText>
      </w:r>
      <w:r>
        <w:fldChar w:fldCharType="separate"/>
      </w:r>
      <w:r>
        <w:t>252</w:t>
      </w:r>
      <w:r>
        <w:fldChar w:fldCharType="end"/>
      </w:r>
    </w:p>
    <w:p>
      <w:pPr>
        <w:pStyle w:val="TOC8"/>
        <w:rPr>
          <w:rFonts w:asciiTheme="minorHAnsi" w:eastAsiaTheme="minorEastAsia" w:hAnsiTheme="minorHAnsi" w:cstheme="minorBidi"/>
          <w:szCs w:val="22"/>
        </w:rPr>
      </w:pPr>
      <w:r>
        <w:t>152V.</w:t>
      </w:r>
      <w:r>
        <w:tab/>
        <w:t>Revoking liquor restriction declarations</w:t>
      </w:r>
      <w:r>
        <w:tab/>
      </w:r>
      <w:r>
        <w:fldChar w:fldCharType="begin"/>
      </w:r>
      <w:r>
        <w:instrText xml:space="preserve"> PAGEREF _Toc473119406 \h </w:instrText>
      </w:r>
      <w:r>
        <w:fldChar w:fldCharType="separate"/>
      </w:r>
      <w:r>
        <w:t>254</w:t>
      </w:r>
      <w:r>
        <w:fldChar w:fldCharType="end"/>
      </w:r>
    </w:p>
    <w:p>
      <w:pPr>
        <w:pStyle w:val="TOC8"/>
        <w:rPr>
          <w:rFonts w:asciiTheme="minorHAnsi" w:eastAsiaTheme="minorEastAsia" w:hAnsiTheme="minorHAnsi" w:cstheme="minorBidi"/>
          <w:szCs w:val="22"/>
        </w:rPr>
      </w:pPr>
      <w:r>
        <w:t>152W.</w:t>
      </w:r>
      <w:r>
        <w:tab/>
        <w:t>Applications generally</w:t>
      </w:r>
      <w:r>
        <w:tab/>
      </w:r>
      <w:r>
        <w:fldChar w:fldCharType="begin"/>
      </w:r>
      <w:r>
        <w:instrText xml:space="preserve"> PAGEREF _Toc473119407 \h </w:instrText>
      </w:r>
      <w:r>
        <w:fldChar w:fldCharType="separate"/>
      </w:r>
      <w:r>
        <w:t>254</w:t>
      </w:r>
      <w:r>
        <w:fldChar w:fldCharType="end"/>
      </w:r>
    </w:p>
    <w:p>
      <w:pPr>
        <w:pStyle w:val="TOC8"/>
        <w:rPr>
          <w:rFonts w:asciiTheme="minorHAnsi" w:eastAsiaTheme="minorEastAsia" w:hAnsiTheme="minorHAnsi" w:cstheme="minorBidi"/>
          <w:szCs w:val="22"/>
        </w:rPr>
      </w:pPr>
      <w:r>
        <w:t>152X.</w:t>
      </w:r>
      <w:r>
        <w:tab/>
        <w:t>Decisions under Part 5B not subject to review under s. 25</w:t>
      </w:r>
      <w:r>
        <w:tab/>
      </w:r>
      <w:r>
        <w:fldChar w:fldCharType="begin"/>
      </w:r>
      <w:r>
        <w:instrText xml:space="preserve"> PAGEREF _Toc473119408 \h </w:instrText>
      </w:r>
      <w:r>
        <w:fldChar w:fldCharType="separate"/>
      </w:r>
      <w:r>
        <w:t>255</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w:t>
      </w:r>
    </w:p>
    <w:p>
      <w:pPr>
        <w:pStyle w:val="TOC8"/>
        <w:rPr>
          <w:rFonts w:asciiTheme="minorHAnsi" w:eastAsiaTheme="minorEastAsia" w:hAnsiTheme="minorHAnsi" w:cstheme="minorBidi"/>
          <w:szCs w:val="22"/>
        </w:rPr>
      </w:pPr>
      <w:r>
        <w:t>153</w:t>
      </w:r>
      <w:r>
        <w:rPr>
          <w:snapToGrid w:val="0"/>
        </w:rPr>
        <w:t>.</w:t>
      </w:r>
      <w:r>
        <w:rPr>
          <w:snapToGrid w:val="0"/>
        </w:rPr>
        <w:tab/>
        <w:t>Authorised officers etc., functions and reports of</w:t>
      </w:r>
      <w:r>
        <w:tab/>
      </w:r>
      <w:r>
        <w:fldChar w:fldCharType="begin"/>
      </w:r>
      <w:r>
        <w:instrText xml:space="preserve"> PAGEREF _Toc473119410 \h </w:instrText>
      </w:r>
      <w:r>
        <w:fldChar w:fldCharType="separate"/>
      </w:r>
      <w:r>
        <w:t>256</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Authorised officers, powers of entry etc., offences as to</w:t>
      </w:r>
      <w:r>
        <w:tab/>
      </w:r>
      <w:r>
        <w:fldChar w:fldCharType="begin"/>
      </w:r>
      <w:r>
        <w:instrText xml:space="preserve"> PAGEREF _Toc473119411 \h </w:instrText>
      </w:r>
      <w:r>
        <w:fldChar w:fldCharType="separate"/>
      </w:r>
      <w:r>
        <w:t>257</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Police, powers of to enter, seize liquor etc.</w:t>
      </w:r>
      <w:r>
        <w:tab/>
      </w:r>
      <w:r>
        <w:fldChar w:fldCharType="begin"/>
      </w:r>
      <w:r>
        <w:instrText xml:space="preserve"> PAGEREF _Toc473119412 \h </w:instrText>
      </w:r>
      <w:r>
        <w:fldChar w:fldCharType="separate"/>
      </w:r>
      <w:r>
        <w:t>259</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Local governments, functions of</w:t>
      </w:r>
      <w:r>
        <w:tab/>
      </w:r>
      <w:r>
        <w:fldChar w:fldCharType="begin"/>
      </w:r>
      <w:r>
        <w:instrText xml:space="preserve"> PAGEREF _Toc473119413 \h </w:instrText>
      </w:r>
      <w:r>
        <w:fldChar w:fldCharType="separate"/>
      </w:r>
      <w:r>
        <w:t>261</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Evasion of fees due etc., offence</w:t>
      </w:r>
      <w:r>
        <w:tab/>
      </w:r>
      <w:r>
        <w:fldChar w:fldCharType="begin"/>
      </w:r>
      <w:r>
        <w:instrText xml:space="preserve"> PAGEREF _Toc473119414 \h </w:instrText>
      </w:r>
      <w:r>
        <w:fldChar w:fldCharType="separate"/>
      </w:r>
      <w:r>
        <w:t>262</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Failing to comply with licensing authority’s requirements etc., offence</w:t>
      </w:r>
      <w:r>
        <w:tab/>
      </w:r>
      <w:r>
        <w:fldChar w:fldCharType="begin"/>
      </w:r>
      <w:r>
        <w:instrText xml:space="preserve"> PAGEREF _Toc473119415 \h </w:instrText>
      </w:r>
      <w:r>
        <w:fldChar w:fldCharType="separate"/>
      </w:r>
      <w:r>
        <w:t>262</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statements and records, offence</w:t>
      </w:r>
      <w:r>
        <w:tab/>
      </w:r>
      <w:r>
        <w:fldChar w:fldCharType="begin"/>
      </w:r>
      <w:r>
        <w:instrText xml:space="preserve"> PAGEREF _Toc473119416 \h </w:instrText>
      </w:r>
      <w:r>
        <w:fldChar w:fldCharType="separate"/>
      </w:r>
      <w:r>
        <w:t>263</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Information about offences, power to obtain</w:t>
      </w:r>
      <w:r>
        <w:tab/>
      </w:r>
      <w:r>
        <w:fldChar w:fldCharType="begin"/>
      </w:r>
      <w:r>
        <w:instrText xml:space="preserve"> PAGEREF _Toc473119417 \h </w:instrText>
      </w:r>
      <w:r>
        <w:fldChar w:fldCharType="separate"/>
      </w:r>
      <w:r>
        <w:t>264</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Search warrants, issue and execution of</w:t>
      </w:r>
      <w:r>
        <w:tab/>
      </w:r>
      <w:r>
        <w:fldChar w:fldCharType="begin"/>
      </w:r>
      <w:r>
        <w:instrText xml:space="preserve"> PAGEREF _Toc473119418 \h </w:instrText>
      </w:r>
      <w:r>
        <w:fldChar w:fldCharType="separate"/>
      </w:r>
      <w:r>
        <w:t>265</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Separate offences and continuing offences</w:t>
      </w:r>
      <w:r>
        <w:tab/>
      </w:r>
      <w:r>
        <w:fldChar w:fldCharType="begin"/>
      </w:r>
      <w:r>
        <w:instrText xml:space="preserve"> PAGEREF _Toc473119419 \h </w:instrText>
      </w:r>
      <w:r>
        <w:fldChar w:fldCharType="separate"/>
      </w:r>
      <w:r>
        <w:t>267</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Sale of liquor, presumption of in some cases</w:t>
      </w:r>
      <w:r>
        <w:tab/>
      </w:r>
      <w:r>
        <w:fldChar w:fldCharType="begin"/>
      </w:r>
      <w:r>
        <w:instrText xml:space="preserve"> PAGEREF _Toc473119420 \h </w:instrText>
      </w:r>
      <w:r>
        <w:fldChar w:fldCharType="separate"/>
      </w:r>
      <w:r>
        <w:t>268</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Bodies corporate and partnerships, offences by</w:t>
      </w:r>
      <w:r>
        <w:tab/>
      </w:r>
      <w:r>
        <w:fldChar w:fldCharType="begin"/>
      </w:r>
      <w:r>
        <w:instrText xml:space="preserve"> PAGEREF _Toc473119421 \h </w:instrText>
      </w:r>
      <w:r>
        <w:fldChar w:fldCharType="separate"/>
      </w:r>
      <w:r>
        <w:t>268</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Licensee liable for act of employee etc.</w:t>
      </w:r>
      <w:r>
        <w:tab/>
      </w:r>
      <w:r>
        <w:fldChar w:fldCharType="begin"/>
      </w:r>
      <w:r>
        <w:instrText xml:space="preserve"> PAGEREF _Toc473119422 \h </w:instrText>
      </w:r>
      <w:r>
        <w:fldChar w:fldCharType="separate"/>
      </w:r>
      <w:r>
        <w:t>271</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General penalty</w:t>
      </w:r>
      <w:r>
        <w:tab/>
      </w:r>
      <w:r>
        <w:fldChar w:fldCharType="begin"/>
      </w:r>
      <w:r>
        <w:instrText xml:space="preserve"> PAGEREF _Toc473119423 \h </w:instrText>
      </w:r>
      <w:r>
        <w:fldChar w:fldCharType="separate"/>
      </w:r>
      <w:r>
        <w:t>271</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Infringement notices</w:t>
      </w:r>
      <w:r>
        <w:tab/>
      </w:r>
      <w:r>
        <w:fldChar w:fldCharType="begin"/>
      </w:r>
      <w:r>
        <w:instrText xml:space="preserve"> PAGEREF _Toc473119424 \h </w:instrText>
      </w:r>
      <w:r>
        <w:fldChar w:fldCharType="separate"/>
      </w:r>
      <w:r>
        <w:t>272</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Prosecutions, institution of</w:t>
      </w:r>
      <w:r>
        <w:tab/>
      </w:r>
      <w:r>
        <w:fldChar w:fldCharType="begin"/>
      </w:r>
      <w:r>
        <w:instrText xml:space="preserve"> PAGEREF _Toc473119425 \h </w:instrText>
      </w:r>
      <w:r>
        <w:fldChar w:fldCharType="separate"/>
      </w:r>
      <w:r>
        <w:t>274</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Prosecutions, hearing of and limitation periods for</w:t>
      </w:r>
      <w:r>
        <w:tab/>
      </w:r>
      <w:r>
        <w:fldChar w:fldCharType="begin"/>
      </w:r>
      <w:r>
        <w:instrText xml:space="preserve"> PAGEREF _Toc473119426 \h </w:instrText>
      </w:r>
      <w:r>
        <w:fldChar w:fldCharType="separate"/>
      </w:r>
      <w:r>
        <w:t>274</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Evidentiary provisions as to proof of certain facts</w:t>
      </w:r>
      <w:r>
        <w:tab/>
      </w:r>
      <w:r>
        <w:fldChar w:fldCharType="begin"/>
      </w:r>
      <w:r>
        <w:instrText xml:space="preserve"> PAGEREF _Toc473119427 \h </w:instrText>
      </w:r>
      <w:r>
        <w:fldChar w:fldCharType="separate"/>
      </w:r>
      <w:r>
        <w:t>275</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Accomplices, who are not, evidence of</w:t>
      </w:r>
      <w:r>
        <w:tab/>
      </w:r>
      <w:r>
        <w:fldChar w:fldCharType="begin"/>
      </w:r>
      <w:r>
        <w:instrText xml:space="preserve"> PAGEREF _Toc473119428 \h </w:instrText>
      </w:r>
      <w:r>
        <w:fldChar w:fldCharType="separate"/>
      </w:r>
      <w:r>
        <w:t>276</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Averments in charges, proof of certain documents and facts</w:t>
      </w:r>
      <w:r>
        <w:tab/>
      </w:r>
      <w:r>
        <w:fldChar w:fldCharType="begin"/>
      </w:r>
      <w:r>
        <w:instrText xml:space="preserve"> PAGEREF _Toc473119429 \h </w:instrText>
      </w:r>
      <w:r>
        <w:fldChar w:fldCharType="separate"/>
      </w:r>
      <w:r>
        <w:t>277</w:t>
      </w:r>
      <w:r>
        <w:fldChar w:fldCharType="end"/>
      </w:r>
    </w:p>
    <w:p>
      <w:pPr>
        <w:pStyle w:val="TOC8"/>
        <w:rPr>
          <w:rFonts w:asciiTheme="minorHAnsi" w:eastAsiaTheme="minorEastAsia" w:hAnsiTheme="minorHAnsi" w:cstheme="minorBidi"/>
          <w:szCs w:val="22"/>
        </w:rPr>
      </w:pPr>
      <w:r>
        <w:t>172A.</w:t>
      </w:r>
      <w:r>
        <w:tab/>
        <w:t>Forfeiture of liquor etc. on conviction or payment of modified penalty</w:t>
      </w:r>
      <w:r>
        <w:tab/>
      </w:r>
      <w:r>
        <w:fldChar w:fldCharType="begin"/>
      </w:r>
      <w:r>
        <w:instrText xml:space="preserve"> PAGEREF _Toc473119430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Part 7 — General</w:t>
      </w:r>
    </w:p>
    <w:p>
      <w:pPr>
        <w:pStyle w:val="TOC8"/>
        <w:rPr>
          <w:rFonts w:asciiTheme="minorHAnsi" w:eastAsiaTheme="minorEastAsia" w:hAnsiTheme="minorHAnsi" w:cstheme="minorBidi"/>
          <w:szCs w:val="22"/>
        </w:rPr>
      </w:pPr>
      <w:r>
        <w:t>173</w:t>
      </w:r>
      <w:r>
        <w:rPr>
          <w:snapToGrid w:val="0"/>
        </w:rPr>
        <w:t>.</w:t>
      </w:r>
      <w:r>
        <w:rPr>
          <w:snapToGrid w:val="0"/>
        </w:rPr>
        <w:tab/>
        <w:t>Pending review etc. not to affect liability</w:t>
      </w:r>
      <w:r>
        <w:tab/>
      </w:r>
      <w:r>
        <w:fldChar w:fldCharType="begin"/>
      </w:r>
      <w:r>
        <w:instrText xml:space="preserve"> PAGEREF _Toc473119432 \h </w:instrText>
      </w:r>
      <w:r>
        <w:fldChar w:fldCharType="separate"/>
      </w:r>
      <w:r>
        <w:t>284</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Service of documents</w:t>
      </w:r>
      <w:r>
        <w:tab/>
      </w:r>
      <w:r>
        <w:fldChar w:fldCharType="begin"/>
      </w:r>
      <w:r>
        <w:instrText xml:space="preserve"> PAGEREF _Toc473119433 \h </w:instrText>
      </w:r>
      <w:r>
        <w:fldChar w:fldCharType="separate"/>
      </w:r>
      <w:r>
        <w:t>284</w:t>
      </w:r>
      <w:r>
        <w:fldChar w:fldCharType="end"/>
      </w:r>
    </w:p>
    <w:p>
      <w:pPr>
        <w:pStyle w:val="TOC8"/>
        <w:rPr>
          <w:rFonts w:asciiTheme="minorHAnsi" w:eastAsiaTheme="minorEastAsia" w:hAnsiTheme="minorHAnsi" w:cstheme="minorBidi"/>
          <w:szCs w:val="22"/>
        </w:rPr>
      </w:pPr>
      <w:r>
        <w:t>174A.</w:t>
      </w:r>
      <w:r>
        <w:tab/>
      </w:r>
      <w:r>
        <w:rPr>
          <w:i/>
          <w:iCs/>
        </w:rPr>
        <w:t>Criminal and Found Property Disposal Act 2006</w:t>
      </w:r>
      <w:r>
        <w:rPr>
          <w:iCs/>
        </w:rPr>
        <w:t xml:space="preserve">, </w:t>
      </w:r>
      <w:r>
        <w:t>application of</w:t>
      </w:r>
      <w:r>
        <w:tab/>
      </w:r>
      <w:r>
        <w:fldChar w:fldCharType="begin"/>
      </w:r>
      <w:r>
        <w:instrText xml:space="preserve"> PAGEREF _Toc473119434 \h </w:instrText>
      </w:r>
      <w:r>
        <w:fldChar w:fldCharType="separate"/>
      </w:r>
      <w:r>
        <w:t>285</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Regulations</w:t>
      </w:r>
      <w:r>
        <w:tab/>
      </w:r>
      <w:r>
        <w:fldChar w:fldCharType="begin"/>
      </w:r>
      <w:r>
        <w:instrText xml:space="preserve"> PAGEREF _Toc473119435 \h </w:instrText>
      </w:r>
      <w:r>
        <w:fldChar w:fldCharType="separate"/>
      </w:r>
      <w:r>
        <w:t>285</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Transitional provisions (Sch. 1)</w:t>
      </w:r>
      <w:r>
        <w:tab/>
      </w:r>
      <w:r>
        <w:fldChar w:fldCharType="begin"/>
      </w:r>
      <w:r>
        <w:instrText xml:space="preserve"> PAGEREF _Toc473119436 \h </w:instrText>
      </w:r>
      <w:r>
        <w:fldChar w:fldCharType="separate"/>
      </w:r>
      <w:r>
        <w:t>287</w:t>
      </w:r>
      <w:r>
        <w:fldChar w:fldCharType="end"/>
      </w:r>
    </w:p>
    <w:p>
      <w:pPr>
        <w:pStyle w:val="TOC8"/>
        <w:rPr>
          <w:rFonts w:asciiTheme="minorHAnsi" w:eastAsiaTheme="minorEastAsia" w:hAnsiTheme="minorHAnsi" w:cstheme="minorBidi"/>
          <w:szCs w:val="22"/>
        </w:rPr>
      </w:pPr>
      <w:r>
        <w:t>177A.</w:t>
      </w:r>
      <w:r>
        <w:tab/>
        <w:t xml:space="preserve">Transitional provisions for </w:t>
      </w:r>
      <w:r>
        <w:rPr>
          <w:i/>
        </w:rPr>
        <w:t>Liquor and Gaming Legislation Amendment Act 2006</w:t>
      </w:r>
      <w:r>
        <w:t xml:space="preserve"> </w:t>
      </w:r>
      <w:r>
        <w:rPr>
          <w:snapToGrid w:val="0"/>
        </w:rPr>
        <w:t>(Sch. 1A)</w:t>
      </w:r>
      <w:r>
        <w:tab/>
      </w:r>
      <w:r>
        <w:fldChar w:fldCharType="begin"/>
      </w:r>
      <w:r>
        <w:instrText xml:space="preserve"> PAGEREF _Toc473119437 \h </w:instrText>
      </w:r>
      <w:r>
        <w:fldChar w:fldCharType="separate"/>
      </w:r>
      <w:r>
        <w:t>287</w:t>
      </w:r>
      <w:r>
        <w:fldChar w:fldCharType="end"/>
      </w:r>
    </w:p>
    <w:p>
      <w:pPr>
        <w:pStyle w:val="TOC8"/>
        <w:rPr>
          <w:rFonts w:asciiTheme="minorHAnsi" w:eastAsiaTheme="minorEastAsia" w:hAnsiTheme="minorHAnsi" w:cstheme="minorBidi"/>
          <w:szCs w:val="22"/>
        </w:rPr>
      </w:pPr>
      <w:r>
        <w:t>177B.</w:t>
      </w:r>
      <w:r>
        <w:tab/>
        <w:t xml:space="preserve">Transitional provisions for </w:t>
      </w:r>
      <w:r>
        <w:rPr>
          <w:i/>
          <w:iCs/>
        </w:rPr>
        <w:t>Liquor Control Amendment Act 2010</w:t>
      </w:r>
      <w:r>
        <w:rPr>
          <w:iCs/>
        </w:rPr>
        <w:t xml:space="preserve"> </w:t>
      </w:r>
      <w:r>
        <w:rPr>
          <w:snapToGrid w:val="0"/>
        </w:rPr>
        <w:t>(Sch. 1B)</w:t>
      </w:r>
      <w:r>
        <w:tab/>
      </w:r>
      <w:r>
        <w:fldChar w:fldCharType="begin"/>
      </w:r>
      <w:r>
        <w:instrText xml:space="preserve"> PAGEREF _Toc473119438 \h </w:instrText>
      </w:r>
      <w:r>
        <w:fldChar w:fldCharType="separate"/>
      </w:r>
      <w:r>
        <w:t>287</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Review of Act</w:t>
      </w:r>
      <w:r>
        <w:tab/>
      </w:r>
      <w:r>
        <w:fldChar w:fldCharType="begin"/>
      </w:r>
      <w:r>
        <w:instrText xml:space="preserve"> PAGEREF _Toc473119439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_Toc473119441 \h </w:instrText>
      </w:r>
      <w:r>
        <w:fldChar w:fldCharType="separate"/>
      </w:r>
      <w:r>
        <w:t>289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effect of convictions, forfeitures etc.</w:t>
      </w:r>
      <w:r>
        <w:tab/>
      </w:r>
      <w:r>
        <w:fldChar w:fldCharType="begin"/>
      </w:r>
      <w:r>
        <w:instrText xml:space="preserve"> PAGEREF _Toc473119442 \h </w:instrText>
      </w:r>
      <w:r>
        <w:fldChar w:fldCharType="separate"/>
      </w:r>
      <w:r>
        <w:t>290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Proceedings part heard, rules of court, and appointments under repealed Act</w:t>
      </w:r>
      <w:r>
        <w:tab/>
      </w:r>
      <w:r>
        <w:fldChar w:fldCharType="begin"/>
      </w:r>
      <w:r>
        <w:instrText xml:space="preserve"> PAGEREF _Toc473119443 \h </w:instrText>
      </w:r>
      <w:r>
        <w:fldChar w:fldCharType="separate"/>
      </w:r>
      <w:r>
        <w:t>290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_Toc473119444 \h </w:instrText>
      </w:r>
      <w:r>
        <w:fldChar w:fldCharType="separate"/>
      </w:r>
      <w:r>
        <w:t>292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Continuing effect of conditions, delineated or designated areas, approvals etc.</w:t>
      </w:r>
      <w:r>
        <w:tab/>
      </w:r>
      <w:r>
        <w:fldChar w:fldCharType="begin"/>
      </w:r>
      <w:r>
        <w:instrText xml:space="preserve"> PAGEREF _Toc473119445 \h </w:instrText>
      </w:r>
      <w:r>
        <w:fldChar w:fldCharType="separate"/>
      </w:r>
      <w:r>
        <w:t>293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Conversion of licences generally</w:t>
      </w:r>
      <w:r>
        <w:tab/>
      </w:r>
      <w:r>
        <w:fldChar w:fldCharType="begin"/>
      </w:r>
      <w:r>
        <w:instrText xml:space="preserve"> PAGEREF _Toc473119446 \h </w:instrText>
      </w:r>
      <w:r>
        <w:fldChar w:fldCharType="separate"/>
      </w:r>
      <w:r>
        <w:t>294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Hotel licences</w:t>
      </w:r>
      <w:r>
        <w:tab/>
      </w:r>
      <w:r>
        <w:fldChar w:fldCharType="begin"/>
      </w:r>
      <w:r>
        <w:instrText xml:space="preserve"> PAGEREF _Toc473119447 \h </w:instrText>
      </w:r>
      <w:r>
        <w:fldChar w:fldCharType="separate"/>
      </w:r>
      <w:r>
        <w:t>296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Limited hotel licences</w:t>
      </w:r>
      <w:r>
        <w:tab/>
      </w:r>
      <w:r>
        <w:fldChar w:fldCharType="begin"/>
      </w:r>
      <w:r>
        <w:instrText xml:space="preserve"> PAGEREF _Toc473119448 \h </w:instrText>
      </w:r>
      <w:r>
        <w:fldChar w:fldCharType="separate"/>
      </w:r>
      <w:r>
        <w:t>296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Tavern licences</w:t>
      </w:r>
      <w:r>
        <w:tab/>
      </w:r>
      <w:r>
        <w:fldChar w:fldCharType="begin"/>
      </w:r>
      <w:r>
        <w:instrText xml:space="preserve"> PAGEREF _Toc473119449 \h </w:instrText>
      </w:r>
      <w:r>
        <w:fldChar w:fldCharType="separate"/>
      </w:r>
      <w:r>
        <w:t>296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Obligatory trading hours relating to hotel licences</w:t>
      </w:r>
      <w:r>
        <w:tab/>
      </w:r>
      <w:r>
        <w:fldChar w:fldCharType="begin"/>
      </w:r>
      <w:r>
        <w:instrText xml:space="preserve"> PAGEREF _Toc473119450 \h </w:instrText>
      </w:r>
      <w:r>
        <w:fldChar w:fldCharType="separate"/>
      </w:r>
      <w:r>
        <w:t>296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Winehouse licences and Australian wine licences</w:t>
      </w:r>
      <w:r>
        <w:tab/>
      </w:r>
      <w:r>
        <w:fldChar w:fldCharType="begin"/>
      </w:r>
      <w:r>
        <w:instrText xml:space="preserve"> PAGEREF _Toc473119451 \h </w:instrText>
      </w:r>
      <w:r>
        <w:fldChar w:fldCharType="separate"/>
      </w:r>
      <w:r>
        <w:t>297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Casino liquor licences</w:t>
      </w:r>
      <w:r>
        <w:tab/>
      </w:r>
      <w:r>
        <w:fldChar w:fldCharType="begin"/>
      </w:r>
      <w:r>
        <w:instrText xml:space="preserve"> PAGEREF _Toc473119452 \h </w:instrText>
      </w:r>
      <w:r>
        <w:fldChar w:fldCharType="separate"/>
      </w:r>
      <w:r>
        <w:t>298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Cabaret licences</w:t>
      </w:r>
      <w:r>
        <w:tab/>
      </w:r>
      <w:r>
        <w:fldChar w:fldCharType="begin"/>
      </w:r>
      <w:r>
        <w:instrText xml:space="preserve"> PAGEREF _Toc473119453 \h </w:instrText>
      </w:r>
      <w:r>
        <w:fldChar w:fldCharType="separate"/>
      </w:r>
      <w:r>
        <w:t>298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Restaurant licences</w:t>
      </w:r>
      <w:r>
        <w:tab/>
      </w:r>
      <w:r>
        <w:fldChar w:fldCharType="begin"/>
      </w:r>
      <w:r>
        <w:instrText xml:space="preserve"> PAGEREF _Toc473119454 \h </w:instrText>
      </w:r>
      <w:r>
        <w:fldChar w:fldCharType="separate"/>
      </w:r>
      <w:r>
        <w:t>298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_Toc473119455 \h </w:instrText>
      </w:r>
      <w:r>
        <w:fldChar w:fldCharType="separate"/>
      </w:r>
      <w:r>
        <w:t>298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Store licences</w:t>
      </w:r>
      <w:r>
        <w:tab/>
      </w:r>
      <w:r>
        <w:fldChar w:fldCharType="begin"/>
      </w:r>
      <w:r>
        <w:instrText xml:space="preserve"> PAGEREF _Toc473119456 \h </w:instrText>
      </w:r>
      <w:r>
        <w:fldChar w:fldCharType="separate"/>
      </w:r>
      <w:r>
        <w:t>299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Vigneron’s licences and brewer’s licences</w:t>
      </w:r>
      <w:r>
        <w:tab/>
      </w:r>
      <w:r>
        <w:fldChar w:fldCharType="begin"/>
      </w:r>
      <w:r>
        <w:instrText xml:space="preserve"> PAGEREF _Toc473119457 \h </w:instrText>
      </w:r>
      <w:r>
        <w:fldChar w:fldCharType="separate"/>
      </w:r>
      <w:r>
        <w:t>300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Wholesale licences</w:t>
      </w:r>
      <w:r>
        <w:tab/>
      </w:r>
      <w:r>
        <w:fldChar w:fldCharType="begin"/>
      </w:r>
      <w:r>
        <w:instrText xml:space="preserve"> PAGEREF _Toc473119458 \h </w:instrText>
      </w:r>
      <w:r>
        <w:fldChar w:fldCharType="separate"/>
      </w:r>
      <w:r>
        <w:t>300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Club licences and unlicensed club permits</w:t>
      </w:r>
      <w:r>
        <w:tab/>
      </w:r>
      <w:r>
        <w:fldChar w:fldCharType="begin"/>
      </w:r>
      <w:r>
        <w:instrText xml:space="preserve"> PAGEREF _Toc473119459 \h </w:instrText>
      </w:r>
      <w:r>
        <w:fldChar w:fldCharType="separate"/>
      </w:r>
      <w:r>
        <w:t>301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licences to become special facility licences</w:t>
      </w:r>
      <w:r>
        <w:tab/>
      </w:r>
      <w:r>
        <w:fldChar w:fldCharType="begin"/>
      </w:r>
      <w:r>
        <w:instrText xml:space="preserve"> PAGEREF _Toc473119460 \h </w:instrText>
      </w:r>
      <w:r>
        <w:fldChar w:fldCharType="separate"/>
      </w:r>
      <w:r>
        <w:t>302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Caterer’s permit</w:t>
      </w:r>
      <w:r>
        <w:tab/>
      </w:r>
      <w:r>
        <w:fldChar w:fldCharType="begin"/>
      </w:r>
      <w:r>
        <w:instrText xml:space="preserve"> PAGEREF _Toc473119461 \h </w:instrText>
      </w:r>
      <w:r>
        <w:fldChar w:fldCharType="separate"/>
      </w:r>
      <w:r>
        <w:t>304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Exempted producers etc.</w:t>
      </w:r>
      <w:r>
        <w:tab/>
      </w:r>
      <w:r>
        <w:fldChar w:fldCharType="begin"/>
      </w:r>
      <w:r>
        <w:instrText xml:space="preserve"> PAGEREF _Toc473119462 \h </w:instrText>
      </w:r>
      <w:r>
        <w:fldChar w:fldCharType="separate"/>
      </w:r>
      <w:r>
        <w:t>304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licences may become special facility licences</w:t>
      </w:r>
      <w:r>
        <w:tab/>
      </w:r>
      <w:r>
        <w:fldChar w:fldCharType="begin"/>
      </w:r>
      <w:r>
        <w:instrText xml:space="preserve"> PAGEREF _Toc473119463 \h </w:instrText>
      </w:r>
      <w:r>
        <w:fldChar w:fldCharType="separate"/>
      </w:r>
      <w:r>
        <w:t>304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References in other written laws</w:t>
      </w:r>
      <w:r>
        <w:tab/>
      </w:r>
      <w:r>
        <w:fldChar w:fldCharType="begin"/>
      </w:r>
      <w:r>
        <w:instrText xml:space="preserve"> PAGEREF _Toc473119464 \h </w:instrText>
      </w:r>
      <w:r>
        <w:fldChar w:fldCharType="separate"/>
      </w:r>
      <w:r>
        <w:t>305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1A — Transitional provisions relating to the </w:t>
      </w:r>
      <w:r>
        <w:rPr>
          <w:i/>
        </w:rPr>
        <w:t>Liquor and Gaming Legislation Amendment Act 2006</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_Toc473119466 \h </w:instrText>
      </w:r>
      <w:r>
        <w:fldChar w:fldCharType="separate"/>
      </w:r>
      <w:r>
        <w:t>306</w:t>
      </w:r>
      <w:r>
        <w:fldChar w:fldCharType="end"/>
      </w:r>
    </w:p>
    <w:p>
      <w:pPr>
        <w:pStyle w:val="TOC8"/>
        <w:rPr>
          <w:rFonts w:asciiTheme="minorHAnsi" w:eastAsiaTheme="minorEastAsia" w:hAnsiTheme="minorHAnsi" w:cstheme="minorBidi"/>
          <w:szCs w:val="22"/>
        </w:rPr>
      </w:pPr>
      <w:r>
        <w:t>2.</w:t>
      </w:r>
      <w:r>
        <w:tab/>
        <w:t>Liquor Licensing Court</w:t>
      </w:r>
      <w:r>
        <w:tab/>
      </w:r>
      <w:r>
        <w:fldChar w:fldCharType="begin"/>
      </w:r>
      <w:r>
        <w:instrText xml:space="preserve"> PAGEREF _Toc473119467 \h </w:instrText>
      </w:r>
      <w:r>
        <w:fldChar w:fldCharType="separate"/>
      </w:r>
      <w:r>
        <w:t>306</w:t>
      </w:r>
      <w:r>
        <w:fldChar w:fldCharType="end"/>
      </w:r>
    </w:p>
    <w:p>
      <w:pPr>
        <w:pStyle w:val="TOC8"/>
        <w:rPr>
          <w:rFonts w:asciiTheme="minorHAnsi" w:eastAsiaTheme="minorEastAsia" w:hAnsiTheme="minorHAnsi" w:cstheme="minorBidi"/>
          <w:szCs w:val="22"/>
        </w:rPr>
      </w:pPr>
      <w:r>
        <w:t>3.</w:t>
      </w:r>
      <w:r>
        <w:tab/>
        <w:t>Liquor Licensing Court judge</w:t>
      </w:r>
      <w:r>
        <w:tab/>
      </w:r>
      <w:r>
        <w:fldChar w:fldCharType="begin"/>
      </w:r>
      <w:r>
        <w:instrText xml:space="preserve"> PAGEREF _Toc473119468 \h </w:instrText>
      </w:r>
      <w:r>
        <w:fldChar w:fldCharType="separate"/>
      </w:r>
      <w:r>
        <w:t>306</w:t>
      </w:r>
      <w:r>
        <w:fldChar w:fldCharType="end"/>
      </w:r>
    </w:p>
    <w:p>
      <w:pPr>
        <w:pStyle w:val="TOC8"/>
        <w:rPr>
          <w:rFonts w:asciiTheme="minorHAnsi" w:eastAsiaTheme="minorEastAsia" w:hAnsiTheme="minorHAnsi" w:cstheme="minorBidi"/>
          <w:szCs w:val="22"/>
        </w:rPr>
      </w:pPr>
      <w:r>
        <w:t>4.</w:t>
      </w:r>
      <w:r>
        <w:tab/>
        <w:t>Pending cases stated and appeals to Supreme Court</w:t>
      </w:r>
      <w:r>
        <w:tab/>
      </w:r>
      <w:r>
        <w:fldChar w:fldCharType="begin"/>
      </w:r>
      <w:r>
        <w:instrText xml:space="preserve"> PAGEREF _Toc473119469 \h </w:instrText>
      </w:r>
      <w:r>
        <w:fldChar w:fldCharType="separate"/>
      </w:r>
      <w:r>
        <w:t>307</w:t>
      </w:r>
      <w:r>
        <w:fldChar w:fldCharType="end"/>
      </w:r>
    </w:p>
    <w:p>
      <w:pPr>
        <w:pStyle w:val="TOC8"/>
        <w:rPr>
          <w:rFonts w:asciiTheme="minorHAnsi" w:eastAsiaTheme="minorEastAsia" w:hAnsiTheme="minorHAnsi" w:cstheme="minorBidi"/>
          <w:szCs w:val="22"/>
        </w:rPr>
      </w:pPr>
      <w:r>
        <w:t>5.</w:t>
      </w:r>
      <w:r>
        <w:tab/>
        <w:t>Pending applications and matters</w:t>
      </w:r>
      <w:r>
        <w:tab/>
      </w:r>
      <w:r>
        <w:fldChar w:fldCharType="begin"/>
      </w:r>
      <w:r>
        <w:instrText xml:space="preserve"> PAGEREF _Toc473119470 \h </w:instrText>
      </w:r>
      <w:r>
        <w:fldChar w:fldCharType="separate"/>
      </w:r>
      <w:r>
        <w:t>307</w:t>
      </w:r>
      <w:r>
        <w:fldChar w:fldCharType="end"/>
      </w:r>
    </w:p>
    <w:p>
      <w:pPr>
        <w:pStyle w:val="TOC8"/>
        <w:rPr>
          <w:rFonts w:asciiTheme="minorHAnsi" w:eastAsiaTheme="minorEastAsia" w:hAnsiTheme="minorHAnsi" w:cstheme="minorBidi"/>
          <w:szCs w:val="22"/>
        </w:rPr>
      </w:pPr>
      <w:r>
        <w:t>6.</w:t>
      </w:r>
      <w:r>
        <w:tab/>
        <w:t>Licences granted and permits issued by Liquor Licensing Court</w:t>
      </w:r>
      <w:r>
        <w:tab/>
      </w:r>
      <w:r>
        <w:fldChar w:fldCharType="begin"/>
      </w:r>
      <w:r>
        <w:instrText xml:space="preserve"> PAGEREF _Toc473119471 \h </w:instrText>
      </w:r>
      <w:r>
        <w:fldChar w:fldCharType="separate"/>
      </w:r>
      <w:r>
        <w:t>308</w:t>
      </w:r>
      <w:r>
        <w:fldChar w:fldCharType="end"/>
      </w:r>
    </w:p>
    <w:p>
      <w:pPr>
        <w:pStyle w:val="TOC8"/>
        <w:rPr>
          <w:rFonts w:asciiTheme="minorHAnsi" w:eastAsiaTheme="minorEastAsia" w:hAnsiTheme="minorHAnsi" w:cstheme="minorBidi"/>
          <w:szCs w:val="22"/>
        </w:rPr>
      </w:pPr>
      <w:r>
        <w:t>7.</w:t>
      </w:r>
      <w:r>
        <w:tab/>
        <w:t>Cabaret licences</w:t>
      </w:r>
      <w:r>
        <w:tab/>
      </w:r>
      <w:r>
        <w:fldChar w:fldCharType="begin"/>
      </w:r>
      <w:r>
        <w:instrText xml:space="preserve"> PAGEREF _Toc473119472 \h </w:instrText>
      </w:r>
      <w:r>
        <w:fldChar w:fldCharType="separate"/>
      </w:r>
      <w:r>
        <w:t>308</w:t>
      </w:r>
      <w:r>
        <w:fldChar w:fldCharType="end"/>
      </w:r>
    </w:p>
    <w:p>
      <w:pPr>
        <w:pStyle w:val="TOC8"/>
        <w:rPr>
          <w:rFonts w:asciiTheme="minorHAnsi" w:eastAsiaTheme="minorEastAsia" w:hAnsiTheme="minorHAnsi" w:cstheme="minorBidi"/>
          <w:szCs w:val="22"/>
        </w:rPr>
      </w:pPr>
      <w:r>
        <w:t>8.</w:t>
      </w:r>
      <w:r>
        <w:tab/>
        <w:t>Courses of training and assessments</w:t>
      </w:r>
      <w:r>
        <w:tab/>
      </w:r>
      <w:r>
        <w:fldChar w:fldCharType="begin"/>
      </w:r>
      <w:r>
        <w:instrText xml:space="preserve"> PAGEREF _Toc473119473 \h </w:instrText>
      </w:r>
      <w:r>
        <w:fldChar w:fldCharType="separate"/>
      </w:r>
      <w:r>
        <w:t>308</w:t>
      </w:r>
      <w:r>
        <w:fldChar w:fldCharType="end"/>
      </w:r>
    </w:p>
    <w:p>
      <w:pPr>
        <w:pStyle w:val="TOC8"/>
        <w:rPr>
          <w:rFonts w:asciiTheme="minorHAnsi" w:eastAsiaTheme="minorEastAsia" w:hAnsiTheme="minorHAnsi" w:cstheme="minorBidi"/>
          <w:szCs w:val="22"/>
        </w:rPr>
      </w:pPr>
      <w:r>
        <w:t>9.</w:t>
      </w:r>
      <w:r>
        <w:tab/>
        <w:t>References to Liquor Licensing Court and Liquor Licensing Court judge</w:t>
      </w:r>
      <w:r>
        <w:tab/>
      </w:r>
      <w:r>
        <w:fldChar w:fldCharType="begin"/>
      </w:r>
      <w:r>
        <w:instrText xml:space="preserve"> PAGEREF _Toc473119474 \h </w:instrText>
      </w:r>
      <w:r>
        <w:fldChar w:fldCharType="separate"/>
      </w:r>
      <w:r>
        <w:t>309</w:t>
      </w:r>
      <w:r>
        <w:fldChar w:fldCharType="end"/>
      </w:r>
    </w:p>
    <w:p>
      <w:pPr>
        <w:pStyle w:val="TOC8"/>
        <w:rPr>
          <w:rFonts w:asciiTheme="minorHAnsi" w:eastAsiaTheme="minorEastAsia" w:hAnsiTheme="minorHAnsi" w:cstheme="minorBidi"/>
          <w:szCs w:val="22"/>
        </w:rPr>
      </w:pPr>
      <w:r>
        <w:t>10.</w:t>
      </w:r>
      <w:r>
        <w:tab/>
        <w:t>Transitional regulations</w:t>
      </w:r>
      <w:r>
        <w:tab/>
      </w:r>
      <w:r>
        <w:fldChar w:fldCharType="begin"/>
      </w:r>
      <w:r>
        <w:instrText xml:space="preserve"> PAGEREF _Toc473119475 \h </w:instrText>
      </w:r>
      <w:r>
        <w:fldChar w:fldCharType="separate"/>
      </w:r>
      <w:r>
        <w:t>309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1B — Transitional provisions relating to the </w:t>
      </w:r>
      <w:r>
        <w:rPr>
          <w:i/>
        </w:rPr>
        <w:t>Liquor Control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_Toc473119477 \h </w:instrText>
      </w:r>
      <w:r>
        <w:fldChar w:fldCharType="separate"/>
      </w:r>
      <w:r>
        <w:t>310</w:t>
      </w:r>
      <w:r>
        <w:fldChar w:fldCharType="end"/>
      </w:r>
    </w:p>
    <w:p>
      <w:pPr>
        <w:pStyle w:val="TOC8"/>
        <w:rPr>
          <w:rFonts w:asciiTheme="minorHAnsi" w:eastAsiaTheme="minorEastAsia" w:hAnsiTheme="minorHAnsi" w:cstheme="minorBidi"/>
          <w:szCs w:val="22"/>
        </w:rPr>
      </w:pPr>
      <w:r>
        <w:t>2.</w:t>
      </w:r>
      <w:r>
        <w:tab/>
        <w:t>Current managers taken to be licensed</w:t>
      </w:r>
      <w:r>
        <w:tab/>
      </w:r>
      <w:r>
        <w:fldChar w:fldCharType="begin"/>
      </w:r>
      <w:r>
        <w:instrText xml:space="preserve"> PAGEREF _Toc473119478 \h </w:instrText>
      </w:r>
      <w:r>
        <w:fldChar w:fldCharType="separate"/>
      </w:r>
      <w:r>
        <w:t>310</w:t>
      </w:r>
      <w:r>
        <w:fldChar w:fldCharType="end"/>
      </w:r>
    </w:p>
    <w:p>
      <w:pPr>
        <w:pStyle w:val="TOC8"/>
        <w:rPr>
          <w:rFonts w:asciiTheme="minorHAnsi" w:eastAsiaTheme="minorEastAsia" w:hAnsiTheme="minorHAnsi" w:cstheme="minorBidi"/>
          <w:szCs w:val="22"/>
        </w:rPr>
      </w:pPr>
      <w:r>
        <w:t>3.</w:t>
      </w:r>
      <w:r>
        <w:tab/>
        <w:t>Duration of transitioned approvals</w:t>
      </w:r>
      <w:r>
        <w:tab/>
      </w:r>
      <w:r>
        <w:fldChar w:fldCharType="begin"/>
      </w:r>
      <w:r>
        <w:instrText xml:space="preserve"> PAGEREF _Toc473119479 \h </w:instrText>
      </w:r>
      <w:r>
        <w:fldChar w:fldCharType="separate"/>
      </w:r>
      <w:r>
        <w:t>310</w:t>
      </w:r>
      <w:r>
        <w:fldChar w:fldCharType="end"/>
      </w:r>
    </w:p>
    <w:p>
      <w:pPr>
        <w:pStyle w:val="TOC8"/>
        <w:rPr>
          <w:rFonts w:asciiTheme="minorHAnsi" w:eastAsiaTheme="minorEastAsia" w:hAnsiTheme="minorHAnsi" w:cstheme="minorBidi"/>
          <w:szCs w:val="22"/>
        </w:rPr>
      </w:pPr>
      <w:r>
        <w:t>4.</w:t>
      </w:r>
      <w:r>
        <w:tab/>
        <w:t>Current applications</w:t>
      </w:r>
      <w:r>
        <w:tab/>
      </w:r>
      <w:r>
        <w:fldChar w:fldCharType="begin"/>
      </w:r>
      <w:r>
        <w:instrText xml:space="preserve"> PAGEREF _Toc473119480 \h </w:instrText>
      </w:r>
      <w:r>
        <w:fldChar w:fldCharType="separate"/>
      </w:r>
      <w:r>
        <w:t>311</w:t>
      </w:r>
      <w:r>
        <w:fldChar w:fldCharType="end"/>
      </w:r>
    </w:p>
    <w:p>
      <w:pPr>
        <w:pStyle w:val="TOC2"/>
        <w:tabs>
          <w:tab w:val="right" w:leader="dot" w:pos="7077"/>
        </w:tabs>
        <w:rPr>
          <w:rFonts w:asciiTheme="minorHAnsi" w:eastAsiaTheme="minorEastAsia" w:hAnsiTheme="minorHAnsi" w:cstheme="minorBidi"/>
          <w:b w:val="0"/>
          <w:sz w:val="22"/>
          <w:szCs w:val="22"/>
        </w:rPr>
      </w:pPr>
      <w:r>
        <w:t>Schedule 2 — Unincorporated clubs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Anzac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_Toc473119483 \h </w:instrText>
      </w:r>
      <w:r>
        <w:fldChar w:fldCharType="separate"/>
      </w:r>
      <w:r>
        <w:t>312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Anzac Club</w:t>
      </w:r>
      <w:r>
        <w:tab/>
      </w:r>
      <w:r>
        <w:fldChar w:fldCharType="begin"/>
      </w:r>
      <w:r>
        <w:instrText xml:space="preserve"> PAGEREF _Toc473119484 \h </w:instrText>
      </w:r>
      <w:r>
        <w:fldChar w:fldCharType="separate"/>
      </w:r>
      <w:r>
        <w:t>312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Air Force Association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_Toc473119486 \h </w:instrText>
      </w:r>
      <w:r>
        <w:fldChar w:fldCharType="separate"/>
      </w:r>
      <w:r>
        <w:t>314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Air Force Association (Western Australia Division) Club</w:t>
      </w:r>
      <w:r>
        <w:tab/>
      </w:r>
      <w:r>
        <w:fldChar w:fldCharType="begin"/>
      </w:r>
      <w:r>
        <w:instrText xml:space="preserve"> PAGEREF _Toc473119487 \h </w:instrText>
      </w:r>
      <w:r>
        <w:fldChar w:fldCharType="separate"/>
      </w:r>
      <w:r>
        <w:t>314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_Toc473119489 \h </w:instrText>
      </w:r>
      <w:r>
        <w:fldChar w:fldCharType="separate"/>
      </w:r>
      <w:r>
        <w:t>316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_Toc473119490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3" w:name="_Toc471906663"/>
      <w:bookmarkStart w:id="4" w:name="_Toc472001580"/>
      <w:bookmarkStart w:id="5" w:name="_Toc472676608"/>
      <w:bookmarkStart w:id="6" w:name="_Toc472681993"/>
      <w:bookmarkStart w:id="7" w:name="_Toc47311913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473119135"/>
      <w:r>
        <w:rPr>
          <w:rStyle w:val="CharSectno"/>
        </w:rPr>
        <w:t>1</w:t>
      </w:r>
      <w:r>
        <w:rPr>
          <w:snapToGrid w:val="0"/>
        </w:rPr>
        <w:t>.</w:t>
      </w:r>
      <w:r>
        <w:rPr>
          <w:snapToGrid w:val="0"/>
        </w:rPr>
        <w:tab/>
        <w:t>Short title</w:t>
      </w:r>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9" w:name="_Toc473119136"/>
      <w:r>
        <w:rPr>
          <w:rStyle w:val="CharSectno"/>
        </w:rPr>
        <w:t>2</w:t>
      </w:r>
      <w:r>
        <w:rPr>
          <w:snapToGrid w:val="0"/>
        </w:rPr>
        <w:t>.</w:t>
      </w:r>
      <w:r>
        <w:rPr>
          <w:snapToGrid w:val="0"/>
        </w:rPr>
        <w:tab/>
        <w:t>Commencement</w:t>
      </w:r>
      <w:bookmarkEnd w:id="9"/>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0" w:name="_Toc473119137"/>
      <w:r>
        <w:rPr>
          <w:rStyle w:val="CharSectno"/>
        </w:rPr>
        <w:t>3</w:t>
      </w:r>
      <w:r>
        <w:rPr>
          <w:snapToGrid w:val="0"/>
        </w:rPr>
        <w:t>.</w:t>
      </w:r>
      <w:r>
        <w:rPr>
          <w:snapToGrid w:val="0"/>
        </w:rPr>
        <w:tab/>
        <w:t>Terms used</w:t>
      </w:r>
      <w:bookmarkEnd w:id="1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appointed under section 14(1)(a);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pPr>
      <w:r>
        <w:tab/>
        <w:t>(i)</w:t>
      </w:r>
      <w:r>
        <w:tab/>
        <w:t>any other law of the State; or</w:t>
      </w:r>
    </w:p>
    <w:p>
      <w:pPr>
        <w:pStyle w:val="Defsubpara"/>
      </w:pPr>
      <w:r>
        <w:tab/>
        <w:t>(ii)</w:t>
      </w:r>
      <w: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 No. 19 of 2016 s. 162</w:t>
      </w:r>
      <w:r>
        <w:t xml:space="preserve">.] </w:t>
      </w:r>
    </w:p>
    <w:p>
      <w:pPr>
        <w:pStyle w:val="Heading5"/>
        <w:spacing w:before="180"/>
      </w:pPr>
      <w:bookmarkStart w:id="11" w:name="_Toc473119138"/>
      <w:r>
        <w:rPr>
          <w:rStyle w:val="CharSectno"/>
        </w:rPr>
        <w:t>3A</w:t>
      </w:r>
      <w:r>
        <w:t>.</w:t>
      </w:r>
      <w:r>
        <w:tab/>
        <w:t>Term used: drunk</w:t>
      </w:r>
      <w:bookmarkEnd w:id="11"/>
    </w:p>
    <w:p>
      <w:pPr>
        <w:pStyle w:val="Subsection"/>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180"/>
        <w:rPr>
          <w:snapToGrid w:val="0"/>
        </w:rPr>
      </w:pPr>
      <w:bookmarkStart w:id="12" w:name="_Toc473119139"/>
      <w:r>
        <w:rPr>
          <w:rStyle w:val="CharSectno"/>
        </w:rPr>
        <w:t>4</w:t>
      </w:r>
      <w:r>
        <w:rPr>
          <w:snapToGrid w:val="0"/>
        </w:rPr>
        <w:t>.</w:t>
      </w:r>
      <w:r>
        <w:rPr>
          <w:snapToGrid w:val="0"/>
        </w:rPr>
        <w:tab/>
        <w:t>Storing and receiving liquor for licensed premises at other premises; records to be kept</w:t>
      </w:r>
      <w:bookmarkEnd w:id="12"/>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13" w:name="_Toc473119140"/>
      <w:r>
        <w:rPr>
          <w:rStyle w:val="CharSectno"/>
        </w:rPr>
        <w:t>5</w:t>
      </w:r>
      <w:r>
        <w:rPr>
          <w:snapToGrid w:val="0"/>
        </w:rPr>
        <w:t>.</w:t>
      </w:r>
      <w:r>
        <w:rPr>
          <w:snapToGrid w:val="0"/>
        </w:rPr>
        <w:tab/>
        <w:t>Objects of Act</w:t>
      </w:r>
      <w:bookmarkEnd w:id="13"/>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14" w:name="_Toc473119141"/>
      <w:r>
        <w:rPr>
          <w:rStyle w:val="CharSectno"/>
        </w:rPr>
        <w:t>6</w:t>
      </w:r>
      <w:r>
        <w:rPr>
          <w:snapToGrid w:val="0"/>
        </w:rPr>
        <w:t>.</w:t>
      </w:r>
      <w:r>
        <w:rPr>
          <w:snapToGrid w:val="0"/>
        </w:rPr>
        <w:tab/>
        <w:t>Act not to apply in certain cases</w:t>
      </w:r>
      <w:bookmarkEnd w:id="14"/>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15" w:name="_Toc471906671"/>
      <w:bookmarkStart w:id="16" w:name="_Toc472001588"/>
      <w:bookmarkStart w:id="17" w:name="_Toc472676616"/>
      <w:bookmarkStart w:id="18" w:name="_Toc472682001"/>
      <w:bookmarkStart w:id="19" w:name="_Toc473119142"/>
      <w:r>
        <w:rPr>
          <w:rStyle w:val="CharPartNo"/>
        </w:rPr>
        <w:t>Part 2</w:t>
      </w:r>
      <w:r>
        <w:t> — </w:t>
      </w:r>
      <w:r>
        <w:rPr>
          <w:rStyle w:val="CharPartText"/>
        </w:rPr>
        <w:t>The licensing authority</w:t>
      </w:r>
      <w:bookmarkEnd w:id="15"/>
      <w:bookmarkEnd w:id="16"/>
      <w:bookmarkEnd w:id="17"/>
      <w:bookmarkEnd w:id="18"/>
      <w:bookmarkEnd w:id="19"/>
      <w:r>
        <w:rPr>
          <w:rStyle w:val="CharPartText"/>
        </w:rPr>
        <w:t xml:space="preserve"> </w:t>
      </w:r>
    </w:p>
    <w:p>
      <w:pPr>
        <w:pStyle w:val="Heading3"/>
        <w:rPr>
          <w:snapToGrid w:val="0"/>
        </w:rPr>
      </w:pPr>
      <w:bookmarkStart w:id="20" w:name="_Toc471906672"/>
      <w:bookmarkStart w:id="21" w:name="_Toc472001589"/>
      <w:bookmarkStart w:id="22" w:name="_Toc472676617"/>
      <w:bookmarkStart w:id="23" w:name="_Toc472682002"/>
      <w:bookmarkStart w:id="24" w:name="_Toc473119143"/>
      <w:r>
        <w:rPr>
          <w:rStyle w:val="CharDivNo"/>
        </w:rPr>
        <w:t>Division 1</w:t>
      </w:r>
      <w:r>
        <w:rPr>
          <w:snapToGrid w:val="0"/>
        </w:rPr>
        <w:t> — </w:t>
      </w:r>
      <w:r>
        <w:rPr>
          <w:rStyle w:val="CharDivText"/>
        </w:rPr>
        <w:t>The licensing authority</w:t>
      </w:r>
      <w:bookmarkEnd w:id="20"/>
      <w:bookmarkEnd w:id="21"/>
      <w:bookmarkEnd w:id="22"/>
      <w:bookmarkEnd w:id="23"/>
      <w:bookmarkEnd w:id="24"/>
      <w:r>
        <w:rPr>
          <w:rStyle w:val="CharDivText"/>
        </w:rPr>
        <w:t xml:space="preserve"> </w:t>
      </w:r>
    </w:p>
    <w:p>
      <w:pPr>
        <w:pStyle w:val="Heading5"/>
        <w:spacing w:before="180"/>
        <w:rPr>
          <w:snapToGrid w:val="0"/>
        </w:rPr>
      </w:pPr>
      <w:bookmarkStart w:id="25" w:name="_Toc473119144"/>
      <w:r>
        <w:rPr>
          <w:rStyle w:val="CharSectno"/>
        </w:rPr>
        <w:t>7</w:t>
      </w:r>
      <w:r>
        <w:rPr>
          <w:snapToGrid w:val="0"/>
        </w:rPr>
        <w:t>.</w:t>
      </w:r>
      <w:r>
        <w:rPr>
          <w:snapToGrid w:val="0"/>
        </w:rPr>
        <w:tab/>
        <w:t>Constitution and jurisdiction of licensing authority</w:t>
      </w:r>
      <w:bookmarkEnd w:id="25"/>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26" w:name="_Toc471906674"/>
      <w:bookmarkStart w:id="27" w:name="_Toc472001591"/>
      <w:bookmarkStart w:id="28" w:name="_Toc472676619"/>
      <w:bookmarkStart w:id="29" w:name="_Toc472682004"/>
      <w:bookmarkStart w:id="30" w:name="_Toc473119145"/>
      <w:r>
        <w:rPr>
          <w:rStyle w:val="CharDivNo"/>
        </w:rPr>
        <w:t>Division 2</w:t>
      </w:r>
      <w:r>
        <w:t> — </w:t>
      </w:r>
      <w:r>
        <w:rPr>
          <w:rStyle w:val="CharDivText"/>
        </w:rPr>
        <w:t>The Liquor Commission</w:t>
      </w:r>
      <w:bookmarkEnd w:id="26"/>
      <w:bookmarkEnd w:id="27"/>
      <w:bookmarkEnd w:id="28"/>
      <w:bookmarkEnd w:id="29"/>
      <w:bookmarkEnd w:id="30"/>
    </w:p>
    <w:p>
      <w:pPr>
        <w:pStyle w:val="Footnoteheading"/>
      </w:pPr>
      <w:r>
        <w:tab/>
        <w:t>[Heading inserted by No. 73 of 2006 s. 11.]</w:t>
      </w:r>
    </w:p>
    <w:p>
      <w:pPr>
        <w:pStyle w:val="Heading5"/>
        <w:keepNext w:val="0"/>
        <w:keepLines w:val="0"/>
        <w:spacing w:before="180"/>
      </w:pPr>
      <w:bookmarkStart w:id="31" w:name="_Toc473119146"/>
      <w:r>
        <w:rPr>
          <w:rStyle w:val="CharSectno"/>
        </w:rPr>
        <w:t>8</w:t>
      </w:r>
      <w:r>
        <w:t>.</w:t>
      </w:r>
      <w:r>
        <w:tab/>
        <w:t>Commission established</w:t>
      </w:r>
      <w:bookmarkEnd w:id="31"/>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32" w:name="_Toc473119147"/>
      <w:r>
        <w:rPr>
          <w:rStyle w:val="CharSectno"/>
        </w:rPr>
        <w:t>9</w:t>
      </w:r>
      <w:r>
        <w:t>.</w:t>
      </w:r>
      <w:r>
        <w:tab/>
        <w:t>Jurisdiction of Commission</w:t>
      </w:r>
      <w:bookmarkEnd w:id="32"/>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33" w:name="_Toc473119148"/>
      <w:r>
        <w:rPr>
          <w:rStyle w:val="CharSectno"/>
        </w:rPr>
        <w:t>9A</w:t>
      </w:r>
      <w:r>
        <w:t>.</w:t>
      </w:r>
      <w:r>
        <w:tab/>
        <w:t>Constitution of Commission</w:t>
      </w:r>
      <w:bookmarkEnd w:id="33"/>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34" w:name="_Toc471906678"/>
      <w:bookmarkStart w:id="35" w:name="_Toc472001595"/>
      <w:bookmarkStart w:id="36" w:name="_Toc472676623"/>
      <w:bookmarkStart w:id="37" w:name="_Toc472682008"/>
      <w:bookmarkStart w:id="38" w:name="_Toc473119149"/>
      <w:r>
        <w:rPr>
          <w:rStyle w:val="CharDivNo"/>
        </w:rPr>
        <w:t>Division 2A</w:t>
      </w:r>
      <w:r>
        <w:t> — </w:t>
      </w:r>
      <w:r>
        <w:rPr>
          <w:rStyle w:val="CharDivText"/>
        </w:rPr>
        <w:t>Members of the Commission</w:t>
      </w:r>
      <w:bookmarkEnd w:id="34"/>
      <w:bookmarkEnd w:id="35"/>
      <w:bookmarkEnd w:id="36"/>
      <w:bookmarkEnd w:id="37"/>
      <w:bookmarkEnd w:id="38"/>
    </w:p>
    <w:p>
      <w:pPr>
        <w:pStyle w:val="Footnoteheading"/>
      </w:pPr>
      <w:r>
        <w:tab/>
        <w:t>[Heading inserted by No. 73 of 2006 s. 11.]</w:t>
      </w:r>
    </w:p>
    <w:p>
      <w:pPr>
        <w:pStyle w:val="Heading5"/>
      </w:pPr>
      <w:bookmarkStart w:id="39" w:name="_Toc473119150"/>
      <w:r>
        <w:rPr>
          <w:rStyle w:val="CharSectno"/>
        </w:rPr>
        <w:t>9B</w:t>
      </w:r>
      <w:r>
        <w:t>.</w:t>
      </w:r>
      <w:r>
        <w:tab/>
        <w:t>Commission members</w:t>
      </w:r>
      <w:bookmarkEnd w:id="39"/>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40" w:name="_Toc473119151"/>
      <w:r>
        <w:rPr>
          <w:rStyle w:val="CharSectno"/>
        </w:rPr>
        <w:t>9C</w:t>
      </w:r>
      <w:r>
        <w:t>.</w:t>
      </w:r>
      <w:r>
        <w:tab/>
        <w:t>Tenure of office</w:t>
      </w:r>
      <w:bookmarkEnd w:id="40"/>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41" w:name="_Toc473119152"/>
      <w:r>
        <w:rPr>
          <w:rStyle w:val="CharSectno"/>
        </w:rPr>
        <w:t>9D</w:t>
      </w:r>
      <w:r>
        <w:t>.</w:t>
      </w:r>
      <w:r>
        <w:tab/>
        <w:t>Deputy chairperson</w:t>
      </w:r>
      <w:bookmarkEnd w:id="41"/>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42" w:name="_Toc473119153"/>
      <w:r>
        <w:rPr>
          <w:rStyle w:val="CharSectno"/>
        </w:rPr>
        <w:t>9E</w:t>
      </w:r>
      <w:r>
        <w:t>.</w:t>
      </w:r>
      <w:r>
        <w:tab/>
        <w:t>Removal or resignation</w:t>
      </w:r>
      <w:bookmarkEnd w:id="42"/>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43" w:name="_Toc473119154"/>
      <w:r>
        <w:rPr>
          <w:rStyle w:val="CharSectno"/>
        </w:rPr>
        <w:t>9F</w:t>
      </w:r>
      <w:r>
        <w:t>.</w:t>
      </w:r>
      <w:r>
        <w:tab/>
        <w:t>Leave of absence</w:t>
      </w:r>
      <w:bookmarkEnd w:id="43"/>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44" w:name="_Toc473119155"/>
      <w:r>
        <w:rPr>
          <w:rStyle w:val="CharSectno"/>
        </w:rPr>
        <w:t>9G</w:t>
      </w:r>
      <w:r>
        <w:t>.</w:t>
      </w:r>
      <w:r>
        <w:tab/>
        <w:t>Member whose term has expired may continue in office</w:t>
      </w:r>
      <w:bookmarkEnd w:id="44"/>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45" w:name="_Toc473119156"/>
      <w:r>
        <w:rPr>
          <w:rStyle w:val="CharSectno"/>
        </w:rPr>
        <w:t>9H</w:t>
      </w:r>
      <w:r>
        <w:t>.</w:t>
      </w:r>
      <w:r>
        <w:tab/>
        <w:t>Remuneration and conditions of office</w:t>
      </w:r>
      <w:bookmarkEnd w:id="45"/>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46" w:name="_Toc471906686"/>
      <w:bookmarkStart w:id="47" w:name="_Toc472001603"/>
      <w:bookmarkStart w:id="48" w:name="_Toc472676631"/>
      <w:bookmarkStart w:id="49" w:name="_Toc472682016"/>
      <w:bookmarkStart w:id="50" w:name="_Toc473119157"/>
      <w:r>
        <w:rPr>
          <w:rStyle w:val="CharDivNo"/>
        </w:rPr>
        <w:t>Division 2B</w:t>
      </w:r>
      <w:r>
        <w:t> — </w:t>
      </w:r>
      <w:r>
        <w:rPr>
          <w:rStyle w:val="CharDivText"/>
        </w:rPr>
        <w:t>Other matters</w:t>
      </w:r>
      <w:bookmarkEnd w:id="46"/>
      <w:bookmarkEnd w:id="47"/>
      <w:bookmarkEnd w:id="48"/>
      <w:bookmarkEnd w:id="49"/>
      <w:bookmarkEnd w:id="50"/>
    </w:p>
    <w:p>
      <w:pPr>
        <w:pStyle w:val="Footnoteheading"/>
      </w:pPr>
      <w:r>
        <w:tab/>
        <w:t>[Heading inserted by No. 73 of 2006 s. 11.]</w:t>
      </w:r>
    </w:p>
    <w:p>
      <w:pPr>
        <w:pStyle w:val="Heading5"/>
        <w:spacing w:before="240"/>
      </w:pPr>
      <w:bookmarkStart w:id="51" w:name="_Toc473119158"/>
      <w:r>
        <w:rPr>
          <w:rStyle w:val="CharSectno"/>
        </w:rPr>
        <w:t>9I</w:t>
      </w:r>
      <w:r>
        <w:t>.</w:t>
      </w:r>
      <w:r>
        <w:tab/>
        <w:t>Decisions of Commission to be written etc.</w:t>
      </w:r>
      <w:bookmarkEnd w:id="51"/>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52" w:name="_Toc473119159"/>
      <w:r>
        <w:rPr>
          <w:rStyle w:val="CharSectno"/>
        </w:rPr>
        <w:t>9J</w:t>
      </w:r>
      <w:r>
        <w:t>.</w:t>
      </w:r>
      <w:r>
        <w:tab/>
        <w:t>Seal of Commission</w:t>
      </w:r>
      <w:bookmarkEnd w:id="52"/>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53" w:name="_Toc473119160"/>
      <w:r>
        <w:rPr>
          <w:rStyle w:val="CharSectno"/>
        </w:rPr>
        <w:t>9K</w:t>
      </w:r>
      <w:r>
        <w:t>.</w:t>
      </w:r>
      <w:r>
        <w:tab/>
        <w:t>Annual reports by Commission</w:t>
      </w:r>
      <w:bookmarkEnd w:id="53"/>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54" w:name="_Toc473119161"/>
      <w:r>
        <w:rPr>
          <w:rStyle w:val="CharSectno"/>
        </w:rPr>
        <w:t>9L</w:t>
      </w:r>
      <w:r>
        <w:t>.</w:t>
      </w:r>
      <w:r>
        <w:tab/>
        <w:t>Laying annual report before House of Parliament not sitting</w:t>
      </w:r>
      <w:bookmarkEnd w:id="54"/>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55" w:name="_Toc473119162"/>
      <w:r>
        <w:rPr>
          <w:rStyle w:val="CharSectno"/>
        </w:rPr>
        <w:t>9M</w:t>
      </w:r>
      <w:r>
        <w:t>.</w:t>
      </w:r>
      <w:r>
        <w:tab/>
        <w:t>Protection and immunity of members, parties etc.</w:t>
      </w:r>
      <w:bookmarkEnd w:id="55"/>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56" w:name="_Toc471906692"/>
      <w:bookmarkStart w:id="57" w:name="_Toc472001609"/>
      <w:bookmarkStart w:id="58" w:name="_Toc472676637"/>
      <w:bookmarkStart w:id="59" w:name="_Toc472682022"/>
      <w:bookmarkStart w:id="60" w:name="_Toc473119163"/>
      <w:r>
        <w:rPr>
          <w:rStyle w:val="CharDivNo"/>
        </w:rPr>
        <w:t>Division 3</w:t>
      </w:r>
      <w:r>
        <w:rPr>
          <w:snapToGrid w:val="0"/>
        </w:rPr>
        <w:t> — </w:t>
      </w:r>
      <w:r>
        <w:rPr>
          <w:rStyle w:val="CharDivText"/>
        </w:rPr>
        <w:t>The Director of Liquor Licensing</w:t>
      </w:r>
      <w:bookmarkEnd w:id="56"/>
      <w:bookmarkEnd w:id="57"/>
      <w:bookmarkEnd w:id="58"/>
      <w:bookmarkEnd w:id="59"/>
      <w:bookmarkEnd w:id="60"/>
      <w:r>
        <w:rPr>
          <w:rStyle w:val="CharDivText"/>
        </w:rPr>
        <w:t xml:space="preserve"> </w:t>
      </w:r>
    </w:p>
    <w:p>
      <w:pPr>
        <w:pStyle w:val="Heading5"/>
        <w:spacing w:before="240"/>
        <w:rPr>
          <w:snapToGrid w:val="0"/>
        </w:rPr>
      </w:pPr>
      <w:bookmarkStart w:id="61" w:name="_Toc473119164"/>
      <w:r>
        <w:rPr>
          <w:rStyle w:val="CharSectno"/>
        </w:rPr>
        <w:t>13</w:t>
      </w:r>
      <w:r>
        <w:rPr>
          <w:snapToGrid w:val="0"/>
        </w:rPr>
        <w:t>.</w:t>
      </w:r>
      <w:r>
        <w:rPr>
          <w:snapToGrid w:val="0"/>
        </w:rPr>
        <w:tab/>
        <w:t>Functions of and hearings by Director</w:t>
      </w:r>
      <w:bookmarkEnd w:id="61"/>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62" w:name="_Toc473119165"/>
      <w:r>
        <w:rPr>
          <w:rStyle w:val="CharSectno"/>
        </w:rPr>
        <w:t>14</w:t>
      </w:r>
      <w:r>
        <w:rPr>
          <w:snapToGrid w:val="0"/>
        </w:rPr>
        <w:t>.</w:t>
      </w:r>
      <w:r>
        <w:rPr>
          <w:snapToGrid w:val="0"/>
        </w:rPr>
        <w:tab/>
        <w:t>Inspectors etc., appointment of etc.</w:t>
      </w:r>
      <w:bookmarkEnd w:id="62"/>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63" w:name="_Toc471906695"/>
      <w:bookmarkStart w:id="64" w:name="_Toc472001612"/>
      <w:bookmarkStart w:id="65" w:name="_Toc472676640"/>
      <w:bookmarkStart w:id="66" w:name="_Toc472682025"/>
      <w:bookmarkStart w:id="67" w:name="_Toc473119166"/>
      <w:r>
        <w:rPr>
          <w:rStyle w:val="CharDivNo"/>
        </w:rPr>
        <w:t>Division 4</w:t>
      </w:r>
      <w:r>
        <w:rPr>
          <w:snapToGrid w:val="0"/>
        </w:rPr>
        <w:t> — </w:t>
      </w:r>
      <w:r>
        <w:rPr>
          <w:rStyle w:val="CharDivText"/>
        </w:rPr>
        <w:t>Other staff of the licensing authority</w:t>
      </w:r>
      <w:bookmarkEnd w:id="63"/>
      <w:bookmarkEnd w:id="64"/>
      <w:bookmarkEnd w:id="65"/>
      <w:bookmarkEnd w:id="66"/>
      <w:bookmarkEnd w:id="67"/>
      <w:r>
        <w:rPr>
          <w:rStyle w:val="CharDivText"/>
        </w:rPr>
        <w:t xml:space="preserve"> </w:t>
      </w:r>
    </w:p>
    <w:p>
      <w:pPr>
        <w:pStyle w:val="Heading5"/>
        <w:rPr>
          <w:snapToGrid w:val="0"/>
        </w:rPr>
      </w:pPr>
      <w:bookmarkStart w:id="68" w:name="_Toc473119167"/>
      <w:r>
        <w:rPr>
          <w:rStyle w:val="CharSectno"/>
        </w:rPr>
        <w:t>15</w:t>
      </w:r>
      <w:r>
        <w:rPr>
          <w:snapToGrid w:val="0"/>
        </w:rPr>
        <w:t>.</w:t>
      </w:r>
      <w:r>
        <w:rPr>
          <w:snapToGrid w:val="0"/>
        </w:rPr>
        <w:tab/>
        <w:t xml:space="preserve">Director may </w:t>
      </w:r>
      <w:smartTag w:uri="urn:schemas-microsoft-com:office:smarttags" w:element="State">
        <w:smartTag w:uri="urn:schemas-microsoft-com:office:smarttags" w:element="place">
          <w:r>
            <w:rPr>
              <w:snapToGrid w:val="0"/>
            </w:rPr>
            <w:t>del</w:t>
          </w:r>
        </w:smartTag>
      </w:smartTag>
      <w:r>
        <w:rPr>
          <w:snapToGrid w:val="0"/>
        </w:rPr>
        <w:t>egate etc.</w:t>
      </w:r>
      <w:bookmarkEnd w:id="68"/>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69" w:name="_Toc471906697"/>
      <w:bookmarkStart w:id="70" w:name="_Toc472001614"/>
      <w:bookmarkStart w:id="71" w:name="_Toc472676642"/>
      <w:bookmarkStart w:id="72" w:name="_Toc472682027"/>
      <w:bookmarkStart w:id="73" w:name="_Toc473119168"/>
      <w:r>
        <w:rPr>
          <w:rStyle w:val="CharDivNo"/>
        </w:rPr>
        <w:t>Division 5</w:t>
      </w:r>
      <w:r>
        <w:rPr>
          <w:snapToGrid w:val="0"/>
        </w:rPr>
        <w:t> — </w:t>
      </w:r>
      <w:r>
        <w:rPr>
          <w:rStyle w:val="CharDivText"/>
        </w:rPr>
        <w:t>Proceedings before the licensing authority</w:t>
      </w:r>
      <w:bookmarkEnd w:id="69"/>
      <w:bookmarkEnd w:id="70"/>
      <w:bookmarkEnd w:id="71"/>
      <w:bookmarkEnd w:id="72"/>
      <w:bookmarkEnd w:id="73"/>
      <w:r>
        <w:rPr>
          <w:rStyle w:val="CharDivText"/>
        </w:rPr>
        <w:t xml:space="preserve"> </w:t>
      </w:r>
    </w:p>
    <w:p>
      <w:pPr>
        <w:pStyle w:val="Heading5"/>
        <w:spacing w:before="180"/>
        <w:rPr>
          <w:snapToGrid w:val="0"/>
        </w:rPr>
      </w:pPr>
      <w:bookmarkStart w:id="74" w:name="_Toc473119169"/>
      <w:r>
        <w:rPr>
          <w:rStyle w:val="CharSectno"/>
        </w:rPr>
        <w:t>16</w:t>
      </w:r>
      <w:r>
        <w:rPr>
          <w:snapToGrid w:val="0"/>
        </w:rPr>
        <w:t>.</w:t>
      </w:r>
      <w:r>
        <w:rPr>
          <w:snapToGrid w:val="0"/>
        </w:rPr>
        <w:tab/>
        <w:t>Procedure, sittings, use of experts, evidentiary rules etc.</w:t>
      </w:r>
      <w:bookmarkEnd w:id="74"/>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75" w:name="_Toc473119170"/>
      <w:r>
        <w:rPr>
          <w:rStyle w:val="CharSectno"/>
        </w:rPr>
        <w:t>17</w:t>
      </w:r>
      <w:r>
        <w:rPr>
          <w:snapToGrid w:val="0"/>
        </w:rPr>
        <w:t>.</w:t>
      </w:r>
      <w:r>
        <w:rPr>
          <w:snapToGrid w:val="0"/>
        </w:rPr>
        <w:tab/>
        <w:t>Representation of parties</w:t>
      </w:r>
      <w:bookmarkEnd w:id="75"/>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76" w:name="_Toc473119171"/>
      <w:r>
        <w:rPr>
          <w:rStyle w:val="CharSectno"/>
        </w:rPr>
        <w:t>18</w:t>
      </w:r>
      <w:r>
        <w:rPr>
          <w:snapToGrid w:val="0"/>
        </w:rPr>
        <w:t>.</w:t>
      </w:r>
      <w:r>
        <w:rPr>
          <w:snapToGrid w:val="0"/>
        </w:rPr>
        <w:tab/>
        <w:t>Witnesses and evidence, powers to summon etc.</w:t>
      </w:r>
      <w:bookmarkEnd w:id="76"/>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77" w:name="_Toc473119172"/>
      <w:r>
        <w:rPr>
          <w:rStyle w:val="CharSectno"/>
        </w:rPr>
        <w:t>18A</w:t>
      </w:r>
      <w:r>
        <w:t>.</w:t>
      </w:r>
      <w:r>
        <w:tab/>
        <w:t>Enforcing decisions</w:t>
      </w:r>
      <w:bookmarkEnd w:id="77"/>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78" w:name="_Toc473119173"/>
      <w:r>
        <w:rPr>
          <w:rStyle w:val="CharSectno"/>
        </w:rPr>
        <w:t>19</w:t>
      </w:r>
      <w:r>
        <w:rPr>
          <w:snapToGrid w:val="0"/>
        </w:rPr>
        <w:t>.</w:t>
      </w:r>
      <w:r>
        <w:rPr>
          <w:snapToGrid w:val="0"/>
        </w:rPr>
        <w:tab/>
        <w:t>Enforcing monetary penalties</w:t>
      </w:r>
      <w:bookmarkEnd w:id="78"/>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79" w:name="_Toc473119174"/>
      <w:r>
        <w:rPr>
          <w:rStyle w:val="CharSectno"/>
        </w:rPr>
        <w:t>20</w:t>
      </w:r>
      <w:r>
        <w:rPr>
          <w:snapToGrid w:val="0"/>
        </w:rPr>
        <w:t>.</w:t>
      </w:r>
      <w:r>
        <w:rPr>
          <w:snapToGrid w:val="0"/>
        </w:rPr>
        <w:tab/>
        <w:t>Contempt etc.</w:t>
      </w:r>
      <w:bookmarkEnd w:id="79"/>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80" w:name="_Toc473119175"/>
      <w:r>
        <w:rPr>
          <w:rStyle w:val="CharSectno"/>
        </w:rPr>
        <w:t>21</w:t>
      </w:r>
      <w:r>
        <w:rPr>
          <w:snapToGrid w:val="0"/>
        </w:rPr>
        <w:t>.</w:t>
      </w:r>
      <w:r>
        <w:rPr>
          <w:snapToGrid w:val="0"/>
        </w:rPr>
        <w:tab/>
        <w:t>Costs</w:t>
      </w:r>
      <w:bookmarkEnd w:id="80"/>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81" w:name="_Toc473119176"/>
      <w:r>
        <w:rPr>
          <w:rStyle w:val="CharSectno"/>
        </w:rPr>
        <w:t>22</w:t>
      </w:r>
      <w:r>
        <w:rPr>
          <w:snapToGrid w:val="0"/>
        </w:rPr>
        <w:t>.</w:t>
      </w:r>
      <w:r>
        <w:rPr>
          <w:snapToGrid w:val="0"/>
        </w:rPr>
        <w:tab/>
        <w:t xml:space="preserve">Rules </w:t>
      </w:r>
      <w:r>
        <w:t>of Commission</w:t>
      </w:r>
      <w:bookmarkEnd w:id="81"/>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82" w:name="_Toc473119177"/>
      <w:r>
        <w:rPr>
          <w:rStyle w:val="CharSectno"/>
        </w:rPr>
        <w:t>23</w:t>
      </w:r>
      <w:r>
        <w:rPr>
          <w:snapToGrid w:val="0"/>
        </w:rPr>
        <w:t>.</w:t>
      </w:r>
      <w:r>
        <w:rPr>
          <w:snapToGrid w:val="0"/>
        </w:rPr>
        <w:tab/>
        <w:t>Proof of process; protection from personal liability</w:t>
      </w:r>
      <w:bookmarkEnd w:id="82"/>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83" w:name="_Toc471906707"/>
      <w:bookmarkStart w:id="84" w:name="_Toc472001624"/>
      <w:bookmarkStart w:id="85" w:name="_Toc472676652"/>
      <w:bookmarkStart w:id="86" w:name="_Toc472682037"/>
      <w:bookmarkStart w:id="87" w:name="_Toc473119178"/>
      <w:r>
        <w:rPr>
          <w:rStyle w:val="CharDivNo"/>
        </w:rPr>
        <w:t>Division 6</w:t>
      </w:r>
      <w:r>
        <w:rPr>
          <w:snapToGrid w:val="0"/>
        </w:rPr>
        <w:t> — </w:t>
      </w:r>
      <w:r>
        <w:rPr>
          <w:rStyle w:val="CharDivText"/>
        </w:rPr>
        <w:t>Reference to the Commission, review and appeals</w:t>
      </w:r>
      <w:bookmarkEnd w:id="83"/>
      <w:bookmarkEnd w:id="84"/>
      <w:bookmarkEnd w:id="85"/>
      <w:bookmarkEnd w:id="86"/>
      <w:bookmarkEnd w:id="87"/>
      <w:r>
        <w:t xml:space="preserve"> </w:t>
      </w:r>
    </w:p>
    <w:p>
      <w:pPr>
        <w:pStyle w:val="Footnoteheading"/>
        <w:keepNext/>
        <w:keepLines/>
      </w:pPr>
      <w:r>
        <w:tab/>
        <w:t>[Heading amended by No. 73 of 2006 s. 20.]</w:t>
      </w:r>
    </w:p>
    <w:p>
      <w:pPr>
        <w:pStyle w:val="Heading5"/>
        <w:rPr>
          <w:snapToGrid w:val="0"/>
        </w:rPr>
      </w:pPr>
      <w:bookmarkStart w:id="88" w:name="_Toc473119179"/>
      <w:r>
        <w:rPr>
          <w:rStyle w:val="CharSectno"/>
        </w:rPr>
        <w:t>24</w:t>
      </w:r>
      <w:r>
        <w:rPr>
          <w:snapToGrid w:val="0"/>
        </w:rPr>
        <w:t>.</w:t>
      </w:r>
      <w:r>
        <w:rPr>
          <w:snapToGrid w:val="0"/>
        </w:rPr>
        <w:tab/>
        <w:t>Director may refer matters to Commission</w:t>
      </w:r>
      <w:bookmarkEnd w:id="88"/>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89" w:name="_Toc473119180"/>
      <w:r>
        <w:rPr>
          <w:rStyle w:val="CharSectno"/>
        </w:rPr>
        <w:t>25</w:t>
      </w:r>
      <w:r>
        <w:rPr>
          <w:snapToGrid w:val="0"/>
        </w:rPr>
        <w:t>.</w:t>
      </w:r>
      <w:r>
        <w:rPr>
          <w:snapToGrid w:val="0"/>
        </w:rPr>
        <w:tab/>
        <w:t>Review of Director’s decisions</w:t>
      </w:r>
      <w:bookmarkEnd w:id="89"/>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90" w:name="_Toc473119181"/>
      <w:r>
        <w:rPr>
          <w:rStyle w:val="CharSectno"/>
        </w:rPr>
        <w:t>26</w:t>
      </w:r>
      <w:r>
        <w:t>.</w:t>
      </w:r>
      <w:r>
        <w:tab/>
        <w:t>Some Director’s decisions have effect despite application to review</w:t>
      </w:r>
      <w:bookmarkEnd w:id="90"/>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91" w:name="_Toc473119182"/>
      <w:r>
        <w:rPr>
          <w:rStyle w:val="CharSectno"/>
        </w:rPr>
        <w:t>27</w:t>
      </w:r>
      <w:r>
        <w:rPr>
          <w:snapToGrid w:val="0"/>
        </w:rPr>
        <w:t>.</w:t>
      </w:r>
      <w:r>
        <w:rPr>
          <w:snapToGrid w:val="0"/>
        </w:rPr>
        <w:tab/>
        <w:t>Question of law, Commission may state to Supreme Court</w:t>
      </w:r>
      <w:bookmarkEnd w:id="91"/>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92" w:name="_Toc473119183"/>
      <w:r>
        <w:rPr>
          <w:rStyle w:val="CharSectno"/>
        </w:rPr>
        <w:t>28</w:t>
      </w:r>
      <w:r>
        <w:rPr>
          <w:snapToGrid w:val="0"/>
        </w:rPr>
        <w:t>.</w:t>
      </w:r>
      <w:r>
        <w:rPr>
          <w:snapToGrid w:val="0"/>
        </w:rPr>
        <w:tab/>
        <w:t>Appeals against Commission’s decisions</w:t>
      </w:r>
      <w:bookmarkEnd w:id="92"/>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93" w:name="_Toc473119184"/>
      <w:r>
        <w:rPr>
          <w:rStyle w:val="CharSectno"/>
        </w:rPr>
        <w:t>29</w:t>
      </w:r>
      <w:r>
        <w:rPr>
          <w:snapToGrid w:val="0"/>
        </w:rPr>
        <w:t>.</w:t>
      </w:r>
      <w:r>
        <w:rPr>
          <w:snapToGrid w:val="0"/>
        </w:rPr>
        <w:tab/>
        <w:t>Licence or permit continues to have effect pending appeal</w:t>
      </w:r>
      <w:bookmarkEnd w:id="93"/>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94" w:name="_Toc471906714"/>
      <w:bookmarkStart w:id="95" w:name="_Toc472001631"/>
      <w:bookmarkStart w:id="96" w:name="_Toc472676659"/>
      <w:bookmarkStart w:id="97" w:name="_Toc472682044"/>
      <w:bookmarkStart w:id="98" w:name="_Toc473119185"/>
      <w:r>
        <w:rPr>
          <w:rStyle w:val="CharDivNo"/>
        </w:rPr>
        <w:t>Division 7</w:t>
      </w:r>
      <w:r>
        <w:t> — </w:t>
      </w:r>
      <w:r>
        <w:rPr>
          <w:rStyle w:val="CharDivText"/>
        </w:rPr>
        <w:t>Confidential police information</w:t>
      </w:r>
      <w:bookmarkEnd w:id="94"/>
      <w:bookmarkEnd w:id="95"/>
      <w:bookmarkEnd w:id="96"/>
      <w:bookmarkEnd w:id="97"/>
      <w:bookmarkEnd w:id="98"/>
    </w:p>
    <w:p>
      <w:pPr>
        <w:pStyle w:val="Footnoteheading"/>
      </w:pPr>
      <w:r>
        <w:tab/>
        <w:t>[Heading inserted by No. 73 of 2006 s. 27.]</w:t>
      </w:r>
    </w:p>
    <w:p>
      <w:pPr>
        <w:pStyle w:val="Heading5"/>
        <w:spacing w:before="180"/>
      </w:pPr>
      <w:bookmarkStart w:id="99" w:name="_Toc473119186"/>
      <w:r>
        <w:rPr>
          <w:rStyle w:val="CharSectno"/>
        </w:rPr>
        <w:t>30</w:t>
      </w:r>
      <w:r>
        <w:t>.</w:t>
      </w:r>
      <w:r>
        <w:tab/>
        <w:t>Confidential police information, use and protection of</w:t>
      </w:r>
      <w:bookmarkEnd w:id="99"/>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 No. 35 of 2014 s. 39.]</w:t>
      </w:r>
    </w:p>
    <w:p>
      <w:pPr>
        <w:pStyle w:val="Heading2"/>
      </w:pPr>
      <w:bookmarkStart w:id="100" w:name="_Toc471906716"/>
      <w:bookmarkStart w:id="101" w:name="_Toc472001633"/>
      <w:bookmarkStart w:id="102" w:name="_Toc472676661"/>
      <w:bookmarkStart w:id="103" w:name="_Toc472682046"/>
      <w:bookmarkStart w:id="104" w:name="_Toc473119187"/>
      <w:r>
        <w:rPr>
          <w:rStyle w:val="CharPartNo"/>
        </w:rPr>
        <w:t>Part 3</w:t>
      </w:r>
      <w:r>
        <w:t> — </w:t>
      </w:r>
      <w:r>
        <w:rPr>
          <w:rStyle w:val="CharPartText"/>
        </w:rPr>
        <w:t>Licences and permits</w:t>
      </w:r>
      <w:bookmarkEnd w:id="100"/>
      <w:bookmarkEnd w:id="101"/>
      <w:bookmarkEnd w:id="102"/>
      <w:bookmarkEnd w:id="103"/>
      <w:bookmarkEnd w:id="104"/>
      <w:r>
        <w:rPr>
          <w:rStyle w:val="CharPartText"/>
        </w:rPr>
        <w:t xml:space="preserve"> </w:t>
      </w:r>
    </w:p>
    <w:p>
      <w:pPr>
        <w:pStyle w:val="Heading3"/>
        <w:rPr>
          <w:snapToGrid w:val="0"/>
        </w:rPr>
      </w:pPr>
      <w:bookmarkStart w:id="105" w:name="_Toc471906717"/>
      <w:bookmarkStart w:id="106" w:name="_Toc472001634"/>
      <w:bookmarkStart w:id="107" w:name="_Toc472676662"/>
      <w:bookmarkStart w:id="108" w:name="_Toc472682047"/>
      <w:bookmarkStart w:id="109" w:name="_Toc473119188"/>
      <w:r>
        <w:rPr>
          <w:rStyle w:val="CharDivNo"/>
        </w:rPr>
        <w:t>Division 1</w:t>
      </w:r>
      <w:r>
        <w:rPr>
          <w:snapToGrid w:val="0"/>
        </w:rPr>
        <w:t> — </w:t>
      </w:r>
      <w:r>
        <w:rPr>
          <w:rStyle w:val="CharDivText"/>
        </w:rPr>
        <w:t>General matters</w:t>
      </w:r>
      <w:bookmarkEnd w:id="105"/>
      <w:bookmarkEnd w:id="106"/>
      <w:bookmarkEnd w:id="107"/>
      <w:bookmarkEnd w:id="108"/>
      <w:bookmarkEnd w:id="109"/>
      <w:r>
        <w:rPr>
          <w:rStyle w:val="CharDivText"/>
        </w:rPr>
        <w:t xml:space="preserve"> </w:t>
      </w:r>
    </w:p>
    <w:p>
      <w:pPr>
        <w:pStyle w:val="Heading5"/>
        <w:rPr>
          <w:snapToGrid w:val="0"/>
        </w:rPr>
      </w:pPr>
      <w:bookmarkStart w:id="110" w:name="_Toc473119189"/>
      <w:r>
        <w:rPr>
          <w:rStyle w:val="CharSectno"/>
        </w:rPr>
        <w:t>30A</w:t>
      </w:r>
      <w:r>
        <w:rPr>
          <w:snapToGrid w:val="0"/>
        </w:rPr>
        <w:t>.</w:t>
      </w:r>
      <w:r>
        <w:rPr>
          <w:snapToGrid w:val="0"/>
        </w:rPr>
        <w:tab/>
        <w:t>Licences to sell liquor, grant and nature of</w:t>
      </w:r>
      <w:bookmarkEnd w:id="110"/>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spacing w:before="180"/>
        <w:rPr>
          <w:snapToGrid w:val="0"/>
        </w:rPr>
      </w:pPr>
      <w:bookmarkStart w:id="111" w:name="_Toc473119190"/>
      <w:r>
        <w:rPr>
          <w:rStyle w:val="CharSectno"/>
        </w:rPr>
        <w:t>30B</w:t>
      </w:r>
      <w:r>
        <w:rPr>
          <w:snapToGrid w:val="0"/>
        </w:rPr>
        <w:t>.</w:t>
      </w:r>
      <w:r>
        <w:rPr>
          <w:snapToGrid w:val="0"/>
        </w:rPr>
        <w:tab/>
        <w:t>Power of attorney does not empower donee to act for licensee under this Act</w:t>
      </w:r>
      <w:bookmarkEnd w:id="111"/>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spacing w:before="180"/>
        <w:rPr>
          <w:snapToGrid w:val="0"/>
        </w:rPr>
      </w:pPr>
      <w:bookmarkStart w:id="112" w:name="_Toc473119191"/>
      <w:r>
        <w:rPr>
          <w:rStyle w:val="CharSectno"/>
        </w:rPr>
        <w:t>31</w:t>
      </w:r>
      <w:r>
        <w:rPr>
          <w:snapToGrid w:val="0"/>
        </w:rPr>
        <w:t>.</w:t>
      </w:r>
      <w:r>
        <w:rPr>
          <w:snapToGrid w:val="0"/>
        </w:rPr>
        <w:tab/>
        <w:t>Licences, generally</w:t>
      </w:r>
      <w:bookmarkEnd w:id="112"/>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113" w:name="_Toc473119192"/>
      <w:r>
        <w:rPr>
          <w:rStyle w:val="CharSectno"/>
        </w:rPr>
        <w:t>32</w:t>
      </w:r>
      <w:r>
        <w:rPr>
          <w:snapToGrid w:val="0"/>
        </w:rPr>
        <w:t>.</w:t>
      </w:r>
      <w:r>
        <w:rPr>
          <w:snapToGrid w:val="0"/>
        </w:rPr>
        <w:tab/>
        <w:t>Duration of licences</w:t>
      </w:r>
      <w:bookmarkEnd w:id="113"/>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114" w:name="_Toc473119193"/>
      <w:r>
        <w:rPr>
          <w:rStyle w:val="CharSectno"/>
        </w:rPr>
        <w:t>33</w:t>
      </w:r>
      <w:r>
        <w:rPr>
          <w:snapToGrid w:val="0"/>
        </w:rPr>
        <w:t>.</w:t>
      </w:r>
      <w:r>
        <w:rPr>
          <w:snapToGrid w:val="0"/>
        </w:rPr>
        <w:tab/>
        <w:t>Powers of licensing authority when deciding applications</w:t>
      </w:r>
      <w:bookmarkEnd w:id="114"/>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115" w:name="_Toc473119194"/>
      <w:r>
        <w:rPr>
          <w:rStyle w:val="CharSectno"/>
        </w:rPr>
        <w:t>34</w:t>
      </w:r>
      <w:r>
        <w:rPr>
          <w:snapToGrid w:val="0"/>
        </w:rPr>
        <w:t>.</w:t>
      </w:r>
      <w:r>
        <w:rPr>
          <w:snapToGrid w:val="0"/>
        </w:rPr>
        <w:tab/>
        <w:t>Certain applications not to be decided</w:t>
      </w:r>
      <w:bookmarkEnd w:id="115"/>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116" w:name="_Toc473119195"/>
      <w:r>
        <w:rPr>
          <w:rStyle w:val="CharSectno"/>
        </w:rPr>
        <w:t>35</w:t>
      </w:r>
      <w:r>
        <w:rPr>
          <w:snapToGrid w:val="0"/>
        </w:rPr>
        <w:t>.</w:t>
      </w:r>
      <w:r>
        <w:rPr>
          <w:snapToGrid w:val="0"/>
        </w:rPr>
        <w:tab/>
        <w:t>Persons who may hold licences</w:t>
      </w:r>
      <w:bookmarkEnd w:id="116"/>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117" w:name="_Toc473119196"/>
      <w:r>
        <w:rPr>
          <w:rStyle w:val="CharSectno"/>
        </w:rPr>
        <w:t>35A</w:t>
      </w:r>
      <w:r>
        <w:rPr>
          <w:snapToGrid w:val="0"/>
        </w:rPr>
        <w:t>.</w:t>
      </w:r>
      <w:r>
        <w:rPr>
          <w:snapToGrid w:val="0"/>
        </w:rPr>
        <w:tab/>
        <w:t>Trustees for unincorporated bodies</w:t>
      </w:r>
      <w:bookmarkEnd w:id="117"/>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r>
        <w:t>[</w:t>
      </w:r>
      <w:r>
        <w:rPr>
          <w:b/>
        </w:rPr>
        <w:t>35B.</w:t>
      </w:r>
      <w:r>
        <w:rPr>
          <w:b/>
        </w:rPr>
        <w:tab/>
      </w:r>
      <w:r>
        <w:t xml:space="preserve">Deleted by No. 56 of 2010 s. 8.] </w:t>
      </w:r>
    </w:p>
    <w:p>
      <w:pPr>
        <w:pStyle w:val="Heading5"/>
        <w:rPr>
          <w:snapToGrid w:val="0"/>
        </w:rPr>
      </w:pPr>
      <w:bookmarkStart w:id="118" w:name="_Toc473119197"/>
      <w:r>
        <w:rPr>
          <w:rStyle w:val="CharSectno"/>
        </w:rPr>
        <w:t>36</w:t>
      </w:r>
      <w:r>
        <w:rPr>
          <w:snapToGrid w:val="0"/>
        </w:rPr>
        <w:t>.</w:t>
      </w:r>
      <w:r>
        <w:rPr>
          <w:snapToGrid w:val="0"/>
        </w:rPr>
        <w:tab/>
        <w:t>Two or more licences for same premises, restrictions on</w:t>
      </w:r>
      <w:bookmarkEnd w:id="118"/>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119" w:name="_Toc473119198"/>
      <w:r>
        <w:rPr>
          <w:rStyle w:val="CharSectno"/>
        </w:rPr>
        <w:t>36A</w:t>
      </w:r>
      <w:r>
        <w:t>.</w:t>
      </w:r>
      <w:r>
        <w:tab/>
        <w:t>Petrol stations in some areas not to be granted licences</w:t>
      </w:r>
      <w:bookmarkEnd w:id="119"/>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120" w:name="_Toc473119199"/>
      <w:r>
        <w:rPr>
          <w:rStyle w:val="CharSectno"/>
        </w:rPr>
        <w:t>37</w:t>
      </w:r>
      <w:r>
        <w:rPr>
          <w:snapToGrid w:val="0"/>
        </w:rPr>
        <w:t>.</w:t>
      </w:r>
      <w:r>
        <w:rPr>
          <w:snapToGrid w:val="0"/>
        </w:rPr>
        <w:tab/>
        <w:t>Pre-requisites for grants of licences etc.; conditions on licences</w:t>
      </w:r>
      <w:bookmarkEnd w:id="120"/>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regional local government or regional subsidiary;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spacing w:before="18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r>
      <w:smartTag w:uri="urn:schemas-microsoft-com:office:smarttags" w:element="State">
        <w:smartTag w:uri="urn:schemas-microsoft-com:office:smarttags" w:element="place">
          <w:r>
            <w:t>del</w:t>
          </w:r>
        </w:smartTag>
      </w:smartTag>
      <w:r>
        <w:t>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No. 30 of 2015 s. 222; No. 26 of 2016 s. 66.] </w:t>
      </w:r>
    </w:p>
    <w:p>
      <w:pPr>
        <w:pStyle w:val="Heading5"/>
        <w:rPr>
          <w:snapToGrid w:val="0"/>
        </w:rPr>
      </w:pPr>
      <w:bookmarkStart w:id="121" w:name="_Toc473119200"/>
      <w:r>
        <w:rPr>
          <w:rStyle w:val="CharSectno"/>
        </w:rPr>
        <w:t>37A</w:t>
      </w:r>
      <w:r>
        <w:rPr>
          <w:snapToGrid w:val="0"/>
        </w:rPr>
        <w:t>.</w:t>
      </w:r>
      <w:r>
        <w:rPr>
          <w:snapToGrid w:val="0"/>
        </w:rPr>
        <w:tab/>
        <w:t>Conviction of licensee etc., duty to inform Director</w:t>
      </w:r>
      <w:bookmarkEnd w:id="121"/>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122" w:name="_Toc473119201"/>
      <w:r>
        <w:rPr>
          <w:rStyle w:val="CharSectno"/>
        </w:rPr>
        <w:t>37B</w:t>
      </w:r>
      <w:r>
        <w:t>.</w:t>
      </w:r>
      <w:r>
        <w:tab/>
        <w:t>Fingerprints etc., licensing authority’s powers to obtain</w:t>
      </w:r>
      <w:bookmarkEnd w:id="122"/>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123" w:name="_Toc471906731"/>
      <w:bookmarkStart w:id="124" w:name="_Toc472001648"/>
      <w:bookmarkStart w:id="125" w:name="_Toc472676676"/>
      <w:bookmarkStart w:id="126" w:name="_Toc472682061"/>
      <w:bookmarkStart w:id="127" w:name="_Toc473119202"/>
      <w:r>
        <w:rPr>
          <w:rStyle w:val="CharDivNo"/>
        </w:rPr>
        <w:t>Division 2</w:t>
      </w:r>
      <w:r>
        <w:t> — </w:t>
      </w:r>
      <w:r>
        <w:rPr>
          <w:rStyle w:val="CharDivText"/>
        </w:rPr>
        <w:t>Licences</w:t>
      </w:r>
      <w:bookmarkEnd w:id="123"/>
      <w:bookmarkEnd w:id="124"/>
      <w:bookmarkEnd w:id="125"/>
      <w:bookmarkEnd w:id="126"/>
      <w:bookmarkEnd w:id="127"/>
    </w:p>
    <w:p>
      <w:pPr>
        <w:pStyle w:val="Footnoteheading"/>
        <w:rPr>
          <w:snapToGrid w:val="0"/>
        </w:rPr>
      </w:pPr>
      <w:r>
        <w:tab/>
        <w:t>[Heading inserted by No. 73 of 2006 s. 32.]</w:t>
      </w:r>
    </w:p>
    <w:p>
      <w:pPr>
        <w:pStyle w:val="Heading5"/>
      </w:pPr>
      <w:bookmarkStart w:id="128" w:name="_Toc473119203"/>
      <w:r>
        <w:rPr>
          <w:rStyle w:val="CharSectno"/>
        </w:rPr>
        <w:t>38</w:t>
      </w:r>
      <w:r>
        <w:t>.</w:t>
      </w:r>
      <w:r>
        <w:tab/>
        <w:t>Some applications not to be granted unless in the public interest</w:t>
      </w:r>
      <w:bookmarkEnd w:id="128"/>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spacing w:before="180"/>
        <w:rPr>
          <w:snapToGrid w:val="0"/>
        </w:rPr>
      </w:pPr>
      <w:bookmarkStart w:id="129" w:name="_Toc473119204"/>
      <w:r>
        <w:rPr>
          <w:rStyle w:val="CharSectno"/>
        </w:rPr>
        <w:t>39</w:t>
      </w:r>
      <w:r>
        <w:rPr>
          <w:snapToGrid w:val="0"/>
        </w:rPr>
        <w:t>.</w:t>
      </w:r>
      <w:r>
        <w:rPr>
          <w:snapToGrid w:val="0"/>
        </w:rPr>
        <w:tab/>
        <w:t>Certificate of local government as to whether premises comply with laws</w:t>
      </w:r>
      <w:bookmarkEnd w:id="129"/>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(Miscellaneous Provisions)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No. 24 of 2011 s. 165(2); No. 19 of 2016 s. 101.] </w:t>
      </w:r>
    </w:p>
    <w:p>
      <w:pPr>
        <w:pStyle w:val="Heading5"/>
        <w:spacing w:before="180"/>
        <w:rPr>
          <w:snapToGrid w:val="0"/>
        </w:rPr>
      </w:pPr>
      <w:bookmarkStart w:id="130" w:name="_Toc473119205"/>
      <w:r>
        <w:rPr>
          <w:rStyle w:val="CharSectno"/>
        </w:rPr>
        <w:t>40</w:t>
      </w:r>
      <w:r>
        <w:rPr>
          <w:snapToGrid w:val="0"/>
        </w:rPr>
        <w:t>.</w:t>
      </w:r>
      <w:r>
        <w:rPr>
          <w:snapToGrid w:val="0"/>
        </w:rPr>
        <w:tab/>
        <w:t>Certificate of planning authority as to whether use of premises complies with planning laws</w:t>
      </w:r>
      <w:bookmarkEnd w:id="130"/>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No. 35 of 2015 s. 5.] </w:t>
      </w:r>
    </w:p>
    <w:p>
      <w:pPr>
        <w:pStyle w:val="Heading5"/>
        <w:spacing w:before="180"/>
        <w:rPr>
          <w:snapToGrid w:val="0"/>
        </w:rPr>
      </w:pPr>
      <w:bookmarkStart w:id="131" w:name="_Toc473119206"/>
      <w:r>
        <w:rPr>
          <w:rStyle w:val="CharSectno"/>
        </w:rPr>
        <w:t>41</w:t>
      </w:r>
      <w:r>
        <w:rPr>
          <w:snapToGrid w:val="0"/>
        </w:rPr>
        <w:t>.</w:t>
      </w:r>
      <w:r>
        <w:rPr>
          <w:snapToGrid w:val="0"/>
        </w:rPr>
        <w:tab/>
        <w:t>Hotel licence, kinds, conditions and effect of</w:t>
      </w:r>
      <w:bookmarkEnd w:id="131"/>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by No. 12 of 1998 s. 27; No. 26 of 2001 s. 4; No. 73 of 2006 s. 34 and 108; No. 56 of 2010 s. 41.] </w:t>
      </w:r>
    </w:p>
    <w:p>
      <w:pPr>
        <w:pStyle w:val="Heading5"/>
        <w:spacing w:before="240"/>
        <w:rPr>
          <w:snapToGrid w:val="0"/>
        </w:rPr>
      </w:pPr>
      <w:bookmarkStart w:id="132" w:name="_Toc473119207"/>
      <w:r>
        <w:rPr>
          <w:rStyle w:val="CharSectno"/>
        </w:rPr>
        <w:t>42</w:t>
      </w:r>
      <w:r>
        <w:rPr>
          <w:snapToGrid w:val="0"/>
        </w:rPr>
        <w:t>.</w:t>
      </w:r>
      <w:r>
        <w:rPr>
          <w:snapToGrid w:val="0"/>
        </w:rPr>
        <w:tab/>
        <w:t>Nightclub licence, effect and conditions of</w:t>
      </w:r>
      <w:bookmarkEnd w:id="132"/>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by No. 73 of 2006 s. 107.]</w:t>
      </w:r>
    </w:p>
    <w:p>
      <w:pPr>
        <w:pStyle w:val="Heading5"/>
        <w:rPr>
          <w:snapToGrid w:val="0"/>
        </w:rPr>
      </w:pPr>
      <w:bookmarkStart w:id="133" w:name="_Toc473119208"/>
      <w:r>
        <w:rPr>
          <w:rStyle w:val="CharSectno"/>
        </w:rPr>
        <w:t>43</w:t>
      </w:r>
      <w:r>
        <w:rPr>
          <w:snapToGrid w:val="0"/>
        </w:rPr>
        <w:t>.</w:t>
      </w:r>
      <w:r>
        <w:rPr>
          <w:snapToGrid w:val="0"/>
        </w:rPr>
        <w:tab/>
        <w:t>N</w:t>
      </w:r>
      <w:r>
        <w:t xml:space="preserve">ightclub </w:t>
      </w:r>
      <w:r>
        <w:rPr>
          <w:snapToGrid w:val="0"/>
        </w:rPr>
        <w:t>licence, pre-requisites for grant of</w:t>
      </w:r>
      <w:bookmarkEnd w:id="133"/>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134" w:name="_Toc473119209"/>
      <w:r>
        <w:rPr>
          <w:rStyle w:val="CharSectno"/>
        </w:rPr>
        <w:t>44</w:t>
      </w:r>
      <w:r>
        <w:rPr>
          <w:snapToGrid w:val="0"/>
        </w:rPr>
        <w:t>.</w:t>
      </w:r>
      <w:r>
        <w:rPr>
          <w:snapToGrid w:val="0"/>
        </w:rPr>
        <w:tab/>
        <w:t>Casino liquor licence, effect and conditions of</w:t>
      </w:r>
      <w:bookmarkEnd w:id="134"/>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keepNext w:val="0"/>
        <w:keepLines w:val="0"/>
        <w:pageBreakBefore/>
        <w:spacing w:before="0"/>
        <w:rPr>
          <w:snapToGrid w:val="0"/>
        </w:rPr>
      </w:pPr>
      <w:bookmarkStart w:id="135" w:name="_Toc473119210"/>
      <w:r>
        <w:rPr>
          <w:rStyle w:val="CharSectno"/>
        </w:rPr>
        <w:t>45</w:t>
      </w:r>
      <w:r>
        <w:rPr>
          <w:snapToGrid w:val="0"/>
        </w:rPr>
        <w:t>.</w:t>
      </w:r>
      <w:r>
        <w:rPr>
          <w:snapToGrid w:val="0"/>
        </w:rPr>
        <w:tab/>
        <w:t>Casino liquor licence, pre-requisites for grant of</w:t>
      </w:r>
      <w:bookmarkEnd w:id="135"/>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136" w:name="_Toc473119211"/>
      <w:r>
        <w:rPr>
          <w:rStyle w:val="CharSectno"/>
        </w:rPr>
        <w:t>46</w:t>
      </w:r>
      <w:r>
        <w:rPr>
          <w:snapToGrid w:val="0"/>
        </w:rPr>
        <w:t>.</w:t>
      </w:r>
      <w:r>
        <w:rPr>
          <w:snapToGrid w:val="0"/>
        </w:rPr>
        <w:tab/>
        <w:t>Special facility licence, pre-requisites for grant of</w:t>
      </w:r>
      <w:bookmarkEnd w:id="136"/>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137" w:name="_Toc473119212"/>
      <w:r>
        <w:rPr>
          <w:rStyle w:val="CharSectno"/>
        </w:rPr>
        <w:t>46A</w:t>
      </w:r>
      <w:r>
        <w:t>.</w:t>
      </w:r>
      <w:r>
        <w:tab/>
        <w:t>Special facility licence, restrictions on varying</w:t>
      </w:r>
      <w:bookmarkEnd w:id="137"/>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138" w:name="_Toc473119213"/>
      <w:r>
        <w:rPr>
          <w:rStyle w:val="CharSectno"/>
        </w:rPr>
        <w:t>46B</w:t>
      </w:r>
      <w:r>
        <w:t>.</w:t>
      </w:r>
      <w:r>
        <w:tab/>
        <w:t>Alternatives to granting or varying special facility licences</w:t>
      </w:r>
      <w:bookmarkEnd w:id="138"/>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180"/>
        <w:rPr>
          <w:snapToGrid w:val="0"/>
        </w:rPr>
      </w:pPr>
      <w:bookmarkStart w:id="139" w:name="_Toc473119214"/>
      <w:r>
        <w:rPr>
          <w:rStyle w:val="CharSectno"/>
        </w:rPr>
        <w:t>47</w:t>
      </w:r>
      <w:r>
        <w:rPr>
          <w:snapToGrid w:val="0"/>
        </w:rPr>
        <w:t>.</w:t>
      </w:r>
      <w:r>
        <w:rPr>
          <w:snapToGrid w:val="0"/>
        </w:rPr>
        <w:tab/>
        <w:t>Liquor store licence, effect of</w:t>
      </w:r>
      <w:bookmarkEnd w:id="139"/>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140" w:name="_Toc473119215"/>
      <w:r>
        <w:rPr>
          <w:rStyle w:val="CharSectno"/>
        </w:rPr>
        <w:t>48</w:t>
      </w:r>
      <w:r>
        <w:rPr>
          <w:snapToGrid w:val="0"/>
        </w:rPr>
        <w:t>.</w:t>
      </w:r>
      <w:r>
        <w:rPr>
          <w:snapToGrid w:val="0"/>
        </w:rPr>
        <w:tab/>
        <w:t>Club licence, kinds, conditions and effect of</w:t>
      </w:r>
      <w:bookmarkEnd w:id="140"/>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keepLines/>
        <w:pageBreakBefore/>
        <w:spacing w:before="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141" w:name="_Toc473119216"/>
      <w:r>
        <w:rPr>
          <w:rStyle w:val="CharSectno"/>
        </w:rPr>
        <w:t>49</w:t>
      </w:r>
      <w:r>
        <w:rPr>
          <w:snapToGrid w:val="0"/>
        </w:rPr>
        <w:t>.</w:t>
      </w:r>
      <w:r>
        <w:rPr>
          <w:snapToGrid w:val="0"/>
        </w:rPr>
        <w:tab/>
        <w:t>Club licence, pre-requisites for grant of</w:t>
      </w:r>
      <w:bookmarkEnd w:id="141"/>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keepNext/>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No. 30 of 2015 s. 232.] </w:t>
      </w:r>
    </w:p>
    <w:p>
      <w:pPr>
        <w:pStyle w:val="Heading5"/>
        <w:rPr>
          <w:snapToGrid w:val="0"/>
        </w:rPr>
      </w:pPr>
      <w:bookmarkStart w:id="142" w:name="_Toc473119217"/>
      <w:r>
        <w:rPr>
          <w:rStyle w:val="CharSectno"/>
        </w:rPr>
        <w:t>50</w:t>
      </w:r>
      <w:r>
        <w:rPr>
          <w:snapToGrid w:val="0"/>
        </w:rPr>
        <w:t>.</w:t>
      </w:r>
      <w:r>
        <w:rPr>
          <w:snapToGrid w:val="0"/>
        </w:rPr>
        <w:tab/>
        <w:t>Restaurant licence, effect and conditions of</w:t>
      </w:r>
      <w:bookmarkEnd w:id="142"/>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43" w:name="_Toc473119218"/>
      <w:r>
        <w:rPr>
          <w:rStyle w:val="CharSectno"/>
        </w:rPr>
        <w:t>51</w:t>
      </w:r>
      <w:r>
        <w:rPr>
          <w:snapToGrid w:val="0"/>
        </w:rPr>
        <w:t>.</w:t>
      </w:r>
      <w:r>
        <w:rPr>
          <w:snapToGrid w:val="0"/>
        </w:rPr>
        <w:tab/>
        <w:t>Unlicensed restaurants, supply of liquor in</w:t>
      </w:r>
      <w:bookmarkEnd w:id="143"/>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by No. 12 of 1998 s. 34; No. 73 of 2006 s. 110; No. 56 of 2010 s. 69.] </w:t>
      </w:r>
    </w:p>
    <w:p>
      <w:pPr>
        <w:pStyle w:val="Heading5"/>
        <w:rPr>
          <w:snapToGrid w:val="0"/>
        </w:rPr>
      </w:pPr>
      <w:bookmarkStart w:id="144" w:name="_Toc473119219"/>
      <w:r>
        <w:rPr>
          <w:rStyle w:val="CharSectno"/>
        </w:rPr>
        <w:t>52</w:t>
      </w:r>
      <w:r>
        <w:rPr>
          <w:snapToGrid w:val="0"/>
        </w:rPr>
        <w:t>.</w:t>
      </w:r>
      <w:r>
        <w:rPr>
          <w:snapToGrid w:val="0"/>
        </w:rPr>
        <w:tab/>
        <w:t>Liquor sold or consumed with meals, effect of extended trading permit which authorises; evidentiary provisions</w:t>
      </w:r>
      <w:bookmarkEnd w:id="144"/>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45" w:name="_Toc473119220"/>
      <w:r>
        <w:rPr>
          <w:rStyle w:val="CharSectno"/>
        </w:rPr>
        <w:t>53</w:t>
      </w:r>
      <w:r>
        <w:rPr>
          <w:snapToGrid w:val="0"/>
        </w:rPr>
        <w:t>.</w:t>
      </w:r>
      <w:r>
        <w:rPr>
          <w:snapToGrid w:val="0"/>
        </w:rPr>
        <w:tab/>
        <w:t>Restaurant licence and extended trading permit, effect of may be restricted as to selling liquor with meals</w:t>
      </w:r>
      <w:bookmarkEnd w:id="145"/>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by No. 12 of 1998 s. 35(1).] </w:t>
      </w:r>
    </w:p>
    <w:p>
      <w:pPr>
        <w:pStyle w:val="Heading5"/>
        <w:spacing w:before="240"/>
        <w:rPr>
          <w:snapToGrid w:val="0"/>
        </w:rPr>
      </w:pPr>
      <w:bookmarkStart w:id="146" w:name="_Toc473119221"/>
      <w:r>
        <w:rPr>
          <w:rStyle w:val="CharSectno"/>
        </w:rPr>
        <w:t>55</w:t>
      </w:r>
      <w:r>
        <w:rPr>
          <w:snapToGrid w:val="0"/>
        </w:rPr>
        <w:t>.</w:t>
      </w:r>
      <w:r>
        <w:rPr>
          <w:snapToGrid w:val="0"/>
        </w:rPr>
        <w:tab/>
        <w:t>Producer’s licence, effect of</w:t>
      </w:r>
      <w:bookmarkEnd w:id="146"/>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rPr>
          <w:snapToGrid w:val="0"/>
        </w:rPr>
      </w:pPr>
      <w:r>
        <w:rPr>
          <w:snapToGrid w:val="0"/>
        </w:rPr>
        <w:tab/>
        <w:t>(iii)</w:t>
      </w:r>
      <w:r>
        <w:rPr>
          <w:snapToGrid w:val="0"/>
        </w:rPr>
        <w:tab/>
        <w:t xml:space="preserve">beer, in sealed containers for consumption off the premises; </w:t>
      </w:r>
    </w:p>
    <w:p>
      <w:pPr>
        <w:pStyle w:val="Indenti"/>
      </w:pPr>
      <w:r>
        <w:tab/>
        <w:t>(iv)</w:t>
      </w:r>
      <w:r>
        <w:tab/>
        <w:t>beer, for consumption on a part of the licensed premises approved for the purpose by the Director;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sell or supply that liquor, by way of sample, for consumption on a part of the licensed premises approved for the purpose by the </w:t>
      </w:r>
      <w:r>
        <w:t>Director; and</w:t>
      </w:r>
    </w:p>
    <w:p>
      <w:pPr>
        <w:pStyle w:val="Indenta"/>
      </w:pPr>
      <w:r>
        <w:tab/>
        <w:t>(c)</w:t>
      </w:r>
      <w:r>
        <w:tab/>
        <w:t xml:space="preserve">to sell or supply liquor, other than liquor produced by the licensee, from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Subsection"/>
        <w:spacing w:before="18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spacing w:before="120"/>
      </w:pPr>
      <w:r>
        <w:tab/>
        <w:t>(2A)</w:t>
      </w:r>
      <w:r>
        <w:tab/>
        <w:t xml:space="preserve">Despite subsection (1)(a), 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spacing w:before="120"/>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spacing w:before="80"/>
        <w:ind w:left="890" w:hanging="890"/>
      </w:pPr>
      <w:r>
        <w:tab/>
        <w:t xml:space="preserve">[Section 55 amended by No. 12 of 1998 s. 36; No. 73 of 2006 s. 41; No. 56 of 2010 s. 42; No. 35 of 2015 s. 6.] </w:t>
      </w:r>
    </w:p>
    <w:p>
      <w:pPr>
        <w:pStyle w:val="Heading5"/>
        <w:spacing w:before="180"/>
        <w:rPr>
          <w:snapToGrid w:val="0"/>
        </w:rPr>
      </w:pPr>
      <w:bookmarkStart w:id="147" w:name="_Toc473119222"/>
      <w:r>
        <w:rPr>
          <w:rStyle w:val="CharSectno"/>
        </w:rPr>
        <w:t>56</w:t>
      </w:r>
      <w:r>
        <w:rPr>
          <w:snapToGrid w:val="0"/>
        </w:rPr>
        <w:t>.</w:t>
      </w:r>
      <w:r>
        <w:rPr>
          <w:snapToGrid w:val="0"/>
        </w:rPr>
        <w:tab/>
        <w:t>Production of liquor by person, presumption of</w:t>
      </w:r>
      <w:bookmarkEnd w:id="147"/>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148" w:name="_Toc473119223"/>
      <w:r>
        <w:rPr>
          <w:rStyle w:val="CharSectno"/>
        </w:rPr>
        <w:t>57</w:t>
      </w:r>
      <w:r>
        <w:rPr>
          <w:snapToGrid w:val="0"/>
        </w:rPr>
        <w:t>.</w:t>
      </w:r>
      <w:r>
        <w:rPr>
          <w:snapToGrid w:val="0"/>
        </w:rPr>
        <w:tab/>
        <w:t>Producer’s licence, pre-requisites for grant of</w:t>
      </w:r>
      <w:bookmarkEnd w:id="148"/>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149" w:name="_Toc473119224"/>
      <w:r>
        <w:rPr>
          <w:rStyle w:val="CharSectno"/>
        </w:rPr>
        <w:t>58</w:t>
      </w:r>
      <w:r>
        <w:rPr>
          <w:snapToGrid w:val="0"/>
        </w:rPr>
        <w:t>.</w:t>
      </w:r>
      <w:r>
        <w:rPr>
          <w:snapToGrid w:val="0"/>
        </w:rPr>
        <w:tab/>
        <w:t>Wholesaler’s licence, effect and conditions of</w:t>
      </w:r>
      <w:bookmarkEnd w:id="149"/>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No. 35 of 2015 s. 7.] </w:t>
      </w:r>
    </w:p>
    <w:p>
      <w:pPr>
        <w:pStyle w:val="Heading5"/>
        <w:rPr>
          <w:snapToGrid w:val="0"/>
        </w:rPr>
      </w:pPr>
      <w:bookmarkStart w:id="150" w:name="_Toc473119225"/>
      <w:r>
        <w:rPr>
          <w:rStyle w:val="CharSectno"/>
        </w:rPr>
        <w:t>59</w:t>
      </w:r>
      <w:r>
        <w:rPr>
          <w:snapToGrid w:val="0"/>
        </w:rPr>
        <w:t>.</w:t>
      </w:r>
      <w:r>
        <w:rPr>
          <w:snapToGrid w:val="0"/>
        </w:rPr>
        <w:tab/>
        <w:t>Occasional licence, effect, conditions and pre-requisites for grant of</w:t>
      </w:r>
      <w:bookmarkEnd w:id="150"/>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151" w:name="_Toc471906755"/>
      <w:bookmarkStart w:id="152" w:name="_Toc472001672"/>
      <w:bookmarkStart w:id="153" w:name="_Toc472676700"/>
      <w:bookmarkStart w:id="154" w:name="_Toc472682085"/>
      <w:bookmarkStart w:id="155" w:name="_Toc473119226"/>
      <w:r>
        <w:rPr>
          <w:rStyle w:val="CharDivNo"/>
        </w:rPr>
        <w:t>Division 4</w:t>
      </w:r>
      <w:r>
        <w:rPr>
          <w:snapToGrid w:val="0"/>
        </w:rPr>
        <w:t> — </w:t>
      </w:r>
      <w:r>
        <w:rPr>
          <w:rStyle w:val="CharDivText"/>
        </w:rPr>
        <w:t>Permits</w:t>
      </w:r>
      <w:bookmarkEnd w:id="151"/>
      <w:bookmarkEnd w:id="152"/>
      <w:bookmarkEnd w:id="153"/>
      <w:bookmarkEnd w:id="154"/>
      <w:bookmarkEnd w:id="155"/>
      <w:r>
        <w:rPr>
          <w:rStyle w:val="CharDivText"/>
        </w:rPr>
        <w:t xml:space="preserve"> </w:t>
      </w:r>
    </w:p>
    <w:p>
      <w:pPr>
        <w:pStyle w:val="Heading5"/>
        <w:rPr>
          <w:snapToGrid w:val="0"/>
        </w:rPr>
      </w:pPr>
      <w:bookmarkStart w:id="156" w:name="_Toc473119227"/>
      <w:r>
        <w:rPr>
          <w:rStyle w:val="CharSectno"/>
        </w:rPr>
        <w:t>60</w:t>
      </w:r>
      <w:r>
        <w:rPr>
          <w:snapToGrid w:val="0"/>
        </w:rPr>
        <w:t>.</w:t>
      </w:r>
      <w:r>
        <w:rPr>
          <w:snapToGrid w:val="0"/>
        </w:rPr>
        <w:tab/>
        <w:t>Extended trading permit, purposes, effect and conditions of</w:t>
      </w:r>
      <w:bookmarkEnd w:id="156"/>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pPr>
      <w:r>
        <w:tab/>
        <w:t>(ia)</w:t>
      </w:r>
      <w:r>
        <w:tab/>
        <w:t>authorising the licensee of a producer’s licence to sell wine or beer under the licence on specified premises on which the licensee would not otherwise be authorised to sell the wine or beer, 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No. 35 of 2015 s. 8.] </w:t>
      </w:r>
    </w:p>
    <w:p>
      <w:pPr>
        <w:pStyle w:val="Heading5"/>
        <w:rPr>
          <w:snapToGrid w:val="0"/>
        </w:rPr>
      </w:pPr>
      <w:bookmarkStart w:id="157" w:name="_Toc473119228"/>
      <w:r>
        <w:rPr>
          <w:rStyle w:val="CharSectno"/>
        </w:rPr>
        <w:t>61</w:t>
      </w:r>
      <w:r>
        <w:rPr>
          <w:snapToGrid w:val="0"/>
        </w:rPr>
        <w:t>.</w:t>
      </w:r>
      <w:r>
        <w:rPr>
          <w:snapToGrid w:val="0"/>
        </w:rPr>
        <w:tab/>
        <w:t>Extended trading permit for extended area (s. 60(4)(h)), pre</w:t>
      </w:r>
      <w:r>
        <w:rPr>
          <w:snapToGrid w:val="0"/>
        </w:rPr>
        <w:noBreakHyphen/>
        <w:t>requisites for grant of</w:t>
      </w:r>
      <w:bookmarkEnd w:id="157"/>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Heading5"/>
      </w:pPr>
      <w:bookmarkStart w:id="158" w:name="_Toc473119229"/>
      <w:r>
        <w:rPr>
          <w:rStyle w:val="CharSectno"/>
        </w:rPr>
        <w:t>61A</w:t>
      </w:r>
      <w:r>
        <w:t>.</w:t>
      </w:r>
      <w:r>
        <w:tab/>
        <w:t>Extended trading permit for the sale of wine or beer (s. 60(4)(ia))</w:t>
      </w:r>
      <w:bookmarkEnd w:id="158"/>
    </w:p>
    <w:p>
      <w:pPr>
        <w:pStyle w:val="Subsection"/>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wine or beer;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beer, the premises are located in the district where the beer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wine or beer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beer if the licensee does not already hold a cellar door permit for the purposes of the sale of beer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(6)</w:t>
      </w:r>
      <w:r>
        <w:tab/>
        <w:t>The regulations may prescribe conditions that are to be taken to be attached to a cellar door permit unless otherwise specified in the licence.</w:t>
      </w:r>
    </w:p>
    <w:p>
      <w:pPr>
        <w:pStyle w:val="Footnotesection"/>
      </w:pPr>
      <w:r>
        <w:tab/>
        <w:t>[Section 61A inserted by No. 35 of 2015 s. 9.]</w:t>
      </w:r>
    </w:p>
    <w:p>
      <w:pPr>
        <w:pStyle w:val="Heading3"/>
        <w:keepLines/>
        <w:rPr>
          <w:snapToGrid w:val="0"/>
        </w:rPr>
      </w:pPr>
      <w:bookmarkStart w:id="159" w:name="_Toc471906759"/>
      <w:bookmarkStart w:id="160" w:name="_Toc472001676"/>
      <w:bookmarkStart w:id="161" w:name="_Toc472676704"/>
      <w:bookmarkStart w:id="162" w:name="_Toc472682089"/>
      <w:bookmarkStart w:id="163" w:name="_Toc473119230"/>
      <w:r>
        <w:rPr>
          <w:rStyle w:val="CharDivNo"/>
        </w:rPr>
        <w:t>Division 5</w:t>
      </w:r>
      <w:r>
        <w:rPr>
          <w:snapToGrid w:val="0"/>
        </w:rPr>
        <w:t> — </w:t>
      </w:r>
      <w:r>
        <w:rPr>
          <w:rStyle w:val="CharDivText"/>
        </w:rPr>
        <w:t>Conditional grants or approvals</w:t>
      </w:r>
      <w:bookmarkEnd w:id="159"/>
      <w:bookmarkEnd w:id="160"/>
      <w:bookmarkEnd w:id="161"/>
      <w:bookmarkEnd w:id="162"/>
      <w:bookmarkEnd w:id="163"/>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64" w:name="_Toc473119231"/>
      <w:r>
        <w:rPr>
          <w:rStyle w:val="CharSectno"/>
        </w:rPr>
        <w:t>62</w:t>
      </w:r>
      <w:r>
        <w:rPr>
          <w:snapToGrid w:val="0"/>
        </w:rPr>
        <w:t>.</w:t>
      </w:r>
      <w:r>
        <w:rPr>
          <w:snapToGrid w:val="0"/>
        </w:rPr>
        <w:tab/>
        <w:t>Uncompleted premises, conditional grant or removal in case of</w:t>
      </w:r>
      <w:bookmarkEnd w:id="164"/>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spacing w:before="180"/>
        <w:rPr>
          <w:snapToGrid w:val="0"/>
        </w:rPr>
      </w:pPr>
      <w:bookmarkStart w:id="165" w:name="_Toc473119232"/>
      <w:r>
        <w:rPr>
          <w:rStyle w:val="CharSectno"/>
        </w:rPr>
        <w:t>62A</w:t>
      </w:r>
      <w:r>
        <w:rPr>
          <w:snapToGrid w:val="0"/>
        </w:rPr>
        <w:t>.</w:t>
      </w:r>
      <w:r>
        <w:rPr>
          <w:snapToGrid w:val="0"/>
        </w:rPr>
        <w:tab/>
        <w:t>Pending certificate (s. 39 or 40) etc., conditional grant in case of</w:t>
      </w:r>
      <w:bookmarkEnd w:id="165"/>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by No. 12 of 1998 s. 42.] </w:t>
      </w:r>
    </w:p>
    <w:p>
      <w:pPr>
        <w:pStyle w:val="Heading5"/>
        <w:spacing w:before="160"/>
        <w:rPr>
          <w:snapToGrid w:val="0"/>
        </w:rPr>
      </w:pPr>
      <w:bookmarkStart w:id="166" w:name="_Toc473119233"/>
      <w:r>
        <w:rPr>
          <w:rStyle w:val="CharSectno"/>
        </w:rPr>
        <w:t>62B</w:t>
      </w:r>
      <w:r>
        <w:rPr>
          <w:snapToGrid w:val="0"/>
        </w:rPr>
        <w:t>.</w:t>
      </w:r>
      <w:r>
        <w:rPr>
          <w:snapToGrid w:val="0"/>
        </w:rPr>
        <w:tab/>
        <w:t>Pending approval etc. (s. 77(5)), conditional approval of alteration etc. in case of</w:t>
      </w:r>
      <w:bookmarkEnd w:id="166"/>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by No. 12 of 1998 </w:t>
      </w:r>
      <w:r>
        <w:t xml:space="preserve">s. 42.] </w:t>
      </w:r>
    </w:p>
    <w:p>
      <w:pPr>
        <w:pStyle w:val="Heading3"/>
        <w:keepNext w:val="0"/>
        <w:pageBreakBefore/>
        <w:spacing w:before="0"/>
        <w:rPr>
          <w:snapToGrid w:val="0"/>
        </w:rPr>
      </w:pPr>
      <w:bookmarkStart w:id="167" w:name="_Toc471906763"/>
      <w:bookmarkStart w:id="168" w:name="_Toc472001680"/>
      <w:bookmarkStart w:id="169" w:name="_Toc472676708"/>
      <w:bookmarkStart w:id="170" w:name="_Toc472682093"/>
      <w:bookmarkStart w:id="171" w:name="_Toc473119234"/>
      <w:r>
        <w:rPr>
          <w:rStyle w:val="CharDivNo"/>
        </w:rPr>
        <w:t>Division 6</w:t>
      </w:r>
      <w:r>
        <w:rPr>
          <w:snapToGrid w:val="0"/>
        </w:rPr>
        <w:t> — </w:t>
      </w:r>
      <w:r>
        <w:rPr>
          <w:rStyle w:val="CharDivText"/>
        </w:rPr>
        <w:t>Conditions, generally</w:t>
      </w:r>
      <w:bookmarkEnd w:id="167"/>
      <w:bookmarkEnd w:id="168"/>
      <w:bookmarkEnd w:id="169"/>
      <w:bookmarkEnd w:id="170"/>
      <w:bookmarkEnd w:id="171"/>
      <w:r>
        <w:rPr>
          <w:rStyle w:val="CharDivText"/>
        </w:rPr>
        <w:t xml:space="preserve"> </w:t>
      </w:r>
    </w:p>
    <w:p>
      <w:pPr>
        <w:pStyle w:val="Heading5"/>
        <w:rPr>
          <w:snapToGrid w:val="0"/>
        </w:rPr>
      </w:pPr>
      <w:bookmarkStart w:id="172" w:name="_Toc473119235"/>
      <w:r>
        <w:rPr>
          <w:rStyle w:val="CharSectno"/>
        </w:rPr>
        <w:t>63</w:t>
      </w:r>
      <w:r>
        <w:rPr>
          <w:snapToGrid w:val="0"/>
        </w:rPr>
        <w:t>.</w:t>
      </w:r>
      <w:r>
        <w:rPr>
          <w:snapToGrid w:val="0"/>
        </w:rPr>
        <w:tab/>
        <w:t>Terms fixed and conditions imposed by Act, only some can be varied etc.</w:t>
      </w:r>
      <w:bookmarkEnd w:id="172"/>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keepNext w:val="0"/>
        <w:keepLines w:val="0"/>
        <w:pageBreakBefore/>
        <w:spacing w:before="0"/>
        <w:rPr>
          <w:snapToGrid w:val="0"/>
        </w:rPr>
      </w:pPr>
      <w:bookmarkStart w:id="173" w:name="_Toc473119236"/>
      <w:r>
        <w:rPr>
          <w:rStyle w:val="CharSectno"/>
        </w:rPr>
        <w:t>64</w:t>
      </w:r>
      <w:r>
        <w:rPr>
          <w:snapToGrid w:val="0"/>
        </w:rPr>
        <w:t>.</w:t>
      </w:r>
      <w:r>
        <w:rPr>
          <w:snapToGrid w:val="0"/>
        </w:rPr>
        <w:tab/>
        <w:t>Imposing, varying and cancelling conditions</w:t>
      </w:r>
      <w:bookmarkEnd w:id="173"/>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Chief Health Officer;</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[Section 64 amended by No. 56 of 1997 s. 31; No. 12 of 1998 s. 44; No. 73 of 2006 s. 46; No. 56 of 2010 s. 44; No. 35 of 2015 s. 10</w:t>
      </w:r>
      <w:r>
        <w:rPr>
          <w:spacing w:val="-4"/>
        </w:rPr>
        <w:t>; No. 19 of 2016 s. 163</w:t>
      </w:r>
      <w:r>
        <w:t xml:space="preserve">.] </w:t>
      </w:r>
    </w:p>
    <w:p>
      <w:pPr>
        <w:pStyle w:val="Heading5"/>
        <w:spacing w:before="240"/>
        <w:rPr>
          <w:snapToGrid w:val="0"/>
        </w:rPr>
      </w:pPr>
      <w:bookmarkStart w:id="174" w:name="_Toc473119237"/>
      <w:r>
        <w:rPr>
          <w:rStyle w:val="CharSectno"/>
        </w:rPr>
        <w:t>65</w:t>
      </w:r>
      <w:r>
        <w:rPr>
          <w:snapToGrid w:val="0"/>
        </w:rPr>
        <w:t>.</w:t>
      </w:r>
      <w:r>
        <w:rPr>
          <w:snapToGrid w:val="0"/>
        </w:rPr>
        <w:tab/>
        <w:t>Packaged liquor, conditions relating to sale of for consumption off licensed premises</w:t>
      </w:r>
      <w:bookmarkEnd w:id="174"/>
      <w:r>
        <w:rPr>
          <w:snapToGrid w:val="0"/>
        </w:rPr>
        <w:t xml:space="preserve"> </w:t>
      </w:r>
    </w:p>
    <w:p>
      <w:pPr>
        <w:pStyle w:val="Subsection"/>
        <w:spacing w:before="120"/>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2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175" w:name="_Toc473119238"/>
      <w:r>
        <w:rPr>
          <w:rStyle w:val="CharSectno"/>
        </w:rPr>
        <w:t>65A</w:t>
      </w:r>
      <w:r>
        <w:t>.</w:t>
      </w:r>
      <w:r>
        <w:tab/>
        <w:t>Petrol station not to be established on premises from which packaged liquor is sold</w:t>
      </w:r>
      <w:bookmarkEnd w:id="175"/>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176" w:name="_Toc473119239"/>
      <w:r>
        <w:rPr>
          <w:rStyle w:val="CharSectno"/>
        </w:rPr>
        <w:t>65B</w:t>
      </w:r>
      <w:r>
        <w:t>.</w:t>
      </w:r>
      <w:r>
        <w:tab/>
        <w:t>Promoting liquor, regulations may prescribe conditions about</w:t>
      </w:r>
      <w:bookmarkEnd w:id="176"/>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by No. 73 of 2006 s. 47.]</w:t>
      </w:r>
    </w:p>
    <w:p>
      <w:pPr>
        <w:pStyle w:val="Heading3"/>
        <w:rPr>
          <w:snapToGrid w:val="0"/>
        </w:rPr>
      </w:pPr>
      <w:bookmarkStart w:id="177" w:name="_Toc471906769"/>
      <w:bookmarkStart w:id="178" w:name="_Toc472001686"/>
      <w:bookmarkStart w:id="179" w:name="_Toc472676714"/>
      <w:bookmarkStart w:id="180" w:name="_Toc472682099"/>
      <w:bookmarkStart w:id="181" w:name="_Toc473119240"/>
      <w:r>
        <w:rPr>
          <w:rStyle w:val="CharDivNo"/>
        </w:rPr>
        <w:t>Division 7</w:t>
      </w:r>
      <w:r>
        <w:rPr>
          <w:snapToGrid w:val="0"/>
        </w:rPr>
        <w:t> — </w:t>
      </w:r>
      <w:r>
        <w:rPr>
          <w:rStyle w:val="CharDivText"/>
        </w:rPr>
        <w:t>Applications</w:t>
      </w:r>
      <w:bookmarkEnd w:id="177"/>
      <w:bookmarkEnd w:id="178"/>
      <w:bookmarkEnd w:id="179"/>
      <w:bookmarkEnd w:id="180"/>
      <w:bookmarkEnd w:id="181"/>
      <w:r>
        <w:rPr>
          <w:rStyle w:val="CharDivText"/>
        </w:rPr>
        <w:t xml:space="preserve"> </w:t>
      </w:r>
    </w:p>
    <w:p>
      <w:pPr>
        <w:pStyle w:val="Heading5"/>
        <w:rPr>
          <w:snapToGrid w:val="0"/>
        </w:rPr>
      </w:pPr>
      <w:bookmarkStart w:id="182" w:name="_Toc473119241"/>
      <w:r>
        <w:rPr>
          <w:rStyle w:val="CharSectno"/>
        </w:rPr>
        <w:t>66</w:t>
      </w:r>
      <w:r>
        <w:rPr>
          <w:snapToGrid w:val="0"/>
        </w:rPr>
        <w:t>.</w:t>
      </w:r>
      <w:r>
        <w:rPr>
          <w:snapToGrid w:val="0"/>
        </w:rPr>
        <w:tab/>
        <w:t>Plans and specifications of premises, requirements as to</w:t>
      </w:r>
      <w:bookmarkEnd w:id="182"/>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83" w:name="_Toc473119242"/>
      <w:r>
        <w:rPr>
          <w:rStyle w:val="CharSectno"/>
        </w:rPr>
        <w:t>67</w:t>
      </w:r>
      <w:r>
        <w:rPr>
          <w:snapToGrid w:val="0"/>
        </w:rPr>
        <w:t>.</w:t>
      </w:r>
      <w:r>
        <w:rPr>
          <w:snapToGrid w:val="0"/>
        </w:rPr>
        <w:tab/>
        <w:t>Advertisement of applications</w:t>
      </w:r>
      <w:bookmarkEnd w:id="183"/>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184" w:name="_Toc473119243"/>
      <w:r>
        <w:rPr>
          <w:rStyle w:val="CharSectno"/>
        </w:rPr>
        <w:t>68</w:t>
      </w:r>
      <w:r>
        <w:rPr>
          <w:snapToGrid w:val="0"/>
        </w:rPr>
        <w:t>.</w:t>
      </w:r>
      <w:r>
        <w:rPr>
          <w:snapToGrid w:val="0"/>
        </w:rPr>
        <w:tab/>
        <w:t>Form, manner, notice and public inspection of applications</w:t>
      </w:r>
      <w:bookmarkEnd w:id="184"/>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spacing w:before="180"/>
        <w:rPr>
          <w:snapToGrid w:val="0"/>
        </w:rPr>
      </w:pPr>
      <w:bookmarkStart w:id="185" w:name="_Toc473119244"/>
      <w:r>
        <w:rPr>
          <w:rStyle w:val="CharSectno"/>
        </w:rPr>
        <w:t>69</w:t>
      </w:r>
      <w:r>
        <w:rPr>
          <w:snapToGrid w:val="0"/>
        </w:rPr>
        <w:t>.</w:t>
      </w:r>
      <w:r>
        <w:rPr>
          <w:snapToGrid w:val="0"/>
        </w:rPr>
        <w:tab/>
        <w:t>Advertising, referring, investigating and intervening in applications</w:t>
      </w:r>
      <w:bookmarkEnd w:id="185"/>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(Miscellaneous Provisions)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 xml:space="preserve">The Chief Health Officer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Chief Health Officer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snapToGrid w:val="0"/>
        </w:rPr>
        <w:t>Health (Miscellaneous Provisions)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No. 24 of 2011 s. 165(3); No. 35 of 2015 s. 11; No. 19 of 2016 s. 101 and 164.] </w:t>
      </w:r>
    </w:p>
    <w:p>
      <w:pPr>
        <w:pStyle w:val="Heading5"/>
        <w:keepNext w:val="0"/>
        <w:keepLines w:val="0"/>
        <w:spacing w:before="180"/>
        <w:rPr>
          <w:snapToGrid w:val="0"/>
        </w:rPr>
      </w:pPr>
      <w:bookmarkStart w:id="186" w:name="_Toc473119245"/>
      <w:r>
        <w:rPr>
          <w:rStyle w:val="CharSectno"/>
        </w:rPr>
        <w:t>70</w:t>
      </w:r>
      <w:r>
        <w:rPr>
          <w:snapToGrid w:val="0"/>
        </w:rPr>
        <w:t>.</w:t>
      </w:r>
      <w:r>
        <w:rPr>
          <w:snapToGrid w:val="0"/>
        </w:rPr>
        <w:tab/>
        <w:t>Club licence applications, intervening in</w:t>
      </w:r>
      <w:bookmarkEnd w:id="186"/>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r>
        <w:t>[</w:t>
      </w:r>
      <w:r>
        <w:rPr>
          <w:b/>
        </w:rPr>
        <w:t>71.</w:t>
      </w:r>
      <w:r>
        <w:tab/>
        <w:t>Deleted by No. 73 of 2006 s. 51.]</w:t>
      </w:r>
    </w:p>
    <w:p>
      <w:pPr>
        <w:pStyle w:val="Heading5"/>
        <w:spacing w:before="240"/>
        <w:rPr>
          <w:snapToGrid w:val="0"/>
        </w:rPr>
      </w:pPr>
      <w:bookmarkStart w:id="187" w:name="_Toc473119246"/>
      <w:r>
        <w:rPr>
          <w:rStyle w:val="CharSectno"/>
        </w:rPr>
        <w:t>72</w:t>
      </w:r>
      <w:r>
        <w:rPr>
          <w:snapToGrid w:val="0"/>
        </w:rPr>
        <w:t>.</w:t>
      </w:r>
      <w:r>
        <w:rPr>
          <w:snapToGrid w:val="0"/>
        </w:rPr>
        <w:tab/>
        <w:t>Owner etc. of premises, when consent of required; right of owner, lessee etc. to object</w:t>
      </w:r>
      <w:bookmarkEnd w:id="187"/>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88" w:name="_Toc473119247"/>
      <w:r>
        <w:rPr>
          <w:rStyle w:val="CharSectno"/>
        </w:rPr>
        <w:t>73</w:t>
      </w:r>
      <w:r>
        <w:rPr>
          <w:snapToGrid w:val="0"/>
        </w:rPr>
        <w:t>.</w:t>
      </w:r>
      <w:r>
        <w:rPr>
          <w:snapToGrid w:val="0"/>
        </w:rPr>
        <w:tab/>
      </w:r>
      <w:smartTag w:uri="urn:schemas-microsoft-com:office:smarttags" w:element="place">
        <w:r>
          <w:rPr>
            <w:snapToGrid w:val="0"/>
          </w:rPr>
          <w:t>Ob</w:t>
        </w:r>
      </w:smartTag>
      <w:r>
        <w:rPr>
          <w:snapToGrid w:val="0"/>
        </w:rPr>
        <w:t>jecting to applications, general right and rules as to</w:t>
      </w:r>
      <w:bookmarkEnd w:id="188"/>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89" w:name="_Toc473119248"/>
      <w:r>
        <w:rPr>
          <w:rStyle w:val="CharSectno"/>
        </w:rPr>
        <w:t>74</w:t>
      </w:r>
      <w:r>
        <w:rPr>
          <w:snapToGrid w:val="0"/>
        </w:rPr>
        <w:t>.</w:t>
      </w:r>
      <w:r>
        <w:rPr>
          <w:snapToGrid w:val="0"/>
        </w:rPr>
        <w:tab/>
        <w:t>Objecting to applications, grounds for etc.</w:t>
      </w:r>
      <w:bookmarkEnd w:id="189"/>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spacing w:before="240"/>
        <w:rPr>
          <w:snapToGrid w:val="0"/>
        </w:rPr>
      </w:pPr>
      <w:bookmarkStart w:id="190" w:name="_Toc473119249"/>
      <w:r>
        <w:rPr>
          <w:rStyle w:val="CharSectno"/>
        </w:rPr>
        <w:t>75</w:t>
      </w:r>
      <w:r>
        <w:rPr>
          <w:snapToGrid w:val="0"/>
        </w:rPr>
        <w:t>.</w:t>
      </w:r>
      <w:r>
        <w:rPr>
          <w:snapToGrid w:val="0"/>
        </w:rPr>
        <w:tab/>
        <w:t>Occasional licence, applications for</w:t>
      </w:r>
      <w:bookmarkEnd w:id="190"/>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spacing w:before="240"/>
        <w:rPr>
          <w:snapToGrid w:val="0"/>
        </w:rPr>
      </w:pPr>
      <w:bookmarkStart w:id="191" w:name="_Toc473119250"/>
      <w:r>
        <w:rPr>
          <w:rStyle w:val="CharSectno"/>
        </w:rPr>
        <w:t>76</w:t>
      </w:r>
      <w:r>
        <w:rPr>
          <w:snapToGrid w:val="0"/>
        </w:rPr>
        <w:t>.</w:t>
      </w:r>
      <w:r>
        <w:rPr>
          <w:snapToGrid w:val="0"/>
        </w:rPr>
        <w:tab/>
        <w:t>Extended trading permit, applications for</w:t>
      </w:r>
      <w:bookmarkEnd w:id="191"/>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192" w:name="_Toc473119251"/>
      <w:r>
        <w:rPr>
          <w:rStyle w:val="CharSectno"/>
        </w:rPr>
        <w:t>77</w:t>
      </w:r>
      <w:r>
        <w:rPr>
          <w:snapToGrid w:val="0"/>
        </w:rPr>
        <w:t>.</w:t>
      </w:r>
      <w:r>
        <w:rPr>
          <w:snapToGrid w:val="0"/>
        </w:rPr>
        <w:tab/>
        <w:t>No alteration of licensed premises without approval; application for approvals of alterations or redefinition of premises</w:t>
      </w:r>
      <w:bookmarkEnd w:id="192"/>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193" w:name="_Toc471906781"/>
      <w:bookmarkStart w:id="194" w:name="_Toc472001698"/>
      <w:bookmarkStart w:id="195" w:name="_Toc472676726"/>
      <w:bookmarkStart w:id="196" w:name="_Toc472682111"/>
      <w:bookmarkStart w:id="197" w:name="_Toc473119252"/>
      <w:r>
        <w:rPr>
          <w:rStyle w:val="CharDivNo"/>
        </w:rPr>
        <w:t>Division 8</w:t>
      </w:r>
      <w:r>
        <w:rPr>
          <w:snapToGrid w:val="0"/>
        </w:rPr>
        <w:t> — </w:t>
      </w:r>
      <w:r>
        <w:rPr>
          <w:rStyle w:val="CharDivText"/>
        </w:rPr>
        <w:t>Removals</w:t>
      </w:r>
      <w:bookmarkEnd w:id="193"/>
      <w:bookmarkEnd w:id="194"/>
      <w:bookmarkEnd w:id="195"/>
      <w:bookmarkEnd w:id="196"/>
      <w:bookmarkEnd w:id="197"/>
      <w:r>
        <w:rPr>
          <w:rStyle w:val="CharDivText"/>
        </w:rPr>
        <w:t xml:space="preserve"> </w:t>
      </w:r>
    </w:p>
    <w:p>
      <w:pPr>
        <w:pStyle w:val="Heading5"/>
        <w:rPr>
          <w:snapToGrid w:val="0"/>
        </w:rPr>
      </w:pPr>
      <w:bookmarkStart w:id="198" w:name="_Toc473119253"/>
      <w:r>
        <w:rPr>
          <w:rStyle w:val="CharSectno"/>
        </w:rPr>
        <w:t>78</w:t>
      </w:r>
      <w:r>
        <w:rPr>
          <w:snapToGrid w:val="0"/>
        </w:rPr>
        <w:t>.</w:t>
      </w:r>
      <w:r>
        <w:rPr>
          <w:snapToGrid w:val="0"/>
        </w:rPr>
        <w:tab/>
        <w:t>Casino liquor licence not removable without authority</w:t>
      </w:r>
      <w:bookmarkEnd w:id="198"/>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199" w:name="_Toc473119254"/>
      <w:r>
        <w:rPr>
          <w:rStyle w:val="CharSectno"/>
        </w:rPr>
        <w:t>79</w:t>
      </w:r>
      <w:r>
        <w:rPr>
          <w:snapToGrid w:val="0"/>
        </w:rPr>
        <w:t>.</w:t>
      </w:r>
      <w:r>
        <w:rPr>
          <w:snapToGrid w:val="0"/>
        </w:rPr>
        <w:tab/>
        <w:t>Licence relating to transport, when removable</w:t>
      </w:r>
      <w:bookmarkEnd w:id="199"/>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200" w:name="_Toc473119255"/>
      <w:r>
        <w:rPr>
          <w:rStyle w:val="CharSectno"/>
        </w:rPr>
        <w:t>80</w:t>
      </w:r>
      <w:r>
        <w:rPr>
          <w:snapToGrid w:val="0"/>
        </w:rPr>
        <w:t>.</w:t>
      </w:r>
      <w:r>
        <w:rPr>
          <w:snapToGrid w:val="0"/>
        </w:rPr>
        <w:tab/>
        <w:t>Temporary removal or redefinition of licence</w:t>
      </w:r>
      <w:bookmarkEnd w:id="200"/>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201" w:name="_Toc473119256"/>
      <w:r>
        <w:rPr>
          <w:rStyle w:val="CharSectno"/>
        </w:rPr>
        <w:t>81</w:t>
      </w:r>
      <w:r>
        <w:rPr>
          <w:snapToGrid w:val="0"/>
        </w:rPr>
        <w:t>.</w:t>
      </w:r>
      <w:r>
        <w:rPr>
          <w:snapToGrid w:val="0"/>
        </w:rPr>
        <w:tab/>
        <w:t>Applications for removal of licence</w:t>
      </w:r>
      <w:bookmarkEnd w:id="201"/>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spacing w:before="140"/>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pageBreakBefore/>
        <w:spacing w:before="0"/>
        <w:rPr>
          <w:snapToGrid w:val="0"/>
        </w:rPr>
      </w:pPr>
      <w:bookmarkStart w:id="202" w:name="_Toc471906786"/>
      <w:bookmarkStart w:id="203" w:name="_Toc472001703"/>
      <w:bookmarkStart w:id="204" w:name="_Toc472676731"/>
      <w:bookmarkStart w:id="205" w:name="_Toc472682116"/>
      <w:bookmarkStart w:id="206" w:name="_Toc473119257"/>
      <w:r>
        <w:rPr>
          <w:rStyle w:val="CharDivNo"/>
        </w:rPr>
        <w:t>Division 9</w:t>
      </w:r>
      <w:r>
        <w:rPr>
          <w:snapToGrid w:val="0"/>
        </w:rPr>
        <w:t> — </w:t>
      </w:r>
      <w:r>
        <w:rPr>
          <w:rStyle w:val="CharDivText"/>
        </w:rPr>
        <w:t>Transfers</w:t>
      </w:r>
      <w:bookmarkEnd w:id="202"/>
      <w:bookmarkEnd w:id="203"/>
      <w:bookmarkEnd w:id="204"/>
      <w:bookmarkEnd w:id="205"/>
      <w:bookmarkEnd w:id="206"/>
      <w:r>
        <w:rPr>
          <w:rStyle w:val="CharDivText"/>
        </w:rPr>
        <w:t xml:space="preserve"> </w:t>
      </w:r>
    </w:p>
    <w:p>
      <w:pPr>
        <w:pStyle w:val="Heading5"/>
        <w:rPr>
          <w:snapToGrid w:val="0"/>
        </w:rPr>
      </w:pPr>
      <w:bookmarkStart w:id="207" w:name="_Toc473119258"/>
      <w:r>
        <w:rPr>
          <w:rStyle w:val="CharSectno"/>
        </w:rPr>
        <w:t>82</w:t>
      </w:r>
      <w:r>
        <w:rPr>
          <w:snapToGrid w:val="0"/>
        </w:rPr>
        <w:t>.</w:t>
      </w:r>
      <w:r>
        <w:rPr>
          <w:snapToGrid w:val="0"/>
        </w:rPr>
        <w:tab/>
        <w:t>Applications for transfer of licences</w:t>
      </w:r>
      <w:bookmarkEnd w:id="207"/>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208" w:name="_Toc473119259"/>
      <w:r>
        <w:rPr>
          <w:rStyle w:val="CharSectno"/>
        </w:rPr>
        <w:t>82A</w:t>
      </w:r>
      <w:r>
        <w:rPr>
          <w:snapToGrid w:val="0"/>
        </w:rPr>
        <w:t>.</w:t>
      </w:r>
      <w:r>
        <w:rPr>
          <w:snapToGrid w:val="0"/>
        </w:rPr>
        <w:tab/>
        <w:t>Transfer of licence between licence holders</w:t>
      </w:r>
      <w:bookmarkEnd w:id="208"/>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209" w:name="_Toc473119260"/>
      <w:r>
        <w:rPr>
          <w:rStyle w:val="CharSectno"/>
        </w:rPr>
        <w:t>83</w:t>
      </w:r>
      <w:r>
        <w:rPr>
          <w:snapToGrid w:val="0"/>
        </w:rPr>
        <w:t>.</w:t>
      </w:r>
      <w:r>
        <w:rPr>
          <w:snapToGrid w:val="0"/>
        </w:rPr>
        <w:tab/>
        <w:t>Certain licences not transferable</w:t>
      </w:r>
      <w:bookmarkEnd w:id="209"/>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210" w:name="_Toc473119261"/>
      <w:r>
        <w:rPr>
          <w:rStyle w:val="CharSectno"/>
        </w:rPr>
        <w:t>84</w:t>
      </w:r>
      <w:r>
        <w:rPr>
          <w:snapToGrid w:val="0"/>
        </w:rPr>
        <w:t>.</w:t>
      </w:r>
      <w:r>
        <w:rPr>
          <w:snapToGrid w:val="0"/>
        </w:rPr>
        <w:tab/>
        <w:t>Pre-requisites for transfer of licence</w:t>
      </w:r>
      <w:bookmarkEnd w:id="210"/>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211" w:name="_Toc473119262"/>
      <w:r>
        <w:rPr>
          <w:rStyle w:val="CharSectno"/>
        </w:rPr>
        <w:t>85</w:t>
      </w:r>
      <w:r>
        <w:rPr>
          <w:snapToGrid w:val="0"/>
        </w:rPr>
        <w:t>.</w:t>
      </w:r>
      <w:r>
        <w:rPr>
          <w:snapToGrid w:val="0"/>
        </w:rPr>
        <w:tab/>
        <w:t>Transferee to succeed to certain of transferor’s liabilities and rights</w:t>
      </w:r>
      <w:bookmarkEnd w:id="211"/>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212" w:name="_Toc471906792"/>
      <w:bookmarkStart w:id="213" w:name="_Toc472001709"/>
      <w:bookmarkStart w:id="214" w:name="_Toc472676737"/>
      <w:bookmarkStart w:id="215" w:name="_Toc472682122"/>
      <w:bookmarkStart w:id="216" w:name="_Toc473119263"/>
      <w:r>
        <w:rPr>
          <w:rStyle w:val="CharDivNo"/>
        </w:rPr>
        <w:t>Division 10</w:t>
      </w:r>
      <w:r>
        <w:rPr>
          <w:snapToGrid w:val="0"/>
        </w:rPr>
        <w:t> — </w:t>
      </w:r>
      <w:r>
        <w:rPr>
          <w:rStyle w:val="CharDivText"/>
        </w:rPr>
        <w:t>Interim authorisations and protection orders</w:t>
      </w:r>
      <w:bookmarkEnd w:id="212"/>
      <w:bookmarkEnd w:id="213"/>
      <w:bookmarkEnd w:id="214"/>
      <w:bookmarkEnd w:id="215"/>
      <w:bookmarkEnd w:id="216"/>
      <w:r>
        <w:rPr>
          <w:rStyle w:val="CharDivText"/>
        </w:rPr>
        <w:t xml:space="preserve"> </w:t>
      </w:r>
    </w:p>
    <w:p>
      <w:pPr>
        <w:pStyle w:val="Heading5"/>
        <w:rPr>
          <w:snapToGrid w:val="0"/>
        </w:rPr>
      </w:pPr>
      <w:bookmarkStart w:id="217" w:name="_Toc473119264"/>
      <w:r>
        <w:rPr>
          <w:rStyle w:val="CharSectno"/>
        </w:rPr>
        <w:t>86</w:t>
      </w:r>
      <w:r>
        <w:rPr>
          <w:snapToGrid w:val="0"/>
        </w:rPr>
        <w:t>.</w:t>
      </w:r>
      <w:r>
        <w:rPr>
          <w:snapToGrid w:val="0"/>
        </w:rPr>
        <w:tab/>
        <w:t>Interim authorisations to carry on business under licence</w:t>
      </w:r>
      <w:bookmarkEnd w:id="217"/>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218" w:name="_Toc473119265"/>
      <w:r>
        <w:rPr>
          <w:rStyle w:val="CharSectno"/>
        </w:rPr>
        <w:t>87</w:t>
      </w:r>
      <w:r>
        <w:rPr>
          <w:snapToGrid w:val="0"/>
        </w:rPr>
        <w:t>.</w:t>
      </w:r>
      <w:r>
        <w:rPr>
          <w:snapToGrid w:val="0"/>
        </w:rPr>
        <w:tab/>
        <w:t>Protection orders, grant and term of etc.</w:t>
      </w:r>
      <w:bookmarkEnd w:id="21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219" w:name="_Toc473119266"/>
      <w:r>
        <w:rPr>
          <w:rStyle w:val="CharSectno"/>
        </w:rPr>
        <w:t>88</w:t>
      </w:r>
      <w:r>
        <w:rPr>
          <w:snapToGrid w:val="0"/>
        </w:rPr>
        <w:t>.</w:t>
      </w:r>
      <w:r>
        <w:rPr>
          <w:snapToGrid w:val="0"/>
        </w:rPr>
        <w:tab/>
        <w:t>Protection order, effect of</w:t>
      </w:r>
      <w:bookmarkEnd w:id="219"/>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220" w:name="_Toc473119267"/>
      <w:r>
        <w:rPr>
          <w:rStyle w:val="CharSectno"/>
        </w:rPr>
        <w:t>89</w:t>
      </w:r>
      <w:r>
        <w:rPr>
          <w:snapToGrid w:val="0"/>
        </w:rPr>
        <w:t>.</w:t>
      </w:r>
      <w:r>
        <w:rPr>
          <w:snapToGrid w:val="0"/>
        </w:rPr>
        <w:tab/>
        <w:t>Dispute as to terms of lease, Director’s powers in case of</w:t>
      </w:r>
      <w:bookmarkEnd w:id="220"/>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spacing w:before="180"/>
        <w:rPr>
          <w:snapToGrid w:val="0"/>
        </w:rPr>
      </w:pPr>
      <w:bookmarkStart w:id="221" w:name="_Toc471906797"/>
      <w:bookmarkStart w:id="222" w:name="_Toc472001714"/>
      <w:bookmarkStart w:id="223" w:name="_Toc472676742"/>
      <w:bookmarkStart w:id="224" w:name="_Toc472682127"/>
      <w:bookmarkStart w:id="225" w:name="_Toc473119268"/>
      <w:r>
        <w:rPr>
          <w:rStyle w:val="CharDivNo"/>
        </w:rPr>
        <w:t>Division 11</w:t>
      </w:r>
      <w:r>
        <w:rPr>
          <w:snapToGrid w:val="0"/>
        </w:rPr>
        <w:t> — </w:t>
      </w:r>
      <w:r>
        <w:rPr>
          <w:rStyle w:val="CharDivText"/>
        </w:rPr>
        <w:t>Suspensions</w:t>
      </w:r>
      <w:bookmarkEnd w:id="221"/>
      <w:bookmarkEnd w:id="222"/>
      <w:bookmarkEnd w:id="223"/>
      <w:bookmarkEnd w:id="224"/>
      <w:bookmarkEnd w:id="225"/>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226" w:name="_Toc473119269"/>
      <w:r>
        <w:rPr>
          <w:rStyle w:val="CharSectno"/>
        </w:rPr>
        <w:t>91</w:t>
      </w:r>
      <w:r>
        <w:rPr>
          <w:snapToGrid w:val="0"/>
        </w:rPr>
        <w:t>.</w:t>
      </w:r>
      <w:r>
        <w:rPr>
          <w:snapToGrid w:val="0"/>
        </w:rPr>
        <w:tab/>
        <w:t>Suspension of licence or permit in the public interest</w:t>
      </w:r>
      <w:bookmarkEnd w:id="226"/>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spacing w:before="240"/>
        <w:rPr>
          <w:snapToGrid w:val="0"/>
        </w:rPr>
      </w:pPr>
      <w:bookmarkStart w:id="227" w:name="_Toc473119270"/>
      <w:r>
        <w:rPr>
          <w:rStyle w:val="CharSectno"/>
        </w:rPr>
        <w:t>92</w:t>
      </w:r>
      <w:r>
        <w:rPr>
          <w:snapToGrid w:val="0"/>
        </w:rPr>
        <w:t>.</w:t>
      </w:r>
      <w:r>
        <w:rPr>
          <w:snapToGrid w:val="0"/>
        </w:rPr>
        <w:tab/>
        <w:t>Suspension because business has ceased etc.</w:t>
      </w:r>
      <w:bookmarkEnd w:id="227"/>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spacing w:before="240"/>
        <w:rPr>
          <w:snapToGrid w:val="0"/>
        </w:rPr>
      </w:pPr>
      <w:bookmarkStart w:id="228" w:name="_Toc473119271"/>
      <w:r>
        <w:rPr>
          <w:rStyle w:val="CharSectno"/>
        </w:rPr>
        <w:t>92A</w:t>
      </w:r>
      <w:r>
        <w:rPr>
          <w:snapToGrid w:val="0"/>
        </w:rPr>
        <w:t>.</w:t>
      </w:r>
      <w:r>
        <w:rPr>
          <w:snapToGrid w:val="0"/>
        </w:rPr>
        <w:tab/>
        <w:t>Cancellation of suspension</w:t>
      </w:r>
      <w:bookmarkEnd w:id="228"/>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spacing w:before="240"/>
        <w:rPr>
          <w:snapToGrid w:val="0"/>
        </w:rPr>
      </w:pPr>
      <w:bookmarkStart w:id="229" w:name="_Toc473119272"/>
      <w:r>
        <w:rPr>
          <w:rStyle w:val="CharSectno"/>
        </w:rPr>
        <w:t>93</w:t>
      </w:r>
      <w:r>
        <w:rPr>
          <w:snapToGrid w:val="0"/>
        </w:rPr>
        <w:t>.</w:t>
      </w:r>
      <w:r>
        <w:rPr>
          <w:snapToGrid w:val="0"/>
        </w:rPr>
        <w:tab/>
        <w:t>Cancellation of suspended licences</w:t>
      </w:r>
      <w:bookmarkEnd w:id="229"/>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by No. 12 of 1998 s. 65; No. 73 of 2006 s. 65.] </w:t>
      </w:r>
    </w:p>
    <w:p>
      <w:pPr>
        <w:pStyle w:val="Heading3"/>
        <w:keepLines/>
        <w:spacing w:before="160"/>
        <w:rPr>
          <w:snapToGrid w:val="0"/>
        </w:rPr>
      </w:pPr>
      <w:bookmarkStart w:id="230" w:name="_Toc471906802"/>
      <w:bookmarkStart w:id="231" w:name="_Toc472001719"/>
      <w:bookmarkStart w:id="232" w:name="_Toc472676747"/>
      <w:bookmarkStart w:id="233" w:name="_Toc472682132"/>
      <w:bookmarkStart w:id="234" w:name="_Toc473119273"/>
      <w:r>
        <w:rPr>
          <w:rStyle w:val="CharDivNo"/>
        </w:rPr>
        <w:t>Division 12</w:t>
      </w:r>
      <w:r>
        <w:rPr>
          <w:snapToGrid w:val="0"/>
        </w:rPr>
        <w:t> — </w:t>
      </w:r>
      <w:r>
        <w:rPr>
          <w:rStyle w:val="CharDivText"/>
        </w:rPr>
        <w:t>Surrenders</w:t>
      </w:r>
      <w:bookmarkEnd w:id="230"/>
      <w:bookmarkEnd w:id="231"/>
      <w:bookmarkEnd w:id="232"/>
      <w:bookmarkEnd w:id="233"/>
      <w:bookmarkEnd w:id="234"/>
      <w:r>
        <w:rPr>
          <w:rStyle w:val="CharDivText"/>
        </w:rPr>
        <w:t xml:space="preserve"> </w:t>
      </w:r>
    </w:p>
    <w:p>
      <w:pPr>
        <w:pStyle w:val="Heading5"/>
        <w:keepNext w:val="0"/>
        <w:spacing w:before="160"/>
        <w:rPr>
          <w:snapToGrid w:val="0"/>
        </w:rPr>
      </w:pPr>
      <w:bookmarkStart w:id="235" w:name="_Toc473119274"/>
      <w:r>
        <w:rPr>
          <w:rStyle w:val="CharSectno"/>
        </w:rPr>
        <w:t>94</w:t>
      </w:r>
      <w:r>
        <w:rPr>
          <w:snapToGrid w:val="0"/>
        </w:rPr>
        <w:t>.</w:t>
      </w:r>
      <w:r>
        <w:rPr>
          <w:snapToGrid w:val="0"/>
        </w:rPr>
        <w:tab/>
        <w:t>Surrendering licences</w:t>
      </w:r>
      <w:bookmarkEnd w:id="235"/>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236" w:name="_Toc471906804"/>
      <w:bookmarkStart w:id="237" w:name="_Toc472001721"/>
      <w:bookmarkStart w:id="238" w:name="_Toc472676749"/>
      <w:bookmarkStart w:id="239" w:name="_Toc472682134"/>
      <w:bookmarkStart w:id="240" w:name="_Toc473119275"/>
      <w:r>
        <w:rPr>
          <w:rStyle w:val="CharDivNo"/>
        </w:rPr>
        <w:t>Division 13</w:t>
      </w:r>
      <w:r>
        <w:rPr>
          <w:snapToGrid w:val="0"/>
        </w:rPr>
        <w:t> — </w:t>
      </w:r>
      <w:r>
        <w:rPr>
          <w:rStyle w:val="CharDivText"/>
        </w:rPr>
        <w:t>Disciplinary matters</w:t>
      </w:r>
      <w:bookmarkEnd w:id="236"/>
      <w:bookmarkEnd w:id="237"/>
      <w:bookmarkEnd w:id="238"/>
      <w:bookmarkEnd w:id="239"/>
      <w:bookmarkEnd w:id="240"/>
      <w:r>
        <w:rPr>
          <w:rStyle w:val="CharDivText"/>
        </w:rPr>
        <w:t xml:space="preserve"> </w:t>
      </w:r>
    </w:p>
    <w:p>
      <w:pPr>
        <w:pStyle w:val="Heading5"/>
        <w:rPr>
          <w:snapToGrid w:val="0"/>
        </w:rPr>
      </w:pPr>
      <w:bookmarkStart w:id="241" w:name="_Toc473119276"/>
      <w:r>
        <w:rPr>
          <w:rStyle w:val="CharSectno"/>
        </w:rPr>
        <w:t>95</w:t>
      </w:r>
      <w:r>
        <w:rPr>
          <w:snapToGrid w:val="0"/>
        </w:rPr>
        <w:t>.</w:t>
      </w:r>
      <w:r>
        <w:rPr>
          <w:snapToGrid w:val="0"/>
        </w:rPr>
        <w:tab/>
        <w:t>Disciplinary action against licensees, grounds and procedure for</w:t>
      </w:r>
      <w:bookmarkEnd w:id="241"/>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(Miscellaneous Provisions)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No. 19 of 2016 s. 101.] </w:t>
      </w:r>
    </w:p>
    <w:p>
      <w:pPr>
        <w:pStyle w:val="Heading5"/>
        <w:spacing w:before="240"/>
        <w:rPr>
          <w:snapToGrid w:val="0"/>
        </w:rPr>
      </w:pPr>
      <w:bookmarkStart w:id="242" w:name="_Toc473119277"/>
      <w:r>
        <w:rPr>
          <w:rStyle w:val="CharSectno"/>
        </w:rPr>
        <w:t>96</w:t>
      </w:r>
      <w:r>
        <w:rPr>
          <w:snapToGrid w:val="0"/>
        </w:rPr>
        <w:t>.</w:t>
      </w:r>
      <w:r>
        <w:rPr>
          <w:snapToGrid w:val="0"/>
        </w:rPr>
        <w:tab/>
        <w:t>Disciplinary action, powers to take</w:t>
      </w:r>
      <w:bookmarkEnd w:id="242"/>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243" w:name="_Toc471906807"/>
      <w:bookmarkStart w:id="244" w:name="_Toc472001724"/>
      <w:bookmarkStart w:id="245" w:name="_Toc472676752"/>
      <w:bookmarkStart w:id="246" w:name="_Toc472682137"/>
      <w:bookmarkStart w:id="247" w:name="_Toc473119278"/>
      <w:r>
        <w:rPr>
          <w:rStyle w:val="CharPartNo"/>
        </w:rPr>
        <w:t>Part 4</w:t>
      </w:r>
      <w:r>
        <w:t> — </w:t>
      </w:r>
      <w:r>
        <w:rPr>
          <w:rStyle w:val="CharPartText"/>
        </w:rPr>
        <w:t>The conduct of business</w:t>
      </w:r>
      <w:bookmarkEnd w:id="243"/>
      <w:bookmarkEnd w:id="244"/>
      <w:bookmarkEnd w:id="245"/>
      <w:bookmarkEnd w:id="246"/>
      <w:bookmarkEnd w:id="247"/>
      <w:r>
        <w:rPr>
          <w:rStyle w:val="CharPartText"/>
        </w:rPr>
        <w:t xml:space="preserve"> </w:t>
      </w:r>
    </w:p>
    <w:p>
      <w:pPr>
        <w:pStyle w:val="Heading3"/>
        <w:rPr>
          <w:snapToGrid w:val="0"/>
        </w:rPr>
      </w:pPr>
      <w:bookmarkStart w:id="248" w:name="_Toc471906808"/>
      <w:bookmarkStart w:id="249" w:name="_Toc472001725"/>
      <w:bookmarkStart w:id="250" w:name="_Toc472676753"/>
      <w:bookmarkStart w:id="251" w:name="_Toc472682138"/>
      <w:bookmarkStart w:id="252" w:name="_Toc473119279"/>
      <w:r>
        <w:rPr>
          <w:rStyle w:val="CharDivNo"/>
        </w:rPr>
        <w:t>Division 1</w:t>
      </w:r>
      <w:r>
        <w:rPr>
          <w:snapToGrid w:val="0"/>
        </w:rPr>
        <w:t> — </w:t>
      </w:r>
      <w:r>
        <w:rPr>
          <w:rStyle w:val="CharDivText"/>
        </w:rPr>
        <w:t>Hours of trading</w:t>
      </w:r>
      <w:bookmarkEnd w:id="248"/>
      <w:bookmarkEnd w:id="249"/>
      <w:bookmarkEnd w:id="250"/>
      <w:bookmarkEnd w:id="251"/>
      <w:bookmarkEnd w:id="252"/>
      <w:r>
        <w:rPr>
          <w:rStyle w:val="CharDivText"/>
        </w:rPr>
        <w:t xml:space="preserve"> </w:t>
      </w:r>
    </w:p>
    <w:p>
      <w:pPr>
        <w:pStyle w:val="Heading5"/>
        <w:rPr>
          <w:snapToGrid w:val="0"/>
        </w:rPr>
      </w:pPr>
      <w:bookmarkStart w:id="253" w:name="_Toc473119280"/>
      <w:r>
        <w:rPr>
          <w:rStyle w:val="CharSectno"/>
        </w:rPr>
        <w:t>97</w:t>
      </w:r>
      <w:r>
        <w:rPr>
          <w:snapToGrid w:val="0"/>
        </w:rPr>
        <w:t>.</w:t>
      </w:r>
      <w:r>
        <w:rPr>
          <w:snapToGrid w:val="0"/>
        </w:rPr>
        <w:tab/>
        <w:t>Permitted hours generally</w:t>
      </w:r>
      <w:bookmarkEnd w:id="253"/>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254" w:name="_Toc473119281"/>
      <w:r>
        <w:rPr>
          <w:rStyle w:val="CharSectno"/>
        </w:rPr>
        <w:t>98</w:t>
      </w:r>
      <w:r>
        <w:t>.</w:t>
      </w:r>
      <w:r>
        <w:tab/>
        <w:t>Hotel licence, permitted hours under</w:t>
      </w:r>
      <w:bookmarkEnd w:id="254"/>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ind w:left="890" w:hanging="890"/>
      </w:pPr>
      <w:r>
        <w:tab/>
        <w:t>[Section 98 inserted by No. 73 of 2006 s. 68; amended by No. 35 of 2015 s. 12.]</w:t>
      </w:r>
    </w:p>
    <w:p>
      <w:pPr>
        <w:pStyle w:val="Heading5"/>
      </w:pPr>
      <w:bookmarkStart w:id="255" w:name="_Toc473119282"/>
      <w:r>
        <w:rPr>
          <w:rStyle w:val="CharSectno"/>
        </w:rPr>
        <w:t>98A</w:t>
      </w:r>
      <w:r>
        <w:t>.</w:t>
      </w:r>
      <w:r>
        <w:tab/>
        <w:t>Nightclub licence, permitted hours under</w:t>
      </w:r>
      <w:bookmarkEnd w:id="255"/>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 No. 35 of 2015 s. 13.]</w:t>
      </w:r>
    </w:p>
    <w:p>
      <w:pPr>
        <w:pStyle w:val="Heading5"/>
      </w:pPr>
      <w:bookmarkStart w:id="256" w:name="_Toc473119283"/>
      <w:r>
        <w:rPr>
          <w:rStyle w:val="CharSectno"/>
        </w:rPr>
        <w:t>98B</w:t>
      </w:r>
      <w:r>
        <w:t>.</w:t>
      </w:r>
      <w:r>
        <w:tab/>
        <w:t>Casino liquor licence, permitted hours under</w:t>
      </w:r>
      <w:bookmarkEnd w:id="256"/>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57" w:name="_Toc473119284"/>
      <w:r>
        <w:rPr>
          <w:rStyle w:val="CharSectno"/>
        </w:rPr>
        <w:t>98C</w:t>
      </w:r>
      <w:r>
        <w:t>.</w:t>
      </w:r>
      <w:r>
        <w:tab/>
        <w:t>Special facility licence, permitted hours under</w:t>
      </w:r>
      <w:bookmarkEnd w:id="257"/>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58" w:name="_Toc473119285"/>
      <w:r>
        <w:rPr>
          <w:rStyle w:val="CharSectno"/>
        </w:rPr>
        <w:t>98D</w:t>
      </w:r>
      <w:r>
        <w:t>.</w:t>
      </w:r>
      <w:r>
        <w:tab/>
        <w:t>Liquor store licence, permitted hours under</w:t>
      </w:r>
      <w:bookmarkEnd w:id="258"/>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59" w:name="_Toc473119286"/>
      <w:r>
        <w:rPr>
          <w:rStyle w:val="CharSectno"/>
        </w:rPr>
        <w:t>98E</w:t>
      </w:r>
      <w:r>
        <w:t>.</w:t>
      </w:r>
      <w:r>
        <w:tab/>
        <w:t>Club licence and club restricted licence, permitted hours under</w:t>
      </w:r>
      <w:bookmarkEnd w:id="259"/>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60" w:name="_Toc473119287"/>
      <w:r>
        <w:rPr>
          <w:rStyle w:val="CharSectno"/>
        </w:rPr>
        <w:t>98F</w:t>
      </w:r>
      <w:r>
        <w:t>.</w:t>
      </w:r>
      <w:r>
        <w:tab/>
        <w:t>Restaurant licence, permitted hours under</w:t>
      </w:r>
      <w:bookmarkEnd w:id="260"/>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61" w:name="_Toc473119288"/>
      <w:r>
        <w:rPr>
          <w:rStyle w:val="CharSectno"/>
        </w:rPr>
        <w:t>98G</w:t>
      </w:r>
      <w:r>
        <w:t>.</w:t>
      </w:r>
      <w:r>
        <w:tab/>
        <w:t>Producer’s licence, permitted hours under</w:t>
      </w:r>
      <w:bookmarkEnd w:id="261"/>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55(1)(a)(iv) the permitted hours on a day other than Good Friday, Christmas Day or ANZAC Day are from 10 am to 10 pm.</w:t>
      </w:r>
    </w:p>
    <w:p>
      <w:pPr>
        <w:pStyle w:val="Footnotesection"/>
      </w:pPr>
      <w:r>
        <w:tab/>
        <w:t>[Section 98G inserted by No. 73 of 2006 s. 68; amended by No. 35 of 2015 s. 14.]</w:t>
      </w:r>
    </w:p>
    <w:p>
      <w:pPr>
        <w:pStyle w:val="Heading5"/>
        <w:spacing w:before="240"/>
      </w:pPr>
      <w:bookmarkStart w:id="262" w:name="_Toc473119289"/>
      <w:r>
        <w:rPr>
          <w:rStyle w:val="CharSectno"/>
        </w:rPr>
        <w:t>98H</w:t>
      </w:r>
      <w:r>
        <w:t>.</w:t>
      </w:r>
      <w:r>
        <w:tab/>
        <w:t>Wholesaler’s licence, permitted hours under</w:t>
      </w:r>
      <w:bookmarkEnd w:id="262"/>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63" w:name="_Toc471906819"/>
      <w:bookmarkStart w:id="264" w:name="_Toc472001736"/>
      <w:bookmarkStart w:id="265" w:name="_Toc472676764"/>
      <w:bookmarkStart w:id="266" w:name="_Toc472682149"/>
      <w:bookmarkStart w:id="267" w:name="_Toc473119290"/>
      <w:r>
        <w:rPr>
          <w:rStyle w:val="CharDivNo"/>
        </w:rPr>
        <w:t>Division 2</w:t>
      </w:r>
      <w:r>
        <w:rPr>
          <w:snapToGrid w:val="0"/>
        </w:rPr>
        <w:t> — </w:t>
      </w:r>
      <w:r>
        <w:rPr>
          <w:rStyle w:val="CharDivText"/>
        </w:rPr>
        <w:t>Maintenance of the premises</w:t>
      </w:r>
      <w:bookmarkEnd w:id="263"/>
      <w:bookmarkEnd w:id="264"/>
      <w:bookmarkEnd w:id="265"/>
      <w:bookmarkEnd w:id="266"/>
      <w:bookmarkEnd w:id="267"/>
      <w:r>
        <w:rPr>
          <w:rStyle w:val="CharDivText"/>
        </w:rPr>
        <w:t xml:space="preserve"> </w:t>
      </w:r>
    </w:p>
    <w:p>
      <w:pPr>
        <w:pStyle w:val="Heading5"/>
        <w:spacing w:before="240"/>
        <w:rPr>
          <w:snapToGrid w:val="0"/>
        </w:rPr>
      </w:pPr>
      <w:bookmarkStart w:id="268" w:name="_Toc473119291"/>
      <w:r>
        <w:rPr>
          <w:rStyle w:val="CharSectno"/>
        </w:rPr>
        <w:t>99</w:t>
      </w:r>
      <w:r>
        <w:rPr>
          <w:snapToGrid w:val="0"/>
        </w:rPr>
        <w:t>.</w:t>
      </w:r>
      <w:r>
        <w:rPr>
          <w:snapToGrid w:val="0"/>
        </w:rPr>
        <w:tab/>
        <w:t>Duty to keep premises clean and in good repair; powers to enforce duty and require alterations</w:t>
      </w:r>
      <w:bookmarkEnd w:id="268"/>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spacing w:before="180"/>
        <w:rPr>
          <w:snapToGrid w:val="0"/>
        </w:rPr>
      </w:pPr>
      <w:bookmarkStart w:id="269" w:name="_Toc471906821"/>
      <w:bookmarkStart w:id="270" w:name="_Toc472001738"/>
      <w:bookmarkStart w:id="271" w:name="_Toc472676766"/>
      <w:bookmarkStart w:id="272" w:name="_Toc472682151"/>
      <w:bookmarkStart w:id="273" w:name="_Toc473119292"/>
      <w:r>
        <w:rPr>
          <w:rStyle w:val="CharDivNo"/>
        </w:rPr>
        <w:t>Division 3</w:t>
      </w:r>
      <w:r>
        <w:rPr>
          <w:snapToGrid w:val="0"/>
        </w:rPr>
        <w:t> — </w:t>
      </w:r>
      <w:r>
        <w:rPr>
          <w:rStyle w:val="CharDivText"/>
        </w:rPr>
        <w:t>Supervision and management</w:t>
      </w:r>
      <w:bookmarkEnd w:id="269"/>
      <w:bookmarkEnd w:id="270"/>
      <w:bookmarkEnd w:id="271"/>
      <w:bookmarkEnd w:id="272"/>
      <w:bookmarkEnd w:id="273"/>
      <w:r>
        <w:rPr>
          <w:rStyle w:val="CharDivText"/>
        </w:rPr>
        <w:t xml:space="preserve"> </w:t>
      </w:r>
    </w:p>
    <w:p>
      <w:pPr>
        <w:pStyle w:val="Heading4"/>
        <w:keepLines/>
        <w:spacing w:before="180"/>
      </w:pPr>
      <w:bookmarkStart w:id="274" w:name="_Toc471906822"/>
      <w:bookmarkStart w:id="275" w:name="_Toc472001739"/>
      <w:bookmarkStart w:id="276" w:name="_Toc472676767"/>
      <w:bookmarkStart w:id="277" w:name="_Toc472682152"/>
      <w:bookmarkStart w:id="278" w:name="_Toc473119293"/>
      <w:r>
        <w:t>Subdivision 1 — Licensed premises to be supervised and managed</w:t>
      </w:r>
      <w:bookmarkEnd w:id="274"/>
      <w:bookmarkEnd w:id="275"/>
      <w:bookmarkEnd w:id="276"/>
      <w:bookmarkEnd w:id="277"/>
      <w:bookmarkEnd w:id="278"/>
    </w:p>
    <w:p>
      <w:pPr>
        <w:pStyle w:val="Footnoteheading"/>
        <w:spacing w:before="100"/>
      </w:pPr>
      <w:r>
        <w:tab/>
        <w:t>[Heading inserted by No. 56 of 2010 s. 14.]</w:t>
      </w:r>
    </w:p>
    <w:p>
      <w:pPr>
        <w:pStyle w:val="Heading5"/>
        <w:spacing w:before="180"/>
        <w:rPr>
          <w:snapToGrid w:val="0"/>
        </w:rPr>
      </w:pPr>
      <w:bookmarkStart w:id="279" w:name="_Toc473119294"/>
      <w:r>
        <w:rPr>
          <w:rStyle w:val="CharSectno"/>
        </w:rPr>
        <w:t>100</w:t>
      </w:r>
      <w:r>
        <w:rPr>
          <w:snapToGrid w:val="0"/>
        </w:rPr>
        <w:t>.</w:t>
      </w:r>
      <w:r>
        <w:rPr>
          <w:snapToGrid w:val="0"/>
        </w:rPr>
        <w:tab/>
        <w:t>Licensee’s duties</w:t>
      </w:r>
      <w:bookmarkEnd w:id="279"/>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280" w:name="_Toc473119295"/>
      <w:r>
        <w:rPr>
          <w:rStyle w:val="CharSectno"/>
        </w:rPr>
        <w:t>101</w:t>
      </w:r>
      <w:r>
        <w:rPr>
          <w:snapToGrid w:val="0"/>
        </w:rPr>
        <w:t>.</w:t>
      </w:r>
      <w:r>
        <w:rPr>
          <w:snapToGrid w:val="0"/>
        </w:rPr>
        <w:tab/>
        <w:t>Managers etc., liabilities of</w:t>
      </w:r>
      <w:bookmarkEnd w:id="280"/>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281" w:name="_Toc471906825"/>
      <w:bookmarkStart w:id="282" w:name="_Toc472001742"/>
      <w:bookmarkStart w:id="283" w:name="_Toc472676770"/>
      <w:bookmarkStart w:id="284" w:name="_Toc472682155"/>
      <w:bookmarkStart w:id="285" w:name="_Toc473119296"/>
      <w:r>
        <w:t>Subdivision 2 — Approval of managers</w:t>
      </w:r>
      <w:bookmarkEnd w:id="281"/>
      <w:bookmarkEnd w:id="282"/>
      <w:bookmarkEnd w:id="283"/>
      <w:bookmarkEnd w:id="284"/>
      <w:bookmarkEnd w:id="285"/>
    </w:p>
    <w:p>
      <w:pPr>
        <w:pStyle w:val="Footnoteheading"/>
      </w:pPr>
      <w:r>
        <w:tab/>
        <w:t>[Heading inserted by No. 56 of 2010 s. 16.]</w:t>
      </w:r>
    </w:p>
    <w:p>
      <w:pPr>
        <w:pStyle w:val="Heading5"/>
      </w:pPr>
      <w:bookmarkStart w:id="286" w:name="_Toc473119297"/>
      <w:r>
        <w:rPr>
          <w:rStyle w:val="CharSectno"/>
        </w:rPr>
        <w:t>102A</w:t>
      </w:r>
      <w:r>
        <w:t>.</w:t>
      </w:r>
      <w:r>
        <w:tab/>
        <w:t>Terms used</w:t>
      </w:r>
      <w:bookmarkEnd w:id="286"/>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287" w:name="_Toc473119298"/>
      <w:r>
        <w:rPr>
          <w:rStyle w:val="CharSectno"/>
        </w:rPr>
        <w:t>102B</w:t>
      </w:r>
      <w:r>
        <w:t>.</w:t>
      </w:r>
      <w:r>
        <w:tab/>
        <w:t>Applications for and granting approvals</w:t>
      </w:r>
      <w:bookmarkEnd w:id="287"/>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288" w:name="_Toc473119299"/>
      <w:r>
        <w:rPr>
          <w:rStyle w:val="CharSectno"/>
        </w:rPr>
        <w:t>102C</w:t>
      </w:r>
      <w:r>
        <w:t>.</w:t>
      </w:r>
      <w:r>
        <w:tab/>
        <w:t>Conditions on manager’s approval</w:t>
      </w:r>
      <w:bookmarkEnd w:id="288"/>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289" w:name="_Toc473119300"/>
      <w:r>
        <w:rPr>
          <w:rStyle w:val="CharSectno"/>
        </w:rPr>
        <w:t>102D</w:t>
      </w:r>
      <w:r>
        <w:t>.</w:t>
      </w:r>
      <w:r>
        <w:tab/>
        <w:t>Duration of manager’s approval</w:t>
      </w:r>
      <w:bookmarkEnd w:id="289"/>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290" w:name="_Toc473119301"/>
      <w:r>
        <w:rPr>
          <w:rStyle w:val="CharSectno"/>
        </w:rPr>
        <w:t>102E</w:t>
      </w:r>
      <w:r>
        <w:t>.</w:t>
      </w:r>
      <w:r>
        <w:tab/>
        <w:t>Renewal of manager’s approval</w:t>
      </w:r>
      <w:bookmarkEnd w:id="290"/>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spacing w:before="180"/>
      </w:pPr>
      <w:bookmarkStart w:id="291" w:name="_Toc473119302"/>
      <w:r>
        <w:rPr>
          <w:rStyle w:val="CharSectno"/>
        </w:rPr>
        <w:t>102F</w:t>
      </w:r>
      <w:r>
        <w:t>.</w:t>
      </w:r>
      <w:r>
        <w:tab/>
        <w:t>Disciplinary action against approved managers</w:t>
      </w:r>
      <w:bookmarkEnd w:id="291"/>
    </w:p>
    <w:p>
      <w:pPr>
        <w:pStyle w:val="Subsection"/>
        <w:spacing w:before="120"/>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292" w:name="_Toc473119303"/>
      <w:r>
        <w:rPr>
          <w:rStyle w:val="CharSectno"/>
        </w:rPr>
        <w:t>102G</w:t>
      </w:r>
      <w:r>
        <w:t>.</w:t>
      </w:r>
      <w:r>
        <w:tab/>
        <w:t>Approval may be cancelled on request</w:t>
      </w:r>
      <w:bookmarkEnd w:id="292"/>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293" w:name="_Toc471906833"/>
      <w:bookmarkStart w:id="294" w:name="_Toc472001750"/>
      <w:bookmarkStart w:id="295" w:name="_Toc472676778"/>
      <w:bookmarkStart w:id="296" w:name="_Toc472682163"/>
      <w:bookmarkStart w:id="297" w:name="_Toc473119304"/>
      <w:r>
        <w:t>Subdivision 3 — General matters</w:t>
      </w:r>
      <w:bookmarkEnd w:id="293"/>
      <w:bookmarkEnd w:id="294"/>
      <w:bookmarkEnd w:id="295"/>
      <w:bookmarkEnd w:id="296"/>
      <w:bookmarkEnd w:id="297"/>
    </w:p>
    <w:p>
      <w:pPr>
        <w:pStyle w:val="Footnoteheading"/>
      </w:pPr>
      <w:r>
        <w:tab/>
        <w:t>[Heading inserted by No. 56 of 2010 s. 17.]</w:t>
      </w:r>
    </w:p>
    <w:p>
      <w:pPr>
        <w:pStyle w:val="Heading5"/>
        <w:rPr>
          <w:snapToGrid w:val="0"/>
        </w:rPr>
      </w:pPr>
      <w:bookmarkStart w:id="298" w:name="_Toc473119305"/>
      <w:r>
        <w:rPr>
          <w:rStyle w:val="CharSectno"/>
        </w:rPr>
        <w:t>102</w:t>
      </w:r>
      <w:r>
        <w:rPr>
          <w:snapToGrid w:val="0"/>
        </w:rPr>
        <w:t>.</w:t>
      </w:r>
      <w:r>
        <w:rPr>
          <w:snapToGrid w:val="0"/>
        </w:rPr>
        <w:tab/>
        <w:t>Management and control of incorporated licensees, approvals required</w:t>
      </w:r>
      <w:bookmarkEnd w:id="298"/>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299" w:name="_Toc473119306"/>
      <w:r>
        <w:rPr>
          <w:rStyle w:val="CharSectno"/>
        </w:rPr>
        <w:t>103</w:t>
      </w:r>
      <w:r>
        <w:rPr>
          <w:snapToGrid w:val="0"/>
        </w:rPr>
        <w:t>.</w:t>
      </w:r>
      <w:r>
        <w:rPr>
          <w:snapToGrid w:val="0"/>
        </w:rPr>
        <w:tab/>
        <w:t>Owners of licensed premises to notify Director of certain matters</w:t>
      </w:r>
      <w:bookmarkEnd w:id="299"/>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Next w:val="0"/>
        <w:pageBreakBefore/>
        <w:spacing w:before="0"/>
      </w:pPr>
      <w:bookmarkStart w:id="300" w:name="_Toc471906836"/>
      <w:bookmarkStart w:id="301" w:name="_Toc472001753"/>
      <w:bookmarkStart w:id="302" w:name="_Toc472676781"/>
      <w:bookmarkStart w:id="303" w:name="_Toc472682166"/>
      <w:bookmarkStart w:id="304" w:name="_Toc473119307"/>
      <w:r>
        <w:rPr>
          <w:rStyle w:val="CharDivNo"/>
        </w:rPr>
        <w:t>Division 3A</w:t>
      </w:r>
      <w:r>
        <w:t> — </w:t>
      </w:r>
      <w:r>
        <w:rPr>
          <w:rStyle w:val="CharDivText"/>
        </w:rPr>
        <w:t>Responsible practices in selling, supplying and serving liquor</w:t>
      </w:r>
      <w:bookmarkEnd w:id="300"/>
      <w:bookmarkEnd w:id="301"/>
      <w:bookmarkEnd w:id="302"/>
      <w:bookmarkEnd w:id="303"/>
      <w:bookmarkEnd w:id="304"/>
    </w:p>
    <w:p>
      <w:pPr>
        <w:pStyle w:val="Footnoteheading"/>
        <w:keepNext/>
        <w:keepLines/>
      </w:pPr>
      <w:r>
        <w:tab/>
        <w:t>[Heading inserted by No. 73 of 2006 s. 71.]</w:t>
      </w:r>
    </w:p>
    <w:p>
      <w:pPr>
        <w:pStyle w:val="Heading5"/>
        <w:spacing w:before="180"/>
      </w:pPr>
      <w:bookmarkStart w:id="305" w:name="_Toc473119308"/>
      <w:r>
        <w:rPr>
          <w:rStyle w:val="CharSectno"/>
        </w:rPr>
        <w:t>103AA</w:t>
      </w:r>
      <w:r>
        <w:t>.</w:t>
      </w:r>
      <w:r>
        <w:tab/>
        <w:t>Register of responsible practices’ training</w:t>
      </w:r>
      <w:bookmarkEnd w:id="305"/>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by No. 35 of 2015 s. 15.]</w:t>
      </w:r>
    </w:p>
    <w:p>
      <w:pPr>
        <w:pStyle w:val="Heading5"/>
        <w:spacing w:before="180"/>
      </w:pPr>
      <w:bookmarkStart w:id="306" w:name="_Toc473119309"/>
      <w:r>
        <w:rPr>
          <w:rStyle w:val="CharSectno"/>
        </w:rPr>
        <w:t>103A</w:t>
      </w:r>
      <w:r>
        <w:t>.</w:t>
      </w:r>
      <w:r>
        <w:tab/>
        <w:t>Regulations about training people in responsible practices</w:t>
      </w:r>
      <w:bookmarkEnd w:id="306"/>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 No. 35 of 2015 s. 16.]</w:t>
      </w:r>
    </w:p>
    <w:p>
      <w:pPr>
        <w:pStyle w:val="Heading3"/>
        <w:spacing w:before="180"/>
        <w:rPr>
          <w:snapToGrid w:val="0"/>
        </w:rPr>
      </w:pPr>
      <w:bookmarkStart w:id="307" w:name="_Toc471906839"/>
      <w:bookmarkStart w:id="308" w:name="_Toc472001756"/>
      <w:bookmarkStart w:id="309" w:name="_Toc472676784"/>
      <w:bookmarkStart w:id="310" w:name="_Toc472682169"/>
      <w:bookmarkStart w:id="311" w:name="_Toc473119310"/>
      <w:r>
        <w:rPr>
          <w:rStyle w:val="CharDivNo"/>
        </w:rPr>
        <w:t>Division 4</w:t>
      </w:r>
      <w:r>
        <w:rPr>
          <w:snapToGrid w:val="0"/>
        </w:rPr>
        <w:t> — </w:t>
      </w:r>
      <w:r>
        <w:rPr>
          <w:rStyle w:val="CharDivText"/>
        </w:rPr>
        <w:t>Profit sharing</w:t>
      </w:r>
      <w:bookmarkEnd w:id="307"/>
      <w:bookmarkEnd w:id="308"/>
      <w:bookmarkEnd w:id="309"/>
      <w:bookmarkEnd w:id="310"/>
      <w:bookmarkEnd w:id="311"/>
      <w:r>
        <w:rPr>
          <w:rStyle w:val="CharDivText"/>
        </w:rPr>
        <w:t xml:space="preserve"> </w:t>
      </w:r>
    </w:p>
    <w:p>
      <w:pPr>
        <w:pStyle w:val="Heading5"/>
        <w:spacing w:before="180"/>
        <w:rPr>
          <w:snapToGrid w:val="0"/>
        </w:rPr>
      </w:pPr>
      <w:bookmarkStart w:id="312" w:name="_Toc473119311"/>
      <w:r>
        <w:rPr>
          <w:rStyle w:val="CharSectno"/>
        </w:rPr>
        <w:t>104</w:t>
      </w:r>
      <w:r>
        <w:rPr>
          <w:snapToGrid w:val="0"/>
        </w:rPr>
        <w:t>.</w:t>
      </w:r>
      <w:r>
        <w:rPr>
          <w:snapToGrid w:val="0"/>
        </w:rPr>
        <w:tab/>
        <w:t>Profit sharing etc. prohibited without approval</w:t>
      </w:r>
      <w:bookmarkEnd w:id="312"/>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313" w:name="_Toc471906841"/>
      <w:bookmarkStart w:id="314" w:name="_Toc472001758"/>
      <w:bookmarkStart w:id="315" w:name="_Toc472676786"/>
      <w:bookmarkStart w:id="316" w:name="_Toc472682171"/>
      <w:bookmarkStart w:id="317" w:name="_Toc473119312"/>
      <w:r>
        <w:rPr>
          <w:rStyle w:val="CharDivNo"/>
        </w:rPr>
        <w:t>Division 5</w:t>
      </w:r>
      <w:r>
        <w:rPr>
          <w:snapToGrid w:val="0"/>
        </w:rPr>
        <w:t> — </w:t>
      </w:r>
      <w:r>
        <w:rPr>
          <w:rStyle w:val="CharDivText"/>
        </w:rPr>
        <w:t>Lodgers</w:t>
      </w:r>
      <w:bookmarkEnd w:id="313"/>
      <w:bookmarkEnd w:id="314"/>
      <w:bookmarkEnd w:id="315"/>
      <w:bookmarkEnd w:id="316"/>
      <w:bookmarkEnd w:id="317"/>
      <w:r>
        <w:rPr>
          <w:rStyle w:val="CharDivText"/>
        </w:rPr>
        <w:t xml:space="preserve"> </w:t>
      </w:r>
    </w:p>
    <w:p>
      <w:pPr>
        <w:pStyle w:val="Heading5"/>
        <w:rPr>
          <w:snapToGrid w:val="0"/>
        </w:rPr>
      </w:pPr>
      <w:bookmarkStart w:id="318" w:name="_Toc473119313"/>
      <w:r>
        <w:rPr>
          <w:rStyle w:val="CharSectno"/>
        </w:rPr>
        <w:t>105</w:t>
      </w:r>
      <w:r>
        <w:rPr>
          <w:snapToGrid w:val="0"/>
        </w:rPr>
        <w:t>.</w:t>
      </w:r>
      <w:r>
        <w:rPr>
          <w:snapToGrid w:val="0"/>
        </w:rPr>
        <w:tab/>
        <w:t>Persons deemed lodgers of licensed premises in some cases</w:t>
      </w:r>
      <w:bookmarkEnd w:id="318"/>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319" w:name="_Toc473119314"/>
      <w:r>
        <w:rPr>
          <w:rStyle w:val="CharSectno"/>
        </w:rPr>
        <w:t>106</w:t>
      </w:r>
      <w:r>
        <w:rPr>
          <w:snapToGrid w:val="0"/>
        </w:rPr>
        <w:t>.</w:t>
      </w:r>
      <w:r>
        <w:rPr>
          <w:snapToGrid w:val="0"/>
        </w:rPr>
        <w:tab/>
        <w:t>Liquor supplied to lodgers etc., conditions applying to</w:t>
      </w:r>
      <w:bookmarkEnd w:id="319"/>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320" w:name="_Toc473119315"/>
      <w:r>
        <w:rPr>
          <w:rStyle w:val="CharSectno"/>
        </w:rPr>
        <w:t>107</w:t>
      </w:r>
      <w:r>
        <w:rPr>
          <w:snapToGrid w:val="0"/>
        </w:rPr>
        <w:t>.</w:t>
      </w:r>
      <w:r>
        <w:rPr>
          <w:snapToGrid w:val="0"/>
        </w:rPr>
        <w:tab/>
        <w:t>Loss of lodger’s property, licensee’s liability for</w:t>
      </w:r>
      <w:bookmarkEnd w:id="320"/>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321" w:name="_Toc471906845"/>
      <w:bookmarkStart w:id="322" w:name="_Toc472001762"/>
      <w:bookmarkStart w:id="323" w:name="_Toc472676790"/>
      <w:bookmarkStart w:id="324" w:name="_Toc472682175"/>
      <w:bookmarkStart w:id="325" w:name="_Toc473119316"/>
      <w:r>
        <w:rPr>
          <w:rStyle w:val="CharDivNo"/>
        </w:rPr>
        <w:t>Division 6</w:t>
      </w:r>
      <w:r>
        <w:rPr>
          <w:snapToGrid w:val="0"/>
        </w:rPr>
        <w:t> — </w:t>
      </w:r>
      <w:r>
        <w:rPr>
          <w:rStyle w:val="CharDivText"/>
        </w:rPr>
        <w:t>The sale and consumption of liquor, etc.</w:t>
      </w:r>
      <w:bookmarkEnd w:id="321"/>
      <w:bookmarkEnd w:id="322"/>
      <w:bookmarkEnd w:id="323"/>
      <w:bookmarkEnd w:id="324"/>
      <w:bookmarkEnd w:id="325"/>
      <w:r>
        <w:rPr>
          <w:rStyle w:val="CharDivText"/>
        </w:rPr>
        <w:t xml:space="preserve"> </w:t>
      </w:r>
    </w:p>
    <w:p>
      <w:pPr>
        <w:pStyle w:val="Heading5"/>
      </w:pPr>
      <w:bookmarkStart w:id="326" w:name="_Toc473119317"/>
      <w:r>
        <w:rPr>
          <w:rStyle w:val="CharSectno"/>
        </w:rPr>
        <w:t>108</w:t>
      </w:r>
      <w:r>
        <w:t>.</w:t>
      </w:r>
      <w:r>
        <w:tab/>
        <w:t>Certain licensees to exhibit charges for meals and liquor</w:t>
      </w:r>
      <w:bookmarkEnd w:id="326"/>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by No. 73 of 2006 s. 75; amended by No. 56 of 2010 s. 69.]</w:t>
      </w:r>
    </w:p>
    <w:p>
      <w:pPr>
        <w:pStyle w:val="Heading5"/>
        <w:spacing w:before="240"/>
        <w:rPr>
          <w:snapToGrid w:val="0"/>
        </w:rPr>
      </w:pPr>
      <w:bookmarkStart w:id="327" w:name="_Toc473119318"/>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offences as to</w:t>
      </w:r>
      <w:bookmarkEnd w:id="327"/>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spacing w:before="240"/>
        <w:rPr>
          <w:snapToGrid w:val="0"/>
        </w:rPr>
      </w:pPr>
      <w:bookmarkStart w:id="328" w:name="_Toc473119319"/>
      <w:r>
        <w:rPr>
          <w:rStyle w:val="CharSectno"/>
        </w:rPr>
        <w:t>110</w:t>
      </w:r>
      <w:r>
        <w:rPr>
          <w:snapToGrid w:val="0"/>
        </w:rPr>
        <w:t>.</w:t>
      </w:r>
      <w:r>
        <w:rPr>
          <w:snapToGrid w:val="0"/>
        </w:rPr>
        <w:tab/>
        <w:t>Licensed premises and sports arenas, offences as to</w:t>
      </w:r>
      <w:bookmarkEnd w:id="328"/>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spacing w:before="180"/>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keepNext/>
      </w:pPr>
      <w:r>
        <w:tab/>
        <w:t>(b)</w:t>
      </w:r>
      <w:r>
        <w:tab/>
        <w:t>liquor is sold for that purpose,</w:t>
      </w:r>
    </w:p>
    <w:p>
      <w:pPr>
        <w:pStyle w:val="Subsection"/>
        <w:spacing w:before="180"/>
      </w:pPr>
      <w:r>
        <w:tab/>
      </w:r>
      <w:r>
        <w:tab/>
        <w:t>then, despite any other provision of this Act, it is lawful for a person subsequently to take any unconsumed portion of the liquor from the licensed premises.</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No. 35 of 2015 s. 17.] </w:t>
      </w:r>
    </w:p>
    <w:p>
      <w:pPr>
        <w:pStyle w:val="Heading5"/>
        <w:rPr>
          <w:snapToGrid w:val="0"/>
        </w:rPr>
      </w:pPr>
      <w:bookmarkStart w:id="329" w:name="_Toc473119320"/>
      <w:r>
        <w:rPr>
          <w:rStyle w:val="CharSectno"/>
        </w:rPr>
        <w:t>111</w:t>
      </w:r>
      <w:r>
        <w:rPr>
          <w:snapToGrid w:val="0"/>
        </w:rPr>
        <w:t>.</w:t>
      </w:r>
      <w:r>
        <w:rPr>
          <w:snapToGrid w:val="0"/>
        </w:rPr>
        <w:tab/>
        <w:t>Trading outside permitted hours, offences as to</w:t>
      </w:r>
      <w:bookmarkEnd w:id="329"/>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330" w:name="_Toc473119321"/>
      <w:r>
        <w:rPr>
          <w:rStyle w:val="CharSectno"/>
        </w:rPr>
        <w:t>112</w:t>
      </w:r>
      <w:r>
        <w:rPr>
          <w:snapToGrid w:val="0"/>
        </w:rPr>
        <w:t>.</w:t>
      </w:r>
      <w:r>
        <w:rPr>
          <w:snapToGrid w:val="0"/>
        </w:rPr>
        <w:tab/>
        <w:t>Exceptions to s. 109, 110 and 111</w:t>
      </w:r>
      <w:bookmarkEnd w:id="330"/>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331" w:name="_Toc473119322"/>
      <w:r>
        <w:rPr>
          <w:rStyle w:val="CharSectno"/>
        </w:rPr>
        <w:t>113</w:t>
      </w:r>
      <w:r>
        <w:rPr>
          <w:snapToGrid w:val="0"/>
        </w:rPr>
        <w:t>.</w:t>
      </w:r>
      <w:r>
        <w:rPr>
          <w:snapToGrid w:val="0"/>
        </w:rPr>
        <w:tab/>
        <w:t>Offence under s. 109, 110 or 111, finding as to unlawful dealing in liquor; forfeiture of liquor</w:t>
      </w:r>
      <w:bookmarkEnd w:id="331"/>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332" w:name="_Toc473119323"/>
      <w:r>
        <w:rPr>
          <w:rStyle w:val="CharSectno"/>
        </w:rPr>
        <w:t>113A</w:t>
      </w:r>
      <w:r>
        <w:t>.</w:t>
      </w:r>
      <w:r>
        <w:tab/>
        <w:t>Websites of some licensees, information to be displayed on</w:t>
      </w:r>
      <w:bookmarkEnd w:id="332"/>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333" w:name="_Toc473119324"/>
      <w:r>
        <w:rPr>
          <w:rStyle w:val="CharSectno"/>
        </w:rPr>
        <w:t>114</w:t>
      </w:r>
      <w:r>
        <w:rPr>
          <w:snapToGrid w:val="0"/>
        </w:rPr>
        <w:t>.</w:t>
      </w:r>
      <w:r>
        <w:rPr>
          <w:snapToGrid w:val="0"/>
        </w:rPr>
        <w:tab/>
        <w:t>Closure of licensed premises, police powers as to</w:t>
      </w:r>
      <w:bookmarkEnd w:id="333"/>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334" w:name="_Toc473119325"/>
      <w:r>
        <w:rPr>
          <w:rStyle w:val="CharSectno"/>
        </w:rPr>
        <w:t>115</w:t>
      </w:r>
      <w:r>
        <w:rPr>
          <w:snapToGrid w:val="0"/>
        </w:rPr>
        <w:t>.</w:t>
      </w:r>
      <w:r>
        <w:rPr>
          <w:snapToGrid w:val="0"/>
        </w:rPr>
        <w:tab/>
        <w:t>Drunk etc. people, offences as to, refusal of entry to etc.</w:t>
      </w:r>
      <w:bookmarkEnd w:id="334"/>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 xml:space="preserve">Penalty: </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335" w:name="_Toc473119326"/>
      <w:r>
        <w:rPr>
          <w:rStyle w:val="CharSectno"/>
        </w:rPr>
        <w:t>115AA</w:t>
      </w:r>
      <w:r>
        <w:t>.</w:t>
      </w:r>
      <w:r>
        <w:tab/>
        <w:t>Banning people from licensed premises, Commissioner of Police’s power for</w:t>
      </w:r>
      <w:bookmarkEnd w:id="335"/>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336" w:name="_Toc473119327"/>
      <w:r>
        <w:rPr>
          <w:rStyle w:val="CharSectno"/>
        </w:rPr>
        <w:t>115AB</w:t>
      </w:r>
      <w:r>
        <w:t>.</w:t>
      </w:r>
      <w:r>
        <w:tab/>
        <w:t>Delegation by Commissioner of Police</w:t>
      </w:r>
      <w:bookmarkEnd w:id="336"/>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337" w:name="_Toc473119328"/>
      <w:r>
        <w:rPr>
          <w:rStyle w:val="CharSectno"/>
        </w:rPr>
        <w:t>115AC</w:t>
      </w:r>
      <w:r>
        <w:t>.</w:t>
      </w:r>
      <w:r>
        <w:tab/>
        <w:t>Publication of details of people banned under s. 115AA</w:t>
      </w:r>
      <w:bookmarkEnd w:id="337"/>
    </w:p>
    <w:p>
      <w:pPr>
        <w:pStyle w:val="Subsection"/>
        <w:spacing w:before="120"/>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spacing w:before="120"/>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spacing w:before="120"/>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spacing w:before="120"/>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spacing w:before="120"/>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by No. 56 of 2010 s. 30.]</w:t>
      </w:r>
    </w:p>
    <w:p>
      <w:pPr>
        <w:pStyle w:val="Heading5"/>
      </w:pPr>
      <w:bookmarkStart w:id="338" w:name="_Toc473119329"/>
      <w:r>
        <w:rPr>
          <w:rStyle w:val="CharSectno"/>
        </w:rPr>
        <w:t>115AD</w:t>
      </w:r>
      <w:r>
        <w:t>.</w:t>
      </w:r>
      <w:r>
        <w:tab/>
        <w:t>Review of s. 115AA notices</w:t>
      </w:r>
      <w:bookmarkEnd w:id="338"/>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by No. 56 of 2010 s. 30.]</w:t>
      </w:r>
    </w:p>
    <w:p>
      <w:pPr>
        <w:pStyle w:val="Heading5"/>
        <w:spacing w:before="180"/>
      </w:pPr>
      <w:bookmarkStart w:id="339" w:name="_Toc473119330"/>
      <w:r>
        <w:rPr>
          <w:rStyle w:val="CharSectno"/>
        </w:rPr>
        <w:t>115AE</w:t>
      </w:r>
      <w:r>
        <w:t>.</w:t>
      </w:r>
      <w:r>
        <w:tab/>
        <w:t>Permitting entry to premises contrary to s. 115AA notice</w:t>
      </w:r>
      <w:bookmarkEnd w:id="339"/>
    </w:p>
    <w:p>
      <w:pPr>
        <w:pStyle w:val="Subsection"/>
        <w:spacing w:before="120"/>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spacing w:before="80"/>
        <w:ind w:left="890" w:hanging="890"/>
      </w:pPr>
      <w:r>
        <w:tab/>
        <w:t>[Section 115AE inserted by No. 56 of 2010 s. 30.]</w:t>
      </w:r>
    </w:p>
    <w:p>
      <w:pPr>
        <w:pStyle w:val="Heading5"/>
        <w:spacing w:before="180"/>
      </w:pPr>
      <w:bookmarkStart w:id="340" w:name="_Toc473119331"/>
      <w:r>
        <w:rPr>
          <w:rStyle w:val="CharSectno"/>
        </w:rPr>
        <w:t>115A</w:t>
      </w:r>
      <w:r>
        <w:t>.</w:t>
      </w:r>
      <w:r>
        <w:tab/>
        <w:t>Drinking water to be provided free at certain licensed premises</w:t>
      </w:r>
      <w:bookmarkEnd w:id="340"/>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spacing w:before="80"/>
        <w:ind w:left="890" w:hanging="890"/>
      </w:pPr>
      <w:r>
        <w:tab/>
        <w:t>[Section 115A inserted by No. 73 of 2006 s. 81; amended by No. 56 of 2010 s. 57.]</w:t>
      </w:r>
    </w:p>
    <w:p>
      <w:pPr>
        <w:pStyle w:val="Heading5"/>
        <w:keepNext w:val="0"/>
        <w:keepLines w:val="0"/>
        <w:spacing w:before="180"/>
        <w:rPr>
          <w:snapToGrid w:val="0"/>
        </w:rPr>
      </w:pPr>
      <w:bookmarkStart w:id="341" w:name="_Toc473119332"/>
      <w:r>
        <w:rPr>
          <w:rStyle w:val="CharSectno"/>
        </w:rPr>
        <w:t>116</w:t>
      </w:r>
      <w:r>
        <w:rPr>
          <w:snapToGrid w:val="0"/>
        </w:rPr>
        <w:t>.</w:t>
      </w:r>
      <w:r>
        <w:rPr>
          <w:snapToGrid w:val="0"/>
        </w:rPr>
        <w:tab/>
        <w:t>Documents to be displayed etc. at premises and produced</w:t>
      </w:r>
      <w:bookmarkEnd w:id="341"/>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by No. 12 of 1998 s. 81; amended by No. 73 of 2006 s. 82 and 110; No. 56 of 2010 s. 18, 25, 58 and 69; No. 35 of 2015 s. 18.] </w:t>
      </w:r>
    </w:p>
    <w:p>
      <w:pPr>
        <w:pStyle w:val="Heading5"/>
        <w:spacing w:before="180"/>
      </w:pPr>
      <w:bookmarkStart w:id="342" w:name="_Toc473119333"/>
      <w:r>
        <w:rPr>
          <w:rStyle w:val="CharSectno"/>
        </w:rPr>
        <w:t>116A</w:t>
      </w:r>
      <w:r>
        <w:t>.</w:t>
      </w:r>
      <w:r>
        <w:tab/>
        <w:t>Register of incidents at licensed premises to be maintained</w:t>
      </w:r>
      <w:bookmarkEnd w:id="342"/>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by No. 73 of 2006 s. 83; amended by No. 56 of 2010 s. 59 and 69; No. 35 of 2015 s. 19.]</w:t>
      </w:r>
    </w:p>
    <w:p>
      <w:pPr>
        <w:pStyle w:val="Heading3"/>
      </w:pPr>
      <w:bookmarkStart w:id="343" w:name="_Toc471906863"/>
      <w:bookmarkStart w:id="344" w:name="_Toc472001780"/>
      <w:bookmarkStart w:id="345" w:name="_Toc472676808"/>
      <w:bookmarkStart w:id="346" w:name="_Toc472682193"/>
      <w:bookmarkStart w:id="347" w:name="_Toc473119334"/>
      <w:r>
        <w:rPr>
          <w:rStyle w:val="CharDivNo"/>
        </w:rPr>
        <w:t>Division 7</w:t>
      </w:r>
      <w:r>
        <w:t> — </w:t>
      </w:r>
      <w:r>
        <w:rPr>
          <w:rStyle w:val="CharDivText"/>
        </w:rPr>
        <w:t>Complaints to Director</w:t>
      </w:r>
      <w:bookmarkEnd w:id="343"/>
      <w:bookmarkEnd w:id="344"/>
      <w:bookmarkEnd w:id="345"/>
      <w:bookmarkEnd w:id="346"/>
      <w:bookmarkEnd w:id="347"/>
    </w:p>
    <w:p>
      <w:pPr>
        <w:pStyle w:val="Footnoteheading"/>
        <w:rPr>
          <w:snapToGrid w:val="0"/>
        </w:rPr>
      </w:pPr>
      <w:r>
        <w:tab/>
        <w:t>[Heading inserted by No. 73 of 2006 s. 84.]</w:t>
      </w:r>
    </w:p>
    <w:p>
      <w:pPr>
        <w:pStyle w:val="Heading5"/>
        <w:spacing w:before="240"/>
        <w:rPr>
          <w:snapToGrid w:val="0"/>
        </w:rPr>
      </w:pPr>
      <w:bookmarkStart w:id="348" w:name="_Toc473119335"/>
      <w:r>
        <w:rPr>
          <w:rStyle w:val="CharSectno"/>
        </w:rPr>
        <w:t>117</w:t>
      </w:r>
      <w:r>
        <w:rPr>
          <w:snapToGrid w:val="0"/>
        </w:rPr>
        <w:t>.</w:t>
      </w:r>
      <w:r>
        <w:rPr>
          <w:snapToGrid w:val="0"/>
        </w:rPr>
        <w:tab/>
        <w:t>Noise or behaviour related to licensed premises, complaints about</w:t>
      </w:r>
      <w:bookmarkEnd w:id="348"/>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keepNext w:val="0"/>
        <w:rPr>
          <w:snapToGrid w:val="0"/>
        </w:rPr>
      </w:pPr>
      <w:bookmarkStart w:id="349" w:name="_Toc471906865"/>
      <w:bookmarkStart w:id="350" w:name="_Toc472001782"/>
      <w:bookmarkStart w:id="351" w:name="_Toc472676810"/>
      <w:bookmarkStart w:id="352" w:name="_Toc472682195"/>
      <w:bookmarkStart w:id="353" w:name="_Toc473119336"/>
      <w:r>
        <w:rPr>
          <w:rStyle w:val="CharDivNo"/>
        </w:rPr>
        <w:t>Division 8</w:t>
      </w:r>
      <w:r>
        <w:rPr>
          <w:snapToGrid w:val="0"/>
        </w:rPr>
        <w:t> — </w:t>
      </w:r>
      <w:r>
        <w:rPr>
          <w:rStyle w:val="CharDivText"/>
        </w:rPr>
        <w:t>Liquor on unlicensed premises</w:t>
      </w:r>
      <w:bookmarkEnd w:id="349"/>
      <w:bookmarkEnd w:id="350"/>
      <w:bookmarkEnd w:id="351"/>
      <w:bookmarkEnd w:id="352"/>
      <w:bookmarkEnd w:id="353"/>
      <w:r>
        <w:rPr>
          <w:rStyle w:val="CharDivText"/>
        </w:rPr>
        <w:t xml:space="preserve"> </w:t>
      </w:r>
    </w:p>
    <w:p>
      <w:pPr>
        <w:pStyle w:val="Heading5"/>
        <w:spacing w:before="180"/>
        <w:rPr>
          <w:snapToGrid w:val="0"/>
        </w:rPr>
      </w:pPr>
      <w:bookmarkStart w:id="354" w:name="_Toc473119337"/>
      <w:r>
        <w:rPr>
          <w:rStyle w:val="CharSectno"/>
        </w:rPr>
        <w:t>118</w:t>
      </w:r>
      <w:r>
        <w:rPr>
          <w:snapToGrid w:val="0"/>
        </w:rPr>
        <w:t>.</w:t>
      </w:r>
      <w:r>
        <w:rPr>
          <w:snapToGrid w:val="0"/>
        </w:rPr>
        <w:tab/>
        <w:t>Persons purporting to be licensee</w:t>
      </w:r>
      <w:bookmarkEnd w:id="354"/>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spacing w:before="240"/>
        <w:rPr>
          <w:snapToGrid w:val="0"/>
        </w:rPr>
      </w:pPr>
      <w:bookmarkStart w:id="355" w:name="_Toc473119338"/>
      <w:r>
        <w:rPr>
          <w:rStyle w:val="CharSectno"/>
        </w:rPr>
        <w:t>119</w:t>
      </w:r>
      <w:r>
        <w:rPr>
          <w:snapToGrid w:val="0"/>
        </w:rPr>
        <w:t>.</w:t>
      </w:r>
      <w:r>
        <w:rPr>
          <w:snapToGrid w:val="0"/>
        </w:rPr>
        <w:tab/>
        <w:t>Unlicensed premises etc., offences as to</w:t>
      </w:r>
      <w:bookmarkEnd w:id="355"/>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No. 8 of 2012 s. 119.] </w:t>
      </w:r>
    </w:p>
    <w:p>
      <w:pPr>
        <w:pStyle w:val="Heading3"/>
        <w:spacing w:before="180"/>
      </w:pPr>
      <w:bookmarkStart w:id="356" w:name="_Toc471906868"/>
      <w:bookmarkStart w:id="357" w:name="_Toc472001785"/>
      <w:bookmarkStart w:id="358" w:name="_Toc472676813"/>
      <w:bookmarkStart w:id="359" w:name="_Toc472682198"/>
      <w:bookmarkStart w:id="360" w:name="_Toc473119339"/>
      <w:r>
        <w:rPr>
          <w:rStyle w:val="CharDivNo"/>
        </w:rPr>
        <w:t>Division 8A</w:t>
      </w:r>
      <w:r>
        <w:t> — </w:t>
      </w:r>
      <w:r>
        <w:rPr>
          <w:rStyle w:val="CharDivText"/>
        </w:rPr>
        <w:t>Conduct of unapproved businesses on or from licensed premises</w:t>
      </w:r>
      <w:bookmarkEnd w:id="356"/>
      <w:bookmarkEnd w:id="357"/>
      <w:bookmarkEnd w:id="358"/>
      <w:bookmarkEnd w:id="359"/>
      <w:bookmarkEnd w:id="360"/>
    </w:p>
    <w:p>
      <w:pPr>
        <w:pStyle w:val="Footnoteheading"/>
      </w:pPr>
      <w:r>
        <w:tab/>
        <w:t>[Heading inserted by No. 73 of 2006 s. 87.]</w:t>
      </w:r>
    </w:p>
    <w:p>
      <w:pPr>
        <w:pStyle w:val="Heading5"/>
        <w:spacing w:before="180"/>
      </w:pPr>
      <w:bookmarkStart w:id="361" w:name="_Toc473119340"/>
      <w:r>
        <w:rPr>
          <w:rStyle w:val="CharSectno"/>
        </w:rPr>
        <w:t>119A</w:t>
      </w:r>
      <w:r>
        <w:t>.</w:t>
      </w:r>
      <w:r>
        <w:tab/>
        <w:t>Non-liquor businesses on licensed premises, conduct of requires approval</w:t>
      </w:r>
      <w:bookmarkEnd w:id="361"/>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362" w:name="_Toc471906870"/>
      <w:bookmarkStart w:id="363" w:name="_Toc472001787"/>
      <w:bookmarkStart w:id="364" w:name="_Toc472676815"/>
      <w:bookmarkStart w:id="365" w:name="_Toc472682200"/>
      <w:bookmarkStart w:id="366" w:name="_Toc473119341"/>
      <w:r>
        <w:rPr>
          <w:rStyle w:val="CharDivNo"/>
        </w:rPr>
        <w:t>Division 9</w:t>
      </w:r>
      <w:r>
        <w:rPr>
          <w:snapToGrid w:val="0"/>
        </w:rPr>
        <w:t> — </w:t>
      </w:r>
      <w:r>
        <w:rPr>
          <w:rStyle w:val="CharDivText"/>
        </w:rPr>
        <w:t>Juveniles</w:t>
      </w:r>
      <w:bookmarkEnd w:id="362"/>
      <w:bookmarkEnd w:id="363"/>
      <w:bookmarkEnd w:id="364"/>
      <w:bookmarkEnd w:id="365"/>
      <w:bookmarkEnd w:id="366"/>
      <w:r>
        <w:rPr>
          <w:rStyle w:val="CharDivText"/>
        </w:rPr>
        <w:t xml:space="preserve"> </w:t>
      </w:r>
    </w:p>
    <w:p>
      <w:pPr>
        <w:pStyle w:val="Heading5"/>
        <w:rPr>
          <w:snapToGrid w:val="0"/>
        </w:rPr>
      </w:pPr>
      <w:bookmarkStart w:id="367" w:name="_Toc473119342"/>
      <w:r>
        <w:rPr>
          <w:rStyle w:val="CharSectno"/>
        </w:rPr>
        <w:t>120</w:t>
      </w:r>
      <w:r>
        <w:rPr>
          <w:snapToGrid w:val="0"/>
        </w:rPr>
        <w:t>.</w:t>
      </w:r>
      <w:r>
        <w:rPr>
          <w:snapToGrid w:val="0"/>
        </w:rPr>
        <w:tab/>
        <w:t>When juveniles permitted on licensed premises</w:t>
      </w:r>
      <w:bookmarkEnd w:id="367"/>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by No. 56 of 2010 s. 25.] </w:t>
      </w:r>
    </w:p>
    <w:p>
      <w:pPr>
        <w:pStyle w:val="Heading5"/>
        <w:rPr>
          <w:snapToGrid w:val="0"/>
        </w:rPr>
      </w:pPr>
      <w:bookmarkStart w:id="368" w:name="_Toc473119343"/>
      <w:r>
        <w:rPr>
          <w:rStyle w:val="CharSectno"/>
        </w:rPr>
        <w:t>121</w:t>
      </w:r>
      <w:r>
        <w:rPr>
          <w:snapToGrid w:val="0"/>
        </w:rPr>
        <w:t>.</w:t>
      </w:r>
      <w:r>
        <w:rPr>
          <w:snapToGrid w:val="0"/>
        </w:rPr>
        <w:tab/>
        <w:t>Licensed premises, offences as to juveniles</w:t>
      </w:r>
      <w:bookmarkEnd w:id="368"/>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by No. 12 of 1998 s. 83; No. 73 of 2006 s. 88, 109, 110 and 111(9); No. 56 of 2010 s. 19, 62 and 69.]</w:t>
      </w:r>
    </w:p>
    <w:p>
      <w:pPr>
        <w:pStyle w:val="Heading5"/>
        <w:spacing w:before="240"/>
      </w:pPr>
      <w:bookmarkStart w:id="369" w:name="_Toc473119344"/>
      <w:r>
        <w:rPr>
          <w:rStyle w:val="CharSectno"/>
        </w:rPr>
        <w:t>122A</w:t>
      </w:r>
      <w:r>
        <w:t>.</w:t>
      </w:r>
      <w:r>
        <w:tab/>
        <w:t>Supplying juveniles with alcohol on unlicensed premises</w:t>
      </w:r>
      <w:bookmarkEnd w:id="369"/>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by No. 35 of 2015 s. 20.]</w:t>
      </w:r>
    </w:p>
    <w:p>
      <w:pPr>
        <w:pStyle w:val="Heading5"/>
        <w:rPr>
          <w:snapToGrid w:val="0"/>
        </w:rPr>
      </w:pPr>
      <w:bookmarkStart w:id="370" w:name="_Toc473119345"/>
      <w:r>
        <w:rPr>
          <w:rStyle w:val="CharSectno"/>
        </w:rPr>
        <w:t>122</w:t>
      </w:r>
      <w:r>
        <w:rPr>
          <w:snapToGrid w:val="0"/>
        </w:rPr>
        <w:t>.</w:t>
      </w:r>
      <w:r>
        <w:rPr>
          <w:snapToGrid w:val="0"/>
        </w:rPr>
        <w:tab/>
        <w:t>Regulated premises, offences as to juveniles</w:t>
      </w:r>
      <w:bookmarkEnd w:id="370"/>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ind w:left="890" w:hanging="890"/>
      </w:pPr>
      <w:r>
        <w:tab/>
        <w:t xml:space="preserve">[Section 122 amended by No. 12 of 1998 s. 35(5); No. 73 of 2006 s. 89 and 110; No. 56 of 2010 s. 63 and 69.] </w:t>
      </w:r>
    </w:p>
    <w:p>
      <w:pPr>
        <w:pStyle w:val="Heading5"/>
        <w:spacing w:before="240"/>
        <w:rPr>
          <w:snapToGrid w:val="0"/>
        </w:rPr>
      </w:pPr>
      <w:bookmarkStart w:id="371" w:name="_Toc473119346"/>
      <w:r>
        <w:rPr>
          <w:rStyle w:val="CharSectno"/>
        </w:rPr>
        <w:t>123</w:t>
      </w:r>
      <w:r>
        <w:rPr>
          <w:snapToGrid w:val="0"/>
        </w:rPr>
        <w:t>.</w:t>
      </w:r>
      <w:r>
        <w:rPr>
          <w:snapToGrid w:val="0"/>
        </w:rPr>
        <w:tab/>
        <w:t>Possession etc. of liquor, offences by juveniles</w:t>
      </w:r>
      <w:bookmarkEnd w:id="371"/>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keepNext w:val="0"/>
        <w:keepLines w:val="0"/>
        <w:spacing w:before="160"/>
        <w:rPr>
          <w:snapToGrid w:val="0"/>
        </w:rPr>
      </w:pPr>
      <w:bookmarkStart w:id="372" w:name="_Toc473119347"/>
      <w:r>
        <w:rPr>
          <w:rStyle w:val="CharSectno"/>
        </w:rPr>
        <w:t>124</w:t>
      </w:r>
      <w:r>
        <w:rPr>
          <w:snapToGrid w:val="0"/>
        </w:rPr>
        <w:t>.</w:t>
      </w:r>
      <w:r>
        <w:rPr>
          <w:snapToGrid w:val="0"/>
        </w:rPr>
        <w:tab/>
        <w:t>Sending juveniles to obtain liquor, offence</w:t>
      </w:r>
      <w:bookmarkEnd w:id="372"/>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by No. 73 of 2006 s. 110; No. 56 of 2010 s. 69.]</w:t>
      </w:r>
    </w:p>
    <w:p>
      <w:pPr>
        <w:pStyle w:val="Heading5"/>
        <w:spacing w:before="180"/>
        <w:rPr>
          <w:snapToGrid w:val="0"/>
        </w:rPr>
      </w:pPr>
      <w:bookmarkStart w:id="373" w:name="_Toc473119348"/>
      <w:r>
        <w:rPr>
          <w:rStyle w:val="CharSectno"/>
        </w:rPr>
        <w:t>125</w:t>
      </w:r>
      <w:r>
        <w:rPr>
          <w:snapToGrid w:val="0"/>
        </w:rPr>
        <w:t>.</w:t>
      </w:r>
      <w:r>
        <w:rPr>
          <w:snapToGrid w:val="0"/>
        </w:rPr>
        <w:tab/>
        <w:t>Defences to offences under this Division</w:t>
      </w:r>
      <w:bookmarkEnd w:id="373"/>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374" w:name="_Toc473119349"/>
      <w:r>
        <w:rPr>
          <w:rStyle w:val="CharSectno"/>
        </w:rPr>
        <w:t>126</w:t>
      </w:r>
      <w:r>
        <w:rPr>
          <w:snapToGrid w:val="0"/>
        </w:rPr>
        <w:t>.</w:t>
      </w:r>
      <w:r>
        <w:rPr>
          <w:snapToGrid w:val="0"/>
        </w:rPr>
        <w:tab/>
        <w:t>Suspected juveniles, authorised persons’ powers as to, offences by</w:t>
      </w:r>
      <w:bookmarkEnd w:id="374"/>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by No. 12 of 1998 s. 85; No. 73 of 2006 s. 91, 109 and 110; No. 56 of 2010 s. 69; No. 35 of 2015 s. 21.] </w:t>
      </w:r>
    </w:p>
    <w:p>
      <w:pPr>
        <w:pStyle w:val="Heading5"/>
        <w:spacing w:before="240"/>
      </w:pPr>
      <w:bookmarkStart w:id="375" w:name="_Toc473119350"/>
      <w:r>
        <w:rPr>
          <w:rStyle w:val="CharSectno"/>
        </w:rPr>
        <w:t>126A</w:t>
      </w:r>
      <w:r>
        <w:t>.</w:t>
      </w:r>
      <w:r>
        <w:tab/>
        <w:t>Entertainment for juveniles on licensed premises, application for approval of</w:t>
      </w:r>
      <w:bookmarkEnd w:id="375"/>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by No. 73 of 2006 s. 92(1).]</w:t>
      </w:r>
    </w:p>
    <w:p>
      <w:pPr>
        <w:pStyle w:val="Heading5"/>
      </w:pPr>
      <w:bookmarkStart w:id="376" w:name="_Toc473119351"/>
      <w:r>
        <w:rPr>
          <w:rStyle w:val="CharSectno"/>
        </w:rPr>
        <w:t>126B</w:t>
      </w:r>
      <w:r>
        <w:t>.</w:t>
      </w:r>
      <w:r>
        <w:tab/>
        <w:t>Entertainment for juveniles on licensed premises, approval of</w:t>
      </w:r>
      <w:bookmarkEnd w:id="376"/>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377" w:name="_Toc471906881"/>
      <w:bookmarkStart w:id="378" w:name="_Toc472001798"/>
      <w:bookmarkStart w:id="379" w:name="_Toc472676826"/>
      <w:bookmarkStart w:id="380" w:name="_Toc472682211"/>
      <w:bookmarkStart w:id="381" w:name="_Toc473119352"/>
      <w:r>
        <w:rPr>
          <w:rStyle w:val="CharDivNo"/>
        </w:rPr>
        <w:t>Division 10</w:t>
      </w:r>
      <w:r>
        <w:t> — </w:t>
      </w:r>
      <w:r>
        <w:rPr>
          <w:rStyle w:val="CharDivText"/>
        </w:rPr>
        <w:t>Miscellaneous</w:t>
      </w:r>
      <w:bookmarkEnd w:id="377"/>
      <w:bookmarkEnd w:id="378"/>
      <w:bookmarkEnd w:id="379"/>
      <w:bookmarkEnd w:id="380"/>
      <w:bookmarkEnd w:id="381"/>
    </w:p>
    <w:p>
      <w:pPr>
        <w:pStyle w:val="Footnoteheading"/>
      </w:pPr>
      <w:r>
        <w:tab/>
        <w:t>[Heading inserted by No. 73 of 2006 s. 93.]</w:t>
      </w:r>
    </w:p>
    <w:p>
      <w:pPr>
        <w:pStyle w:val="Heading5"/>
        <w:spacing w:before="240"/>
      </w:pPr>
      <w:bookmarkStart w:id="382" w:name="_Toc473119353"/>
      <w:r>
        <w:rPr>
          <w:rStyle w:val="CharSectno"/>
        </w:rPr>
        <w:t>126C</w:t>
      </w:r>
      <w:r>
        <w:t>.</w:t>
      </w:r>
      <w:r>
        <w:tab/>
        <w:t>Crowd controllers to be authorised when exercising powers of removal</w:t>
      </w:r>
      <w:bookmarkEnd w:id="382"/>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keepNext w:val="0"/>
        <w:keepLines w:val="0"/>
        <w:spacing w:before="180"/>
      </w:pPr>
      <w:bookmarkStart w:id="383" w:name="_Toc473119354"/>
      <w:r>
        <w:rPr>
          <w:rStyle w:val="CharSectno"/>
        </w:rPr>
        <w:t>126D</w:t>
      </w:r>
      <w:r>
        <w:t>.</w:t>
      </w:r>
      <w:r>
        <w:tab/>
        <w:t>Undesirable liquor products, declaration of and offence as to</w:t>
      </w:r>
      <w:bookmarkEnd w:id="383"/>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spacing w:before="80"/>
        <w:ind w:left="890" w:hanging="890"/>
      </w:pPr>
      <w:r>
        <w:tab/>
        <w:t>[Section 126D inserted by No. 73 of 2006 s. 93; amended by No. 56 of 2010 s. 64.]</w:t>
      </w:r>
    </w:p>
    <w:p>
      <w:pPr>
        <w:pStyle w:val="Heading5"/>
      </w:pPr>
      <w:bookmarkStart w:id="384" w:name="_Toc473119355"/>
      <w:r>
        <w:rPr>
          <w:rStyle w:val="CharSectno"/>
        </w:rPr>
        <w:t>126E</w:t>
      </w:r>
      <w:r>
        <w:t>.</w:t>
      </w:r>
      <w:r>
        <w:tab/>
        <w:t>Special events, operation of Act may be modified for</w:t>
      </w:r>
      <w:bookmarkEnd w:id="384"/>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385" w:name="_Toc471906885"/>
      <w:bookmarkStart w:id="386" w:name="_Toc472001802"/>
      <w:bookmarkStart w:id="387" w:name="_Toc472676830"/>
      <w:bookmarkStart w:id="388" w:name="_Toc472682215"/>
      <w:bookmarkStart w:id="389" w:name="_Toc473119356"/>
      <w:r>
        <w:rPr>
          <w:rStyle w:val="CharPartNo"/>
        </w:rPr>
        <w:t>Part 5</w:t>
      </w:r>
      <w:r>
        <w:t> — </w:t>
      </w:r>
      <w:r>
        <w:rPr>
          <w:rStyle w:val="CharPartText"/>
        </w:rPr>
        <w:t>Financial provisions</w:t>
      </w:r>
      <w:bookmarkEnd w:id="385"/>
      <w:bookmarkEnd w:id="386"/>
      <w:bookmarkEnd w:id="387"/>
      <w:bookmarkEnd w:id="388"/>
      <w:bookmarkEnd w:id="389"/>
      <w:r>
        <w:rPr>
          <w:rStyle w:val="CharPartText"/>
        </w:rPr>
        <w:t xml:space="preserve"> </w:t>
      </w:r>
    </w:p>
    <w:p>
      <w:pPr>
        <w:pStyle w:val="Heading3"/>
        <w:spacing w:before="220"/>
        <w:rPr>
          <w:snapToGrid w:val="0"/>
        </w:rPr>
      </w:pPr>
      <w:bookmarkStart w:id="390" w:name="_Toc471906886"/>
      <w:bookmarkStart w:id="391" w:name="_Toc472001803"/>
      <w:bookmarkStart w:id="392" w:name="_Toc472676831"/>
      <w:bookmarkStart w:id="393" w:name="_Toc472682216"/>
      <w:bookmarkStart w:id="394" w:name="_Toc473119357"/>
      <w:r>
        <w:rPr>
          <w:rStyle w:val="CharDivNo"/>
        </w:rPr>
        <w:t>Division 1</w:t>
      </w:r>
      <w:r>
        <w:rPr>
          <w:snapToGrid w:val="0"/>
        </w:rPr>
        <w:t> — </w:t>
      </w:r>
      <w:r>
        <w:rPr>
          <w:rStyle w:val="CharDivText"/>
        </w:rPr>
        <w:t>Licence fees</w:t>
      </w:r>
      <w:bookmarkEnd w:id="390"/>
      <w:bookmarkEnd w:id="391"/>
      <w:bookmarkEnd w:id="392"/>
      <w:bookmarkEnd w:id="393"/>
      <w:bookmarkEnd w:id="394"/>
      <w:r>
        <w:rPr>
          <w:rStyle w:val="CharDivText"/>
        </w:rPr>
        <w:t xml:space="preserve"> </w:t>
      </w:r>
    </w:p>
    <w:p>
      <w:pPr>
        <w:pStyle w:val="Heading5"/>
        <w:rPr>
          <w:snapToGrid w:val="0"/>
        </w:rPr>
      </w:pPr>
      <w:bookmarkStart w:id="395" w:name="_Toc473119358"/>
      <w:r>
        <w:rPr>
          <w:rStyle w:val="CharSectno"/>
        </w:rPr>
        <w:t>127</w:t>
      </w:r>
      <w:r>
        <w:rPr>
          <w:snapToGrid w:val="0"/>
        </w:rPr>
        <w:t>.</w:t>
      </w:r>
      <w:r>
        <w:rPr>
          <w:snapToGrid w:val="0"/>
        </w:rPr>
        <w:tab/>
        <w:t>Payment of licence fees</w:t>
      </w:r>
      <w:bookmarkEnd w:id="395"/>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396" w:name="_Toc473119359"/>
      <w:r>
        <w:rPr>
          <w:rStyle w:val="CharSectno"/>
        </w:rPr>
        <w:t>128</w:t>
      </w:r>
      <w:r>
        <w:rPr>
          <w:snapToGrid w:val="0"/>
        </w:rPr>
        <w:t>.</w:t>
      </w:r>
      <w:r>
        <w:rPr>
          <w:snapToGrid w:val="0"/>
        </w:rPr>
        <w:tab/>
        <w:t>Regulations about licence fees</w:t>
      </w:r>
      <w:bookmarkEnd w:id="396"/>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spacing w:before="180"/>
        <w:rPr>
          <w:snapToGrid w:val="0"/>
        </w:rPr>
      </w:pPr>
      <w:bookmarkStart w:id="397" w:name="_Toc471906889"/>
      <w:bookmarkStart w:id="398" w:name="_Toc472001806"/>
      <w:bookmarkStart w:id="399" w:name="_Toc472676834"/>
      <w:bookmarkStart w:id="400" w:name="_Toc472682219"/>
      <w:bookmarkStart w:id="401" w:name="_Toc473119360"/>
      <w:r>
        <w:rPr>
          <w:rStyle w:val="CharDivNo"/>
        </w:rPr>
        <w:t>Division 2</w:t>
      </w:r>
      <w:r>
        <w:rPr>
          <w:snapToGrid w:val="0"/>
        </w:rPr>
        <w:t> — </w:t>
      </w:r>
      <w:r>
        <w:rPr>
          <w:rStyle w:val="CharDivText"/>
        </w:rPr>
        <w:t>Subsidies</w:t>
      </w:r>
      <w:bookmarkEnd w:id="397"/>
      <w:bookmarkEnd w:id="398"/>
      <w:bookmarkEnd w:id="399"/>
      <w:bookmarkEnd w:id="400"/>
      <w:bookmarkEnd w:id="401"/>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spacing w:before="180"/>
        <w:rPr>
          <w:snapToGrid w:val="0"/>
        </w:rPr>
      </w:pPr>
      <w:bookmarkStart w:id="402" w:name="_Toc473119361"/>
      <w:r>
        <w:rPr>
          <w:rStyle w:val="CharSectno"/>
        </w:rPr>
        <w:t>129</w:t>
      </w:r>
      <w:r>
        <w:rPr>
          <w:snapToGrid w:val="0"/>
        </w:rPr>
        <w:t>.</w:t>
      </w:r>
      <w:r>
        <w:rPr>
          <w:snapToGrid w:val="0"/>
        </w:rPr>
        <w:tab/>
        <w:t>Terms used</w:t>
      </w:r>
      <w:bookmarkEnd w:id="40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spacing w:before="180"/>
        <w:rPr>
          <w:snapToGrid w:val="0"/>
        </w:rPr>
      </w:pPr>
      <w:bookmarkStart w:id="403" w:name="_Toc473119362"/>
      <w:r>
        <w:rPr>
          <w:rStyle w:val="CharSectno"/>
        </w:rPr>
        <w:t>130</w:t>
      </w:r>
      <w:r>
        <w:rPr>
          <w:snapToGrid w:val="0"/>
        </w:rPr>
        <w:t>.</w:t>
      </w:r>
      <w:r>
        <w:rPr>
          <w:snapToGrid w:val="0"/>
        </w:rPr>
        <w:tab/>
        <w:t>Subsidies for wholesalers and producers</w:t>
      </w:r>
      <w:bookmarkEnd w:id="403"/>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spacing w:before="180"/>
        <w:rPr>
          <w:snapToGrid w:val="0"/>
        </w:rPr>
      </w:pPr>
      <w:bookmarkStart w:id="404" w:name="_Toc473119363"/>
      <w:r>
        <w:rPr>
          <w:rStyle w:val="CharSectno"/>
        </w:rPr>
        <w:t>131</w:t>
      </w:r>
      <w:r>
        <w:rPr>
          <w:snapToGrid w:val="0"/>
        </w:rPr>
        <w:t>.</w:t>
      </w:r>
      <w:r>
        <w:rPr>
          <w:snapToGrid w:val="0"/>
        </w:rPr>
        <w:tab/>
        <w:t>Application for subsidy</w:t>
      </w:r>
      <w:bookmarkEnd w:id="404"/>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spacing w:before="180"/>
        <w:rPr>
          <w:snapToGrid w:val="0"/>
        </w:rPr>
      </w:pPr>
      <w:bookmarkStart w:id="405" w:name="_Toc473119364"/>
      <w:r>
        <w:rPr>
          <w:rStyle w:val="CharSectno"/>
        </w:rPr>
        <w:t>132</w:t>
      </w:r>
      <w:r>
        <w:rPr>
          <w:snapToGrid w:val="0"/>
        </w:rPr>
        <w:t>.</w:t>
      </w:r>
      <w:r>
        <w:rPr>
          <w:snapToGrid w:val="0"/>
        </w:rPr>
        <w:tab/>
        <w:t>Director to pay subsidies</w:t>
      </w:r>
      <w:bookmarkEnd w:id="405"/>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spacing w:before="180"/>
        <w:rPr>
          <w:snapToGrid w:val="0"/>
        </w:rPr>
      </w:pPr>
      <w:bookmarkStart w:id="406" w:name="_Toc473119365"/>
      <w:r>
        <w:rPr>
          <w:rStyle w:val="CharSectno"/>
        </w:rPr>
        <w:t>133</w:t>
      </w:r>
      <w:r>
        <w:rPr>
          <w:snapToGrid w:val="0"/>
        </w:rPr>
        <w:t>.</w:t>
      </w:r>
      <w:r>
        <w:rPr>
          <w:snapToGrid w:val="0"/>
        </w:rPr>
        <w:tab/>
        <w:t>Consolidated Account appropriated</w:t>
      </w:r>
      <w:bookmarkEnd w:id="406"/>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tab/>
        <w:t>[Section 133 inserted by No. 56 of 1997 s. 36; amended by No. 77 of 2006 s. 4.]</w:t>
      </w:r>
    </w:p>
    <w:p>
      <w:pPr>
        <w:pStyle w:val="Heading5"/>
        <w:rPr>
          <w:snapToGrid w:val="0"/>
        </w:rPr>
      </w:pPr>
      <w:bookmarkStart w:id="407" w:name="_Toc473119366"/>
      <w:r>
        <w:rPr>
          <w:rStyle w:val="CharSectno"/>
        </w:rPr>
        <w:t>134</w:t>
      </w:r>
      <w:r>
        <w:rPr>
          <w:snapToGrid w:val="0"/>
        </w:rPr>
        <w:t>.</w:t>
      </w:r>
      <w:r>
        <w:rPr>
          <w:snapToGrid w:val="0"/>
        </w:rPr>
        <w:tab/>
        <w:t>Correcting incorrect subsidy payments</w:t>
      </w:r>
      <w:bookmarkEnd w:id="407"/>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408" w:name="_Toc473119367"/>
      <w:r>
        <w:rPr>
          <w:rStyle w:val="CharSectno"/>
        </w:rPr>
        <w:t>135</w:t>
      </w:r>
      <w:r>
        <w:rPr>
          <w:snapToGrid w:val="0"/>
        </w:rPr>
        <w:t>.</w:t>
      </w:r>
      <w:r>
        <w:rPr>
          <w:snapToGrid w:val="0"/>
        </w:rPr>
        <w:tab/>
        <w:t>Failure to correct incorrect subsidy application</w:t>
      </w:r>
      <w:bookmarkEnd w:id="408"/>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spacing w:before="180"/>
        <w:rPr>
          <w:snapToGrid w:val="0"/>
        </w:rPr>
      </w:pPr>
      <w:bookmarkStart w:id="409" w:name="_Toc473119368"/>
      <w:r>
        <w:rPr>
          <w:rStyle w:val="CharSectno"/>
        </w:rPr>
        <w:t>136</w:t>
      </w:r>
      <w:r>
        <w:rPr>
          <w:snapToGrid w:val="0"/>
        </w:rPr>
        <w:t>.</w:t>
      </w:r>
      <w:r>
        <w:rPr>
          <w:snapToGrid w:val="0"/>
        </w:rPr>
        <w:tab/>
        <w:t>Minister may order subsidies to cease</w:t>
      </w:r>
      <w:bookmarkEnd w:id="409"/>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410" w:name="_Toc471906898"/>
      <w:bookmarkStart w:id="411" w:name="_Toc472001815"/>
      <w:bookmarkStart w:id="412" w:name="_Toc472676843"/>
      <w:bookmarkStart w:id="413" w:name="_Toc472682228"/>
      <w:bookmarkStart w:id="414" w:name="_Toc473119369"/>
      <w:r>
        <w:rPr>
          <w:rStyle w:val="CharDivNo"/>
        </w:rPr>
        <w:t>Division 3</w:t>
      </w:r>
      <w:r>
        <w:rPr>
          <w:snapToGrid w:val="0"/>
        </w:rPr>
        <w:t> — </w:t>
      </w:r>
      <w:r>
        <w:rPr>
          <w:rStyle w:val="CharDivText"/>
        </w:rPr>
        <w:t>Power of Commission with respect to moneys due</w:t>
      </w:r>
      <w:bookmarkEnd w:id="410"/>
      <w:bookmarkEnd w:id="411"/>
      <w:bookmarkEnd w:id="412"/>
      <w:bookmarkEnd w:id="413"/>
      <w:bookmarkEnd w:id="414"/>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415" w:name="_Toc473119370"/>
      <w:r>
        <w:rPr>
          <w:rStyle w:val="CharSectno"/>
        </w:rPr>
        <w:t>143</w:t>
      </w:r>
      <w:r>
        <w:rPr>
          <w:snapToGrid w:val="0"/>
        </w:rPr>
        <w:t>.</w:t>
      </w:r>
      <w:r>
        <w:rPr>
          <w:snapToGrid w:val="0"/>
        </w:rPr>
        <w:tab/>
        <w:t>Order for payment of money</w:t>
      </w:r>
      <w:bookmarkEnd w:id="415"/>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416" w:name="_Toc471906900"/>
      <w:bookmarkStart w:id="417" w:name="_Toc472001817"/>
      <w:bookmarkStart w:id="418" w:name="_Toc472676845"/>
      <w:bookmarkStart w:id="419" w:name="_Toc472682230"/>
      <w:bookmarkStart w:id="420" w:name="_Toc473119371"/>
      <w:r>
        <w:rPr>
          <w:rStyle w:val="CharDivNo"/>
        </w:rPr>
        <w:t>Division 4</w:t>
      </w:r>
      <w:r>
        <w:rPr>
          <w:snapToGrid w:val="0"/>
        </w:rPr>
        <w:t> — </w:t>
      </w:r>
      <w:r>
        <w:rPr>
          <w:rStyle w:val="CharDivText"/>
        </w:rPr>
        <w:t>Records and returns</w:t>
      </w:r>
      <w:bookmarkEnd w:id="416"/>
      <w:bookmarkEnd w:id="417"/>
      <w:bookmarkEnd w:id="418"/>
      <w:bookmarkEnd w:id="419"/>
      <w:bookmarkEnd w:id="420"/>
      <w:r>
        <w:rPr>
          <w:rStyle w:val="CharDivText"/>
        </w:rPr>
        <w:t xml:space="preserve"> </w:t>
      </w:r>
    </w:p>
    <w:p>
      <w:pPr>
        <w:pStyle w:val="Heading5"/>
        <w:keepNext w:val="0"/>
        <w:spacing w:before="160"/>
        <w:rPr>
          <w:snapToGrid w:val="0"/>
        </w:rPr>
      </w:pPr>
      <w:bookmarkStart w:id="421" w:name="_Toc473119372"/>
      <w:r>
        <w:rPr>
          <w:rStyle w:val="CharSectno"/>
        </w:rPr>
        <w:t>145</w:t>
      </w:r>
      <w:r>
        <w:rPr>
          <w:snapToGrid w:val="0"/>
        </w:rPr>
        <w:t>.</w:t>
      </w:r>
      <w:r>
        <w:rPr>
          <w:snapToGrid w:val="0"/>
        </w:rPr>
        <w:tab/>
        <w:t>Records of liquor transactions to be kept by licensees etc.</w:t>
      </w:r>
      <w:bookmarkEnd w:id="421"/>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422" w:name="_Toc473119373"/>
      <w:r>
        <w:rPr>
          <w:rStyle w:val="CharSectno"/>
        </w:rPr>
        <w:t>146</w:t>
      </w:r>
      <w:r>
        <w:rPr>
          <w:snapToGrid w:val="0"/>
        </w:rPr>
        <w:t>.</w:t>
      </w:r>
      <w:r>
        <w:rPr>
          <w:snapToGrid w:val="0"/>
        </w:rPr>
        <w:tab/>
        <w:t>Information to be given to Director in returns</w:t>
      </w:r>
      <w:bookmarkEnd w:id="422"/>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423" w:name="_Toc471906903"/>
      <w:bookmarkStart w:id="424" w:name="_Toc472001820"/>
      <w:bookmarkStart w:id="425" w:name="_Toc472676848"/>
      <w:bookmarkStart w:id="426" w:name="_Toc472682233"/>
      <w:bookmarkStart w:id="427" w:name="_Toc473119374"/>
      <w:r>
        <w:rPr>
          <w:rStyle w:val="CharDivNo"/>
        </w:rPr>
        <w:t>Division 5</w:t>
      </w:r>
      <w:r>
        <w:rPr>
          <w:snapToGrid w:val="0"/>
        </w:rPr>
        <w:t> — </w:t>
      </w:r>
      <w:r>
        <w:rPr>
          <w:rStyle w:val="CharDivText"/>
        </w:rPr>
        <w:t>Recovery of illegal gains</w:t>
      </w:r>
      <w:bookmarkEnd w:id="423"/>
      <w:bookmarkEnd w:id="424"/>
      <w:bookmarkEnd w:id="425"/>
      <w:bookmarkEnd w:id="426"/>
      <w:bookmarkEnd w:id="427"/>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428" w:name="_Toc473119375"/>
      <w:r>
        <w:rPr>
          <w:rStyle w:val="CharSectno"/>
        </w:rPr>
        <w:t>147</w:t>
      </w:r>
      <w:r>
        <w:rPr>
          <w:snapToGrid w:val="0"/>
        </w:rPr>
        <w:t>.</w:t>
      </w:r>
      <w:r>
        <w:rPr>
          <w:snapToGrid w:val="0"/>
        </w:rPr>
        <w:tab/>
        <w:t>Illegal gains, estimation and recovery of</w:t>
      </w:r>
      <w:bookmarkEnd w:id="428"/>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pageBreakBefore/>
        <w:spacing w:before="0"/>
        <w:rPr>
          <w:snapToGrid w:val="0"/>
        </w:rPr>
      </w:pPr>
      <w:bookmarkStart w:id="429" w:name="_Toc471906905"/>
      <w:bookmarkStart w:id="430" w:name="_Toc472001822"/>
      <w:bookmarkStart w:id="431" w:name="_Toc472676850"/>
      <w:bookmarkStart w:id="432" w:name="_Toc472682235"/>
      <w:bookmarkStart w:id="433" w:name="_Toc473119376"/>
      <w:r>
        <w:rPr>
          <w:rStyle w:val="CharDivNo"/>
        </w:rPr>
        <w:t>Division 6</w:t>
      </w:r>
      <w:r>
        <w:rPr>
          <w:snapToGrid w:val="0"/>
        </w:rPr>
        <w:t> — </w:t>
      </w:r>
      <w:r>
        <w:rPr>
          <w:rStyle w:val="CharDivText"/>
        </w:rPr>
        <w:t>Information</w:t>
      </w:r>
      <w:bookmarkEnd w:id="429"/>
      <w:bookmarkEnd w:id="430"/>
      <w:bookmarkEnd w:id="431"/>
      <w:bookmarkEnd w:id="432"/>
      <w:bookmarkEnd w:id="433"/>
      <w:r>
        <w:rPr>
          <w:rStyle w:val="CharDivText"/>
        </w:rPr>
        <w:t xml:space="preserve"> </w:t>
      </w:r>
    </w:p>
    <w:p>
      <w:pPr>
        <w:pStyle w:val="Heading5"/>
        <w:rPr>
          <w:snapToGrid w:val="0"/>
        </w:rPr>
      </w:pPr>
      <w:bookmarkStart w:id="434" w:name="_Toc473119377"/>
      <w:r>
        <w:rPr>
          <w:rStyle w:val="CharSectno"/>
        </w:rPr>
        <w:t>148</w:t>
      </w:r>
      <w:r>
        <w:rPr>
          <w:snapToGrid w:val="0"/>
        </w:rPr>
        <w:t>.</w:t>
      </w:r>
      <w:r>
        <w:rPr>
          <w:snapToGrid w:val="0"/>
        </w:rPr>
        <w:tab/>
        <w:t>Information etc., Director’s powers to obtain</w:t>
      </w:r>
      <w:bookmarkEnd w:id="434"/>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435" w:name="_Toc473119378"/>
      <w:r>
        <w:rPr>
          <w:rStyle w:val="CharSectno"/>
        </w:rPr>
        <w:t>149</w:t>
      </w:r>
      <w:r>
        <w:rPr>
          <w:snapToGrid w:val="0"/>
        </w:rPr>
        <w:t>.</w:t>
      </w:r>
      <w:r>
        <w:rPr>
          <w:snapToGrid w:val="0"/>
        </w:rPr>
        <w:tab/>
        <w:t>Use of information, Director’s powers as to</w:t>
      </w:r>
      <w:bookmarkEnd w:id="435"/>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436" w:name="_Toc473119379"/>
      <w:r>
        <w:rPr>
          <w:rStyle w:val="CharSectno"/>
        </w:rPr>
        <w:t>150</w:t>
      </w:r>
      <w:r>
        <w:rPr>
          <w:snapToGrid w:val="0"/>
        </w:rPr>
        <w:t>.</w:t>
      </w:r>
      <w:r>
        <w:rPr>
          <w:snapToGrid w:val="0"/>
        </w:rPr>
        <w:tab/>
        <w:t>Premises and records, Director’s right of access to etc.</w:t>
      </w:r>
      <w:bookmarkEnd w:id="436"/>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437" w:name="_Toc473119380"/>
      <w:r>
        <w:rPr>
          <w:rStyle w:val="CharSectno"/>
        </w:rPr>
        <w:t>151</w:t>
      </w:r>
      <w:r>
        <w:rPr>
          <w:snapToGrid w:val="0"/>
        </w:rPr>
        <w:t>.</w:t>
      </w:r>
      <w:r>
        <w:rPr>
          <w:snapToGrid w:val="0"/>
        </w:rPr>
        <w:tab/>
        <w:t>Licensing authority may assist other authorities</w:t>
      </w:r>
      <w:bookmarkEnd w:id="437"/>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438" w:name="_Toc473119381"/>
      <w:r>
        <w:rPr>
          <w:rStyle w:val="CharSectno"/>
        </w:rPr>
        <w:t>152</w:t>
      </w:r>
      <w:r>
        <w:rPr>
          <w:snapToGrid w:val="0"/>
        </w:rPr>
        <w:t>.</w:t>
      </w:r>
      <w:r>
        <w:rPr>
          <w:snapToGrid w:val="0"/>
        </w:rPr>
        <w:tab/>
        <w:t>Disclosure of information by officials</w:t>
      </w:r>
      <w:bookmarkEnd w:id="438"/>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439" w:name="_Toc471906911"/>
      <w:bookmarkStart w:id="440" w:name="_Toc472001828"/>
      <w:bookmarkStart w:id="441" w:name="_Toc472676856"/>
      <w:bookmarkStart w:id="442" w:name="_Toc472682241"/>
      <w:bookmarkStart w:id="443" w:name="_Toc473119382"/>
      <w:r>
        <w:rPr>
          <w:rStyle w:val="CharPartNo"/>
        </w:rPr>
        <w:t>Part 5A</w:t>
      </w:r>
      <w:r>
        <w:rPr>
          <w:rStyle w:val="CharDivNo"/>
        </w:rPr>
        <w:t> </w:t>
      </w:r>
      <w:r>
        <w:t>—</w:t>
      </w:r>
      <w:r>
        <w:rPr>
          <w:rStyle w:val="CharDivText"/>
        </w:rPr>
        <w:t> </w:t>
      </w:r>
      <w:r>
        <w:rPr>
          <w:rStyle w:val="CharPartText"/>
        </w:rPr>
        <w:t>Prohibition orders</w:t>
      </w:r>
      <w:bookmarkEnd w:id="439"/>
      <w:bookmarkEnd w:id="440"/>
      <w:bookmarkEnd w:id="441"/>
      <w:bookmarkEnd w:id="442"/>
      <w:bookmarkEnd w:id="443"/>
    </w:p>
    <w:p>
      <w:pPr>
        <w:pStyle w:val="Footnoteheading"/>
      </w:pPr>
      <w:r>
        <w:tab/>
        <w:t>[Heading inserted by No. 73 of 2006 s. 97.]</w:t>
      </w:r>
    </w:p>
    <w:p>
      <w:pPr>
        <w:pStyle w:val="Heading5"/>
        <w:spacing w:before="240"/>
      </w:pPr>
      <w:bookmarkStart w:id="444" w:name="_Toc473119383"/>
      <w:r>
        <w:rPr>
          <w:rStyle w:val="CharSectno"/>
        </w:rPr>
        <w:t>152A</w:t>
      </w:r>
      <w:r>
        <w:t>.</w:t>
      </w:r>
      <w:r>
        <w:tab/>
        <w:t>Terms used</w:t>
      </w:r>
      <w:bookmarkEnd w:id="444"/>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445" w:name="_Toc473119384"/>
      <w:r>
        <w:rPr>
          <w:rStyle w:val="CharSectno"/>
        </w:rPr>
        <w:t>152B</w:t>
      </w:r>
      <w:r>
        <w:t>.</w:t>
      </w:r>
      <w:r>
        <w:tab/>
        <w:t>Commissioner of Police may apply for prohibition orders</w:t>
      </w:r>
      <w:bookmarkEnd w:id="445"/>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keepNext w:val="0"/>
        <w:keepLines w:val="0"/>
        <w:pageBreakBefore/>
        <w:spacing w:before="0"/>
      </w:pPr>
      <w:bookmarkStart w:id="446" w:name="_Toc473119385"/>
      <w:r>
        <w:rPr>
          <w:rStyle w:val="CharSectno"/>
        </w:rPr>
        <w:t>152C</w:t>
      </w:r>
      <w:r>
        <w:t>.</w:t>
      </w:r>
      <w:r>
        <w:tab/>
        <w:t>Evidence in support of s. 152B application</w:t>
      </w:r>
      <w:bookmarkEnd w:id="446"/>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447" w:name="_Toc473119386"/>
      <w:r>
        <w:rPr>
          <w:rStyle w:val="CharSectno"/>
        </w:rPr>
        <w:t>152D</w:t>
      </w:r>
      <w:r>
        <w:t>.</w:t>
      </w:r>
      <w:r>
        <w:tab/>
        <w:t>Notice of s. 152B application etc. to be given to relevant person</w:t>
      </w:r>
      <w:bookmarkEnd w:id="447"/>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448" w:name="_Toc473119387"/>
      <w:r>
        <w:rPr>
          <w:rStyle w:val="CharSectno"/>
        </w:rPr>
        <w:t>152E</w:t>
      </w:r>
      <w:r>
        <w:t>.</w:t>
      </w:r>
      <w:r>
        <w:tab/>
        <w:t>Director may make prohibition orders</w:t>
      </w:r>
      <w:bookmarkEnd w:id="448"/>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Next w:val="0"/>
        <w:keepLines w:val="0"/>
        <w:spacing w:before="180"/>
      </w:pPr>
      <w:bookmarkStart w:id="449" w:name="_Toc473119388"/>
      <w:r>
        <w:rPr>
          <w:rStyle w:val="CharSectno"/>
        </w:rPr>
        <w:t>152F</w:t>
      </w:r>
      <w:r>
        <w:t>.</w:t>
      </w:r>
      <w:r>
        <w:tab/>
        <w:t>Term of prohibition orders</w:t>
      </w:r>
      <w:bookmarkEnd w:id="449"/>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450" w:name="_Toc473119389"/>
      <w:r>
        <w:rPr>
          <w:rStyle w:val="CharSectno"/>
        </w:rPr>
        <w:t>152G</w:t>
      </w:r>
      <w:r>
        <w:t>.</w:t>
      </w:r>
      <w:r>
        <w:tab/>
        <w:t>Applications to vary or revoke prohibition orders</w:t>
      </w:r>
      <w:bookmarkEnd w:id="450"/>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451" w:name="_Toc473119390"/>
      <w:r>
        <w:rPr>
          <w:rStyle w:val="CharSectno"/>
        </w:rPr>
        <w:t>152H</w:t>
      </w:r>
      <w:r>
        <w:t>.</w:t>
      </w:r>
      <w:r>
        <w:tab/>
        <w:t>Evidence in support of s. 152G application</w:t>
      </w:r>
      <w:bookmarkEnd w:id="451"/>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452" w:name="_Toc473119391"/>
      <w:r>
        <w:rPr>
          <w:rStyle w:val="CharSectno"/>
        </w:rPr>
        <w:t>152I</w:t>
      </w:r>
      <w:r>
        <w:t>.</w:t>
      </w:r>
      <w:r>
        <w:tab/>
        <w:t>Notice of s. 152G application etc. to be given to respondent</w:t>
      </w:r>
      <w:bookmarkEnd w:id="452"/>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453" w:name="_Toc473119392"/>
      <w:r>
        <w:rPr>
          <w:rStyle w:val="CharSectno"/>
        </w:rPr>
        <w:t>152J</w:t>
      </w:r>
      <w:r>
        <w:t>.</w:t>
      </w:r>
      <w:r>
        <w:tab/>
        <w:t>Director may vary or revoke prohibition orders</w:t>
      </w:r>
      <w:bookmarkEnd w:id="453"/>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454" w:name="_Toc473119393"/>
      <w:r>
        <w:rPr>
          <w:rStyle w:val="CharSectno"/>
        </w:rPr>
        <w:t>152K</w:t>
      </w:r>
      <w:r>
        <w:t>.</w:t>
      </w:r>
      <w:r>
        <w:tab/>
        <w:t>Service and publication of prohibition orders</w:t>
      </w:r>
      <w:bookmarkEnd w:id="454"/>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455" w:name="_Toc473119394"/>
      <w:r>
        <w:rPr>
          <w:rStyle w:val="CharSectno"/>
        </w:rPr>
        <w:t>152L</w:t>
      </w:r>
      <w:r>
        <w:t>.</w:t>
      </w:r>
      <w:r>
        <w:tab/>
        <w:t>Failing to comply with prohibition orders</w:t>
      </w:r>
      <w:bookmarkEnd w:id="455"/>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456" w:name="_Toc473119395"/>
      <w:r>
        <w:rPr>
          <w:rStyle w:val="CharSectno"/>
        </w:rPr>
        <w:t>152M</w:t>
      </w:r>
      <w:r>
        <w:t>.</w:t>
      </w:r>
      <w:r>
        <w:tab/>
        <w:t>Permitting entry to premises contrary to prohibition order</w:t>
      </w:r>
      <w:bookmarkEnd w:id="456"/>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5"/>
      </w:pPr>
      <w:bookmarkStart w:id="457" w:name="_Toc473119396"/>
      <w:r>
        <w:rPr>
          <w:rStyle w:val="CharSectno"/>
        </w:rPr>
        <w:t>152NA</w:t>
      </w:r>
      <w:r>
        <w:t>.</w:t>
      </w:r>
      <w:r>
        <w:tab/>
        <w:t xml:space="preserve">Relationship with </w:t>
      </w:r>
      <w:r>
        <w:rPr>
          <w:i/>
        </w:rPr>
        <w:t>Criminal Organisations Control Act 2012</w:t>
      </w:r>
      <w:bookmarkEnd w:id="457"/>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by No. 49 of 2012 s. 178.]</w:t>
      </w:r>
    </w:p>
    <w:p>
      <w:pPr>
        <w:pStyle w:val="Heading2"/>
      </w:pPr>
      <w:bookmarkStart w:id="458" w:name="_Toc471906926"/>
      <w:bookmarkStart w:id="459" w:name="_Toc472001843"/>
      <w:bookmarkStart w:id="460" w:name="_Toc472676871"/>
      <w:bookmarkStart w:id="461" w:name="_Toc472682256"/>
      <w:bookmarkStart w:id="462" w:name="_Toc473119397"/>
      <w:r>
        <w:rPr>
          <w:rStyle w:val="CharPartNo"/>
        </w:rPr>
        <w:t>Part 5B</w:t>
      </w:r>
      <w:r>
        <w:rPr>
          <w:rStyle w:val="CharDivNo"/>
        </w:rPr>
        <w:t> </w:t>
      </w:r>
      <w:r>
        <w:t>—</w:t>
      </w:r>
      <w:r>
        <w:rPr>
          <w:rStyle w:val="CharDivText"/>
        </w:rPr>
        <w:t> </w:t>
      </w:r>
      <w:r>
        <w:rPr>
          <w:rStyle w:val="CharPartText"/>
        </w:rPr>
        <w:t>Liquor restricted premises</w:t>
      </w:r>
      <w:bookmarkEnd w:id="458"/>
      <w:bookmarkEnd w:id="459"/>
      <w:bookmarkEnd w:id="460"/>
      <w:bookmarkEnd w:id="461"/>
      <w:bookmarkEnd w:id="462"/>
    </w:p>
    <w:p>
      <w:pPr>
        <w:pStyle w:val="Footnoteheading"/>
      </w:pPr>
      <w:r>
        <w:tab/>
        <w:t>[Heading inserted by No. 56 of 2010 s. 26.]</w:t>
      </w:r>
    </w:p>
    <w:p>
      <w:pPr>
        <w:pStyle w:val="Heading5"/>
      </w:pPr>
      <w:bookmarkStart w:id="463" w:name="_Toc473119398"/>
      <w:r>
        <w:rPr>
          <w:rStyle w:val="CharSectno"/>
        </w:rPr>
        <w:t>152N</w:t>
      </w:r>
      <w:r>
        <w:t>.</w:t>
      </w:r>
      <w:r>
        <w:tab/>
        <w:t>Terms used</w:t>
      </w:r>
      <w:bookmarkEnd w:id="463"/>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464" w:name="_Toc473119399"/>
      <w:r>
        <w:rPr>
          <w:rStyle w:val="CharSectno"/>
        </w:rPr>
        <w:t>152O</w:t>
      </w:r>
      <w:r>
        <w:t>.</w:t>
      </w:r>
      <w:r>
        <w:tab/>
        <w:t>Liquor on liquor restricted premises, offences as to</w:t>
      </w:r>
      <w:bookmarkEnd w:id="464"/>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 No. 35 of 2015 s. 22.]</w:t>
      </w:r>
    </w:p>
    <w:p>
      <w:pPr>
        <w:pStyle w:val="Heading5"/>
      </w:pPr>
      <w:bookmarkStart w:id="465" w:name="_Toc473119400"/>
      <w:r>
        <w:rPr>
          <w:rStyle w:val="CharSectno"/>
        </w:rPr>
        <w:t>152P</w:t>
      </w:r>
      <w:r>
        <w:t>.</w:t>
      </w:r>
      <w:r>
        <w:tab/>
        <w:t>Declaration of liquor restricted premises</w:t>
      </w:r>
      <w:bookmarkEnd w:id="465"/>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240"/>
      </w:pPr>
      <w:bookmarkStart w:id="466" w:name="_Toc473119401"/>
      <w:r>
        <w:rPr>
          <w:rStyle w:val="CharSectno"/>
        </w:rPr>
        <w:t>152Q</w:t>
      </w:r>
      <w:r>
        <w:t>.</w:t>
      </w:r>
      <w:r>
        <w:tab/>
        <w:t>Liquor restriction declarations, power to make</w:t>
      </w:r>
      <w:bookmarkEnd w:id="466"/>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pPr>
      <w:bookmarkStart w:id="467" w:name="_Toc473119402"/>
      <w:r>
        <w:rPr>
          <w:rStyle w:val="CharSectno"/>
        </w:rPr>
        <w:t>152R</w:t>
      </w:r>
      <w:r>
        <w:t>.</w:t>
      </w:r>
      <w:r>
        <w:tab/>
        <w:t>Service etc. of liquor restriction declarations</w:t>
      </w:r>
      <w:bookmarkEnd w:id="467"/>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468" w:name="_Toc473119403"/>
      <w:r>
        <w:rPr>
          <w:rStyle w:val="CharSectno"/>
        </w:rPr>
        <w:t>152S</w:t>
      </w:r>
      <w:r>
        <w:t>.</w:t>
      </w:r>
      <w:r>
        <w:tab/>
        <w:t>Notice of liquor restriction declaration to be displayed at premises</w:t>
      </w:r>
      <w:bookmarkEnd w:id="468"/>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 amended by No. 35 of 2015 s. 23.]</w:t>
      </w:r>
    </w:p>
    <w:p>
      <w:pPr>
        <w:pStyle w:val="Heading5"/>
        <w:spacing w:before="180"/>
      </w:pPr>
      <w:bookmarkStart w:id="469" w:name="_Toc473119404"/>
      <w:r>
        <w:rPr>
          <w:rStyle w:val="CharSectno"/>
        </w:rPr>
        <w:t>152T</w:t>
      </w:r>
      <w:r>
        <w:t>.</w:t>
      </w:r>
      <w:r>
        <w:tab/>
        <w:t>Duration of liquor restriction declarations</w:t>
      </w:r>
      <w:bookmarkEnd w:id="469"/>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470" w:name="_Toc473119405"/>
      <w:r>
        <w:rPr>
          <w:rStyle w:val="CharSectno"/>
        </w:rPr>
        <w:t>152U</w:t>
      </w:r>
      <w:r>
        <w:t>.</w:t>
      </w:r>
      <w:r>
        <w:tab/>
        <w:t>Varying liquor restriction declarations</w:t>
      </w:r>
      <w:bookmarkEnd w:id="470"/>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471" w:name="_Toc473119406"/>
      <w:r>
        <w:rPr>
          <w:rStyle w:val="CharSectno"/>
        </w:rPr>
        <w:t>152V</w:t>
      </w:r>
      <w:r>
        <w:t>.</w:t>
      </w:r>
      <w:r>
        <w:tab/>
        <w:t>Revoking liquor restriction declarations</w:t>
      </w:r>
      <w:bookmarkEnd w:id="471"/>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472" w:name="_Toc473119407"/>
      <w:r>
        <w:rPr>
          <w:rStyle w:val="CharSectno"/>
        </w:rPr>
        <w:t>152W</w:t>
      </w:r>
      <w:r>
        <w:t>.</w:t>
      </w:r>
      <w:r>
        <w:tab/>
        <w:t>Applications generally</w:t>
      </w:r>
      <w:bookmarkEnd w:id="472"/>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473" w:name="_Toc473119408"/>
      <w:r>
        <w:rPr>
          <w:rStyle w:val="CharSectno"/>
        </w:rPr>
        <w:t>152X</w:t>
      </w:r>
      <w:r>
        <w:t>.</w:t>
      </w:r>
      <w:r>
        <w:tab/>
        <w:t>Decisions under Part 5B not subject to review under s. 25</w:t>
      </w:r>
      <w:bookmarkEnd w:id="473"/>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474" w:name="_Toc471906938"/>
      <w:bookmarkStart w:id="475" w:name="_Toc472001855"/>
      <w:bookmarkStart w:id="476" w:name="_Toc472676883"/>
      <w:bookmarkStart w:id="477" w:name="_Toc472682268"/>
      <w:bookmarkStart w:id="478" w:name="_Toc473119409"/>
      <w:r>
        <w:rPr>
          <w:rStyle w:val="CharPartNo"/>
        </w:rPr>
        <w:t>Part 6</w:t>
      </w:r>
      <w:r>
        <w:rPr>
          <w:rStyle w:val="CharDivNo"/>
        </w:rPr>
        <w:t> </w:t>
      </w:r>
      <w:r>
        <w:t>—</w:t>
      </w:r>
      <w:r>
        <w:rPr>
          <w:rStyle w:val="CharDivText"/>
        </w:rPr>
        <w:t> </w:t>
      </w:r>
      <w:r>
        <w:rPr>
          <w:rStyle w:val="CharPartText"/>
        </w:rPr>
        <w:t>Enforcement</w:t>
      </w:r>
      <w:bookmarkEnd w:id="474"/>
      <w:bookmarkEnd w:id="475"/>
      <w:bookmarkEnd w:id="476"/>
      <w:bookmarkEnd w:id="477"/>
      <w:bookmarkEnd w:id="478"/>
      <w:r>
        <w:rPr>
          <w:rStyle w:val="CharPartText"/>
        </w:rPr>
        <w:t xml:space="preserve"> </w:t>
      </w:r>
    </w:p>
    <w:p>
      <w:pPr>
        <w:pStyle w:val="Heading5"/>
        <w:rPr>
          <w:snapToGrid w:val="0"/>
        </w:rPr>
      </w:pPr>
      <w:bookmarkStart w:id="479" w:name="_Toc473119410"/>
      <w:r>
        <w:rPr>
          <w:rStyle w:val="CharSectno"/>
        </w:rPr>
        <w:t>153</w:t>
      </w:r>
      <w:r>
        <w:rPr>
          <w:snapToGrid w:val="0"/>
        </w:rPr>
        <w:t>.</w:t>
      </w:r>
      <w:r>
        <w:rPr>
          <w:snapToGrid w:val="0"/>
        </w:rPr>
        <w:tab/>
        <w:t>Authorised officers etc., functions and reports of</w:t>
      </w:r>
      <w:bookmarkEnd w:id="479"/>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480" w:name="_Toc473119411"/>
      <w:r>
        <w:rPr>
          <w:rStyle w:val="CharSectno"/>
        </w:rPr>
        <w:t>154</w:t>
      </w:r>
      <w:r>
        <w:rPr>
          <w:snapToGrid w:val="0"/>
        </w:rPr>
        <w:t>.</w:t>
      </w:r>
      <w:r>
        <w:rPr>
          <w:snapToGrid w:val="0"/>
        </w:rPr>
        <w:tab/>
        <w:t>Authorised officers, powers of entry etc., offences as to</w:t>
      </w:r>
      <w:bookmarkEnd w:id="480"/>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481" w:name="_Toc473119412"/>
      <w:r>
        <w:rPr>
          <w:rStyle w:val="CharSectno"/>
        </w:rPr>
        <w:t>155</w:t>
      </w:r>
      <w:r>
        <w:rPr>
          <w:snapToGrid w:val="0"/>
        </w:rPr>
        <w:t>.</w:t>
      </w:r>
      <w:r>
        <w:rPr>
          <w:snapToGrid w:val="0"/>
        </w:rPr>
        <w:tab/>
      </w:r>
      <w:smartTag w:uri="urn:schemas-microsoft-com:office:smarttags" w:element="place">
        <w:r>
          <w:rPr>
            <w:snapToGrid w:val="0"/>
          </w:rPr>
          <w:t>Po</w:t>
        </w:r>
      </w:smartTag>
      <w:r>
        <w:rPr>
          <w:snapToGrid w:val="0"/>
        </w:rPr>
        <w:t>lice, powers of to enter, seize liquor etc.</w:t>
      </w:r>
      <w:bookmarkEnd w:id="481"/>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tab/>
        <w:t>(9)</w:t>
      </w:r>
      <w:r>
        <w:tab/>
        <w:t>Despite subsection (5), a member of the Police Force who seizes a container of liquor under subsection (6), (7), (8) or (9A) must dispose of it as soon as is practicable after it is seized.</w:t>
      </w:r>
    </w:p>
    <w:p>
      <w:pPr>
        <w:pStyle w:val="Footnotesection"/>
      </w:pPr>
      <w:r>
        <w:tab/>
        <w:t>[Section 155 amended by No. 70 of 2004 s. 82; No. 59 of 2006 s. 55; No. 73 of 2006 s. 98 and 109; No. 56 of 2010 s. 65; No. 35 of 2015 s. 24.]</w:t>
      </w:r>
    </w:p>
    <w:p>
      <w:pPr>
        <w:pStyle w:val="Heading5"/>
        <w:rPr>
          <w:snapToGrid w:val="0"/>
        </w:rPr>
      </w:pPr>
      <w:bookmarkStart w:id="482" w:name="_Toc473119413"/>
      <w:r>
        <w:rPr>
          <w:rStyle w:val="CharSectno"/>
        </w:rPr>
        <w:t>156</w:t>
      </w:r>
      <w:r>
        <w:rPr>
          <w:snapToGrid w:val="0"/>
        </w:rPr>
        <w:t>.</w:t>
      </w:r>
      <w:r>
        <w:rPr>
          <w:snapToGrid w:val="0"/>
        </w:rPr>
        <w:tab/>
        <w:t>Local governments, functions of</w:t>
      </w:r>
      <w:bookmarkEnd w:id="482"/>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483" w:name="_Toc473119414"/>
      <w:r>
        <w:rPr>
          <w:rStyle w:val="CharSectno"/>
        </w:rPr>
        <w:t>157</w:t>
      </w:r>
      <w:r>
        <w:rPr>
          <w:snapToGrid w:val="0"/>
        </w:rPr>
        <w:t>.</w:t>
      </w:r>
      <w:r>
        <w:rPr>
          <w:snapToGrid w:val="0"/>
        </w:rPr>
        <w:tab/>
        <w:t>Evasion of fees due etc., offence</w:t>
      </w:r>
      <w:bookmarkEnd w:id="483"/>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484" w:name="_Toc473119415"/>
      <w:r>
        <w:rPr>
          <w:rStyle w:val="CharSectno"/>
        </w:rPr>
        <w:t>158</w:t>
      </w:r>
      <w:r>
        <w:rPr>
          <w:snapToGrid w:val="0"/>
        </w:rPr>
        <w:t>.</w:t>
      </w:r>
      <w:r>
        <w:rPr>
          <w:snapToGrid w:val="0"/>
        </w:rPr>
        <w:tab/>
        <w:t>Failing to comply with licensing authority’s requirements etc., offence</w:t>
      </w:r>
      <w:bookmarkEnd w:id="484"/>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485" w:name="_Toc473119416"/>
      <w:r>
        <w:rPr>
          <w:rStyle w:val="CharSectno"/>
        </w:rPr>
        <w:t>159</w:t>
      </w:r>
      <w:r>
        <w:rPr>
          <w:snapToGrid w:val="0"/>
        </w:rPr>
        <w:t>.</w:t>
      </w:r>
      <w:r>
        <w:rPr>
          <w:snapToGrid w:val="0"/>
        </w:rPr>
        <w:tab/>
        <w:t>False or misleading statements and records, offence</w:t>
      </w:r>
      <w:bookmarkEnd w:id="485"/>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486" w:name="_Toc473119417"/>
      <w:r>
        <w:rPr>
          <w:rStyle w:val="CharSectno"/>
        </w:rPr>
        <w:t>160</w:t>
      </w:r>
      <w:r>
        <w:rPr>
          <w:snapToGrid w:val="0"/>
        </w:rPr>
        <w:t>.</w:t>
      </w:r>
      <w:r>
        <w:rPr>
          <w:snapToGrid w:val="0"/>
        </w:rPr>
        <w:tab/>
        <w:t>Information about offences, power to obtain</w:t>
      </w:r>
      <w:bookmarkEnd w:id="486"/>
    </w:p>
    <w:p>
      <w:pPr>
        <w:pStyle w:val="Subsection"/>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No. 35 of 2015 s. 25.] </w:t>
      </w:r>
    </w:p>
    <w:p>
      <w:pPr>
        <w:pStyle w:val="Heading5"/>
        <w:spacing w:before="180"/>
        <w:rPr>
          <w:snapToGrid w:val="0"/>
        </w:rPr>
      </w:pPr>
      <w:bookmarkStart w:id="487" w:name="_Toc473119418"/>
      <w:r>
        <w:rPr>
          <w:rStyle w:val="CharSectno"/>
        </w:rPr>
        <w:t>161</w:t>
      </w:r>
      <w:r>
        <w:rPr>
          <w:snapToGrid w:val="0"/>
        </w:rPr>
        <w:t>.</w:t>
      </w:r>
      <w:r>
        <w:rPr>
          <w:snapToGrid w:val="0"/>
        </w:rPr>
        <w:tab/>
        <w:t>Search warrants, issue and execution of</w:t>
      </w:r>
      <w:bookmarkEnd w:id="487"/>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488" w:name="_Toc473119419"/>
      <w:r>
        <w:rPr>
          <w:rStyle w:val="CharSectno"/>
        </w:rPr>
        <w:t>162</w:t>
      </w:r>
      <w:r>
        <w:rPr>
          <w:snapToGrid w:val="0"/>
        </w:rPr>
        <w:t>.</w:t>
      </w:r>
      <w:r>
        <w:rPr>
          <w:snapToGrid w:val="0"/>
        </w:rPr>
        <w:tab/>
        <w:t>Separate offences and continuing offences</w:t>
      </w:r>
      <w:bookmarkEnd w:id="488"/>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by No. 84 of 2004 s. 80.] </w:t>
      </w:r>
    </w:p>
    <w:p>
      <w:pPr>
        <w:pStyle w:val="Heading5"/>
        <w:rPr>
          <w:snapToGrid w:val="0"/>
        </w:rPr>
      </w:pPr>
      <w:bookmarkStart w:id="489" w:name="_Toc473119420"/>
      <w:r>
        <w:rPr>
          <w:rStyle w:val="CharSectno"/>
        </w:rPr>
        <w:t>163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489"/>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490" w:name="_Toc473119421"/>
      <w:r>
        <w:rPr>
          <w:rStyle w:val="CharSectno"/>
        </w:rPr>
        <w:t>164</w:t>
      </w:r>
      <w:r>
        <w:rPr>
          <w:snapToGrid w:val="0"/>
        </w:rPr>
        <w:t>.</w:t>
      </w:r>
      <w:r>
        <w:rPr>
          <w:snapToGrid w:val="0"/>
        </w:rPr>
        <w:tab/>
        <w:t>Bodies corporate and partnerships, offences by</w:t>
      </w:r>
      <w:bookmarkEnd w:id="490"/>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491" w:name="_Toc473119422"/>
      <w:r>
        <w:rPr>
          <w:rStyle w:val="CharSectno"/>
        </w:rPr>
        <w:t>165</w:t>
      </w:r>
      <w:r>
        <w:rPr>
          <w:snapToGrid w:val="0"/>
        </w:rPr>
        <w:t>.</w:t>
      </w:r>
      <w:r>
        <w:rPr>
          <w:snapToGrid w:val="0"/>
        </w:rPr>
        <w:tab/>
        <w:t>Licensee liable for act of employee etc.</w:t>
      </w:r>
      <w:bookmarkEnd w:id="491"/>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492" w:name="_Toc473119423"/>
      <w:r>
        <w:rPr>
          <w:rStyle w:val="CharSectno"/>
        </w:rPr>
        <w:t>166</w:t>
      </w:r>
      <w:r>
        <w:rPr>
          <w:snapToGrid w:val="0"/>
        </w:rPr>
        <w:t>.</w:t>
      </w:r>
      <w:r>
        <w:rPr>
          <w:snapToGrid w:val="0"/>
        </w:rPr>
        <w:tab/>
        <w:t>General penalty</w:t>
      </w:r>
      <w:bookmarkEnd w:id="492"/>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493" w:name="_Toc473119424"/>
      <w:r>
        <w:rPr>
          <w:rStyle w:val="CharSectno"/>
        </w:rPr>
        <w:t>167</w:t>
      </w:r>
      <w:r>
        <w:rPr>
          <w:snapToGrid w:val="0"/>
        </w:rPr>
        <w:t>.</w:t>
      </w:r>
      <w:r>
        <w:rPr>
          <w:snapToGrid w:val="0"/>
        </w:rPr>
        <w:tab/>
        <w:t>Infringement notices</w:t>
      </w:r>
      <w:bookmarkEnd w:id="49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494" w:name="_Toc473119425"/>
      <w:r>
        <w:rPr>
          <w:rStyle w:val="CharSectno"/>
        </w:rPr>
        <w:t>168</w:t>
      </w:r>
      <w:r>
        <w:rPr>
          <w:snapToGrid w:val="0"/>
        </w:rPr>
        <w:t>.</w:t>
      </w:r>
      <w:r>
        <w:rPr>
          <w:snapToGrid w:val="0"/>
        </w:rPr>
        <w:tab/>
        <w:t>Prosecutions, institution of</w:t>
      </w:r>
      <w:bookmarkEnd w:id="494"/>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by No. 84 of 2004 s. 80.] </w:t>
      </w:r>
    </w:p>
    <w:p>
      <w:pPr>
        <w:pStyle w:val="Heading5"/>
        <w:spacing w:before="180"/>
        <w:rPr>
          <w:snapToGrid w:val="0"/>
        </w:rPr>
      </w:pPr>
      <w:bookmarkStart w:id="495" w:name="_Toc473119426"/>
      <w:r>
        <w:rPr>
          <w:rStyle w:val="CharSectno"/>
        </w:rPr>
        <w:t>169</w:t>
      </w:r>
      <w:r>
        <w:rPr>
          <w:snapToGrid w:val="0"/>
        </w:rPr>
        <w:t>.</w:t>
      </w:r>
      <w:r>
        <w:rPr>
          <w:snapToGrid w:val="0"/>
        </w:rPr>
        <w:tab/>
        <w:t>Prosecutions, hearing of and limitation periods for</w:t>
      </w:r>
      <w:bookmarkEnd w:id="495"/>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496" w:name="_Toc473119427"/>
      <w:r>
        <w:rPr>
          <w:rStyle w:val="CharSectno"/>
        </w:rPr>
        <w:t>170</w:t>
      </w:r>
      <w:r>
        <w:rPr>
          <w:snapToGrid w:val="0"/>
        </w:rPr>
        <w:t>.</w:t>
      </w:r>
      <w:r>
        <w:rPr>
          <w:snapToGrid w:val="0"/>
        </w:rPr>
        <w:tab/>
        <w:t>Evidentiary provisions as to proof of certain facts</w:t>
      </w:r>
      <w:bookmarkEnd w:id="496"/>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497" w:name="_Toc473119428"/>
      <w:r>
        <w:rPr>
          <w:rStyle w:val="CharSectno"/>
        </w:rPr>
        <w:t>171</w:t>
      </w:r>
      <w:r>
        <w:rPr>
          <w:snapToGrid w:val="0"/>
        </w:rPr>
        <w:t>.</w:t>
      </w:r>
      <w:r>
        <w:rPr>
          <w:snapToGrid w:val="0"/>
        </w:rPr>
        <w:tab/>
        <w:t>Accomplices, who are not, evidence of</w:t>
      </w:r>
      <w:bookmarkEnd w:id="497"/>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498" w:name="_Toc473119429"/>
      <w:r>
        <w:rPr>
          <w:rStyle w:val="CharSectno"/>
        </w:rPr>
        <w:t>172</w:t>
      </w:r>
      <w:r>
        <w:rPr>
          <w:snapToGrid w:val="0"/>
        </w:rPr>
        <w:t>.</w:t>
      </w:r>
      <w:r>
        <w:rPr>
          <w:snapToGrid w:val="0"/>
        </w:rPr>
        <w:tab/>
        <w:t>Averments in charges, proof of certain documents and facts</w:t>
      </w:r>
      <w:bookmarkEnd w:id="498"/>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499" w:name="_Toc473119430"/>
      <w:r>
        <w:rPr>
          <w:rStyle w:val="CharSectno"/>
        </w:rPr>
        <w:t>172A</w:t>
      </w:r>
      <w:r>
        <w:t>.</w:t>
      </w:r>
      <w:r>
        <w:tab/>
        <w:t>Forfeiture of liquor etc. on conviction or payment of modified penalty</w:t>
      </w:r>
      <w:bookmarkEnd w:id="499"/>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500" w:name="_Toc471906960"/>
      <w:bookmarkStart w:id="501" w:name="_Toc472001877"/>
      <w:bookmarkStart w:id="502" w:name="_Toc472676905"/>
      <w:bookmarkStart w:id="503" w:name="_Toc472682290"/>
      <w:bookmarkStart w:id="504" w:name="_Toc473119431"/>
      <w:r>
        <w:rPr>
          <w:rStyle w:val="CharPartNo"/>
        </w:rPr>
        <w:t>Part 7</w:t>
      </w:r>
      <w:r>
        <w:rPr>
          <w:rStyle w:val="CharDivNo"/>
        </w:rPr>
        <w:t> </w:t>
      </w:r>
      <w:r>
        <w:t>—</w:t>
      </w:r>
      <w:r>
        <w:rPr>
          <w:rStyle w:val="CharDivText"/>
        </w:rPr>
        <w:t> </w:t>
      </w:r>
      <w:r>
        <w:rPr>
          <w:rStyle w:val="CharPartText"/>
        </w:rPr>
        <w:t>General</w:t>
      </w:r>
      <w:bookmarkEnd w:id="500"/>
      <w:bookmarkEnd w:id="501"/>
      <w:bookmarkEnd w:id="502"/>
      <w:bookmarkEnd w:id="503"/>
      <w:bookmarkEnd w:id="504"/>
      <w:r>
        <w:rPr>
          <w:rStyle w:val="CharPartText"/>
        </w:rPr>
        <w:t xml:space="preserve"> </w:t>
      </w:r>
    </w:p>
    <w:p>
      <w:pPr>
        <w:pStyle w:val="Heading5"/>
        <w:rPr>
          <w:snapToGrid w:val="0"/>
        </w:rPr>
      </w:pPr>
      <w:bookmarkStart w:id="505" w:name="_Toc473119432"/>
      <w:r>
        <w:rPr>
          <w:rStyle w:val="CharSectno"/>
        </w:rPr>
        <w:t>173</w:t>
      </w:r>
      <w:r>
        <w:rPr>
          <w:snapToGrid w:val="0"/>
        </w:rPr>
        <w:t>.</w:t>
      </w:r>
      <w:r>
        <w:rPr>
          <w:snapToGrid w:val="0"/>
        </w:rPr>
        <w:tab/>
        <w:t>Pending review etc. not to affect liability</w:t>
      </w:r>
      <w:bookmarkEnd w:id="505"/>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506" w:name="_Toc473119433"/>
      <w:r>
        <w:rPr>
          <w:rStyle w:val="CharSectno"/>
        </w:rPr>
        <w:t>174</w:t>
      </w:r>
      <w:r>
        <w:rPr>
          <w:snapToGrid w:val="0"/>
        </w:rPr>
        <w:t>.</w:t>
      </w:r>
      <w:r>
        <w:rPr>
          <w:snapToGrid w:val="0"/>
        </w:rPr>
        <w:tab/>
        <w:t>Service of documents</w:t>
      </w:r>
      <w:bookmarkEnd w:id="506"/>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507" w:name="_Toc473119434"/>
      <w:r>
        <w:rPr>
          <w:rStyle w:val="CharSectno"/>
        </w:rPr>
        <w:t>174A</w:t>
      </w:r>
      <w:r>
        <w:t>.</w:t>
      </w:r>
      <w:r>
        <w:tab/>
      </w:r>
      <w:r>
        <w:rPr>
          <w:i/>
          <w:iCs/>
        </w:rPr>
        <w:t>Criminal and Found Property Disposal Act 2006</w:t>
      </w:r>
      <w:r>
        <w:rPr>
          <w:iCs/>
        </w:rPr>
        <w:t xml:space="preserve">, </w:t>
      </w:r>
      <w:r>
        <w:t>application of</w:t>
      </w:r>
      <w:bookmarkEnd w:id="507"/>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spacing w:before="180"/>
        <w:rPr>
          <w:snapToGrid w:val="0"/>
        </w:rPr>
      </w:pPr>
      <w:bookmarkStart w:id="508" w:name="_Toc473119435"/>
      <w:r>
        <w:rPr>
          <w:rStyle w:val="CharSectno"/>
        </w:rPr>
        <w:t>175</w:t>
      </w:r>
      <w:r>
        <w:rPr>
          <w:snapToGrid w:val="0"/>
        </w:rPr>
        <w:t>.</w:t>
      </w:r>
      <w:r>
        <w:rPr>
          <w:snapToGrid w:val="0"/>
        </w:rPr>
        <w:tab/>
        <w:t>Regulations</w:t>
      </w:r>
      <w:bookmarkEnd w:id="508"/>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r>
        <w:t>[</w:t>
      </w:r>
      <w:r>
        <w:rPr>
          <w:b/>
          <w:bCs/>
        </w:rPr>
        <w:t>176.</w:t>
      </w:r>
      <w:r>
        <w:tab/>
        <w:t>Omitted under the Reprints Act 1984 s. 7(4)(f).]</w:t>
      </w:r>
    </w:p>
    <w:p>
      <w:pPr>
        <w:pStyle w:val="Heading5"/>
        <w:rPr>
          <w:snapToGrid w:val="0"/>
        </w:rPr>
      </w:pPr>
      <w:bookmarkStart w:id="509" w:name="_Toc473119436"/>
      <w:r>
        <w:rPr>
          <w:rStyle w:val="CharSectno"/>
        </w:rPr>
        <w:t>177</w:t>
      </w:r>
      <w:r>
        <w:rPr>
          <w:snapToGrid w:val="0"/>
        </w:rPr>
        <w:t>.</w:t>
      </w:r>
      <w:r>
        <w:rPr>
          <w:snapToGrid w:val="0"/>
        </w:rPr>
        <w:tab/>
        <w:t>Transitional provisions (Sch. 1)</w:t>
      </w:r>
      <w:bookmarkEnd w:id="509"/>
    </w:p>
    <w:p>
      <w:pPr>
        <w:pStyle w:val="Subsection"/>
        <w:rPr>
          <w:snapToGrid w:val="0"/>
        </w:rPr>
      </w:pPr>
      <w:r>
        <w:rPr>
          <w:snapToGrid w:val="0"/>
        </w:rPr>
        <w:tab/>
      </w:r>
      <w:r>
        <w:rPr>
          <w:snapToGrid w:val="0"/>
        </w:rPr>
        <w:tab/>
        <w:t>Schedule 1, which contains transitional provisions, has effect.</w:t>
      </w:r>
    </w:p>
    <w:p>
      <w:pPr>
        <w:pStyle w:val="Heading5"/>
      </w:pPr>
      <w:bookmarkStart w:id="510" w:name="_Toc473119437"/>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510"/>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511" w:name="_Toc473119438"/>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511"/>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snapToGrid w:val="0"/>
        </w:rPr>
      </w:pPr>
      <w:bookmarkStart w:id="512" w:name="_Toc473119439"/>
      <w:r>
        <w:rPr>
          <w:rStyle w:val="CharSectno"/>
        </w:rPr>
        <w:t>178</w:t>
      </w:r>
      <w:r>
        <w:rPr>
          <w:snapToGrid w:val="0"/>
        </w:rPr>
        <w:t>.</w:t>
      </w:r>
      <w:r>
        <w:rPr>
          <w:snapToGrid w:val="0"/>
        </w:rPr>
        <w:tab/>
        <w:t>Review of Act</w:t>
      </w:r>
      <w:bookmarkEnd w:id="512"/>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by No. 12 of 1998 s. 95.]</w:t>
      </w:r>
    </w:p>
    <w:p>
      <w:pPr>
        <w:pStyle w:val="Footnotesection"/>
      </w:pPr>
    </w:p>
    <w:p>
      <w:pPr>
        <w:pStyle w:val="Footnotesection"/>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514" w:name="_Toc471906969"/>
      <w:bookmarkStart w:id="515" w:name="_Toc472001886"/>
      <w:bookmarkStart w:id="516" w:name="_Toc472676914"/>
      <w:bookmarkStart w:id="517" w:name="_Toc472682299"/>
      <w:bookmarkStart w:id="518" w:name="_Toc473119440"/>
      <w:r>
        <w:rPr>
          <w:rStyle w:val="CharSchNo"/>
        </w:rPr>
        <w:t>Schedule 1</w:t>
      </w:r>
      <w:r>
        <w:rPr>
          <w:rStyle w:val="CharSDivNo"/>
        </w:rPr>
        <w:t> </w:t>
      </w:r>
      <w:r>
        <w:t>—</w:t>
      </w:r>
      <w:r>
        <w:rPr>
          <w:rStyle w:val="CharSDivText"/>
        </w:rPr>
        <w:t> </w:t>
      </w:r>
      <w:r>
        <w:rPr>
          <w:rStyle w:val="CharSchText"/>
        </w:rPr>
        <w:t>Transitional provisions</w:t>
      </w:r>
      <w:bookmarkEnd w:id="514"/>
      <w:bookmarkEnd w:id="515"/>
      <w:bookmarkEnd w:id="516"/>
      <w:bookmarkEnd w:id="517"/>
      <w:bookmarkEnd w:id="518"/>
    </w:p>
    <w:p>
      <w:pPr>
        <w:pStyle w:val="yShoulderClause"/>
        <w:rPr>
          <w:snapToGrid w:val="0"/>
        </w:rPr>
      </w:pPr>
      <w:r>
        <w:rPr>
          <w:snapToGrid w:val="0"/>
        </w:rPr>
        <w:t>[s. 177]</w:t>
      </w:r>
    </w:p>
    <w:p>
      <w:pPr>
        <w:pStyle w:val="yFootnoteheading"/>
      </w:pPr>
      <w:r>
        <w:tab/>
        <w:t>[Heading amended by No. 19 of 2010 s. 4.]</w:t>
      </w:r>
    </w:p>
    <w:p>
      <w:pPr>
        <w:pStyle w:val="yHeading5"/>
        <w:rPr>
          <w:snapToGrid w:val="0"/>
        </w:rPr>
      </w:pPr>
      <w:bookmarkStart w:id="519" w:name="_Toc473119441"/>
      <w:r>
        <w:rPr>
          <w:rStyle w:val="CharSClsNo"/>
        </w:rPr>
        <w:t>1</w:t>
      </w:r>
      <w:r>
        <w:rPr>
          <w:snapToGrid w:val="0"/>
        </w:rPr>
        <w:t>.</w:t>
      </w:r>
      <w:r>
        <w:rPr>
          <w:snapToGrid w:val="0"/>
        </w:rPr>
        <w:tab/>
        <w:t>Terms used</w:t>
      </w:r>
      <w:bookmarkEnd w:id="519"/>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520" w:name="_Toc473119442"/>
      <w:r>
        <w:rPr>
          <w:rStyle w:val="CharSClsNo"/>
        </w:rPr>
        <w:t>2</w:t>
      </w:r>
      <w:r>
        <w:rPr>
          <w:snapToGrid w:val="0"/>
        </w:rPr>
        <w:t>.</w:t>
      </w:r>
      <w:r>
        <w:rPr>
          <w:snapToGrid w:val="0"/>
        </w:rPr>
        <w:tab/>
        <w:t>Continuing effect of convictions, forfeitures etc.</w:t>
      </w:r>
      <w:bookmarkEnd w:id="520"/>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521" w:name="_Toc473119443"/>
      <w:r>
        <w:rPr>
          <w:rStyle w:val="CharSClsNo"/>
        </w:rPr>
        <w:t>3</w:t>
      </w:r>
      <w:r>
        <w:rPr>
          <w:snapToGrid w:val="0"/>
        </w:rPr>
        <w:t>.</w:t>
      </w:r>
      <w:r>
        <w:rPr>
          <w:snapToGrid w:val="0"/>
        </w:rPr>
        <w:tab/>
        <w:t>Proceedings part heard, rules of court, and appointments under repealed Act</w:t>
      </w:r>
      <w:bookmarkEnd w:id="521"/>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522" w:name="_Toc473119444"/>
      <w:r>
        <w:rPr>
          <w:rStyle w:val="CharSClsNo"/>
        </w:rPr>
        <w:t>4</w:t>
      </w:r>
      <w:r>
        <w:rPr>
          <w:snapToGrid w:val="0"/>
        </w:rPr>
        <w:t>.</w:t>
      </w:r>
      <w:r>
        <w:rPr>
          <w:snapToGrid w:val="0"/>
        </w:rPr>
        <w:tab/>
        <w:t>Fees</w:t>
      </w:r>
      <w:bookmarkEnd w:id="522"/>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523" w:name="_Toc473119445"/>
      <w:r>
        <w:rPr>
          <w:rStyle w:val="CharSClsNo"/>
        </w:rPr>
        <w:t>5</w:t>
      </w:r>
      <w:r>
        <w:rPr>
          <w:snapToGrid w:val="0"/>
        </w:rPr>
        <w:t>.</w:t>
      </w:r>
      <w:r>
        <w:rPr>
          <w:snapToGrid w:val="0"/>
        </w:rPr>
        <w:tab/>
        <w:t>Continuing effect of conditions, delineated or designated areas, approvals etc.</w:t>
      </w:r>
      <w:bookmarkEnd w:id="523"/>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524" w:name="_Toc473119446"/>
      <w:r>
        <w:rPr>
          <w:rStyle w:val="CharSClsNo"/>
        </w:rPr>
        <w:t>6</w:t>
      </w:r>
      <w:r>
        <w:rPr>
          <w:snapToGrid w:val="0"/>
        </w:rPr>
        <w:t>.</w:t>
      </w:r>
      <w:r>
        <w:rPr>
          <w:snapToGrid w:val="0"/>
        </w:rPr>
        <w:tab/>
        <w:t>Conversion of licences generally</w:t>
      </w:r>
      <w:bookmarkEnd w:id="524"/>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525" w:name="_Toc473119447"/>
      <w:r>
        <w:rPr>
          <w:rStyle w:val="CharSClsNo"/>
        </w:rPr>
        <w:t>7</w:t>
      </w:r>
      <w:r>
        <w:rPr>
          <w:snapToGrid w:val="0"/>
        </w:rPr>
        <w:t>.</w:t>
      </w:r>
      <w:r>
        <w:rPr>
          <w:snapToGrid w:val="0"/>
        </w:rPr>
        <w:tab/>
        <w:t>Hotel licences</w:t>
      </w:r>
      <w:bookmarkEnd w:id="525"/>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526" w:name="_Toc473119448"/>
      <w:r>
        <w:rPr>
          <w:rStyle w:val="CharSClsNo"/>
        </w:rPr>
        <w:t>8</w:t>
      </w:r>
      <w:r>
        <w:rPr>
          <w:snapToGrid w:val="0"/>
        </w:rPr>
        <w:t>.</w:t>
      </w:r>
      <w:r>
        <w:rPr>
          <w:snapToGrid w:val="0"/>
        </w:rPr>
        <w:tab/>
        <w:t>Limited hotel licences</w:t>
      </w:r>
      <w:bookmarkEnd w:id="526"/>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527" w:name="_Toc473119449"/>
      <w:r>
        <w:rPr>
          <w:rStyle w:val="CharSClsNo"/>
        </w:rPr>
        <w:t>9</w:t>
      </w:r>
      <w:r>
        <w:rPr>
          <w:snapToGrid w:val="0"/>
        </w:rPr>
        <w:t>.</w:t>
      </w:r>
      <w:r>
        <w:rPr>
          <w:snapToGrid w:val="0"/>
        </w:rPr>
        <w:tab/>
        <w:t>Tavern licences</w:t>
      </w:r>
      <w:bookmarkEnd w:id="527"/>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528" w:name="_Toc473119450"/>
      <w:r>
        <w:rPr>
          <w:rStyle w:val="CharSClsNo"/>
        </w:rPr>
        <w:t>10</w:t>
      </w:r>
      <w:r>
        <w:rPr>
          <w:snapToGrid w:val="0"/>
        </w:rPr>
        <w:t>.</w:t>
      </w:r>
      <w:r>
        <w:rPr>
          <w:snapToGrid w:val="0"/>
        </w:rPr>
        <w:tab/>
        <w:t>Obligatory trading hours relating to hotel licences</w:t>
      </w:r>
      <w:bookmarkEnd w:id="528"/>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529" w:name="_Toc473119451"/>
      <w:r>
        <w:rPr>
          <w:rStyle w:val="CharSClsNo"/>
        </w:rPr>
        <w:t>11</w:t>
      </w:r>
      <w:r>
        <w:rPr>
          <w:snapToGrid w:val="0"/>
        </w:rPr>
        <w:t>.</w:t>
      </w:r>
      <w:r>
        <w:rPr>
          <w:snapToGrid w:val="0"/>
        </w:rPr>
        <w:tab/>
        <w:t>Winehouse licences and Australian wine licences</w:t>
      </w:r>
      <w:bookmarkEnd w:id="529"/>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530" w:name="_Toc473119452"/>
      <w:r>
        <w:rPr>
          <w:rStyle w:val="CharSClsNo"/>
        </w:rPr>
        <w:t>12</w:t>
      </w:r>
      <w:r>
        <w:rPr>
          <w:snapToGrid w:val="0"/>
        </w:rPr>
        <w:t>.</w:t>
      </w:r>
      <w:r>
        <w:rPr>
          <w:snapToGrid w:val="0"/>
        </w:rPr>
        <w:tab/>
        <w:t>Casino liquor licences</w:t>
      </w:r>
      <w:bookmarkEnd w:id="530"/>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531" w:name="_Toc473119453"/>
      <w:r>
        <w:rPr>
          <w:rStyle w:val="CharSClsNo"/>
        </w:rPr>
        <w:t>13</w:t>
      </w:r>
      <w:r>
        <w:rPr>
          <w:snapToGrid w:val="0"/>
        </w:rPr>
        <w:t>.</w:t>
      </w:r>
      <w:r>
        <w:rPr>
          <w:snapToGrid w:val="0"/>
        </w:rPr>
        <w:tab/>
        <w:t>Cabaret licences</w:t>
      </w:r>
      <w:bookmarkEnd w:id="531"/>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532" w:name="_Toc473119454"/>
      <w:r>
        <w:rPr>
          <w:rStyle w:val="CharSClsNo"/>
        </w:rPr>
        <w:t>14</w:t>
      </w:r>
      <w:r>
        <w:rPr>
          <w:snapToGrid w:val="0"/>
        </w:rPr>
        <w:t>.</w:t>
      </w:r>
      <w:r>
        <w:rPr>
          <w:snapToGrid w:val="0"/>
        </w:rPr>
        <w:tab/>
        <w:t>Restaurant licences</w:t>
      </w:r>
      <w:bookmarkEnd w:id="532"/>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533" w:name="_Toc473119455"/>
      <w:r>
        <w:rPr>
          <w:rStyle w:val="CharSClsNo"/>
        </w:rPr>
        <w:t>15</w:t>
      </w:r>
      <w:r>
        <w:rPr>
          <w:snapToGrid w:val="0"/>
        </w:rPr>
        <w:t>.</w:t>
      </w:r>
      <w:r>
        <w:rPr>
          <w:snapToGrid w:val="0"/>
        </w:rPr>
        <w:tab/>
        <w:t>Restaurant facilities on premises formerly licensed as a hotel, tavern, limited hotel, or winehouse</w:t>
      </w:r>
      <w:bookmarkEnd w:id="533"/>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534" w:name="_Toc473119456"/>
      <w:r>
        <w:rPr>
          <w:rStyle w:val="CharSClsNo"/>
        </w:rPr>
        <w:t>16</w:t>
      </w:r>
      <w:r>
        <w:rPr>
          <w:snapToGrid w:val="0"/>
        </w:rPr>
        <w:t>.</w:t>
      </w:r>
      <w:r>
        <w:rPr>
          <w:snapToGrid w:val="0"/>
        </w:rPr>
        <w:tab/>
        <w:t>Store licences</w:t>
      </w:r>
      <w:bookmarkEnd w:id="534"/>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535" w:name="_Toc473119457"/>
      <w:r>
        <w:rPr>
          <w:rStyle w:val="CharSClsNo"/>
        </w:rPr>
        <w:t>17</w:t>
      </w:r>
      <w:r>
        <w:rPr>
          <w:snapToGrid w:val="0"/>
        </w:rPr>
        <w:t>.</w:t>
      </w:r>
      <w:r>
        <w:rPr>
          <w:snapToGrid w:val="0"/>
        </w:rPr>
        <w:tab/>
        <w:t>Vigneron’s licences and brewer’s licences</w:t>
      </w:r>
      <w:bookmarkEnd w:id="535"/>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536" w:name="_Toc473119458"/>
      <w:r>
        <w:rPr>
          <w:rStyle w:val="CharSClsNo"/>
        </w:rPr>
        <w:t>18</w:t>
      </w:r>
      <w:r>
        <w:rPr>
          <w:snapToGrid w:val="0"/>
        </w:rPr>
        <w:t>.</w:t>
      </w:r>
      <w:r>
        <w:rPr>
          <w:snapToGrid w:val="0"/>
        </w:rPr>
        <w:tab/>
        <w:t>Wholesale licences</w:t>
      </w:r>
      <w:bookmarkEnd w:id="536"/>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537" w:name="_Toc473119459"/>
      <w:r>
        <w:rPr>
          <w:rStyle w:val="CharSClsNo"/>
        </w:rPr>
        <w:t>19</w:t>
      </w:r>
      <w:r>
        <w:rPr>
          <w:snapToGrid w:val="0"/>
        </w:rPr>
        <w:t>.</w:t>
      </w:r>
      <w:r>
        <w:rPr>
          <w:snapToGrid w:val="0"/>
        </w:rPr>
        <w:tab/>
        <w:t>Club licences and unlicensed club permits</w:t>
      </w:r>
      <w:bookmarkEnd w:id="537"/>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538" w:name="_Toc473119460"/>
      <w:r>
        <w:rPr>
          <w:rStyle w:val="CharSClsNo"/>
        </w:rPr>
        <w:t>20</w:t>
      </w:r>
      <w:r>
        <w:rPr>
          <w:snapToGrid w:val="0"/>
        </w:rPr>
        <w:t>.</w:t>
      </w:r>
      <w:r>
        <w:rPr>
          <w:snapToGrid w:val="0"/>
        </w:rPr>
        <w:tab/>
        <w:t>Certain licences to become special facility licences</w:t>
      </w:r>
      <w:bookmarkEnd w:id="538"/>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539" w:name="_Toc473119461"/>
      <w:r>
        <w:rPr>
          <w:rStyle w:val="CharSClsNo"/>
        </w:rPr>
        <w:t>21</w:t>
      </w:r>
      <w:r>
        <w:rPr>
          <w:snapToGrid w:val="0"/>
        </w:rPr>
        <w:t>.</w:t>
      </w:r>
      <w:r>
        <w:rPr>
          <w:snapToGrid w:val="0"/>
        </w:rPr>
        <w:tab/>
        <w:t>Caterer’s permit</w:t>
      </w:r>
      <w:bookmarkEnd w:id="539"/>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540" w:name="_Toc473119462"/>
      <w:r>
        <w:rPr>
          <w:rStyle w:val="CharSClsNo"/>
        </w:rPr>
        <w:t>22</w:t>
      </w:r>
      <w:r>
        <w:rPr>
          <w:snapToGrid w:val="0"/>
        </w:rPr>
        <w:t>.</w:t>
      </w:r>
      <w:r>
        <w:rPr>
          <w:snapToGrid w:val="0"/>
        </w:rPr>
        <w:tab/>
        <w:t>Exempted producers etc.</w:t>
      </w:r>
      <w:bookmarkEnd w:id="540"/>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541" w:name="_Toc473119463"/>
      <w:r>
        <w:rPr>
          <w:rStyle w:val="CharSClsNo"/>
        </w:rPr>
        <w:t>23</w:t>
      </w:r>
      <w:r>
        <w:rPr>
          <w:snapToGrid w:val="0"/>
        </w:rPr>
        <w:t>.</w:t>
      </w:r>
      <w:r>
        <w:rPr>
          <w:snapToGrid w:val="0"/>
        </w:rPr>
        <w:tab/>
        <w:t>Certain licences may become special facility licences</w:t>
      </w:r>
      <w:bookmarkEnd w:id="541"/>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542" w:name="_Toc473119464"/>
      <w:r>
        <w:rPr>
          <w:rStyle w:val="CharSClsNo"/>
        </w:rPr>
        <w:t>24</w:t>
      </w:r>
      <w:r>
        <w:rPr>
          <w:snapToGrid w:val="0"/>
        </w:rPr>
        <w:t>.</w:t>
      </w:r>
      <w:r>
        <w:rPr>
          <w:snapToGrid w:val="0"/>
        </w:rPr>
        <w:tab/>
        <w:t>References in other written laws</w:t>
      </w:r>
      <w:bookmarkEnd w:id="542"/>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543" w:name="_Toc471906994"/>
      <w:bookmarkStart w:id="544" w:name="_Toc472001911"/>
      <w:bookmarkStart w:id="545" w:name="_Toc472676939"/>
      <w:bookmarkStart w:id="546" w:name="_Toc472682324"/>
      <w:bookmarkStart w:id="547" w:name="_Toc473119465"/>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543"/>
      <w:bookmarkEnd w:id="544"/>
      <w:bookmarkEnd w:id="545"/>
      <w:bookmarkEnd w:id="546"/>
      <w:bookmarkEnd w:id="547"/>
    </w:p>
    <w:p>
      <w:pPr>
        <w:pStyle w:val="yShoulderClause"/>
      </w:pPr>
      <w:r>
        <w:t>[s. 177A]</w:t>
      </w:r>
    </w:p>
    <w:p>
      <w:pPr>
        <w:pStyle w:val="yFootnoteheading"/>
      </w:pPr>
      <w:r>
        <w:tab/>
        <w:t>[Heading inserted by No. 73 of 2006 s. 104.]</w:t>
      </w:r>
    </w:p>
    <w:p>
      <w:pPr>
        <w:pStyle w:val="yHeading5"/>
        <w:outlineLvl w:val="5"/>
      </w:pPr>
      <w:bookmarkStart w:id="548" w:name="_Toc473119466"/>
      <w:r>
        <w:rPr>
          <w:rStyle w:val="CharSClsNo"/>
        </w:rPr>
        <w:t>1</w:t>
      </w:r>
      <w:r>
        <w:t>.</w:t>
      </w:r>
      <w:r>
        <w:rPr>
          <w:b w:val="0"/>
        </w:rPr>
        <w:tab/>
      </w:r>
      <w:r>
        <w:t>Terms used</w:t>
      </w:r>
      <w:bookmarkEnd w:id="548"/>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549" w:name="_Toc473119467"/>
      <w:r>
        <w:rPr>
          <w:rStyle w:val="CharSClsNo"/>
        </w:rPr>
        <w:t>2</w:t>
      </w:r>
      <w:r>
        <w:t>.</w:t>
      </w:r>
      <w:r>
        <w:rPr>
          <w:b w:val="0"/>
        </w:rPr>
        <w:tab/>
      </w:r>
      <w:r>
        <w:t>Liquor Licensing Court</w:t>
      </w:r>
      <w:bookmarkEnd w:id="549"/>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550" w:name="_Toc473119468"/>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550"/>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551" w:name="_Toc473119469"/>
      <w:r>
        <w:rPr>
          <w:rStyle w:val="CharSClsNo"/>
        </w:rPr>
        <w:t>4</w:t>
      </w:r>
      <w:r>
        <w:t>.</w:t>
      </w:r>
      <w:r>
        <w:rPr>
          <w:b w:val="0"/>
        </w:rPr>
        <w:tab/>
      </w:r>
      <w:r>
        <w:t>Pending cases stated and appeals to Supreme Court</w:t>
      </w:r>
      <w:bookmarkEnd w:id="551"/>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552" w:name="_Toc473119470"/>
      <w:r>
        <w:rPr>
          <w:rStyle w:val="CharSClsNo"/>
        </w:rPr>
        <w:t>5</w:t>
      </w:r>
      <w:r>
        <w:t>.</w:t>
      </w:r>
      <w:r>
        <w:rPr>
          <w:b w:val="0"/>
        </w:rPr>
        <w:tab/>
      </w:r>
      <w:r>
        <w:t>Pending applications and matters</w:t>
      </w:r>
      <w:bookmarkEnd w:id="552"/>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553" w:name="_Toc473119471"/>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553"/>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spacing w:before="180"/>
        <w:outlineLvl w:val="5"/>
      </w:pPr>
      <w:bookmarkStart w:id="554" w:name="_Toc473119472"/>
      <w:r>
        <w:rPr>
          <w:rStyle w:val="CharSClsNo"/>
        </w:rPr>
        <w:t>7</w:t>
      </w:r>
      <w:r>
        <w:t>.</w:t>
      </w:r>
      <w:r>
        <w:rPr>
          <w:b w:val="0"/>
        </w:rPr>
        <w:tab/>
      </w:r>
      <w:r>
        <w:t>Cabaret licences</w:t>
      </w:r>
      <w:bookmarkEnd w:id="554"/>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spacing w:before="180"/>
        <w:outlineLvl w:val="5"/>
      </w:pPr>
      <w:bookmarkStart w:id="555" w:name="_Toc473119473"/>
      <w:r>
        <w:rPr>
          <w:rStyle w:val="CharSClsNo"/>
        </w:rPr>
        <w:t>8</w:t>
      </w:r>
      <w:r>
        <w:t>.</w:t>
      </w:r>
      <w:r>
        <w:rPr>
          <w:b w:val="0"/>
        </w:rPr>
        <w:tab/>
      </w:r>
      <w:r>
        <w:t>Courses of training and assessments</w:t>
      </w:r>
      <w:bookmarkEnd w:id="555"/>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556" w:name="_Toc473119474"/>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556"/>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557" w:name="_Toc473119475"/>
      <w:r>
        <w:rPr>
          <w:rStyle w:val="CharSClsNo"/>
        </w:rPr>
        <w:t>10</w:t>
      </w:r>
      <w:r>
        <w:t>.</w:t>
      </w:r>
      <w:r>
        <w:rPr>
          <w:b w:val="0"/>
        </w:rPr>
        <w:tab/>
      </w:r>
      <w:r>
        <w:t>Transitional regulations</w:t>
      </w:r>
      <w:bookmarkEnd w:id="557"/>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558" w:name="_Toc471907005"/>
      <w:bookmarkStart w:id="559" w:name="_Toc472001922"/>
      <w:bookmarkStart w:id="560" w:name="_Toc472676950"/>
      <w:bookmarkStart w:id="561" w:name="_Toc472682335"/>
      <w:bookmarkStart w:id="562" w:name="_Toc473119476"/>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558"/>
      <w:bookmarkEnd w:id="559"/>
      <w:bookmarkEnd w:id="560"/>
      <w:bookmarkEnd w:id="561"/>
      <w:bookmarkEnd w:id="562"/>
    </w:p>
    <w:p>
      <w:pPr>
        <w:pStyle w:val="yShoulderClause"/>
      </w:pPr>
      <w:r>
        <w:t>[s. 177B]</w:t>
      </w:r>
    </w:p>
    <w:p>
      <w:pPr>
        <w:pStyle w:val="yFootnoteheading"/>
      </w:pPr>
      <w:r>
        <w:tab/>
        <w:t>[Heading inserted by No. 56 of 2010 s. 24.]</w:t>
      </w:r>
    </w:p>
    <w:p>
      <w:pPr>
        <w:pStyle w:val="yHeading5"/>
      </w:pPr>
      <w:bookmarkStart w:id="563" w:name="_Toc473119477"/>
      <w:r>
        <w:rPr>
          <w:rStyle w:val="CharSClsNo"/>
        </w:rPr>
        <w:t>1</w:t>
      </w:r>
      <w:r>
        <w:t>.</w:t>
      </w:r>
      <w:r>
        <w:tab/>
        <w:t>Terms used</w:t>
      </w:r>
      <w:bookmarkEnd w:id="563"/>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564" w:name="_Toc473119478"/>
      <w:r>
        <w:rPr>
          <w:rStyle w:val="CharSClsNo"/>
        </w:rPr>
        <w:t>2</w:t>
      </w:r>
      <w:r>
        <w:t>.</w:t>
      </w:r>
      <w:r>
        <w:tab/>
        <w:t>Current managers taken to be licensed</w:t>
      </w:r>
      <w:bookmarkEnd w:id="564"/>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565" w:name="_Toc473119479"/>
      <w:r>
        <w:t>3.</w:t>
      </w:r>
      <w:r>
        <w:rPr>
          <w:b w:val="0"/>
        </w:rPr>
        <w:tab/>
      </w:r>
      <w:r>
        <w:t>Duration of transitioned approvals</w:t>
      </w:r>
      <w:bookmarkEnd w:id="565"/>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566" w:name="_Toc473119480"/>
      <w:r>
        <w:rPr>
          <w:rStyle w:val="CharSClsNo"/>
        </w:rPr>
        <w:t>4</w:t>
      </w:r>
      <w:r>
        <w:t>.</w:t>
      </w:r>
      <w:r>
        <w:tab/>
        <w:t>Current applications</w:t>
      </w:r>
      <w:bookmarkEnd w:id="566"/>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567" w:name="_Toc471907010"/>
      <w:bookmarkStart w:id="568" w:name="_Toc472001927"/>
      <w:bookmarkStart w:id="569" w:name="_Toc472676955"/>
      <w:bookmarkStart w:id="570" w:name="_Toc472682340"/>
      <w:bookmarkStart w:id="571" w:name="_Toc473119481"/>
      <w:r>
        <w:rPr>
          <w:rStyle w:val="CharSchNo"/>
        </w:rPr>
        <w:t>Schedule 2</w:t>
      </w:r>
      <w:r>
        <w:t> — </w:t>
      </w:r>
      <w:r>
        <w:rPr>
          <w:rStyle w:val="CharSchText"/>
        </w:rPr>
        <w:t>Unincorporated clubs</w:t>
      </w:r>
      <w:bookmarkEnd w:id="567"/>
      <w:bookmarkEnd w:id="568"/>
      <w:bookmarkEnd w:id="569"/>
      <w:bookmarkEnd w:id="570"/>
      <w:bookmarkEnd w:id="571"/>
    </w:p>
    <w:p>
      <w:pPr>
        <w:pStyle w:val="yShoulderClause"/>
        <w:rPr>
          <w:snapToGrid w:val="0"/>
        </w:rPr>
      </w:pPr>
      <w:r>
        <w:rPr>
          <w:snapToGrid w:val="0"/>
        </w:rPr>
        <w:t>[s. 49(1)(a)]</w:t>
      </w:r>
    </w:p>
    <w:p>
      <w:pPr>
        <w:pStyle w:val="yFootnoteheading"/>
      </w:pPr>
      <w:r>
        <w:tab/>
        <w:t>[Heading amended by No. 19 of 2010 s. 4.]</w:t>
      </w:r>
    </w:p>
    <w:p>
      <w:pPr>
        <w:pStyle w:val="yHeading3"/>
      </w:pPr>
      <w:bookmarkStart w:id="572" w:name="_Toc471907011"/>
      <w:bookmarkStart w:id="573" w:name="_Toc472001928"/>
      <w:bookmarkStart w:id="574" w:name="_Toc472676956"/>
      <w:bookmarkStart w:id="575" w:name="_Toc472682341"/>
      <w:bookmarkStart w:id="576" w:name="_Toc473119482"/>
      <w:r>
        <w:rPr>
          <w:rStyle w:val="CharSDivNo"/>
        </w:rPr>
        <w:t>Division 1</w:t>
      </w:r>
      <w:r>
        <w:rPr>
          <w:snapToGrid w:val="0"/>
        </w:rPr>
        <w:t> — </w:t>
      </w:r>
      <w:r>
        <w:rPr>
          <w:rStyle w:val="CharSDivText"/>
        </w:rPr>
        <w:t>The Anzac Club</w:t>
      </w:r>
      <w:bookmarkEnd w:id="572"/>
      <w:bookmarkEnd w:id="573"/>
      <w:bookmarkEnd w:id="574"/>
      <w:bookmarkEnd w:id="575"/>
      <w:bookmarkEnd w:id="576"/>
      <w:r>
        <w:rPr>
          <w:snapToGrid w:val="0"/>
        </w:rPr>
        <w:t xml:space="preserve"> </w:t>
      </w:r>
    </w:p>
    <w:p>
      <w:pPr>
        <w:pStyle w:val="yHeading5"/>
        <w:outlineLvl w:val="5"/>
        <w:rPr>
          <w:snapToGrid w:val="0"/>
        </w:rPr>
      </w:pPr>
      <w:bookmarkStart w:id="577" w:name="_Toc473119483"/>
      <w:r>
        <w:rPr>
          <w:rStyle w:val="CharSClsNo"/>
        </w:rPr>
        <w:t>1</w:t>
      </w:r>
      <w:r>
        <w:rPr>
          <w:snapToGrid w:val="0"/>
        </w:rPr>
        <w:t>.</w:t>
      </w:r>
      <w:r>
        <w:rPr>
          <w:snapToGrid w:val="0"/>
        </w:rPr>
        <w:tab/>
        <w:t>Terms used</w:t>
      </w:r>
      <w:bookmarkEnd w:id="577"/>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 No. 30 of 2015 s. 232.]</w:t>
      </w:r>
    </w:p>
    <w:p>
      <w:pPr>
        <w:pStyle w:val="yHeading5"/>
        <w:outlineLvl w:val="5"/>
        <w:rPr>
          <w:snapToGrid w:val="0"/>
        </w:rPr>
      </w:pPr>
      <w:bookmarkStart w:id="578" w:name="_Toc473119484"/>
      <w:r>
        <w:rPr>
          <w:rStyle w:val="CharSClsNo"/>
        </w:rPr>
        <w:t>2</w:t>
      </w:r>
      <w:r>
        <w:rPr>
          <w:snapToGrid w:val="0"/>
        </w:rPr>
        <w:t>.</w:t>
      </w:r>
      <w:r>
        <w:rPr>
          <w:snapToGrid w:val="0"/>
        </w:rPr>
        <w:tab/>
        <w:t>Anzac Club</w:t>
      </w:r>
      <w:bookmarkEnd w:id="578"/>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579" w:name="_Toc471907014"/>
      <w:bookmarkStart w:id="580" w:name="_Toc472001931"/>
      <w:bookmarkStart w:id="581" w:name="_Toc472676959"/>
      <w:bookmarkStart w:id="582" w:name="_Toc472682344"/>
      <w:bookmarkStart w:id="583" w:name="_Toc473119485"/>
      <w:r>
        <w:rPr>
          <w:rStyle w:val="CharSDivNo"/>
        </w:rPr>
        <w:t>Division 2</w:t>
      </w:r>
      <w:r>
        <w:rPr>
          <w:snapToGrid w:val="0"/>
        </w:rPr>
        <w:t> — </w:t>
      </w:r>
      <w:r>
        <w:rPr>
          <w:rStyle w:val="CharSDivText"/>
        </w:rPr>
        <w:t>The Air Force Association Club</w:t>
      </w:r>
      <w:bookmarkEnd w:id="579"/>
      <w:bookmarkEnd w:id="580"/>
      <w:bookmarkEnd w:id="581"/>
      <w:bookmarkEnd w:id="582"/>
      <w:bookmarkEnd w:id="583"/>
      <w:r>
        <w:rPr>
          <w:snapToGrid w:val="0"/>
        </w:rPr>
        <w:t xml:space="preserve"> </w:t>
      </w:r>
    </w:p>
    <w:p>
      <w:pPr>
        <w:pStyle w:val="yHeading5"/>
        <w:outlineLvl w:val="5"/>
        <w:rPr>
          <w:snapToGrid w:val="0"/>
        </w:rPr>
      </w:pPr>
      <w:bookmarkStart w:id="584" w:name="_Toc473119486"/>
      <w:r>
        <w:rPr>
          <w:rStyle w:val="CharSClsNo"/>
        </w:rPr>
        <w:t>1</w:t>
      </w:r>
      <w:r>
        <w:rPr>
          <w:snapToGrid w:val="0"/>
        </w:rPr>
        <w:t>.</w:t>
      </w:r>
      <w:r>
        <w:rPr>
          <w:snapToGrid w:val="0"/>
        </w:rPr>
        <w:tab/>
        <w:t>Terms used</w:t>
      </w:r>
      <w:bookmarkEnd w:id="584"/>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by No. 30 of 2015 s. 232.]</w:t>
      </w:r>
    </w:p>
    <w:p>
      <w:pPr>
        <w:pStyle w:val="yHeading5"/>
        <w:outlineLvl w:val="5"/>
        <w:rPr>
          <w:snapToGrid w:val="0"/>
        </w:rPr>
      </w:pPr>
      <w:bookmarkStart w:id="585" w:name="_Toc473119487"/>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585"/>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586" w:name="_Toc471907017"/>
      <w:bookmarkStart w:id="587" w:name="_Toc472001934"/>
      <w:bookmarkStart w:id="588" w:name="_Toc472676962"/>
      <w:bookmarkStart w:id="589" w:name="_Toc472682347"/>
      <w:bookmarkStart w:id="590" w:name="_Toc473119488"/>
      <w:bookmarkStart w:id="591" w:name="_Toc473119491"/>
      <w:r>
        <w:t>Notes</w:t>
      </w:r>
      <w:bookmarkEnd w:id="586"/>
      <w:bookmarkEnd w:id="587"/>
      <w:bookmarkEnd w:id="588"/>
      <w:bookmarkEnd w:id="589"/>
      <w:bookmarkEnd w:id="590"/>
    </w:p>
    <w:p>
      <w:pPr>
        <w:pStyle w:val="nSubsection"/>
      </w:pPr>
      <w:r>
        <w:rPr>
          <w:vertAlign w:val="superscript"/>
        </w:rPr>
        <w:t>1</w:t>
      </w:r>
      <w:r>
        <w:tab/>
        <w:t xml:space="preserve">This is a compilation of the </w:t>
      </w:r>
      <w:r>
        <w:rPr>
          <w:i/>
          <w:noProof/>
        </w:rPr>
        <w:t>Liquor Control Act 1988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592" w:name="_Toc473119489"/>
      <w:r>
        <w:rPr>
          <w:snapToGrid w:val="0"/>
        </w:rPr>
        <w:t>Compilation table</w:t>
      </w:r>
      <w:bookmarkEnd w:id="592"/>
    </w:p>
    <w:tbl>
      <w:tblPr>
        <w:tblW w:w="0" w:type="auto"/>
        <w:tblInd w:w="33" w:type="dxa"/>
        <w:tblLayout w:type="fixed"/>
        <w:tblCellMar>
          <w:left w:w="56" w:type="dxa"/>
          <w:right w:w="56" w:type="dxa"/>
        </w:tblCellMar>
        <w:tblLook w:val="0000" w:firstRow="0" w:lastRow="0" w:firstColumn="0" w:lastColumn="0" w:noHBand="0" w:noVBand="0"/>
      </w:tblPr>
      <w:tblGrid>
        <w:gridCol w:w="9"/>
        <w:gridCol w:w="14"/>
        <w:gridCol w:w="2245"/>
        <w:gridCol w:w="9"/>
        <w:gridCol w:w="14"/>
        <w:gridCol w:w="1111"/>
        <w:gridCol w:w="9"/>
        <w:gridCol w:w="14"/>
        <w:gridCol w:w="1113"/>
        <w:gridCol w:w="9"/>
        <w:gridCol w:w="12"/>
        <w:gridCol w:w="2530"/>
        <w:gridCol w:w="11"/>
        <w:gridCol w:w="10"/>
      </w:tblGrid>
      <w:tr>
        <w:trPr>
          <w:gridAfter w:val="2"/>
          <w:wAfter w:w="21"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1" w:type="dxa"/>
          <w:cantSplit/>
        </w:trPr>
        <w:tc>
          <w:tcPr>
            <w:tcW w:w="2268" w:type="dxa"/>
            <w:gridSpan w:val="3"/>
          </w:tcPr>
          <w:p>
            <w:pPr>
              <w:pStyle w:val="nTable"/>
              <w:spacing w:after="40"/>
              <w:ind w:right="113"/>
            </w:pPr>
            <w:r>
              <w:rPr>
                <w:i/>
              </w:rPr>
              <w:t>Liquor Licensing Act 1988 </w:t>
            </w:r>
            <w:r>
              <w:rPr>
                <w:vertAlign w:val="superscript"/>
              </w:rPr>
              <w:t>8</w:t>
            </w:r>
          </w:p>
        </w:tc>
        <w:tc>
          <w:tcPr>
            <w:tcW w:w="1134" w:type="dxa"/>
            <w:gridSpan w:val="3"/>
          </w:tcPr>
          <w:p>
            <w:pPr>
              <w:pStyle w:val="nTable"/>
              <w:spacing w:after="40"/>
            </w:pPr>
            <w:r>
              <w:t>54 of 1988</w:t>
            </w:r>
          </w:p>
        </w:tc>
        <w:tc>
          <w:tcPr>
            <w:tcW w:w="1136" w:type="dxa"/>
            <w:gridSpan w:val="3"/>
          </w:tcPr>
          <w:p>
            <w:pPr>
              <w:pStyle w:val="nTable"/>
              <w:spacing w:after="40"/>
            </w:pPr>
            <w:r>
              <w:t>9 Dec 1988</w:t>
            </w:r>
          </w:p>
        </w:tc>
        <w:tc>
          <w:tcPr>
            <w:tcW w:w="2551" w:type="dxa"/>
            <w:gridSpan w:val="3"/>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21" w:type="dxa"/>
          <w:cantSplit/>
        </w:trPr>
        <w:tc>
          <w:tcPr>
            <w:tcW w:w="2268" w:type="dxa"/>
            <w:gridSpan w:val="3"/>
          </w:tcPr>
          <w:p>
            <w:pPr>
              <w:pStyle w:val="nTable"/>
              <w:spacing w:after="40"/>
              <w:ind w:right="113"/>
            </w:pPr>
            <w:r>
              <w:rPr>
                <w:i/>
              </w:rPr>
              <w:t xml:space="preserve">Financial Administration Legislation Amendment Act 1993 </w:t>
            </w:r>
            <w:r>
              <w:t>s. 11</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51" w:type="dxa"/>
            <w:gridSpan w:val="3"/>
          </w:tcPr>
          <w:p>
            <w:pPr>
              <w:pStyle w:val="nTable"/>
              <w:spacing w:after="40"/>
            </w:pPr>
            <w:r>
              <w:t>1 Jul 1993 (see s. 2(1))</w:t>
            </w:r>
          </w:p>
        </w:tc>
      </w:tr>
      <w:tr>
        <w:trPr>
          <w:gridAfter w:val="2"/>
          <w:wAfter w:w="21" w:type="dxa"/>
          <w:cantSplit/>
        </w:trPr>
        <w:tc>
          <w:tcPr>
            <w:tcW w:w="2268" w:type="dxa"/>
            <w:gridSpan w:val="3"/>
          </w:tcPr>
          <w:p>
            <w:pPr>
              <w:pStyle w:val="nTable"/>
              <w:spacing w:after="40"/>
              <w:ind w:right="113"/>
            </w:pPr>
            <w:r>
              <w:rPr>
                <w:i/>
              </w:rPr>
              <w:t xml:space="preserve">Acts Amendment (Public Sector Management) Act 1994 </w:t>
            </w:r>
            <w:r>
              <w:t>s. 3(2)</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51" w:type="dxa"/>
            <w:gridSpan w:val="3"/>
          </w:tcPr>
          <w:p>
            <w:pPr>
              <w:pStyle w:val="nTable"/>
              <w:spacing w:after="40"/>
            </w:pPr>
            <w:r>
              <w:t xml:space="preserve">1 Oct 1994 (see s. 2 and </w:t>
            </w:r>
            <w:r>
              <w:rPr>
                <w:i/>
              </w:rPr>
              <w:t>Gazette</w:t>
            </w:r>
            <w:r>
              <w:t xml:space="preserve"> 30 Sep 1994 p. 4948)</w:t>
            </w:r>
          </w:p>
        </w:tc>
      </w:tr>
      <w:tr>
        <w:trPr>
          <w:gridAfter w:val="2"/>
          <w:wAfter w:w="21" w:type="dxa"/>
          <w:cantSplit/>
        </w:trPr>
        <w:tc>
          <w:tcPr>
            <w:tcW w:w="2268" w:type="dxa"/>
            <w:gridSpan w:val="3"/>
          </w:tcPr>
          <w:p>
            <w:pPr>
              <w:pStyle w:val="nTable"/>
              <w:spacing w:after="40"/>
              <w:ind w:right="113"/>
            </w:pPr>
            <w:r>
              <w:rPr>
                <w:i/>
              </w:rPr>
              <w:t xml:space="preserve">Statutes (Repeals and Minor Amendments) Act 1994 </w:t>
            </w:r>
            <w:r>
              <w:t>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51" w:type="dxa"/>
            <w:gridSpan w:val="3"/>
          </w:tcPr>
          <w:p>
            <w:pPr>
              <w:pStyle w:val="nTable"/>
              <w:spacing w:after="40"/>
            </w:pPr>
            <w:r>
              <w:t>9 Dec 1994 (see s. 2)</w:t>
            </w:r>
          </w:p>
        </w:tc>
      </w:tr>
      <w:tr>
        <w:trPr>
          <w:gridAfter w:val="2"/>
          <w:wAfter w:w="21" w:type="dxa"/>
          <w:cantSplit/>
        </w:trPr>
        <w:tc>
          <w:tcPr>
            <w:tcW w:w="2268" w:type="dxa"/>
            <w:gridSpan w:val="3"/>
          </w:tcPr>
          <w:p>
            <w:pPr>
              <w:pStyle w:val="nTable"/>
              <w:spacing w:after="40"/>
              <w:ind w:right="113"/>
            </w:pPr>
            <w:r>
              <w:rPr>
                <w:i/>
              </w:rPr>
              <w:t xml:space="preserve">Acts Amendment (Fines, Penalties and Infringement Notices) Act 1994 </w:t>
            </w:r>
            <w:r>
              <w:t>s. 22</w:t>
            </w:r>
          </w:p>
        </w:tc>
        <w:tc>
          <w:tcPr>
            <w:tcW w:w="1134" w:type="dxa"/>
            <w:gridSpan w:val="3"/>
          </w:tcPr>
          <w:p>
            <w:pPr>
              <w:pStyle w:val="nTable"/>
              <w:spacing w:after="40"/>
            </w:pPr>
            <w:r>
              <w:t>92 of 1994</w:t>
            </w:r>
          </w:p>
        </w:tc>
        <w:tc>
          <w:tcPr>
            <w:tcW w:w="1136" w:type="dxa"/>
            <w:gridSpan w:val="3"/>
          </w:tcPr>
          <w:p>
            <w:pPr>
              <w:pStyle w:val="nTable"/>
              <w:spacing w:after="40"/>
            </w:pPr>
            <w:r>
              <w:t>23 Dec 1994</w:t>
            </w:r>
          </w:p>
        </w:tc>
        <w:tc>
          <w:tcPr>
            <w:tcW w:w="2551" w:type="dxa"/>
            <w:gridSpan w:val="3"/>
          </w:tcPr>
          <w:p>
            <w:pPr>
              <w:pStyle w:val="nTable"/>
              <w:spacing w:after="40"/>
            </w:pPr>
            <w:r>
              <w:t xml:space="preserve">1 Jan 1995 (see s. 2(1) and </w:t>
            </w:r>
            <w:r>
              <w:rPr>
                <w:i/>
              </w:rPr>
              <w:t>Gazette</w:t>
            </w:r>
            <w:r>
              <w:t xml:space="preserve"> 30 Dec 1994 p. 7211)</w:t>
            </w:r>
          </w:p>
        </w:tc>
      </w:tr>
      <w:tr>
        <w:trPr>
          <w:gridAfter w:val="2"/>
          <w:wAfter w:w="21" w:type="dxa"/>
          <w:cantSplit/>
        </w:trPr>
        <w:tc>
          <w:tcPr>
            <w:tcW w:w="2268" w:type="dxa"/>
            <w:gridSpan w:val="3"/>
          </w:tcPr>
          <w:p>
            <w:pPr>
              <w:pStyle w:val="nTable"/>
              <w:spacing w:after="40"/>
              <w:ind w:right="113"/>
            </w:pPr>
            <w:r>
              <w:rPr>
                <w:i/>
              </w:rPr>
              <w:t xml:space="preserve">Sentencing (Consequential Provisions) Act 1995 </w:t>
            </w:r>
            <w:r>
              <w:t>s. 66</w:t>
            </w:r>
          </w:p>
        </w:tc>
        <w:tc>
          <w:tcPr>
            <w:tcW w:w="1134" w:type="dxa"/>
            <w:gridSpan w:val="3"/>
          </w:tcPr>
          <w:p>
            <w:pPr>
              <w:pStyle w:val="nTable"/>
              <w:spacing w:after="40"/>
            </w:pPr>
            <w:r>
              <w:t>78 of 1995</w:t>
            </w:r>
          </w:p>
        </w:tc>
        <w:tc>
          <w:tcPr>
            <w:tcW w:w="1136" w:type="dxa"/>
            <w:gridSpan w:val="3"/>
          </w:tcPr>
          <w:p>
            <w:pPr>
              <w:pStyle w:val="nTable"/>
              <w:spacing w:after="40"/>
            </w:pPr>
            <w:r>
              <w:t>16 Jan 1996</w:t>
            </w:r>
          </w:p>
        </w:tc>
        <w:tc>
          <w:tcPr>
            <w:tcW w:w="2551" w:type="dxa"/>
            <w:gridSpan w:val="3"/>
          </w:tcPr>
          <w:p>
            <w:pPr>
              <w:pStyle w:val="nTable"/>
              <w:spacing w:after="40"/>
            </w:pPr>
            <w:r>
              <w:t xml:space="preserve">4 Nov 1996 (see s. 2 and </w:t>
            </w:r>
            <w:r>
              <w:rPr>
                <w:i/>
              </w:rPr>
              <w:t xml:space="preserve">Gazette </w:t>
            </w:r>
            <w:r>
              <w:t>25 Oct 1996 p. 5632)</w:t>
            </w:r>
          </w:p>
        </w:tc>
      </w:tr>
      <w:tr>
        <w:trPr>
          <w:gridAfter w:val="2"/>
          <w:wAfter w:w="21" w:type="dxa"/>
          <w:cantSplit/>
        </w:trPr>
        <w:tc>
          <w:tcPr>
            <w:tcW w:w="2268" w:type="dxa"/>
            <w:gridSpan w:val="3"/>
          </w:tcPr>
          <w:p>
            <w:pPr>
              <w:pStyle w:val="nTable"/>
              <w:spacing w:after="40"/>
              <w:ind w:right="113"/>
            </w:pPr>
            <w:r>
              <w:rPr>
                <w:i/>
              </w:rPr>
              <w:t xml:space="preserve">Local Government (Consequential Amendments) Act 1996 </w:t>
            </w:r>
            <w:r>
              <w:t>s. 4</w:t>
            </w:r>
          </w:p>
        </w:tc>
        <w:tc>
          <w:tcPr>
            <w:tcW w:w="1134" w:type="dxa"/>
            <w:gridSpan w:val="3"/>
          </w:tcPr>
          <w:p>
            <w:pPr>
              <w:pStyle w:val="nTable"/>
              <w:keepNext/>
              <w:keepLines/>
              <w:spacing w:after="40"/>
            </w:pPr>
            <w:r>
              <w:t>14 of 1996</w:t>
            </w:r>
          </w:p>
        </w:tc>
        <w:tc>
          <w:tcPr>
            <w:tcW w:w="1136" w:type="dxa"/>
            <w:gridSpan w:val="3"/>
          </w:tcPr>
          <w:p>
            <w:pPr>
              <w:pStyle w:val="nTable"/>
              <w:keepNext/>
              <w:keepLines/>
              <w:spacing w:after="40"/>
            </w:pPr>
            <w:r>
              <w:t>28 Jun 1996</w:t>
            </w:r>
          </w:p>
        </w:tc>
        <w:tc>
          <w:tcPr>
            <w:tcW w:w="2551" w:type="dxa"/>
            <w:gridSpan w:val="3"/>
          </w:tcPr>
          <w:p>
            <w:pPr>
              <w:pStyle w:val="nTable"/>
              <w:keepNext/>
              <w:keepLines/>
              <w:spacing w:after="40"/>
            </w:pPr>
            <w:r>
              <w:t>1 Jul 1996 (see s. 2)</w:t>
            </w:r>
          </w:p>
        </w:tc>
      </w:tr>
      <w:tr>
        <w:trPr>
          <w:gridAfter w:val="2"/>
          <w:wAfter w:w="21" w:type="dxa"/>
          <w:cantSplit/>
        </w:trPr>
        <w:tc>
          <w:tcPr>
            <w:tcW w:w="2268" w:type="dxa"/>
            <w:gridSpan w:val="3"/>
          </w:tcPr>
          <w:p>
            <w:pPr>
              <w:pStyle w:val="nTable"/>
              <w:spacing w:after="40"/>
              <w:ind w:right="113"/>
            </w:pPr>
            <w:r>
              <w:rPr>
                <w:i/>
              </w:rPr>
              <w:t xml:space="preserve">Financial Legislation Amendment Act 1996 </w:t>
            </w:r>
            <w:r>
              <w:t>s.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51" w:type="dxa"/>
            <w:gridSpan w:val="3"/>
          </w:tcPr>
          <w:p>
            <w:pPr>
              <w:pStyle w:val="nTable"/>
              <w:spacing w:after="40"/>
            </w:pPr>
            <w:r>
              <w:t>25 Oct 1996 (see s. 2(1))</w:t>
            </w:r>
          </w:p>
        </w:tc>
      </w:tr>
      <w:tr>
        <w:trPr>
          <w:gridAfter w:val="2"/>
          <w:wAfter w:w="21" w:type="dxa"/>
          <w:cantSplit/>
        </w:trPr>
        <w:tc>
          <w:tcPr>
            <w:tcW w:w="2268" w:type="dxa"/>
            <w:gridSpan w:val="3"/>
          </w:tcPr>
          <w:p>
            <w:pPr>
              <w:pStyle w:val="nTable"/>
              <w:spacing w:after="40"/>
              <w:ind w:right="113"/>
            </w:pPr>
            <w:r>
              <w:rPr>
                <w:i/>
              </w:rPr>
              <w:t xml:space="preserve">Acts Amendment (Franchise Fees) Act 1997 </w:t>
            </w:r>
            <w:r>
              <w:t>Pt. 4</w:t>
            </w:r>
          </w:p>
        </w:tc>
        <w:tc>
          <w:tcPr>
            <w:tcW w:w="1134" w:type="dxa"/>
            <w:gridSpan w:val="3"/>
          </w:tcPr>
          <w:p>
            <w:pPr>
              <w:pStyle w:val="nTable"/>
              <w:spacing w:after="40"/>
            </w:pPr>
            <w:r>
              <w:t>56 of 1997</w:t>
            </w:r>
          </w:p>
        </w:tc>
        <w:tc>
          <w:tcPr>
            <w:tcW w:w="1136" w:type="dxa"/>
            <w:gridSpan w:val="3"/>
          </w:tcPr>
          <w:p>
            <w:pPr>
              <w:pStyle w:val="nTable"/>
              <w:spacing w:after="40"/>
            </w:pPr>
            <w:r>
              <w:t>12 Dec 1997</w:t>
            </w:r>
          </w:p>
        </w:tc>
        <w:tc>
          <w:tcPr>
            <w:tcW w:w="2551" w:type="dxa"/>
            <w:gridSpan w:val="3"/>
          </w:tcPr>
          <w:p>
            <w:pPr>
              <w:pStyle w:val="nTable"/>
              <w:spacing w:after="40"/>
            </w:pPr>
            <w:r>
              <w:t xml:space="preserve">31 Jan 1998 (see s. 2 and </w:t>
            </w:r>
            <w:r>
              <w:rPr>
                <w:i/>
              </w:rPr>
              <w:t>Gazette</w:t>
            </w:r>
            <w:r>
              <w:t xml:space="preserve"> 30 Jan 1998 p. 577)</w:t>
            </w:r>
          </w:p>
        </w:tc>
      </w:tr>
      <w:tr>
        <w:trPr>
          <w:gridAfter w:val="2"/>
          <w:wAfter w:w="21" w:type="dxa"/>
          <w:cantSplit/>
        </w:trPr>
        <w:tc>
          <w:tcPr>
            <w:tcW w:w="2268" w:type="dxa"/>
            <w:gridSpan w:val="3"/>
          </w:tcPr>
          <w:p>
            <w:pPr>
              <w:pStyle w:val="nTable"/>
              <w:spacing w:after="40"/>
              <w:ind w:right="113"/>
            </w:pPr>
            <w:r>
              <w:rPr>
                <w:i/>
              </w:rPr>
              <w:t>Liquor Licensing Amendment Act 1998</w:t>
            </w:r>
          </w:p>
        </w:tc>
        <w:tc>
          <w:tcPr>
            <w:tcW w:w="1134" w:type="dxa"/>
            <w:gridSpan w:val="3"/>
          </w:tcPr>
          <w:p>
            <w:pPr>
              <w:pStyle w:val="nTable"/>
              <w:spacing w:after="40"/>
            </w:pPr>
            <w:r>
              <w:t>12 of 1998</w:t>
            </w:r>
          </w:p>
        </w:tc>
        <w:tc>
          <w:tcPr>
            <w:tcW w:w="1136" w:type="dxa"/>
            <w:gridSpan w:val="3"/>
          </w:tcPr>
          <w:p>
            <w:pPr>
              <w:pStyle w:val="nTable"/>
              <w:spacing w:after="40"/>
            </w:pPr>
            <w:r>
              <w:t>12 May 1998</w:t>
            </w:r>
          </w:p>
        </w:tc>
        <w:tc>
          <w:tcPr>
            <w:tcW w:w="2551" w:type="dxa"/>
            <w:gridSpan w:val="3"/>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21" w:type="dxa"/>
          <w:cantSplit/>
        </w:trPr>
        <w:tc>
          <w:tcPr>
            <w:tcW w:w="2268" w:type="dxa"/>
            <w:gridSpan w:val="3"/>
          </w:tcPr>
          <w:p>
            <w:pPr>
              <w:pStyle w:val="nTable"/>
              <w:spacing w:after="40"/>
              <w:ind w:right="113"/>
              <w:rPr>
                <w:i/>
              </w:rPr>
            </w:pPr>
            <w:r>
              <w:rPr>
                <w:i/>
              </w:rPr>
              <w:t>Liquor Licensing Amendment (Petrol Stations and Lodgers’ Registers) Act 2000</w:t>
            </w:r>
          </w:p>
        </w:tc>
        <w:tc>
          <w:tcPr>
            <w:tcW w:w="1134" w:type="dxa"/>
            <w:gridSpan w:val="3"/>
          </w:tcPr>
          <w:p>
            <w:pPr>
              <w:pStyle w:val="nTable"/>
              <w:spacing w:after="40"/>
            </w:pPr>
            <w:r>
              <w:t>23 of 2000</w:t>
            </w:r>
          </w:p>
        </w:tc>
        <w:tc>
          <w:tcPr>
            <w:tcW w:w="1136" w:type="dxa"/>
            <w:gridSpan w:val="3"/>
          </w:tcPr>
          <w:p>
            <w:pPr>
              <w:pStyle w:val="nTable"/>
              <w:spacing w:after="40"/>
            </w:pPr>
            <w:r>
              <w:t xml:space="preserve">30 Jun 2000 </w:t>
            </w:r>
          </w:p>
        </w:tc>
        <w:tc>
          <w:tcPr>
            <w:tcW w:w="2551" w:type="dxa"/>
            <w:gridSpan w:val="3"/>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21" w:type="dxa"/>
          <w:cantSplit/>
        </w:trPr>
        <w:tc>
          <w:tcPr>
            <w:tcW w:w="2268" w:type="dxa"/>
            <w:gridSpan w:val="3"/>
          </w:tcPr>
          <w:p>
            <w:pPr>
              <w:pStyle w:val="nTable"/>
              <w:spacing w:after="40"/>
              <w:ind w:right="113"/>
            </w:pPr>
            <w:r>
              <w:rPr>
                <w:i/>
              </w:rPr>
              <w:t xml:space="preserve">Courts Legislation Amendment Act 2000 </w:t>
            </w:r>
            <w:r>
              <w:t>Pt. 3</w:t>
            </w:r>
            <w:r>
              <w:rPr>
                <w:vertAlign w:val="superscript"/>
              </w:rPr>
              <w:t> 9</w:t>
            </w:r>
          </w:p>
        </w:tc>
        <w:tc>
          <w:tcPr>
            <w:tcW w:w="1134" w:type="dxa"/>
            <w:gridSpan w:val="3"/>
          </w:tcPr>
          <w:p>
            <w:pPr>
              <w:pStyle w:val="nTable"/>
              <w:spacing w:after="40"/>
            </w:pPr>
            <w:r>
              <w:t>27 of 2000</w:t>
            </w:r>
          </w:p>
        </w:tc>
        <w:tc>
          <w:tcPr>
            <w:tcW w:w="1136" w:type="dxa"/>
            <w:gridSpan w:val="3"/>
          </w:tcPr>
          <w:p>
            <w:pPr>
              <w:pStyle w:val="nTable"/>
              <w:spacing w:after="40"/>
            </w:pPr>
            <w:r>
              <w:t>6 Jul 2000</w:t>
            </w:r>
          </w:p>
        </w:tc>
        <w:tc>
          <w:tcPr>
            <w:tcW w:w="2551" w:type="dxa"/>
            <w:gridSpan w:val="3"/>
          </w:tcPr>
          <w:p>
            <w:pPr>
              <w:pStyle w:val="nTable"/>
              <w:spacing w:after="40"/>
            </w:pPr>
            <w:r>
              <w:t>6 Jul 2000 (see s. 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21" w:type="dxa"/>
          <w:cantSplit/>
        </w:trPr>
        <w:tc>
          <w:tcPr>
            <w:tcW w:w="2268" w:type="dxa"/>
            <w:gridSpan w:val="3"/>
          </w:tcPr>
          <w:p>
            <w:pPr>
              <w:pStyle w:val="nTable"/>
              <w:spacing w:after="40"/>
              <w:ind w:right="113"/>
              <w:rPr>
                <w:i/>
              </w:rPr>
            </w:pPr>
            <w:r>
              <w:rPr>
                <w:i/>
              </w:rPr>
              <w:t>Corporations (Consequential Amendments) Act 2001</w:t>
            </w:r>
            <w:r>
              <w:t xml:space="preserve"> s. 220</w:t>
            </w:r>
          </w:p>
        </w:tc>
        <w:tc>
          <w:tcPr>
            <w:tcW w:w="1134" w:type="dxa"/>
            <w:gridSpan w:val="3"/>
          </w:tcPr>
          <w:p>
            <w:pPr>
              <w:pStyle w:val="nTable"/>
              <w:spacing w:after="40"/>
            </w:pPr>
            <w:r>
              <w:t>10 of 2001</w:t>
            </w:r>
          </w:p>
        </w:tc>
        <w:tc>
          <w:tcPr>
            <w:tcW w:w="1136"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1" w:type="dxa"/>
          <w:cantSplit/>
        </w:trPr>
        <w:tc>
          <w:tcPr>
            <w:tcW w:w="2268" w:type="dxa"/>
            <w:gridSpan w:val="3"/>
          </w:tcPr>
          <w:p>
            <w:pPr>
              <w:pStyle w:val="nTable"/>
              <w:spacing w:after="40"/>
              <w:ind w:right="113"/>
            </w:pPr>
            <w:r>
              <w:rPr>
                <w:i/>
              </w:rPr>
              <w:t>Liquor Licensing Amendment Act 2001 </w:t>
            </w:r>
            <w:r>
              <w:rPr>
                <w:vertAlign w:val="superscript"/>
              </w:rPr>
              <w:t>10</w:t>
            </w:r>
          </w:p>
        </w:tc>
        <w:tc>
          <w:tcPr>
            <w:tcW w:w="1134" w:type="dxa"/>
            <w:gridSpan w:val="3"/>
          </w:tcPr>
          <w:p>
            <w:pPr>
              <w:pStyle w:val="nTable"/>
              <w:spacing w:after="40"/>
            </w:pPr>
            <w:r>
              <w:t>26 of 2001</w:t>
            </w:r>
          </w:p>
        </w:tc>
        <w:tc>
          <w:tcPr>
            <w:tcW w:w="1136" w:type="dxa"/>
            <w:gridSpan w:val="3"/>
          </w:tcPr>
          <w:p>
            <w:pPr>
              <w:pStyle w:val="nTable"/>
              <w:spacing w:after="40"/>
            </w:pPr>
            <w:r>
              <w:t>5 Dec 2001</w:t>
            </w:r>
          </w:p>
        </w:tc>
        <w:tc>
          <w:tcPr>
            <w:tcW w:w="2551" w:type="dxa"/>
            <w:gridSpan w:val="3"/>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21" w:type="dxa"/>
          <w:cantSplit/>
        </w:trPr>
        <w:tc>
          <w:tcPr>
            <w:tcW w:w="2268" w:type="dxa"/>
            <w:gridSpan w:val="3"/>
          </w:tcPr>
          <w:p>
            <w:pPr>
              <w:pStyle w:val="nTable"/>
              <w:spacing w:after="40"/>
              <w:ind w:right="113"/>
              <w:rPr>
                <w:i/>
              </w:rPr>
            </w:pPr>
            <w:r>
              <w:rPr>
                <w:i/>
              </w:rPr>
              <w:t>Vexatious Proceedings Restriction Act 2002</w:t>
            </w:r>
            <w:r>
              <w:t xml:space="preserve"> s. 13</w:t>
            </w:r>
          </w:p>
        </w:tc>
        <w:tc>
          <w:tcPr>
            <w:tcW w:w="1134" w:type="dxa"/>
            <w:gridSpan w:val="3"/>
          </w:tcPr>
          <w:p>
            <w:pPr>
              <w:pStyle w:val="nTable"/>
              <w:spacing w:after="40"/>
            </w:pPr>
            <w:r>
              <w:t>23 of 2002</w:t>
            </w:r>
          </w:p>
        </w:tc>
        <w:tc>
          <w:tcPr>
            <w:tcW w:w="1136" w:type="dxa"/>
            <w:gridSpan w:val="3"/>
          </w:tcPr>
          <w:p>
            <w:pPr>
              <w:pStyle w:val="nTable"/>
              <w:spacing w:after="40"/>
            </w:pPr>
            <w:r>
              <w:t>18 Sep 2002</w:t>
            </w:r>
          </w:p>
        </w:tc>
        <w:tc>
          <w:tcPr>
            <w:tcW w:w="2551" w:type="dxa"/>
            <w:gridSpan w:val="3"/>
          </w:tcPr>
          <w:p>
            <w:pPr>
              <w:pStyle w:val="nTable"/>
              <w:spacing w:after="40"/>
            </w:pPr>
            <w:r>
              <w:t xml:space="preserve">28 Sep 2002 (see s. 2 and </w:t>
            </w:r>
            <w:r>
              <w:rPr>
                <w:i/>
              </w:rPr>
              <w:t>Gazette</w:t>
            </w:r>
            <w:r>
              <w:t xml:space="preserve"> 27 Sep 2002 p. 4877)</w:t>
            </w:r>
          </w:p>
        </w:tc>
      </w:tr>
      <w:tr>
        <w:trPr>
          <w:gridAfter w:val="2"/>
          <w:wAfter w:w="21" w:type="dxa"/>
          <w:cantSplit/>
        </w:trPr>
        <w:tc>
          <w:tcPr>
            <w:tcW w:w="2268" w:type="dxa"/>
            <w:gridSpan w:val="3"/>
          </w:tcPr>
          <w:p>
            <w:pPr>
              <w:pStyle w:val="nTable"/>
              <w:spacing w:after="40"/>
              <w:ind w:right="113"/>
            </w:pPr>
            <w:r>
              <w:rPr>
                <w:i/>
              </w:rPr>
              <w:t>Acts Amendment (Equality of Status) Act 2003</w:t>
            </w:r>
            <w:r>
              <w:t xml:space="preserve"> Pt. 36</w:t>
            </w:r>
          </w:p>
        </w:tc>
        <w:tc>
          <w:tcPr>
            <w:tcW w:w="1134" w:type="dxa"/>
            <w:gridSpan w:val="3"/>
          </w:tcPr>
          <w:p>
            <w:pPr>
              <w:pStyle w:val="nTable"/>
              <w:spacing w:after="40"/>
            </w:pPr>
            <w:r>
              <w:t>28 of 2003</w:t>
            </w:r>
          </w:p>
        </w:tc>
        <w:tc>
          <w:tcPr>
            <w:tcW w:w="1136"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1" w:type="dxa"/>
          <w:cantSplit/>
        </w:trPr>
        <w:tc>
          <w:tcPr>
            <w:tcW w:w="2268" w:type="dxa"/>
            <w:gridSpan w:val="3"/>
          </w:tcPr>
          <w:p>
            <w:pPr>
              <w:pStyle w:val="nTable"/>
              <w:spacing w:after="40"/>
              <w:ind w:right="113"/>
              <w:rPr>
                <w:i/>
              </w:rPr>
            </w:pPr>
            <w:r>
              <w:rPr>
                <w:i/>
              </w:rPr>
              <w:t>Public Transport Authority Act 2003</w:t>
            </w:r>
            <w:r>
              <w:t xml:space="preserve"> s. 151</w:t>
            </w:r>
          </w:p>
        </w:tc>
        <w:tc>
          <w:tcPr>
            <w:tcW w:w="1134" w:type="dxa"/>
            <w:gridSpan w:val="3"/>
          </w:tcPr>
          <w:p>
            <w:pPr>
              <w:pStyle w:val="nTable"/>
              <w:spacing w:after="40"/>
            </w:pPr>
            <w:r>
              <w:t>31 of 2003</w:t>
            </w:r>
          </w:p>
        </w:tc>
        <w:tc>
          <w:tcPr>
            <w:tcW w:w="1136" w:type="dxa"/>
            <w:gridSpan w:val="3"/>
          </w:tcPr>
          <w:p>
            <w:pPr>
              <w:pStyle w:val="nTable"/>
              <w:spacing w:after="40"/>
            </w:pPr>
            <w:r>
              <w:t>26 May 2003</w:t>
            </w:r>
          </w:p>
        </w:tc>
        <w:tc>
          <w:tcPr>
            <w:tcW w:w="2551" w:type="dxa"/>
            <w:gridSpan w:val="3"/>
          </w:tcPr>
          <w:p>
            <w:pPr>
              <w:pStyle w:val="nTable"/>
              <w:spacing w:after="40"/>
            </w:pPr>
            <w:r>
              <w:t xml:space="preserve">1 Jul 2003 (see s. 2(1) and </w:t>
            </w:r>
            <w:r>
              <w:rPr>
                <w:i/>
              </w:rPr>
              <w:t xml:space="preserve">Gazette </w:t>
            </w:r>
            <w:r>
              <w:t>27 Jun 2003 p. 2384)</w:t>
            </w:r>
          </w:p>
        </w:tc>
      </w:tr>
      <w:tr>
        <w:trPr>
          <w:gridAfter w:val="2"/>
          <w:wAfter w:w="21" w:type="dxa"/>
          <w:cantSplit/>
        </w:trPr>
        <w:tc>
          <w:tcPr>
            <w:tcW w:w="2268" w:type="dxa"/>
            <w:gridSpan w:val="3"/>
          </w:tcPr>
          <w:p>
            <w:pPr>
              <w:pStyle w:val="nTable"/>
              <w:spacing w:after="40"/>
              <w:ind w:right="113"/>
              <w:rPr>
                <w:i/>
              </w:rPr>
            </w:pPr>
            <w:r>
              <w:rPr>
                <w:i/>
              </w:rPr>
              <w:t>Racing and Gambling Legislation Amendment and Repeal Act 2003</w:t>
            </w:r>
            <w:r>
              <w:t xml:space="preserve"> s. 173</w:t>
            </w:r>
          </w:p>
        </w:tc>
        <w:tc>
          <w:tcPr>
            <w:tcW w:w="1134" w:type="dxa"/>
            <w:gridSpan w:val="3"/>
          </w:tcPr>
          <w:p>
            <w:pPr>
              <w:pStyle w:val="nTable"/>
              <w:spacing w:after="40"/>
              <w:rPr>
                <w:snapToGrid w:val="0"/>
              </w:rPr>
            </w:pPr>
            <w:r>
              <w:t>35 of 2003</w:t>
            </w:r>
          </w:p>
        </w:tc>
        <w:tc>
          <w:tcPr>
            <w:tcW w:w="1136" w:type="dxa"/>
            <w:gridSpan w:val="3"/>
          </w:tcPr>
          <w:p>
            <w:pPr>
              <w:pStyle w:val="nTable"/>
              <w:spacing w:after="40"/>
              <w:rPr>
                <w:snapToGrid w:val="0"/>
              </w:rPr>
            </w:pPr>
            <w:r>
              <w:t>26 Jun 2003</w:t>
            </w:r>
          </w:p>
        </w:tc>
        <w:tc>
          <w:tcPr>
            <w:tcW w:w="2551" w:type="dxa"/>
            <w:gridSpan w:val="3"/>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21" w:type="dxa"/>
          <w:cantSplit/>
        </w:trPr>
        <w:tc>
          <w:tcPr>
            <w:tcW w:w="2268" w:type="dxa"/>
            <w:gridSpan w:val="3"/>
          </w:tcPr>
          <w:p>
            <w:pPr>
              <w:pStyle w:val="nTable"/>
              <w:spacing w:after="40"/>
              <w:ind w:right="113"/>
            </w:pPr>
            <w:r>
              <w:rPr>
                <w:i/>
              </w:rPr>
              <w:t>Statutes (Repeals and Minor Amendments) Act 2003</w:t>
            </w:r>
            <w:r>
              <w:t xml:space="preserve"> s. 78</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1" w:type="dxa"/>
          <w:cantSplit/>
        </w:trPr>
        <w:tc>
          <w:tcPr>
            <w:tcW w:w="7089" w:type="dxa"/>
            <w:gridSpan w:val="12"/>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21" w:type="dxa"/>
          <w:cantSplit/>
        </w:trPr>
        <w:tc>
          <w:tcPr>
            <w:tcW w:w="2268" w:type="dxa"/>
            <w:gridSpan w:val="3"/>
          </w:tcPr>
          <w:p>
            <w:pPr>
              <w:pStyle w:val="nTable"/>
              <w:spacing w:after="40"/>
              <w:ind w:right="113"/>
            </w:pPr>
            <w:r>
              <w:rPr>
                <w:i/>
                <w:snapToGrid w:val="0"/>
              </w:rPr>
              <w:t>Acts Amendment (Court of Appeal) Act 2004</w:t>
            </w:r>
            <w:r>
              <w:rPr>
                <w:snapToGrid w:val="0"/>
              </w:rPr>
              <w:t xml:space="preserve"> s. 37</w:t>
            </w:r>
          </w:p>
        </w:tc>
        <w:tc>
          <w:tcPr>
            <w:tcW w:w="1134" w:type="dxa"/>
            <w:gridSpan w:val="3"/>
          </w:tcPr>
          <w:p>
            <w:pPr>
              <w:pStyle w:val="nTable"/>
              <w:spacing w:after="40"/>
            </w:pPr>
            <w:r>
              <w:rPr>
                <w:snapToGrid w:val="0"/>
              </w:rPr>
              <w:t>45 of 2004</w:t>
            </w:r>
          </w:p>
        </w:tc>
        <w:tc>
          <w:tcPr>
            <w:tcW w:w="1136" w:type="dxa"/>
            <w:gridSpan w:val="3"/>
          </w:tcPr>
          <w:p>
            <w:pPr>
              <w:pStyle w:val="nTable"/>
              <w:spacing w:after="40"/>
            </w:pPr>
            <w:r>
              <w:t>9 Nov 2004</w:t>
            </w:r>
          </w:p>
        </w:tc>
        <w:tc>
          <w:tcPr>
            <w:tcW w:w="2551"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gridSpan w:val="3"/>
          </w:tcPr>
          <w:p>
            <w:pPr>
              <w:pStyle w:val="nTable"/>
              <w:keepNext/>
              <w:spacing w:after="40"/>
              <w:rPr>
                <w:snapToGrid w:val="0"/>
              </w:rPr>
            </w:pPr>
            <w:r>
              <w:rPr>
                <w:snapToGrid w:val="0"/>
              </w:rPr>
              <w:t>59 of 2004</w:t>
            </w:r>
          </w:p>
        </w:tc>
        <w:tc>
          <w:tcPr>
            <w:tcW w:w="1136" w:type="dxa"/>
            <w:gridSpan w:val="3"/>
          </w:tcPr>
          <w:p>
            <w:pPr>
              <w:pStyle w:val="nTable"/>
              <w:keepNext/>
              <w:spacing w:after="40"/>
            </w:pPr>
            <w:r>
              <w:t>23 Nov 2004</w:t>
            </w:r>
          </w:p>
        </w:tc>
        <w:tc>
          <w:tcPr>
            <w:tcW w:w="2551" w:type="dxa"/>
            <w:gridSpan w:val="3"/>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21" w:type="dxa"/>
          <w:cantSplit/>
        </w:trPr>
        <w:tc>
          <w:tcPr>
            <w:tcW w:w="2268"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gridSpan w:val="3"/>
          </w:tcPr>
          <w:p>
            <w:pPr>
              <w:pStyle w:val="nTable"/>
              <w:spacing w:after="40"/>
              <w:rPr>
                <w:snapToGrid w:val="0"/>
              </w:rPr>
            </w:pPr>
            <w:r>
              <w:rPr>
                <w:snapToGrid w:val="0"/>
              </w:rPr>
              <w:t>70 of 2004</w:t>
            </w:r>
          </w:p>
        </w:tc>
        <w:tc>
          <w:tcPr>
            <w:tcW w:w="1136" w:type="dxa"/>
            <w:gridSpan w:val="3"/>
          </w:tcPr>
          <w:p>
            <w:pPr>
              <w:pStyle w:val="nTable"/>
              <w:spacing w:after="40"/>
            </w:pPr>
            <w:r>
              <w:rPr>
                <w:snapToGrid w:val="0"/>
              </w:rPr>
              <w:t>8 Dec 2004</w:t>
            </w:r>
          </w:p>
        </w:tc>
        <w:tc>
          <w:tcPr>
            <w:tcW w:w="2551" w:type="dxa"/>
            <w:gridSpan w:val="3"/>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51"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21" w:type="dxa"/>
          <w:cantSplit/>
        </w:trPr>
        <w:tc>
          <w:tcPr>
            <w:tcW w:w="2268"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51" w:type="dxa"/>
            <w:gridSpan w:val="3"/>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21" w:type="dxa"/>
          <w:cantSplit/>
        </w:trPr>
        <w:tc>
          <w:tcPr>
            <w:tcW w:w="7089" w:type="dxa"/>
            <w:gridSpan w:val="12"/>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21" w:type="dxa"/>
        </w:trPr>
        <w:tc>
          <w:tcPr>
            <w:tcW w:w="2268"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1134" w:type="dxa"/>
            <w:gridSpan w:val="3"/>
          </w:tcPr>
          <w:p>
            <w:pPr>
              <w:pStyle w:val="nTable"/>
              <w:spacing w:after="40"/>
              <w:rPr>
                <w:snapToGrid w:val="0"/>
              </w:rPr>
            </w:pPr>
            <w:r>
              <w:rPr>
                <w:snapToGrid w:val="0"/>
              </w:rPr>
              <w:t>59 of 2006</w:t>
            </w:r>
          </w:p>
        </w:tc>
        <w:tc>
          <w:tcPr>
            <w:tcW w:w="1136" w:type="dxa"/>
            <w:gridSpan w:val="3"/>
          </w:tcPr>
          <w:p>
            <w:pPr>
              <w:pStyle w:val="nTable"/>
              <w:spacing w:after="40"/>
              <w:rPr>
                <w:snapToGrid w:val="0"/>
              </w:rPr>
            </w:pPr>
            <w:r>
              <w:rPr>
                <w:snapToGrid w:val="0"/>
              </w:rPr>
              <w:t>16 Nov 2006</w:t>
            </w:r>
          </w:p>
        </w:tc>
        <w:tc>
          <w:tcPr>
            <w:tcW w:w="2551" w:type="dxa"/>
            <w:gridSpan w:val="3"/>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21" w:type="dxa"/>
        </w:trPr>
        <w:tc>
          <w:tcPr>
            <w:tcW w:w="2268"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1134" w:type="dxa"/>
            <w:gridSpan w:val="3"/>
          </w:tcPr>
          <w:p>
            <w:pPr>
              <w:pStyle w:val="nTable"/>
              <w:spacing w:after="40"/>
              <w:rPr>
                <w:snapToGrid w:val="0"/>
              </w:rPr>
            </w:pPr>
            <w:r>
              <w:rPr>
                <w:snapToGrid w:val="0"/>
              </w:rPr>
              <w:t>73 of 2006</w:t>
            </w:r>
          </w:p>
        </w:tc>
        <w:tc>
          <w:tcPr>
            <w:tcW w:w="1136" w:type="dxa"/>
            <w:gridSpan w:val="3"/>
          </w:tcPr>
          <w:p>
            <w:pPr>
              <w:pStyle w:val="nTable"/>
              <w:spacing w:after="40"/>
              <w:rPr>
                <w:snapToGrid w:val="0"/>
              </w:rPr>
            </w:pPr>
            <w:r>
              <w:rPr>
                <w:snapToGrid w:val="0"/>
              </w:rPr>
              <w:t>13 Dec 2006</w:t>
            </w:r>
          </w:p>
        </w:tc>
        <w:tc>
          <w:tcPr>
            <w:tcW w:w="2551" w:type="dxa"/>
            <w:gridSpan w:val="3"/>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21" w:type="dxa"/>
        </w:trPr>
        <w:tc>
          <w:tcPr>
            <w:tcW w:w="2268"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1134" w:type="dxa"/>
            <w:gridSpan w:val="3"/>
          </w:tcPr>
          <w:p>
            <w:pPr>
              <w:pStyle w:val="nTable"/>
              <w:spacing w:after="40"/>
              <w:rPr>
                <w:snapToGrid w:val="0"/>
              </w:rPr>
            </w:pPr>
            <w:r>
              <w:rPr>
                <w:snapToGrid w:val="0"/>
              </w:rPr>
              <w:t>77 of 2006</w:t>
            </w:r>
          </w:p>
        </w:tc>
        <w:tc>
          <w:tcPr>
            <w:tcW w:w="1136" w:type="dxa"/>
            <w:gridSpan w:val="3"/>
          </w:tcPr>
          <w:p>
            <w:pPr>
              <w:pStyle w:val="nTable"/>
              <w:spacing w:after="40"/>
              <w:rPr>
                <w:snapToGrid w:val="0"/>
              </w:rPr>
            </w:pPr>
            <w:r>
              <w:rPr>
                <w:snapToGrid w:val="0"/>
              </w:rPr>
              <w:t>21 Dec 2006</w:t>
            </w:r>
          </w:p>
        </w:tc>
        <w:tc>
          <w:tcPr>
            <w:tcW w:w="2551"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21" w:type="dxa"/>
          <w:cantSplit/>
        </w:trPr>
        <w:tc>
          <w:tcPr>
            <w:tcW w:w="7089" w:type="dxa"/>
            <w:gridSpan w:val="12"/>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21" w:type="dxa"/>
        </w:trPr>
        <w:tc>
          <w:tcPr>
            <w:tcW w:w="2268" w:type="dxa"/>
            <w:gridSpan w:val="3"/>
          </w:tcPr>
          <w:p>
            <w:pPr>
              <w:pStyle w:val="nTable"/>
              <w:spacing w:after="40"/>
              <w:rPr>
                <w:i/>
                <w:snapToGrid w:val="0"/>
              </w:rPr>
            </w:pPr>
            <w:r>
              <w:rPr>
                <w:i/>
                <w:iCs/>
                <w:snapToGrid w:val="0"/>
              </w:rPr>
              <w:t>Legal Profession Act 2008</w:t>
            </w:r>
            <w:r>
              <w:rPr>
                <w:snapToGrid w:val="0"/>
              </w:rPr>
              <w:t xml:space="preserve"> s. 675 </w:t>
            </w:r>
          </w:p>
        </w:tc>
        <w:tc>
          <w:tcPr>
            <w:tcW w:w="1134" w:type="dxa"/>
            <w:gridSpan w:val="3"/>
          </w:tcPr>
          <w:p>
            <w:pPr>
              <w:pStyle w:val="nTable"/>
              <w:spacing w:after="40"/>
            </w:pPr>
            <w:r>
              <w:rPr>
                <w:snapToGrid w:val="0"/>
              </w:rPr>
              <w:t>21 of 2008</w:t>
            </w:r>
          </w:p>
        </w:tc>
        <w:tc>
          <w:tcPr>
            <w:tcW w:w="1136" w:type="dxa"/>
            <w:gridSpan w:val="3"/>
          </w:tcPr>
          <w:p>
            <w:pPr>
              <w:pStyle w:val="nTable"/>
              <w:spacing w:after="40"/>
              <w:ind w:right="-80"/>
            </w:pPr>
            <w:r>
              <w:rPr>
                <w:snapToGrid w:val="0"/>
              </w:rPr>
              <w:t>27 May 2008</w:t>
            </w:r>
          </w:p>
        </w:tc>
        <w:tc>
          <w:tcPr>
            <w:tcW w:w="2551" w:type="dxa"/>
            <w:gridSpan w:val="3"/>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21" w:type="dxa"/>
          <w:cantSplit/>
        </w:trPr>
        <w:tc>
          <w:tcPr>
            <w:tcW w:w="2268"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1134" w:type="dxa"/>
            <w:gridSpan w:val="3"/>
          </w:tcPr>
          <w:p>
            <w:pPr>
              <w:pStyle w:val="nTable"/>
              <w:spacing w:after="40"/>
              <w:rPr>
                <w:snapToGrid w:val="0"/>
              </w:rPr>
            </w:pPr>
            <w:r>
              <w:t>43 of 2008</w:t>
            </w:r>
          </w:p>
        </w:tc>
        <w:tc>
          <w:tcPr>
            <w:tcW w:w="1136" w:type="dxa"/>
            <w:gridSpan w:val="3"/>
          </w:tcPr>
          <w:p>
            <w:pPr>
              <w:pStyle w:val="nTable"/>
              <w:spacing w:after="40"/>
              <w:ind w:right="-80"/>
              <w:rPr>
                <w:snapToGrid w:val="0"/>
              </w:rPr>
            </w:pPr>
            <w:r>
              <w:t>8 Jul 2008</w:t>
            </w:r>
          </w:p>
        </w:tc>
        <w:tc>
          <w:tcPr>
            <w:tcW w:w="2551" w:type="dxa"/>
            <w:gridSpan w:val="3"/>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21"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51" w:type="dxa"/>
            <w:gridSpan w:val="3"/>
          </w:tcPr>
          <w:p>
            <w:pPr>
              <w:pStyle w:val="nTable"/>
              <w:spacing w:after="40"/>
            </w:pPr>
            <w:r>
              <w:t>17 Sep 2009 (see s. 2(b))</w:t>
            </w:r>
          </w:p>
        </w:tc>
      </w:tr>
      <w:tr>
        <w:trPr>
          <w:gridAfter w:val="2"/>
          <w:wAfter w:w="21" w:type="dxa"/>
          <w:cantSplit/>
        </w:trPr>
        <w:tc>
          <w:tcPr>
            <w:tcW w:w="7089" w:type="dxa"/>
            <w:gridSpan w:val="12"/>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53"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1134" w:type="dxa"/>
            <w:gridSpan w:val="3"/>
          </w:tcPr>
          <w:p>
            <w:pPr>
              <w:pStyle w:val="nTable"/>
              <w:spacing w:after="40"/>
              <w:rPr>
                <w:snapToGrid w:val="0"/>
              </w:rPr>
            </w:pPr>
            <w:r>
              <w:rPr>
                <w:snapToGrid w:val="0"/>
              </w:rPr>
              <w:t>35 of 2010</w:t>
            </w:r>
          </w:p>
        </w:tc>
        <w:tc>
          <w:tcPr>
            <w:tcW w:w="1136" w:type="dxa"/>
            <w:gridSpan w:val="3"/>
          </w:tcPr>
          <w:p>
            <w:pPr>
              <w:pStyle w:val="nTable"/>
              <w:spacing w:after="40"/>
              <w:rPr>
                <w:snapToGrid w:val="0"/>
              </w:rPr>
            </w:pPr>
            <w:r>
              <w:rPr>
                <w:snapToGrid w:val="0"/>
              </w:rPr>
              <w:t>30 Aug 2010</w:t>
            </w:r>
          </w:p>
        </w:tc>
        <w:tc>
          <w:tcPr>
            <w:tcW w:w="2553"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53"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9" w:type="dxa"/>
          <w:wAfter w:w="10" w:type="dxa"/>
          <w:cantSplit/>
        </w:trPr>
        <w:tc>
          <w:tcPr>
            <w:tcW w:w="2268" w:type="dxa"/>
            <w:gridSpan w:val="3"/>
          </w:tcPr>
          <w:p>
            <w:pPr>
              <w:pStyle w:val="nTable"/>
              <w:spacing w:after="40"/>
              <w:ind w:right="113"/>
              <w:rPr>
                <w:i/>
                <w:iCs/>
                <w:snapToGrid w:val="0"/>
              </w:rPr>
            </w:pPr>
            <w:r>
              <w:rPr>
                <w:i/>
                <w:snapToGrid w:val="0"/>
              </w:rPr>
              <w:t>Liquor Control Amendment Act 2010</w:t>
            </w:r>
            <w:r>
              <w:rPr>
                <w:iCs/>
                <w:snapToGrid w:val="0"/>
              </w:rPr>
              <w:t xml:space="preserve"> </w:t>
            </w:r>
          </w:p>
        </w:tc>
        <w:tc>
          <w:tcPr>
            <w:tcW w:w="1134" w:type="dxa"/>
            <w:gridSpan w:val="3"/>
          </w:tcPr>
          <w:p>
            <w:pPr>
              <w:pStyle w:val="nTable"/>
              <w:spacing w:after="40"/>
              <w:rPr>
                <w:snapToGrid w:val="0"/>
              </w:rPr>
            </w:pPr>
            <w:r>
              <w:t>56 of 2010</w:t>
            </w:r>
          </w:p>
        </w:tc>
        <w:tc>
          <w:tcPr>
            <w:tcW w:w="1136" w:type="dxa"/>
            <w:gridSpan w:val="3"/>
          </w:tcPr>
          <w:p>
            <w:pPr>
              <w:pStyle w:val="nTable"/>
              <w:spacing w:after="40"/>
              <w:rPr>
                <w:snapToGrid w:val="0"/>
              </w:rPr>
            </w:pPr>
            <w:r>
              <w:t>8 Dec 2010</w:t>
            </w:r>
          </w:p>
        </w:tc>
        <w:tc>
          <w:tcPr>
            <w:tcW w:w="2553" w:type="dxa"/>
            <w:gridSpan w:val="3"/>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Building Act 2011</w:t>
            </w:r>
            <w:r>
              <w:rPr>
                <w:snapToGrid w:val="0"/>
              </w:rPr>
              <w:t xml:space="preserve"> s. 165</w:t>
            </w:r>
          </w:p>
        </w:tc>
        <w:tc>
          <w:tcPr>
            <w:tcW w:w="1134" w:type="dxa"/>
            <w:gridSpan w:val="3"/>
          </w:tcPr>
          <w:p>
            <w:pPr>
              <w:pStyle w:val="nTable"/>
              <w:spacing w:after="40"/>
            </w:pPr>
            <w:r>
              <w:rPr>
                <w:snapToGrid w:val="0"/>
              </w:rPr>
              <w:t>24 of 2011</w:t>
            </w:r>
          </w:p>
        </w:tc>
        <w:tc>
          <w:tcPr>
            <w:tcW w:w="1136" w:type="dxa"/>
            <w:gridSpan w:val="3"/>
          </w:tcPr>
          <w:p>
            <w:pPr>
              <w:pStyle w:val="nTable"/>
              <w:spacing w:after="40"/>
            </w:pPr>
            <w:r>
              <w:t>11 Jul 2011</w:t>
            </w:r>
          </w:p>
        </w:tc>
        <w:tc>
          <w:tcPr>
            <w:tcW w:w="2553" w:type="dxa"/>
            <w:gridSpan w:val="3"/>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1134" w:type="dxa"/>
            <w:gridSpan w:val="3"/>
            <w:shd w:val="clear" w:color="auto" w:fill="auto"/>
          </w:tcPr>
          <w:p>
            <w:pPr>
              <w:pStyle w:val="nTable"/>
              <w:spacing w:after="40"/>
            </w:pPr>
            <w:r>
              <w:rPr>
                <w:snapToGrid w:val="0"/>
              </w:rPr>
              <w:t>42 of 2011</w:t>
            </w:r>
          </w:p>
        </w:tc>
        <w:tc>
          <w:tcPr>
            <w:tcW w:w="1136" w:type="dxa"/>
            <w:gridSpan w:val="3"/>
            <w:shd w:val="clear" w:color="auto" w:fill="auto"/>
          </w:tcPr>
          <w:p>
            <w:pPr>
              <w:pStyle w:val="nTable"/>
              <w:spacing w:after="40"/>
            </w:pPr>
            <w:r>
              <w:t>4 Oct 2011</w:t>
            </w:r>
          </w:p>
        </w:tc>
        <w:tc>
          <w:tcPr>
            <w:tcW w:w="2553" w:type="dxa"/>
            <w:gridSpan w:val="3"/>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1134" w:type="dxa"/>
            <w:gridSpan w:val="3"/>
            <w:shd w:val="clear" w:color="auto" w:fill="auto"/>
          </w:tcPr>
          <w:p>
            <w:pPr>
              <w:pStyle w:val="nTable"/>
              <w:spacing w:after="40"/>
            </w:pPr>
            <w:r>
              <w:rPr>
                <w:snapToGrid w:val="0"/>
              </w:rPr>
              <w:t>47 of 2011</w:t>
            </w:r>
          </w:p>
        </w:tc>
        <w:tc>
          <w:tcPr>
            <w:tcW w:w="1136" w:type="dxa"/>
            <w:gridSpan w:val="3"/>
            <w:shd w:val="clear" w:color="auto" w:fill="auto"/>
          </w:tcPr>
          <w:p>
            <w:pPr>
              <w:pStyle w:val="nTable"/>
              <w:spacing w:after="40"/>
            </w:pPr>
            <w:r>
              <w:rPr>
                <w:snapToGrid w:val="0"/>
              </w:rPr>
              <w:t>25 Oct 2011</w:t>
            </w:r>
          </w:p>
        </w:tc>
        <w:tc>
          <w:tcPr>
            <w:tcW w:w="2553" w:type="dxa"/>
            <w:gridSpan w:val="3"/>
            <w:shd w:val="clear" w:color="auto" w:fill="auto"/>
          </w:tcPr>
          <w:p>
            <w:pPr>
              <w:pStyle w:val="nTable"/>
              <w:spacing w:after="40"/>
              <w:rPr>
                <w:snapToGrid w:val="0"/>
              </w:rPr>
            </w:pPr>
            <w:r>
              <w:rPr>
                <w:snapToGrid w:val="0"/>
              </w:rPr>
              <w:t>26 Oct 2011 (see s. 2(b))</w:t>
            </w:r>
          </w:p>
        </w:tc>
      </w:tr>
      <w:tr>
        <w:trPr>
          <w:gridBefore w:val="1"/>
          <w:gridAfter w:val="1"/>
          <w:wBefore w:w="9" w:type="dxa"/>
          <w:wAfter w:w="10" w:type="dxa"/>
          <w:cantSplit/>
        </w:trPr>
        <w:tc>
          <w:tcPr>
            <w:tcW w:w="7091" w:type="dxa"/>
            <w:gridSpan w:val="12"/>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3" w:type="dxa"/>
          <w:cantSplit/>
        </w:trPr>
        <w:tc>
          <w:tcPr>
            <w:tcW w:w="2268" w:type="dxa"/>
            <w:gridSpan w:val="3"/>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28</w:t>
            </w:r>
            <w:r>
              <w:rPr>
                <w:rFonts w:ascii="Times" w:hAnsi="Times"/>
                <w:snapToGrid w:val="0"/>
                <w:vertAlign w:val="superscript"/>
              </w:rPr>
              <w:t> </w:t>
            </w:r>
          </w:p>
        </w:tc>
        <w:tc>
          <w:tcPr>
            <w:tcW w:w="1134" w:type="dxa"/>
            <w:gridSpan w:val="3"/>
            <w:tcBorders>
              <w:top w:val="nil"/>
              <w:bottom w:val="nil"/>
            </w:tcBorders>
          </w:tcPr>
          <w:p>
            <w:pPr>
              <w:pStyle w:val="nTable"/>
              <w:keepNext/>
              <w:keepLines/>
              <w:spacing w:after="40"/>
            </w:pPr>
            <w:r>
              <w:rPr>
                <w:snapToGrid w:val="0"/>
              </w:rPr>
              <w:t>8 of 2012</w:t>
            </w:r>
          </w:p>
        </w:tc>
        <w:tc>
          <w:tcPr>
            <w:tcW w:w="1134" w:type="dxa"/>
            <w:gridSpan w:val="3"/>
            <w:tcBorders>
              <w:top w:val="nil"/>
              <w:bottom w:val="nil"/>
            </w:tcBorders>
          </w:tcPr>
          <w:p>
            <w:pPr>
              <w:pStyle w:val="nTable"/>
              <w:keepNext/>
              <w:keepLines/>
              <w:spacing w:after="40"/>
            </w:pPr>
            <w:r>
              <w:t>21 May 2012</w:t>
            </w:r>
          </w:p>
        </w:tc>
        <w:tc>
          <w:tcPr>
            <w:tcW w:w="2551"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1134" w:type="dxa"/>
            <w:gridSpan w:val="3"/>
            <w:shd w:val="clear" w:color="auto" w:fill="auto"/>
          </w:tcPr>
          <w:p>
            <w:pPr>
              <w:pStyle w:val="nTable"/>
              <w:spacing w:after="40"/>
            </w:pPr>
            <w:r>
              <w:rPr>
                <w:snapToGrid w:val="0"/>
              </w:rPr>
              <w:t>49 of 2012</w:t>
            </w:r>
          </w:p>
        </w:tc>
        <w:tc>
          <w:tcPr>
            <w:tcW w:w="1136" w:type="dxa"/>
            <w:gridSpan w:val="3"/>
            <w:shd w:val="clear" w:color="auto" w:fill="auto"/>
          </w:tcPr>
          <w:p>
            <w:pPr>
              <w:pStyle w:val="nTable"/>
              <w:spacing w:after="40"/>
            </w:pPr>
            <w:r>
              <w:t>29 Nov 2012</w:t>
            </w:r>
          </w:p>
        </w:tc>
        <w:tc>
          <w:tcPr>
            <w:tcW w:w="2553" w:type="dxa"/>
            <w:gridSpan w:val="3"/>
            <w:shd w:val="clear" w:color="auto" w:fill="auto"/>
          </w:tcPr>
          <w:p>
            <w:pPr>
              <w:pStyle w:val="nTable"/>
              <w:spacing w:after="40"/>
              <w:rPr>
                <w:snapToGrid w:val="0"/>
              </w:rPr>
            </w:pPr>
            <w:r>
              <w:rPr>
                <w:snapToGrid w:val="0"/>
              </w:rPr>
              <w:t>2 Nov 2013 (see s. 2(b) and Gazette 1 Nov 2013 p. 4891)</w:t>
            </w:r>
          </w:p>
        </w:tc>
      </w:tr>
      <w:tr>
        <w:trPr>
          <w:gridBefore w:val="1"/>
          <w:gridAfter w:val="1"/>
          <w:wBefore w:w="9" w:type="dxa"/>
          <w:wAfter w:w="10" w:type="dxa"/>
          <w:cantSplit/>
        </w:trPr>
        <w:tc>
          <w:tcPr>
            <w:tcW w:w="2268" w:type="dxa"/>
            <w:gridSpan w:val="3"/>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gridSpan w:val="3"/>
            <w:shd w:val="clear" w:color="auto" w:fill="auto"/>
          </w:tcPr>
          <w:p>
            <w:pPr>
              <w:pStyle w:val="nTable"/>
              <w:spacing w:after="40"/>
              <w:rPr>
                <w:snapToGrid w:val="0"/>
              </w:rPr>
            </w:pPr>
            <w:r>
              <w:rPr>
                <w:snapToGrid w:val="0"/>
              </w:rPr>
              <w:t>35 of 2014</w:t>
            </w:r>
          </w:p>
        </w:tc>
        <w:tc>
          <w:tcPr>
            <w:tcW w:w="1136" w:type="dxa"/>
            <w:gridSpan w:val="3"/>
            <w:shd w:val="clear" w:color="auto" w:fill="auto"/>
          </w:tcPr>
          <w:p>
            <w:pPr>
              <w:pStyle w:val="nTable"/>
              <w:spacing w:after="40"/>
            </w:pPr>
            <w:r>
              <w:t>9 Dec 2014</w:t>
            </w:r>
          </w:p>
        </w:tc>
        <w:tc>
          <w:tcPr>
            <w:tcW w:w="2553" w:type="dxa"/>
            <w:gridSpan w:val="3"/>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9" w:type="dxa"/>
          <w:wAfter w:w="10" w:type="dxa"/>
          <w:cantSplit/>
        </w:trPr>
        <w:tc>
          <w:tcPr>
            <w:tcW w:w="2268" w:type="dxa"/>
            <w:gridSpan w:val="3"/>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1134" w:type="dxa"/>
            <w:gridSpan w:val="3"/>
            <w:shd w:val="clear" w:color="auto" w:fill="auto"/>
          </w:tcPr>
          <w:p>
            <w:pPr>
              <w:pStyle w:val="nTable"/>
              <w:spacing w:after="40"/>
              <w:rPr>
                <w:snapToGrid w:val="0"/>
              </w:rPr>
            </w:pPr>
            <w:r>
              <w:t>30 of 2015</w:t>
            </w:r>
          </w:p>
        </w:tc>
        <w:tc>
          <w:tcPr>
            <w:tcW w:w="1136" w:type="dxa"/>
            <w:gridSpan w:val="3"/>
            <w:shd w:val="clear" w:color="auto" w:fill="auto"/>
          </w:tcPr>
          <w:p>
            <w:pPr>
              <w:pStyle w:val="nTable"/>
              <w:spacing w:after="40"/>
            </w:pPr>
            <w:r>
              <w:t>2 Nov 2015</w:t>
            </w:r>
          </w:p>
        </w:tc>
        <w:tc>
          <w:tcPr>
            <w:tcW w:w="2553" w:type="dxa"/>
            <w:gridSpan w:val="3"/>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1134" w:type="dxa"/>
            <w:gridSpan w:val="3"/>
            <w:shd w:val="clear" w:color="auto" w:fill="auto"/>
          </w:tcPr>
          <w:p>
            <w:pPr>
              <w:pStyle w:val="nTable"/>
              <w:spacing w:after="40"/>
              <w:rPr>
                <w:snapToGrid w:val="0"/>
              </w:rPr>
            </w:pPr>
            <w:r>
              <w:t>35 of 2015</w:t>
            </w:r>
          </w:p>
        </w:tc>
        <w:tc>
          <w:tcPr>
            <w:tcW w:w="1136" w:type="dxa"/>
            <w:gridSpan w:val="3"/>
            <w:shd w:val="clear" w:color="auto" w:fill="auto"/>
          </w:tcPr>
          <w:p>
            <w:pPr>
              <w:pStyle w:val="nTable"/>
              <w:spacing w:after="40"/>
            </w:pPr>
            <w:r>
              <w:t>2 Nov 2015</w:t>
            </w:r>
          </w:p>
        </w:tc>
        <w:tc>
          <w:tcPr>
            <w:tcW w:w="2553" w:type="dxa"/>
            <w:gridSpan w:val="3"/>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9" w:type="dxa"/>
          <w:wAfter w:w="10" w:type="dxa"/>
          <w:cantSplit/>
        </w:trPr>
        <w:tc>
          <w:tcPr>
            <w:tcW w:w="7091" w:type="dxa"/>
            <w:gridSpan w:val="12"/>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r>
        <w:trPr>
          <w:gridBefore w:val="1"/>
          <w:gridAfter w:val="1"/>
          <w:wBefore w:w="9" w:type="dxa"/>
          <w:wAfter w:w="10" w:type="dxa"/>
          <w:cantSplit/>
        </w:trPr>
        <w:tc>
          <w:tcPr>
            <w:tcW w:w="2282" w:type="dxa"/>
            <w:gridSpan w:val="4"/>
            <w:shd w:val="clear" w:color="auto" w:fill="auto"/>
          </w:tcPr>
          <w:p>
            <w:pPr>
              <w:pStyle w:val="nTable"/>
              <w:spacing w:after="40"/>
              <w:rPr>
                <w:i/>
                <w:snapToGrid w:val="0"/>
                <w:szCs w:val="19"/>
              </w:rPr>
            </w:pPr>
            <w:r>
              <w:rPr>
                <w:i/>
                <w:snapToGrid w:val="0"/>
                <w:szCs w:val="19"/>
              </w:rPr>
              <w:t>Public Health (Consequential Provisions) Act 2016</w:t>
            </w:r>
            <w:r>
              <w:rPr>
                <w:snapToGrid w:val="0"/>
                <w:szCs w:val="19"/>
              </w:rPr>
              <w:t xml:space="preserve"> s. 101 and Pt. 3 Div. 17</w:t>
            </w:r>
          </w:p>
        </w:tc>
        <w:tc>
          <w:tcPr>
            <w:tcW w:w="1134" w:type="dxa"/>
            <w:gridSpan w:val="3"/>
            <w:shd w:val="clear" w:color="auto" w:fill="auto"/>
          </w:tcPr>
          <w:p>
            <w:pPr>
              <w:pStyle w:val="nTable"/>
              <w:spacing w:after="40"/>
            </w:pPr>
            <w:r>
              <w:t>19 of 2016</w:t>
            </w:r>
          </w:p>
        </w:tc>
        <w:tc>
          <w:tcPr>
            <w:tcW w:w="1134" w:type="dxa"/>
            <w:gridSpan w:val="3"/>
            <w:shd w:val="clear" w:color="auto" w:fill="auto"/>
          </w:tcPr>
          <w:p>
            <w:pPr>
              <w:pStyle w:val="nTable"/>
              <w:spacing w:after="40"/>
            </w:pPr>
            <w:r>
              <w:t>25 Jul 2016</w:t>
            </w:r>
          </w:p>
        </w:tc>
        <w:tc>
          <w:tcPr>
            <w:tcW w:w="2541" w:type="dxa"/>
            <w:gridSpan w:val="2"/>
            <w:shd w:val="clear" w:color="auto" w:fill="auto"/>
          </w:tcPr>
          <w:p>
            <w:pPr>
              <w:pStyle w:val="nTable"/>
              <w:spacing w:after="40"/>
              <w:rPr>
                <w:snapToGrid w:val="0"/>
              </w:rPr>
            </w:pPr>
            <w:r>
              <w:rPr>
                <w:snapToGrid w:val="0"/>
              </w:rPr>
              <w:t>24 Jan 2017 (see s. 2(1)(c) and Gazette 10 Jan 2017 p. 165)</w:t>
            </w:r>
          </w:p>
        </w:tc>
      </w:tr>
      <w:tr>
        <w:trPr>
          <w:gridBefore w:val="1"/>
          <w:gridAfter w:val="1"/>
          <w:wBefore w:w="9" w:type="dxa"/>
          <w:wAfter w:w="10" w:type="dxa"/>
          <w:cantSplit/>
        </w:trPr>
        <w:tc>
          <w:tcPr>
            <w:tcW w:w="2282" w:type="dxa"/>
            <w:gridSpan w:val="4"/>
            <w:tcBorders>
              <w:bottom w:val="single" w:sz="4" w:space="0" w:color="auto"/>
            </w:tcBorders>
            <w:shd w:val="clear" w:color="auto" w:fill="auto"/>
          </w:tcPr>
          <w:p>
            <w:pPr>
              <w:pStyle w:val="nTable"/>
              <w:spacing w:after="40"/>
              <w:rPr>
                <w:b/>
                <w:snapToGrid w:val="0"/>
              </w:rPr>
            </w:pPr>
            <w:r>
              <w:rPr>
                <w:i/>
                <w:snapToGrid w:val="0"/>
                <w:szCs w:val="19"/>
              </w:rPr>
              <w:t>Local Government Legislation Amendment Act 2016</w:t>
            </w:r>
            <w:r>
              <w:rPr>
                <w:snapToGrid w:val="0"/>
                <w:szCs w:val="19"/>
              </w:rPr>
              <w:t xml:space="preserve"> Pt. 3 Div. 20</w:t>
            </w:r>
          </w:p>
        </w:tc>
        <w:tc>
          <w:tcPr>
            <w:tcW w:w="1134" w:type="dxa"/>
            <w:gridSpan w:val="3"/>
            <w:tcBorders>
              <w:bottom w:val="single" w:sz="4" w:space="0" w:color="auto"/>
            </w:tcBorders>
            <w:shd w:val="clear" w:color="auto" w:fill="auto"/>
          </w:tcPr>
          <w:p>
            <w:pPr>
              <w:pStyle w:val="nTable"/>
              <w:spacing w:after="40"/>
              <w:rPr>
                <w:b/>
                <w:snapToGrid w:val="0"/>
              </w:rPr>
            </w:pPr>
            <w:r>
              <w:t>26 of 2016</w:t>
            </w:r>
          </w:p>
        </w:tc>
        <w:tc>
          <w:tcPr>
            <w:tcW w:w="1134" w:type="dxa"/>
            <w:gridSpan w:val="3"/>
            <w:tcBorders>
              <w:bottom w:val="single" w:sz="4" w:space="0" w:color="auto"/>
            </w:tcBorders>
            <w:shd w:val="clear" w:color="auto" w:fill="auto"/>
          </w:tcPr>
          <w:p>
            <w:pPr>
              <w:pStyle w:val="nTable"/>
              <w:spacing w:after="40"/>
              <w:rPr>
                <w:b/>
                <w:snapToGrid w:val="0"/>
              </w:rPr>
            </w:pPr>
            <w:r>
              <w:t>21 Sep 2016</w:t>
            </w:r>
          </w:p>
        </w:tc>
        <w:tc>
          <w:tcPr>
            <w:tcW w:w="2541" w:type="dxa"/>
            <w:gridSpan w:val="2"/>
            <w:tcBorders>
              <w:bottom w:val="single" w:sz="4" w:space="0" w:color="auto"/>
            </w:tcBorders>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93" w:name="_Toc473119490"/>
      <w:r>
        <w:rPr>
          <w:snapToGrid w:val="0"/>
        </w:rPr>
        <w:t>Provisions that have not come into operation</w:t>
      </w:r>
      <w:bookmarkEnd w:id="593"/>
    </w:p>
    <w:tbl>
      <w:tblPr>
        <w:tblW w:w="711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68"/>
        <w:gridCol w:w="1134"/>
        <w:gridCol w:w="1134"/>
        <w:gridCol w:w="2524"/>
        <w:gridCol w:w="27"/>
      </w:tblGrid>
      <w:tr>
        <w:trPr>
          <w:gridBefore w:val="1"/>
          <w:wBefore w:w="28" w:type="dxa"/>
          <w:cantSplit/>
          <w:tblHeader/>
        </w:trPr>
        <w:tc>
          <w:tcPr>
            <w:tcW w:w="2268"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51" w:type="dxa"/>
            <w:gridSpan w:val="2"/>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rPr>
          <w:gridBefore w:val="1"/>
          <w:wBefore w:w="28" w:type="dxa"/>
        </w:trPr>
        <w:tc>
          <w:tcPr>
            <w:tcW w:w="2268" w:type="dxa"/>
            <w:tcBorders>
              <w:top w:val="single" w:sz="4" w:space="0" w:color="auto"/>
              <w:bottom w:val="nil"/>
            </w:tcBorders>
          </w:tcPr>
          <w:p>
            <w:pPr>
              <w:pStyle w:val="nTable"/>
              <w:spacing w:after="40"/>
              <w:rPr>
                <w:i/>
                <w:snapToGrid w:val="0"/>
              </w:rPr>
            </w:pPr>
            <w:r>
              <w:rPr>
                <w:i/>
                <w:snapToGrid w:val="0"/>
              </w:rPr>
              <w:t>Prostitution Amendment Act 2008</w:t>
            </w:r>
            <w:r>
              <w:rPr>
                <w:iCs/>
                <w:snapToGrid w:val="0"/>
              </w:rPr>
              <w:t xml:space="preserve"> s. 32 </w:t>
            </w:r>
            <w:r>
              <w:rPr>
                <w:iCs/>
                <w:snapToGrid w:val="0"/>
                <w:vertAlign w:val="superscript"/>
              </w:rPr>
              <w:t>11</w:t>
            </w:r>
          </w:p>
        </w:tc>
        <w:tc>
          <w:tcPr>
            <w:tcW w:w="1134" w:type="dxa"/>
            <w:tcBorders>
              <w:top w:val="single" w:sz="4" w:space="0" w:color="auto"/>
              <w:bottom w:val="nil"/>
            </w:tcBorders>
          </w:tcPr>
          <w:p>
            <w:pPr>
              <w:pStyle w:val="nTable"/>
              <w:spacing w:after="40"/>
              <w:rPr>
                <w:snapToGrid w:val="0"/>
              </w:rPr>
            </w:pPr>
            <w:r>
              <w:t>13 of 2008</w:t>
            </w:r>
          </w:p>
        </w:tc>
        <w:tc>
          <w:tcPr>
            <w:tcW w:w="1134" w:type="dxa"/>
            <w:tcBorders>
              <w:top w:val="single" w:sz="4" w:space="0" w:color="auto"/>
              <w:bottom w:val="nil"/>
            </w:tcBorders>
          </w:tcPr>
          <w:p>
            <w:pPr>
              <w:pStyle w:val="nTable"/>
              <w:spacing w:after="40"/>
              <w:rPr>
                <w:snapToGrid w:val="0"/>
              </w:rPr>
            </w:pPr>
            <w:r>
              <w:t>14 Apr 2008</w:t>
            </w:r>
          </w:p>
        </w:tc>
        <w:tc>
          <w:tcPr>
            <w:tcW w:w="2551" w:type="dxa"/>
            <w:gridSpan w:val="2"/>
            <w:tcBorders>
              <w:top w:val="single" w:sz="4" w:space="0" w:color="auto"/>
              <w:bottom w:val="nil"/>
            </w:tcBorders>
          </w:tcPr>
          <w:p>
            <w:pPr>
              <w:pStyle w:val="nTable"/>
              <w:spacing w:after="40"/>
              <w:rPr>
                <w:snapToGrid w:val="0"/>
              </w:rPr>
            </w:pPr>
            <w:r>
              <w:rPr>
                <w:snapToGrid w:val="0"/>
              </w:rPr>
              <w:t>To be proclaimed (see s. 2(b))</w:t>
            </w:r>
          </w:p>
        </w:tc>
      </w:tr>
      <w:tr>
        <w:trPr>
          <w:gridBefore w:val="1"/>
          <w:wBefore w:w="28" w:type="dxa"/>
        </w:trPr>
        <w:tc>
          <w:tcPr>
            <w:tcW w:w="2268" w:type="dxa"/>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 </w:t>
            </w:r>
            <w:r>
              <w:rPr>
                <w:snapToGrid w:val="0"/>
                <w:vertAlign w:val="superscript"/>
              </w:rPr>
              <w:t>13</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1"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nil"/>
            </w:tcBorders>
          </w:tcPr>
          <w:p>
            <w:pPr>
              <w:pStyle w:val="nTable"/>
              <w:spacing w:after="40"/>
              <w:rPr>
                <w:noProof/>
                <w:snapToGrid w:val="0"/>
              </w:rPr>
            </w:pPr>
            <w:r>
              <w:rPr>
                <w:i/>
              </w:rPr>
              <w:t>Public Health (Consequential Provisions) Act 2016</w:t>
            </w:r>
            <w:r>
              <w:t xml:space="preserve"> Pt. 5 Div. 12</w:t>
            </w:r>
            <w:r>
              <w:rPr>
                <w:vertAlign w:val="superscript"/>
              </w:rPr>
              <w:t> 14</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24" w:type="dxa"/>
            <w:tcBorders>
              <w:top w:val="nil"/>
              <w:bottom w:val="nil"/>
            </w:tcBorders>
          </w:tcPr>
          <w:p>
            <w:pPr>
              <w:pStyle w:val="nTable"/>
              <w:spacing w:after="40"/>
              <w:rPr>
                <w:snapToGrid w:val="0"/>
              </w:rPr>
            </w:pPr>
            <w:r>
              <w:t>T</w:t>
            </w:r>
            <w:r>
              <w:rPr>
                <w:snapToGrid w:val="0"/>
              </w:rPr>
              <w:t>o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single" w:sz="4" w:space="0" w:color="auto"/>
            </w:tcBorders>
          </w:tcPr>
          <w:p>
            <w:pPr>
              <w:pStyle w:val="nTable"/>
              <w:spacing w:after="40"/>
            </w:pPr>
            <w:r>
              <w:rPr>
                <w:i/>
              </w:rPr>
              <w:t>Liquor Control Amendment Act 2018</w:t>
            </w:r>
            <w:r>
              <w:t xml:space="preserve"> s. 3</w:t>
            </w:r>
            <w:r>
              <w:noBreakHyphen/>
              <w:t>70</w:t>
            </w:r>
            <w:r>
              <w:rPr>
                <w:vertAlign w:val="superscript"/>
              </w:rPr>
              <w:t> 15</w:t>
            </w:r>
          </w:p>
        </w:tc>
        <w:tc>
          <w:tcPr>
            <w:tcW w:w="1134" w:type="dxa"/>
            <w:tcBorders>
              <w:top w:val="nil"/>
              <w:bottom w:val="single" w:sz="4" w:space="0" w:color="auto"/>
            </w:tcBorders>
          </w:tcPr>
          <w:p>
            <w:pPr>
              <w:pStyle w:val="nTable"/>
              <w:spacing w:after="40"/>
            </w:pPr>
            <w:r>
              <w:t>9 of 2018</w:t>
            </w:r>
          </w:p>
        </w:tc>
        <w:tc>
          <w:tcPr>
            <w:tcW w:w="1134" w:type="dxa"/>
            <w:tcBorders>
              <w:top w:val="nil"/>
              <w:bottom w:val="single" w:sz="4" w:space="0" w:color="auto"/>
            </w:tcBorders>
          </w:tcPr>
          <w:p>
            <w:pPr>
              <w:pStyle w:val="nTable"/>
              <w:spacing w:after="40"/>
            </w:pPr>
            <w:r>
              <w:t>13 Jul 2018</w:t>
            </w:r>
          </w:p>
        </w:tc>
        <w:tc>
          <w:tcPr>
            <w:tcW w:w="2524" w:type="dxa"/>
            <w:tcBorders>
              <w:top w:val="nil"/>
              <w:bottom w:val="single" w:sz="4" w:space="0" w:color="auto"/>
            </w:tcBorders>
          </w:tcPr>
          <w:p>
            <w:pPr>
              <w:pStyle w:val="nTable"/>
              <w:spacing w:after="40"/>
            </w:pPr>
            <w:r>
              <w:t>To be proclaimed (see s. 2(b))</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BlankOpen"/>
        <w:rPr>
          <w:snapToGrid w:val="0"/>
        </w:rPr>
      </w:pPr>
    </w:p>
    <w:p>
      <w:pPr>
        <w:pStyle w:val="nzHeading5"/>
        <w:spacing w:before="240"/>
      </w:pPr>
      <w:r>
        <w:rPr>
          <w:rStyle w:val="CharSectno"/>
        </w:rPr>
        <w:t>32</w:t>
      </w:r>
      <w:r>
        <w:t>.</w:t>
      </w:r>
      <w:r>
        <w:tab/>
      </w:r>
      <w:r>
        <w:rPr>
          <w:i/>
        </w:rPr>
        <w:t>Liquor Control Act 1988</w:t>
      </w:r>
      <w:r>
        <w:t xml:space="preserve"> amended</w:t>
      </w:r>
    </w:p>
    <w:p>
      <w:pPr>
        <w:pStyle w:val="nzSubsection"/>
        <w:spacing w:before="60"/>
      </w:pPr>
      <w:r>
        <w:tab/>
        <w:t>(1)</w:t>
      </w:r>
      <w:r>
        <w:tab/>
        <w:t xml:space="preserve">The amendment in this section is to the </w:t>
      </w:r>
      <w:r>
        <w:rPr>
          <w:i/>
        </w:rPr>
        <w:t>Liquor Control Act 1988</w:t>
      </w:r>
      <w:r>
        <w:rPr>
          <w:iCs/>
        </w:rPr>
        <w:t>.</w:t>
      </w:r>
    </w:p>
    <w:p>
      <w:pPr>
        <w:pStyle w:val="nzSubsection"/>
        <w:keepNext/>
        <w:spacing w:before="60"/>
      </w:pPr>
      <w:r>
        <w:tab/>
        <w:t>(2)</w:t>
      </w:r>
      <w:r>
        <w:tab/>
        <w:t>After section 37(6) the following subsection is inserted —</w:t>
      </w:r>
    </w:p>
    <w:p>
      <w:pPr>
        <w:pStyle w:val="BlankOpen"/>
      </w:pPr>
    </w:p>
    <w:p>
      <w:pPr>
        <w:pStyle w:val="nzSubsection"/>
        <w:spacing w:before="40"/>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p>
    <w:p>
      <w:pPr>
        <w:pStyle w:val="nSubsection"/>
        <w:keepLines/>
        <w:rPr>
          <w:snapToGrid w:val="0"/>
        </w:rPr>
      </w:pPr>
      <w:r>
        <w:rPr>
          <w:snapToGrid w:val="0"/>
          <w:vertAlign w:val="superscript"/>
        </w:rPr>
        <w:t>12</w:t>
      </w:r>
      <w:r>
        <w:rPr>
          <w:snapToGrid w:val="0"/>
        </w:rPr>
        <w:tab/>
        <w:t>Footnote no longer applicable.</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Liquor Legislation Amendment Act 2015 </w:t>
      </w:r>
      <w:r>
        <w:rPr>
          <w:snapToGrid w:val="0"/>
        </w:rPr>
        <w:t>s. 26</w:t>
      </w:r>
      <w:r>
        <w:rPr>
          <w:i/>
          <w:snapToGrid w:val="0"/>
        </w:rPr>
        <w:t xml:space="preserve"> </w:t>
      </w:r>
      <w:r>
        <w:rPr>
          <w:snapToGrid w:val="0"/>
        </w:rPr>
        <w:t>had not come into operation.  It reads as follows:</w:t>
      </w:r>
    </w:p>
    <w:p>
      <w:pPr>
        <w:pStyle w:val="BlankOpen"/>
        <w:rPr>
          <w:snapToGrid w:val="0"/>
        </w:rPr>
      </w:pPr>
    </w:p>
    <w:p>
      <w:pPr>
        <w:pStyle w:val="nzHeading5"/>
      </w:pPr>
      <w:r>
        <w:rPr>
          <w:rStyle w:val="CharSectno"/>
        </w:rPr>
        <w:t>26</w:t>
      </w:r>
      <w:r>
        <w:t>.</w:t>
      </w:r>
      <w:r>
        <w:tab/>
        <w:t>Part 7A inserted</w:t>
      </w:r>
    </w:p>
    <w:p>
      <w:pPr>
        <w:pStyle w:val="nzSubsection"/>
      </w:pPr>
      <w:r>
        <w:tab/>
      </w:r>
      <w:r>
        <w:tab/>
        <w:t>After section 172A insert:</w:t>
      </w:r>
    </w:p>
    <w:p>
      <w:pPr>
        <w:pStyle w:val="BlankOpen"/>
      </w:pPr>
    </w:p>
    <w:p>
      <w:pPr>
        <w:pStyle w:val="nzHeading2"/>
      </w:pPr>
      <w:r>
        <w:t>Part 7A — Alcohol Intervention</w:t>
      </w:r>
    </w:p>
    <w:p>
      <w:pPr>
        <w:pStyle w:val="nzHeading3"/>
      </w:pPr>
      <w:r>
        <w:t>Division 1 — Preliminary</w:t>
      </w:r>
    </w:p>
    <w:p>
      <w:pPr>
        <w:pStyle w:val="nzHeading5"/>
      </w:pPr>
      <w:r>
        <w:t>172B.</w:t>
      </w:r>
      <w:r>
        <w:tab/>
        <w:t>Terms used</w:t>
      </w:r>
    </w:p>
    <w:p>
      <w:pPr>
        <w:pStyle w:val="nzSubsection"/>
      </w:pPr>
      <w:r>
        <w:tab/>
        <w:t>(1)</w:t>
      </w:r>
      <w:r>
        <w:tab/>
        <w:t xml:space="preserve">In this Part — </w:t>
      </w:r>
    </w:p>
    <w:p>
      <w:pPr>
        <w:pStyle w:val="nzDefstart"/>
      </w:pPr>
      <w:r>
        <w:tab/>
      </w:r>
      <w:r>
        <w:rPr>
          <w:rStyle w:val="CharDefText"/>
        </w:rPr>
        <w:t>AI authorised person</w:t>
      </w:r>
      <w:r>
        <w:t>, in section 172I or 172L, means a person appointed under section 172D to be an authorised person for the purposes of the section in which the term is used;</w:t>
      </w:r>
    </w:p>
    <w:p>
      <w:pPr>
        <w:pStyle w:val="nzDefstart"/>
      </w:pPr>
      <w:r>
        <w:tab/>
      </w:r>
      <w:r>
        <w:rPr>
          <w:rStyle w:val="CharDefText"/>
        </w:rPr>
        <w:t>alcohol intervention requirement</w:t>
      </w:r>
      <w:r>
        <w:t xml:space="preserve"> means a notice referred to in section 172F;</w:t>
      </w:r>
    </w:p>
    <w:p>
      <w:pPr>
        <w:pStyle w:val="nzDefstart"/>
      </w:pPr>
      <w:r>
        <w:tab/>
      </w:r>
      <w:r>
        <w:rPr>
          <w:rStyle w:val="CharDefText"/>
        </w:rPr>
        <w:t>alcohol intervention session</w:t>
      </w:r>
      <w:r>
        <w:t xml:space="preserve"> means an alcohol intervention session — </w:t>
      </w:r>
    </w:p>
    <w:p>
      <w:pPr>
        <w:pStyle w:val="nzDefpara"/>
      </w:pPr>
      <w:r>
        <w:tab/>
        <w:t>(a)</w:t>
      </w:r>
      <w:r>
        <w:tab/>
        <w:t>provided by a treatment provider approved under section 172J(2)(b); and</w:t>
      </w:r>
    </w:p>
    <w:p>
      <w:pPr>
        <w:pStyle w:val="nzDefpara"/>
      </w:pPr>
      <w:r>
        <w:tab/>
        <w:t>(b)</w:t>
      </w:r>
      <w:r>
        <w:tab/>
        <w:t>the content of which is approved under section 172J(2)(a);</w:t>
      </w:r>
    </w:p>
    <w:p>
      <w:pPr>
        <w:pStyle w:val="nzDefstart"/>
      </w:pPr>
      <w:r>
        <w:tab/>
      </w:r>
      <w:r>
        <w:rPr>
          <w:rStyle w:val="CharDefText"/>
        </w:rPr>
        <w:t>alleged offender</w:t>
      </w:r>
      <w:r>
        <w:t xml:space="preserve"> means a young person who is suspected on reasonable grounds by a police officer of having committed a minor alcohol related offence;</w:t>
      </w:r>
    </w:p>
    <w:p>
      <w:pPr>
        <w:pStyle w:val="nzDefstart"/>
      </w:pPr>
      <w:r>
        <w:tab/>
      </w:r>
      <w:r>
        <w:rPr>
          <w:rStyle w:val="CharDefText"/>
        </w:rPr>
        <w:t>CEO (Health)</w:t>
      </w:r>
      <w:r>
        <w:t xml:space="preserve"> means the chief executive officer of the department principally assisting the Minister responsible for the administration of the </w:t>
      </w:r>
      <w:r>
        <w:rPr>
          <w:i/>
        </w:rPr>
        <w:t>Health Legislation Administration Act 1984</w:t>
      </w:r>
      <w:r>
        <w:t>;</w:t>
      </w:r>
    </w:p>
    <w:p>
      <w:pPr>
        <w:pStyle w:val="nzDefstart"/>
      </w:pPr>
      <w:r>
        <w:tab/>
      </w:r>
      <w:r>
        <w:rPr>
          <w:rStyle w:val="CharDefText"/>
        </w:rPr>
        <w:t>minor alcohol related offence</w:t>
      </w:r>
      <w:r>
        <w:t xml:space="preserve"> means an offence under — </w:t>
      </w:r>
    </w:p>
    <w:p>
      <w:pPr>
        <w:pStyle w:val="nzDefpara"/>
      </w:pPr>
      <w:r>
        <w:tab/>
        <w:t>(a)</w:t>
      </w:r>
      <w:r>
        <w:tab/>
        <w:t>section 110(4A), 110(5), 115(2), 115(5), 115(6), 115(7), 119(1), 119(2), 119(4), 119(5), 121(4)(c), 121(7), 121(7a), 122(3), 123, 126(2), 126(4) or 126(5);</w:t>
      </w:r>
    </w:p>
    <w:p>
      <w:pPr>
        <w:pStyle w:val="nzDefpara"/>
      </w:pPr>
      <w:r>
        <w:tab/>
        <w:t>(b)</w:t>
      </w:r>
      <w:r>
        <w:tab/>
        <w:t>section 121(3) in relation to a juvenile only;</w:t>
      </w:r>
    </w:p>
    <w:p>
      <w:pPr>
        <w:pStyle w:val="nzDefstart"/>
      </w:pPr>
      <w:r>
        <w:tab/>
      </w:r>
      <w:r>
        <w:rPr>
          <w:rStyle w:val="CharDefText"/>
        </w:rPr>
        <w:t>police officer</w:t>
      </w:r>
      <w:r>
        <w:t xml:space="preserve"> does not include a person appointed by the Commissioner of Police as an AI authorised person under section 172D;</w:t>
      </w:r>
    </w:p>
    <w:p>
      <w:pPr>
        <w:pStyle w:val="nzDefstart"/>
      </w:pPr>
      <w:r>
        <w:rPr>
          <w:b/>
        </w:rPr>
        <w:tab/>
      </w:r>
      <w:r>
        <w:rPr>
          <w:rStyle w:val="CharDefText"/>
        </w:rPr>
        <w:t>responsible adult</w:t>
      </w:r>
      <w:r>
        <w:t xml:space="preserve"> has the meaning given in the </w:t>
      </w:r>
      <w:r>
        <w:rPr>
          <w:i/>
        </w:rPr>
        <w:t>Young Offenders Act 1994</w:t>
      </w:r>
      <w:r>
        <w:t xml:space="preserve"> section 3;</w:t>
      </w:r>
    </w:p>
    <w:p>
      <w:pPr>
        <w:pStyle w:val="nzDefstart"/>
      </w:pPr>
      <w:r>
        <w:tab/>
      </w:r>
      <w:r>
        <w:rPr>
          <w:rStyle w:val="CharDefText"/>
        </w:rPr>
        <w:t>young person</w:t>
      </w:r>
      <w:r>
        <w:t xml:space="preserve"> means — </w:t>
      </w:r>
    </w:p>
    <w:p>
      <w:pPr>
        <w:pStyle w:val="nzDefpara"/>
      </w:pPr>
      <w:r>
        <w:tab/>
        <w:t>(a)</w:t>
      </w:r>
      <w:r>
        <w:tab/>
        <w:t>a person who is a juvenile; or</w:t>
      </w:r>
    </w:p>
    <w:p>
      <w:pPr>
        <w:pStyle w:val="nzDefpara"/>
      </w:pPr>
      <w:r>
        <w:tab/>
        <w:t>(b)</w:t>
      </w:r>
      <w:r>
        <w:tab/>
        <w:t>in relation to the commission, or alleged commission, of a minor alcohol related offence, was a juvenile when the offence was committed, or allegedly committed.</w:t>
      </w:r>
    </w:p>
    <w:p>
      <w:pPr>
        <w:pStyle w:val="nzSubsection"/>
      </w:pPr>
      <w:r>
        <w:tab/>
        <w:t>(2)</w:t>
      </w:r>
      <w:r>
        <w:tab/>
        <w:t xml:space="preserve">In this Part the following abbreviations are used — </w:t>
      </w:r>
    </w:p>
    <w:p>
      <w:pPr>
        <w:pStyle w:val="nzDefstart"/>
      </w:pPr>
      <w:r>
        <w:tab/>
      </w:r>
      <w:r>
        <w:rPr>
          <w:rStyle w:val="CharDefText"/>
        </w:rPr>
        <w:t>AIR</w:t>
      </w:r>
      <w:r>
        <w:t xml:space="preserve"> for alcohol intervention requirement;</w:t>
      </w:r>
    </w:p>
    <w:p>
      <w:pPr>
        <w:pStyle w:val="nzDefstart"/>
      </w:pPr>
      <w:r>
        <w:tab/>
      </w:r>
      <w:r>
        <w:rPr>
          <w:rStyle w:val="CharDefText"/>
        </w:rPr>
        <w:t>AIS</w:t>
      </w:r>
      <w:r>
        <w:t xml:space="preserve"> for alcohol intervention session.</w:t>
      </w:r>
    </w:p>
    <w:p>
      <w:pPr>
        <w:pStyle w:val="nzHeading5"/>
      </w:pPr>
      <w:r>
        <w:t>172C.</w:t>
      </w:r>
      <w:r>
        <w:tab/>
        <w:t xml:space="preserve">Operation of </w:t>
      </w:r>
      <w:r>
        <w:rPr>
          <w:i/>
        </w:rPr>
        <w:t>Young Offenders Act 1994</w:t>
      </w:r>
      <w:r>
        <w:t xml:space="preserve"> unaffected</w:t>
      </w:r>
    </w:p>
    <w:p>
      <w:pPr>
        <w:pStyle w:val="nzSubsection"/>
      </w:pPr>
      <w:r>
        <w:tab/>
      </w:r>
      <w:r>
        <w:tab/>
        <w:t xml:space="preserve">Nothing in this Part prevents a young person from being dealt with under the </w:t>
      </w:r>
      <w:r>
        <w:rPr>
          <w:i/>
        </w:rPr>
        <w:t>Young Offenders Act 1994</w:t>
      </w:r>
      <w:r>
        <w:t xml:space="preserve"> Part 5 in respect of a minor alcohol related offence.</w:t>
      </w:r>
    </w:p>
    <w:p>
      <w:pPr>
        <w:pStyle w:val="nzHeading5"/>
      </w:pPr>
      <w:r>
        <w:t>172D.</w:t>
      </w:r>
      <w:r>
        <w:tab/>
        <w:t>Appointment of AI authorised persons</w:t>
      </w:r>
    </w:p>
    <w:p>
      <w:pPr>
        <w:pStyle w:val="nzSubsection"/>
      </w:pPr>
      <w:r>
        <w:tab/>
      </w:r>
      <w:r>
        <w:tab/>
        <w:t>The Commissioner of Police may, in writing, appoint persons or classes of persons to be AI authorised persons for the purposes of section 172I or 172L, or for the purposes of both of those sections.</w:t>
      </w:r>
    </w:p>
    <w:p>
      <w:pPr>
        <w:pStyle w:val="nzHeading3"/>
      </w:pPr>
      <w:r>
        <w:t>Division 2 — Alcohol intervention requirements</w:t>
      </w:r>
    </w:p>
    <w:p>
      <w:pPr>
        <w:pStyle w:val="nzHeading5"/>
      </w:pPr>
      <w:r>
        <w:t>172E.</w:t>
      </w:r>
      <w:r>
        <w:tab/>
        <w:t>AIR may be given to alleged offender for minor alcohol related offence</w:t>
      </w:r>
    </w:p>
    <w:p>
      <w:pPr>
        <w:pStyle w:val="nzSubsection"/>
      </w:pPr>
      <w:r>
        <w:tab/>
        <w:t>(1)</w:t>
      </w:r>
      <w:r>
        <w:tab/>
        <w:t>Unless section 172G(1) applies, a police officer may give an alcohol intervention requirement to an alleged offender.</w:t>
      </w:r>
    </w:p>
    <w:p>
      <w:pPr>
        <w:pStyle w:val="nzSubsection"/>
        <w:keepNext/>
      </w:pPr>
      <w:r>
        <w:tab/>
        <w:t>(2)</w:t>
      </w:r>
      <w:r>
        <w:tab/>
        <w:t xml:space="preserve">A police officer who suspects on reasonable grounds that — </w:t>
      </w:r>
    </w:p>
    <w:p>
      <w:pPr>
        <w:pStyle w:val="nzIndenta"/>
      </w:pPr>
      <w:r>
        <w:tab/>
        <w:t>(a)</w:t>
      </w:r>
      <w:r>
        <w:tab/>
        <w:t>an alleged offender has committed more than one minor alcohol related offence; and</w:t>
      </w:r>
    </w:p>
    <w:p>
      <w:pPr>
        <w:pStyle w:val="nzIndenta"/>
      </w:pPr>
      <w:r>
        <w:tab/>
        <w:t>(b)</w:t>
      </w:r>
      <w:r>
        <w:tab/>
        <w:t>the alleged offences have arisen out of the same incident,</w:t>
      </w:r>
    </w:p>
    <w:p>
      <w:pPr>
        <w:pStyle w:val="nzSubsection"/>
      </w:pPr>
      <w:r>
        <w:tab/>
      </w:r>
      <w:r>
        <w:tab/>
        <w:t>may give a single AIR in respect of all or some of the offences.</w:t>
      </w:r>
    </w:p>
    <w:p>
      <w:pPr>
        <w:pStyle w:val="nzSubsection"/>
      </w:pPr>
      <w:r>
        <w:tab/>
        <w:t>(3)</w:t>
      </w:r>
      <w:r>
        <w:tab/>
        <w:t>An AIR is to be given as soon as practicable, and in any event within 60 days, after an alleged offence is believed to have been committed.</w:t>
      </w:r>
    </w:p>
    <w:p>
      <w:pPr>
        <w:pStyle w:val="nzHeading5"/>
      </w:pPr>
      <w:r>
        <w:t>172F.</w:t>
      </w:r>
      <w:r>
        <w:tab/>
        <w:t>Alcohol intervention requirement</w:t>
      </w:r>
    </w:p>
    <w:p>
      <w:pPr>
        <w:pStyle w:val="nzSubsection"/>
      </w:pPr>
      <w:r>
        <w:tab/>
        <w:t>(1)</w:t>
      </w:r>
      <w:r>
        <w:tab/>
        <w:t xml:space="preserve">An AIR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AIR, complete an AIS;</w:t>
      </w:r>
    </w:p>
    <w:p>
      <w:pPr>
        <w:pStyle w:val="nzIndenta"/>
      </w:pPr>
      <w:r>
        <w:tab/>
      </w:r>
      <w:r>
        <w:tab/>
        <w:t>and</w:t>
      </w:r>
    </w:p>
    <w:p>
      <w:pPr>
        <w:pStyle w:val="nzIndenta"/>
      </w:pPr>
      <w:r>
        <w:tab/>
        <w:t>(c)</w:t>
      </w:r>
      <w:r>
        <w:tab/>
        <w:t>informing the alleged offender as to how the alleged offender may arrange to complete an AIS.</w:t>
      </w:r>
    </w:p>
    <w:p>
      <w:pPr>
        <w:pStyle w:val="nzSubsection"/>
      </w:pPr>
      <w:r>
        <w:tab/>
        <w:t>(2)</w:t>
      </w:r>
      <w:r>
        <w:tab/>
        <w:t>An alleged offender need only complete a single AIS for each AIR given to the alleged offender, even if the AIR is given in respect of more than one alleged offence.</w:t>
      </w:r>
    </w:p>
    <w:p>
      <w:pPr>
        <w:pStyle w:val="nzHeading5"/>
      </w:pPr>
      <w:r>
        <w:t>172G.</w:t>
      </w:r>
      <w:r>
        <w:tab/>
        <w:t>Special requirements about AIRs</w:t>
      </w:r>
    </w:p>
    <w:p>
      <w:pPr>
        <w:pStyle w:val="nzSubsection"/>
      </w:pPr>
      <w:r>
        <w:tab/>
        <w:t>(1)</w:t>
      </w:r>
      <w:r>
        <w:tab/>
        <w:t>An AIR cannot be given in respect of an alleged offence (the</w:t>
      </w:r>
      <w:r>
        <w:rPr>
          <w:b/>
        </w:rPr>
        <w:t xml:space="preserve"> </w:t>
      </w:r>
      <w:r>
        <w:rPr>
          <w:rStyle w:val="CharDefText"/>
        </w:rPr>
        <w:t>new offence</w:t>
      </w:r>
      <w:r>
        <w:t xml:space="preserve">) if the alleged offender — </w:t>
      </w:r>
    </w:p>
    <w:p>
      <w:pPr>
        <w:pStyle w:val="nzIndenta"/>
      </w:pPr>
      <w:r>
        <w:tab/>
        <w:t>(a)</w:t>
      </w:r>
      <w:r>
        <w:tab/>
        <w:t>had been convicted of, or given an AIR in respect of, 2 or more minor alcohol related offences before the new offence was allegedly committed; and</w:t>
      </w:r>
    </w:p>
    <w:p>
      <w:pPr>
        <w:pStyle w:val="nzIndenta"/>
      </w:pPr>
      <w:r>
        <w:tab/>
        <w:t>(b)</w:t>
      </w:r>
      <w:r>
        <w:tab/>
        <w:t>at least 2 of those offences arose, or are alleged to have arisen, out of separate incidents.</w:t>
      </w:r>
    </w:p>
    <w:p>
      <w:pPr>
        <w:pStyle w:val="nzSubsection"/>
        <w:keepNext/>
      </w:pPr>
      <w:r>
        <w:tab/>
        <w:t>(2)</w:t>
      </w:r>
      <w:r>
        <w:tab/>
        <w:t xml:space="preserve">A police officer who gives an alleged offender an AIR is to ensure that a responsible adult is given a copy of the AIR as soon as is reasonably practicable after the AIR is given to the alleged offender,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AIR.</w:t>
      </w:r>
    </w:p>
    <w:p>
      <w:pPr>
        <w:pStyle w:val="nzSubsection"/>
      </w:pPr>
      <w:r>
        <w:tab/>
        <w:t>(3)</w:t>
      </w:r>
      <w:r>
        <w:tab/>
        <w:t>An alleged offender who has been given 2 AIRs need only complete a single AIS in respect of the AIRs if both AIRs were given before the completion of the AIS.</w:t>
      </w:r>
    </w:p>
    <w:p>
      <w:pPr>
        <w:pStyle w:val="nzHeading5"/>
      </w:pPr>
      <w:r>
        <w:t>172H.</w:t>
      </w:r>
      <w:r>
        <w:tab/>
        <w:t>Referral of young persons at risk to juvenile justice teams</w:t>
      </w:r>
    </w:p>
    <w:p>
      <w:pPr>
        <w:pStyle w:val="nzSubsection"/>
      </w:pPr>
      <w:r>
        <w:tab/>
        <w:t>(1)</w:t>
      </w:r>
      <w:r>
        <w:tab/>
        <w:t xml:space="preserve">In this section — </w:t>
      </w:r>
    </w:p>
    <w:p>
      <w:pPr>
        <w:pStyle w:val="nzDefstart"/>
      </w:pPr>
      <w:r>
        <w:tab/>
      </w:r>
      <w:r>
        <w:rPr>
          <w:rStyle w:val="CharDefText"/>
        </w:rPr>
        <w:t>young person at risk</w:t>
      </w:r>
      <w:r>
        <w:t xml:space="preserve"> means an alleged offender — </w:t>
      </w:r>
    </w:p>
    <w:p>
      <w:pPr>
        <w:pStyle w:val="nzDefpara"/>
      </w:pPr>
      <w:r>
        <w:tab/>
        <w:t>(a)</w:t>
      </w:r>
      <w:r>
        <w:tab/>
        <w:t>to whom the police officer would have given an AIR, but for section 172G(1); or</w:t>
      </w:r>
    </w:p>
    <w:p>
      <w:pPr>
        <w:pStyle w:val="nzDefpara"/>
      </w:pPr>
      <w:r>
        <w:tab/>
        <w:t>(b)</w:t>
      </w:r>
      <w:r>
        <w:tab/>
        <w:t xml:space="preserve">who has been given an AIR and has not completed an AIS within 28 days or any further time allowed under section 172L, unless — </w:t>
      </w:r>
    </w:p>
    <w:p>
      <w:pPr>
        <w:pStyle w:val="nzDefsubpara"/>
      </w:pPr>
      <w:r>
        <w:tab/>
        <w:t>(i)</w:t>
      </w:r>
      <w:r>
        <w:tab/>
        <w:t>the AIR has been withdrawn under section 172I; or</w:t>
      </w:r>
    </w:p>
    <w:p>
      <w:pPr>
        <w:pStyle w:val="nzDefsubpara"/>
      </w:pPr>
      <w:r>
        <w:tab/>
        <w:t>(ii)</w:t>
      </w:r>
      <w:r>
        <w:tab/>
        <w:t>the alleged offender has elected to be prosecuted for the alleged offence in a court.</w:t>
      </w:r>
    </w:p>
    <w:p>
      <w:pPr>
        <w:pStyle w:val="nzSubsection"/>
      </w:pPr>
      <w:r>
        <w:tab/>
        <w:t>(2)</w:t>
      </w:r>
      <w:r>
        <w:tab/>
        <w:t xml:space="preserve">A police officer may refer a young person at risk to a juvenile justice team where appropriate under the </w:t>
      </w:r>
      <w:r>
        <w:rPr>
          <w:i/>
        </w:rPr>
        <w:t>Young Offenders Act 1994</w:t>
      </w:r>
      <w:r>
        <w:t xml:space="preserve"> in preference to charging the young person under this Act.</w:t>
      </w:r>
    </w:p>
    <w:p>
      <w:pPr>
        <w:pStyle w:val="nzHeading5"/>
      </w:pPr>
      <w:r>
        <w:t>172I.</w:t>
      </w:r>
      <w:r>
        <w:tab/>
        <w:t>Withdrawal of AIR</w:t>
      </w:r>
    </w:p>
    <w:p>
      <w:pPr>
        <w:pStyle w:val="nzSubsection"/>
      </w:pPr>
      <w:r>
        <w:tab/>
        <w:t>(1)</w:t>
      </w:r>
      <w:r>
        <w:tab/>
        <w:t>An AI authorised person may withdraw an AIR by sending to the alleged offender a notice in a form prescribed by the regulations stating that the AIR has been withdrawn.</w:t>
      </w:r>
    </w:p>
    <w:p>
      <w:pPr>
        <w:pStyle w:val="nzSubsection"/>
      </w:pPr>
      <w:r>
        <w:tab/>
        <w:t>(2)</w:t>
      </w:r>
      <w:r>
        <w:tab/>
        <w:t>An AIR cannot be withdrawn if the alleged offender has completed an AIS in relation to the AIR.</w:t>
      </w:r>
    </w:p>
    <w:p>
      <w:pPr>
        <w:pStyle w:val="nzSubsection"/>
      </w:pPr>
      <w:r>
        <w:tab/>
        <w:t>(3)</w:t>
      </w:r>
      <w:r>
        <w:tab/>
        <w:t>An AIR that is withdrawn is taken not to have been given to an alleged offender for the purposes of section 172G(1).</w:t>
      </w:r>
    </w:p>
    <w:p>
      <w:pPr>
        <w:pStyle w:val="nzHeading3"/>
      </w:pPr>
      <w:r>
        <w:t>Division 3 — Alcohol intervention sessions</w:t>
      </w:r>
    </w:p>
    <w:p>
      <w:pPr>
        <w:pStyle w:val="nzHeading5"/>
      </w:pPr>
      <w:r>
        <w:t>172J.</w:t>
      </w:r>
      <w:r>
        <w:tab/>
        <w:t>Alcohol intervention session</w:t>
      </w:r>
    </w:p>
    <w:p>
      <w:pPr>
        <w:pStyle w:val="nzSubsection"/>
      </w:pPr>
      <w:r>
        <w:tab/>
        <w:t>(1)</w:t>
      </w:r>
      <w:r>
        <w:tab/>
        <w:t xml:space="preserve">The purpose of an alcohol intervention session is to inform those who complete it about — </w:t>
      </w:r>
    </w:p>
    <w:p>
      <w:pPr>
        <w:pStyle w:val="nzIndenta"/>
      </w:pPr>
      <w:r>
        <w:tab/>
        <w:t>(a)</w:t>
      </w:r>
      <w:r>
        <w:tab/>
        <w:t>the adverse health and social consequences of alcohol use; and</w:t>
      </w:r>
    </w:p>
    <w:p>
      <w:pPr>
        <w:pStyle w:val="nzIndenta"/>
      </w:pPr>
      <w:r>
        <w:tab/>
        <w:t>(b)</w:t>
      </w:r>
      <w:r>
        <w:tab/>
        <w:t>the laws relating to the possession of alcohol; and</w:t>
      </w:r>
    </w:p>
    <w:p>
      <w:pPr>
        <w:pStyle w:val="nzIndenta"/>
      </w:pPr>
      <w:r>
        <w:tab/>
        <w:t>(c)</w:t>
      </w:r>
      <w:r>
        <w:tab/>
        <w:t>effective strategies to address alcohol using behaviour.</w:t>
      </w:r>
    </w:p>
    <w:p>
      <w:pPr>
        <w:pStyle w:val="nzSubsection"/>
      </w:pPr>
      <w:r>
        <w:tab/>
        <w:t>(2)</w:t>
      </w:r>
      <w:r>
        <w:tab/>
        <w:t>The CEO (Health) may, in writing, do any of the following —</w:t>
      </w:r>
    </w:p>
    <w:p>
      <w:pPr>
        <w:pStyle w:val="nzIndenta"/>
      </w:pPr>
      <w:r>
        <w:tab/>
        <w:t>(a)</w:t>
      </w:r>
      <w:r>
        <w:tab/>
        <w:t>having regard to subsection (1), approve the content of an alcohol intervention session;</w:t>
      </w:r>
    </w:p>
    <w:p>
      <w:pPr>
        <w:pStyle w:val="nzIndenta"/>
      </w:pPr>
      <w:r>
        <w:tab/>
        <w:t>(b)</w:t>
      </w:r>
      <w:r>
        <w:tab/>
        <w:t>approve treatment providers to provide alcohol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rPr>
        <w:t>Health Legislation Administration Act 1984</w:t>
      </w:r>
      <w:r>
        <w:t xml:space="preserve"> section 9.</w:t>
      </w:r>
    </w:p>
    <w:p>
      <w:pPr>
        <w:pStyle w:val="nzHeading5"/>
      </w:pPr>
      <w:r>
        <w:t>172K.</w:t>
      </w:r>
      <w:r>
        <w:tab/>
        <w:t>Benefit of completing AIS</w:t>
      </w:r>
    </w:p>
    <w:p>
      <w:pPr>
        <w:pStyle w:val="nzSubsection"/>
      </w:pPr>
      <w:r>
        <w:tab/>
        <w:t>(1)</w:t>
      </w:r>
      <w:r>
        <w:tab/>
        <w:t>If the alleged offender has completed an AIS in respect of an AIR within 28 days or such further time as is allowed under section 172L,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an AIS is not to be regarded as an admission for the purposes of any proceedings, whether civil or criminal.</w:t>
      </w:r>
    </w:p>
    <w:p>
      <w:pPr>
        <w:pStyle w:val="nzHeading5"/>
      </w:pPr>
      <w:r>
        <w:t>172L.</w:t>
      </w:r>
      <w:r>
        <w:tab/>
        <w:t>Extension of time to complete AIS</w:t>
      </w:r>
    </w:p>
    <w:p>
      <w:pPr>
        <w:pStyle w:val="nzSubsection"/>
      </w:pPr>
      <w:r>
        <w:tab/>
        <w:t>(1)</w:t>
      </w:r>
      <w:r>
        <w:tab/>
        <w:t>An AI authorised person may, in a particular case, extend the period of 28 days within which the alleged offender may complete an AIS.</w:t>
      </w:r>
    </w:p>
    <w:p>
      <w:pPr>
        <w:pStyle w:val="nzSubsection"/>
      </w:pPr>
      <w:r>
        <w:tab/>
        <w:t>(2)</w:t>
      </w:r>
      <w:r>
        <w:tab/>
        <w:t>The extension may be allowed whether or not the period of 28 days has elapsed.</w:t>
      </w:r>
    </w:p>
    <w:p>
      <w:pPr>
        <w:pStyle w:val="nzHeading5"/>
      </w:pPr>
      <w:r>
        <w:t>172M.</w:t>
      </w:r>
      <w:r>
        <w:tab/>
        <w:t>Certificate of completion of AIS</w:t>
      </w:r>
    </w:p>
    <w:p>
      <w:pPr>
        <w:pStyle w:val="nzSubsection"/>
      </w:pPr>
      <w:r>
        <w:tab/>
        <w:t>(1)</w:t>
      </w:r>
      <w:r>
        <w:tab/>
        <w:t>A treatment provider approved to provide an AIS under section 172J(2)(b) is to —</w:t>
      </w:r>
    </w:p>
    <w:p>
      <w:pPr>
        <w:pStyle w:val="nzIndenta"/>
      </w:pPr>
      <w:r>
        <w:tab/>
        <w:t>(a)</w:t>
      </w:r>
      <w:r>
        <w:tab/>
        <w:t>give to a person who has completed an AIS a certificate of completion; and</w:t>
      </w:r>
    </w:p>
    <w:p>
      <w:pPr>
        <w:pStyle w:val="nzIndenta"/>
      </w:pPr>
      <w:r>
        <w:tab/>
        <w:t>(b)</w:t>
      </w:r>
      <w:r>
        <w:tab/>
        <w:t>send a copy of the certificate to the Commissioner of Police.</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AIS; and</w:t>
      </w:r>
    </w:p>
    <w:p>
      <w:pPr>
        <w:pStyle w:val="nzIndenta"/>
      </w:pPr>
      <w:r>
        <w:tab/>
        <w:t>(b)</w:t>
      </w:r>
      <w:r>
        <w:tab/>
        <w:t>the date of completion; and</w:t>
      </w:r>
    </w:p>
    <w:p>
      <w:pPr>
        <w:pStyle w:val="nzIndenta"/>
        <w:keepNext/>
      </w:pPr>
      <w:r>
        <w:tab/>
        <w:t>(c)</w:t>
      </w:r>
      <w:r>
        <w:tab/>
        <w:t>the details of the AIR in respect of which the AIS was completed.</w:t>
      </w:r>
    </w:p>
    <w:p>
      <w:pPr>
        <w:pStyle w:val="BlankClose"/>
      </w:pPr>
    </w:p>
    <w:p>
      <w:pPr>
        <w:pStyle w:val="nSubsection"/>
        <w:rPr>
          <w:snapToGrid w:val="0"/>
        </w:rPr>
      </w:pPr>
      <w:r>
        <w:rPr>
          <w:snapToGrid w:val="0"/>
          <w:vertAlign w:val="superscript"/>
        </w:rPr>
        <w:t>14</w:t>
      </w:r>
      <w:r>
        <w:rPr>
          <w:snapToGrid w:val="0"/>
        </w:rPr>
        <w:tab/>
        <w:t xml:space="preserve">On the date as at which this compilation was prepared, the </w:t>
      </w:r>
      <w:r>
        <w:rPr>
          <w:i/>
        </w:rPr>
        <w:t>Public Health (Consequential Provisions) Act 2016</w:t>
      </w:r>
      <w:r>
        <w:t xml:space="preserve"> Pt. 5 Div. 12 </w:t>
      </w:r>
      <w:r>
        <w:rPr>
          <w:snapToGrid w:val="0"/>
        </w:rPr>
        <w:t>had not come into operation.  It reads as follows:</w:t>
      </w: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12</w:t>
      </w:r>
      <w:r>
        <w:t> — </w:t>
      </w:r>
      <w:r>
        <w:rPr>
          <w:rStyle w:val="CharDivText"/>
          <w:i/>
        </w:rPr>
        <w:t>Liquor Control Act 1988</w:t>
      </w:r>
      <w:r>
        <w:rPr>
          <w:rStyle w:val="CharDivText"/>
        </w:rPr>
        <w:t xml:space="preserve"> amended</w:t>
      </w:r>
    </w:p>
    <w:p>
      <w:pPr>
        <w:pStyle w:val="nzHeading5"/>
      </w:pPr>
      <w:r>
        <w:rPr>
          <w:rStyle w:val="CharSectno"/>
        </w:rPr>
        <w:t>300</w:t>
      </w:r>
      <w:r>
        <w:t>.</w:t>
      </w:r>
      <w:r>
        <w:tab/>
        <w:t xml:space="preserve">Act </w:t>
      </w:r>
      <w:r>
        <w:rPr>
          <w:iCs/>
        </w:rPr>
        <w:t>amended</w:t>
      </w:r>
    </w:p>
    <w:p>
      <w:pPr>
        <w:pStyle w:val="nzSubsection"/>
      </w:pPr>
      <w:r>
        <w:tab/>
      </w:r>
      <w:r>
        <w:tab/>
        <w:t xml:space="preserve">This Division amends the </w:t>
      </w:r>
      <w:r>
        <w:rPr>
          <w:i/>
        </w:rPr>
        <w:t>Liquor Control Act 1988</w:t>
      </w:r>
      <w:r>
        <w:t>.</w:t>
      </w:r>
    </w:p>
    <w:p>
      <w:pPr>
        <w:pStyle w:val="nzHeading5"/>
      </w:pPr>
      <w:r>
        <w:rPr>
          <w:rStyle w:val="CharSectno"/>
        </w:rPr>
        <w:t>301</w:t>
      </w:r>
      <w:r>
        <w:t>.</w:t>
      </w:r>
      <w:r>
        <w:tab/>
        <w:t>Section 39 amended</w:t>
      </w:r>
    </w:p>
    <w:p>
      <w:pPr>
        <w:pStyle w:val="nzSubsection"/>
      </w:pPr>
      <w:r>
        <w:tab/>
      </w:r>
      <w:r>
        <w:tab/>
        <w:t>In section 39(2)(a)(i) delete “</w:t>
      </w:r>
      <w:r>
        <w:rPr>
          <w:i/>
          <w:iCs/>
        </w:rPr>
        <w:t>Health (Miscellaneous Provisions) Act 1911</w:t>
      </w:r>
      <w:r>
        <w:t>; and” and insert:</w:t>
      </w:r>
    </w:p>
    <w:p>
      <w:pPr>
        <w:pStyle w:val="BlankOpen"/>
      </w:pPr>
    </w:p>
    <w:p>
      <w:pPr>
        <w:pStyle w:val="nzSubsection"/>
      </w:pPr>
      <w:r>
        <w:tab/>
      </w:r>
      <w:r>
        <w:tab/>
      </w:r>
      <w:r>
        <w:rPr>
          <w:i/>
          <w:iCs/>
        </w:rPr>
        <w:t>Public Health Act 2016</w:t>
      </w:r>
      <w:r>
        <w:t>; and</w:t>
      </w:r>
    </w:p>
    <w:p>
      <w:pPr>
        <w:pStyle w:val="BlankClose"/>
      </w:pPr>
    </w:p>
    <w:p>
      <w:pPr>
        <w:pStyle w:val="nzHeading5"/>
      </w:pPr>
      <w:r>
        <w:rPr>
          <w:rStyle w:val="CharSectno"/>
        </w:rPr>
        <w:t>302</w:t>
      </w:r>
      <w:r>
        <w:t>.</w:t>
      </w:r>
      <w:r>
        <w:tab/>
        <w:t>Section 69 amended</w:t>
      </w:r>
    </w:p>
    <w:p>
      <w:pPr>
        <w:pStyle w:val="nzSubsection"/>
      </w:pPr>
      <w:r>
        <w:tab/>
        <w:t>(1)</w:t>
      </w:r>
      <w:r>
        <w:tab/>
        <w:t>In section 69(8)(a) delete “</w:t>
      </w:r>
      <w:r>
        <w:rPr>
          <w:i/>
        </w:rPr>
        <w:t>Health (Miscellaneous Provisions) Act 1911</w:t>
      </w:r>
      <w:r>
        <w:t>; or” and insert:</w:t>
      </w:r>
    </w:p>
    <w:p>
      <w:pPr>
        <w:pStyle w:val="BlankOpen"/>
      </w:pPr>
    </w:p>
    <w:p>
      <w:pPr>
        <w:pStyle w:val="nzSubsection"/>
      </w:pPr>
      <w:r>
        <w:tab/>
      </w:r>
      <w:r>
        <w:tab/>
      </w:r>
      <w:r>
        <w:rPr>
          <w:i/>
          <w:iCs/>
        </w:rPr>
        <w:t>Public Health Act 2016</w:t>
      </w:r>
      <w:r>
        <w:t>; or</w:t>
      </w:r>
    </w:p>
    <w:p>
      <w:pPr>
        <w:pStyle w:val="BlankClose"/>
      </w:pPr>
    </w:p>
    <w:p>
      <w:pPr>
        <w:pStyle w:val="nzSubsection"/>
      </w:pPr>
      <w:r>
        <w:tab/>
        <w:t>(2)</w:t>
      </w:r>
      <w:r>
        <w:tab/>
        <w:t>In section 69(9A)(b) delete “</w:t>
      </w:r>
      <w:r>
        <w:rPr>
          <w:i/>
        </w:rPr>
        <w:t>Health (Miscellaneous Provisions) Act 1911</w:t>
      </w:r>
      <w:r>
        <w:t>.” and insert:</w:t>
      </w:r>
    </w:p>
    <w:p>
      <w:pPr>
        <w:pStyle w:val="BlankOpen"/>
      </w:pPr>
    </w:p>
    <w:p>
      <w:pPr>
        <w:pStyle w:val="nzSubsection"/>
      </w:pPr>
      <w:r>
        <w:tab/>
      </w:r>
      <w:r>
        <w:tab/>
      </w:r>
      <w:r>
        <w:rPr>
          <w:i/>
        </w:rPr>
        <w:t>Public Health Act 2016</w:t>
      </w:r>
      <w:r>
        <w:t>.</w:t>
      </w:r>
    </w:p>
    <w:p>
      <w:pPr>
        <w:pStyle w:val="BlankClose"/>
      </w:pPr>
    </w:p>
    <w:p>
      <w:pPr>
        <w:pStyle w:val="nzHeading5"/>
      </w:pPr>
      <w:r>
        <w:rPr>
          <w:rStyle w:val="CharSectno"/>
        </w:rPr>
        <w:t>303</w:t>
      </w:r>
      <w:r>
        <w:t>.</w:t>
      </w:r>
      <w:r>
        <w:tab/>
        <w:t>Section 95 amended</w:t>
      </w:r>
    </w:p>
    <w:p>
      <w:pPr>
        <w:pStyle w:val="nzSubsection"/>
      </w:pPr>
      <w:r>
        <w:tab/>
      </w:r>
      <w:r>
        <w:tab/>
        <w:t>In section 95(4)(f)(iii) after “</w:t>
      </w:r>
      <w:r>
        <w:rPr>
          <w:i/>
          <w:iCs/>
        </w:rPr>
        <w:t>Health (Miscellaneous Provisions) Act 1911</w:t>
      </w:r>
      <w:r>
        <w:t>” insert:</w:t>
      </w:r>
    </w:p>
    <w:p>
      <w:pPr>
        <w:pStyle w:val="BlankOpen"/>
      </w:pPr>
    </w:p>
    <w:p>
      <w:pPr>
        <w:pStyle w:val="nzSubsection"/>
      </w:pPr>
      <w:r>
        <w:tab/>
      </w:r>
      <w:r>
        <w:tab/>
        <w:t xml:space="preserve">or the </w:t>
      </w:r>
      <w:r>
        <w:rPr>
          <w:i/>
          <w:iCs/>
        </w:rPr>
        <w:t>Public Health Act 2016</w:t>
      </w:r>
    </w:p>
    <w:p>
      <w:pPr>
        <w:pStyle w:val="BlankClose"/>
      </w:pPr>
    </w:p>
    <w:p>
      <w:pPr>
        <w:pStyle w:val="nSubsection"/>
        <w:rPr>
          <w:snapToGrid w:val="0"/>
        </w:rPr>
      </w:pPr>
      <w:r>
        <w:rPr>
          <w:snapToGrid w:val="0"/>
          <w:vertAlign w:val="superscript"/>
        </w:rPr>
        <w:t>15</w:t>
      </w:r>
      <w:r>
        <w:rPr>
          <w:snapToGrid w:val="0"/>
        </w:rPr>
        <w:tab/>
        <w:t xml:space="preserve">On the date as at which this compilation was prepared, the </w:t>
      </w:r>
      <w:r>
        <w:rPr>
          <w:i/>
        </w:rPr>
        <w:t>Liquor Control Amendment Act 2018</w:t>
      </w:r>
      <w:r>
        <w:t xml:space="preserve"> s. 3</w:t>
      </w:r>
      <w:r>
        <w:noBreakHyphen/>
        <w:t xml:space="preserve">70 </w:t>
      </w:r>
      <w:r>
        <w:rPr>
          <w:snapToGrid w:val="0"/>
        </w:rPr>
        <w:t>had not come into operation.  They read as follows:</w:t>
      </w:r>
    </w:p>
    <w:p>
      <w:pPr>
        <w:pStyle w:val="BlankOpen"/>
      </w:pPr>
    </w:p>
    <w:p>
      <w:pPr>
        <w:pStyle w:val="nzHeading5"/>
        <w:rPr>
          <w:snapToGrid w:val="0"/>
        </w:rPr>
      </w:pPr>
      <w:bookmarkStart w:id="594" w:name="_Toc518626493"/>
      <w:bookmarkStart w:id="595" w:name="_Toc519495304"/>
      <w:r>
        <w:rPr>
          <w:rStyle w:val="CharSectno"/>
        </w:rPr>
        <w:t>3</w:t>
      </w:r>
      <w:r>
        <w:rPr>
          <w:snapToGrid w:val="0"/>
        </w:rPr>
        <w:t>.</w:t>
      </w:r>
      <w:r>
        <w:rPr>
          <w:snapToGrid w:val="0"/>
        </w:rPr>
        <w:tab/>
        <w:t>Act amended</w:t>
      </w:r>
      <w:bookmarkEnd w:id="594"/>
      <w:bookmarkEnd w:id="595"/>
    </w:p>
    <w:p>
      <w:pPr>
        <w:pStyle w:val="nzSubsection"/>
      </w:pPr>
      <w:r>
        <w:tab/>
      </w:r>
      <w:r>
        <w:tab/>
        <w:t xml:space="preserve">This Act amends the </w:t>
      </w:r>
      <w:r>
        <w:rPr>
          <w:i/>
        </w:rPr>
        <w:t>Liquor Control Act 1988</w:t>
      </w:r>
      <w:r>
        <w:t>.</w:t>
      </w:r>
    </w:p>
    <w:p>
      <w:pPr>
        <w:pStyle w:val="nzHeading5"/>
      </w:pPr>
      <w:bookmarkStart w:id="596" w:name="_Toc518626494"/>
      <w:bookmarkStart w:id="597" w:name="_Toc519495305"/>
      <w:r>
        <w:rPr>
          <w:rStyle w:val="CharSectno"/>
        </w:rPr>
        <w:t>4</w:t>
      </w:r>
      <w:r>
        <w:t>.</w:t>
      </w:r>
      <w:r>
        <w:tab/>
        <w:t>Section 3 amended</w:t>
      </w:r>
      <w:bookmarkEnd w:id="596"/>
      <w:bookmarkEnd w:id="597"/>
    </w:p>
    <w:p>
      <w:pPr>
        <w:pStyle w:val="nzSubsection"/>
      </w:pPr>
      <w:r>
        <w:tab/>
        <w:t>(1)</w:t>
      </w:r>
      <w:r>
        <w:tab/>
        <w:t>In section 3(1) delete the definitions of:</w:t>
      </w:r>
    </w:p>
    <w:p>
      <w:pPr>
        <w:pStyle w:val="nzDeleteListSub"/>
      </w:pPr>
      <w:r>
        <w:rPr>
          <w:b/>
          <w:i/>
        </w:rPr>
        <w:t>closing time</w:t>
      </w:r>
    </w:p>
    <w:p>
      <w:pPr>
        <w:pStyle w:val="nzDeleteListSub"/>
      </w:pPr>
      <w:r>
        <w:t>inspector</w:t>
      </w:r>
    </w:p>
    <w:p>
      <w:pPr>
        <w:pStyle w:val="nzDeleteListSub"/>
      </w:pPr>
      <w:r>
        <w:t>interest of the community</w:t>
      </w:r>
    </w:p>
    <w:p>
      <w:pPr>
        <w:pStyle w:val="nzDeleteListSub"/>
      </w:pPr>
      <w:r>
        <w:t>low alcohol liquor</w:t>
      </w:r>
    </w:p>
    <w:p>
      <w:pPr>
        <w:pStyle w:val="nzDeleteListSub"/>
      </w:pPr>
      <w:r>
        <w:t>member (each occurrence)</w:t>
      </w:r>
    </w:p>
    <w:p>
      <w:pPr>
        <w:pStyle w:val="nzDeleteListSub"/>
      </w:pPr>
      <w:r>
        <w:t>party to proceedings</w:t>
      </w:r>
    </w:p>
    <w:p>
      <w:pPr>
        <w:pStyle w:val="nzDeleteListSub"/>
      </w:pPr>
      <w:r>
        <w:t>person authorised to sell liquor</w:t>
      </w:r>
    </w:p>
    <w:p>
      <w:pPr>
        <w:pStyle w:val="nzDeleteListSub"/>
      </w:pPr>
      <w:r>
        <w:t>small bar licence</w:t>
      </w:r>
    </w:p>
    <w:p>
      <w:pPr>
        <w:pStyle w:val="nzSubsection"/>
      </w:pPr>
      <w:r>
        <w:tab/>
        <w:t>(2)</w:t>
      </w:r>
      <w:r>
        <w:tab/>
        <w:t>In section 3(1) insert in alphabetical order:</w:t>
      </w:r>
    </w:p>
    <w:p>
      <w:pPr>
        <w:pStyle w:val="BlankOpen"/>
      </w:pPr>
    </w:p>
    <w:p>
      <w:pPr>
        <w:pStyle w:val="nzDefstart"/>
      </w:pPr>
      <w:r>
        <w:tab/>
      </w:r>
      <w:r>
        <w:rPr>
          <w:rStyle w:val="CharDefText"/>
        </w:rPr>
        <w:t>Department</w:t>
      </w:r>
      <w:r>
        <w:t xml:space="preserve"> means the department of the Public Service principally assisting in the administration of this Act;</w:t>
      </w:r>
    </w:p>
    <w:p>
      <w:pPr>
        <w:pStyle w:val="nzDefstart"/>
      </w:pPr>
      <w:r>
        <w:tab/>
      </w:r>
      <w:r>
        <w:rPr>
          <w:rStyle w:val="CharDefText"/>
        </w:rPr>
        <w:t>Department’s website</w:t>
      </w:r>
      <w:r>
        <w:t xml:space="preserve"> means a website maintained by or on behalf of the Department;</w:t>
      </w:r>
    </w:p>
    <w:p>
      <w:pPr>
        <w:pStyle w:val="nzDefstart"/>
      </w:pPr>
      <w:r>
        <w:tab/>
      </w:r>
      <w:r>
        <w:rPr>
          <w:rStyle w:val="CharDefText"/>
        </w:rPr>
        <w:t>inspector</w:t>
      </w:r>
      <w:r>
        <w:t xml:space="preserve"> means an inspector appointed under section 14(1)(a);</w:t>
      </w:r>
    </w:p>
    <w:p>
      <w:pPr>
        <w:pStyle w:val="nzDefstart"/>
      </w:pPr>
      <w:r>
        <w:tab/>
      </w:r>
      <w:r>
        <w:rPr>
          <w:rStyle w:val="CharDefText"/>
        </w:rPr>
        <w:t>member</w:t>
      </w:r>
      <w:r>
        <w:t xml:space="preserve"> — </w:t>
      </w:r>
    </w:p>
    <w:p>
      <w:pPr>
        <w:pStyle w:val="nzDefpara"/>
      </w:pPr>
      <w:r>
        <w:tab/>
        <w:t>(a)</w:t>
      </w:r>
      <w:r>
        <w:tab/>
        <w:t>in relation to a club — includes a person who is a member of the club by reason of reciprocal arrangements with another club made in accordance with the rules of the club; and</w:t>
      </w:r>
    </w:p>
    <w:p>
      <w:pPr>
        <w:pStyle w:val="nzDefpara"/>
      </w:pPr>
      <w:r>
        <w:tab/>
        <w:t>(b)</w:t>
      </w:r>
      <w:r>
        <w:tab/>
        <w:t>in relation to the Commission — means a member of the Commission and includes the chairperson;</w:t>
      </w:r>
    </w:p>
    <w:p>
      <w:pPr>
        <w:pStyle w:val="nzDefstart"/>
      </w:pPr>
      <w:r>
        <w:tab/>
      </w:r>
      <w:r>
        <w:rPr>
          <w:rStyle w:val="CharDefText"/>
        </w:rPr>
        <w:t>party to proceedings</w:t>
      </w:r>
      <w:r>
        <w:t xml:space="preserve"> includes — </w:t>
      </w:r>
    </w:p>
    <w:p>
      <w:pPr>
        <w:pStyle w:val="nzDefpara"/>
      </w:pPr>
      <w:r>
        <w:tab/>
        <w:t>(a)</w:t>
      </w:r>
      <w:r>
        <w:tab/>
        <w:t>an objector, unless a determination is made under section 74(4) in relation to the objection; and</w:t>
      </w:r>
    </w:p>
    <w:p>
      <w:pPr>
        <w:pStyle w:val="nzDefpara"/>
      </w:pPr>
      <w:r>
        <w:tab/>
        <w:t>(b)</w:t>
      </w:r>
      <w:r>
        <w:tab/>
        <w:t>a person who intervenes in proceedings;</w:t>
      </w:r>
    </w:p>
    <w:p>
      <w:pPr>
        <w:pStyle w:val="nzDefstart"/>
      </w:pPr>
      <w:r>
        <w:tab/>
      </w:r>
      <w:r>
        <w:rPr>
          <w:rStyle w:val="CharDefText"/>
        </w:rPr>
        <w:t>small bar licence</w:t>
      </w:r>
      <w:r>
        <w:t xml:space="preserve"> means a licence granted under section 41A;</w:t>
      </w:r>
    </w:p>
    <w:p>
      <w:pPr>
        <w:pStyle w:val="BlankClose"/>
      </w:pPr>
    </w:p>
    <w:p>
      <w:pPr>
        <w:pStyle w:val="nzSubsection"/>
      </w:pPr>
      <w:r>
        <w:tab/>
        <w:t>(3)</w:t>
      </w:r>
      <w:r>
        <w:tab/>
        <w:t xml:space="preserve">In section 3(1) in the definition of </w:t>
      </w:r>
      <w:r>
        <w:rPr>
          <w:b/>
          <w:i/>
        </w:rPr>
        <w:t>authorised officer</w:t>
      </w:r>
      <w:r>
        <w:t xml:space="preserve"> delete paragraph (b) and insert:</w:t>
      </w:r>
    </w:p>
    <w:p>
      <w:pPr>
        <w:pStyle w:val="BlankOpen"/>
      </w:pPr>
    </w:p>
    <w:p>
      <w:pPr>
        <w:pStyle w:val="nzDefpara"/>
      </w:pPr>
      <w:r>
        <w:tab/>
        <w:t>(b)</w:t>
      </w:r>
      <w:r>
        <w:tab/>
        <w:t>an inspector; or</w:t>
      </w:r>
    </w:p>
    <w:p>
      <w:pPr>
        <w:pStyle w:val="BlankClose"/>
      </w:pPr>
    </w:p>
    <w:p>
      <w:pPr>
        <w:pStyle w:val="nzSubsection"/>
      </w:pPr>
      <w:r>
        <w:tab/>
        <w:t>(4)</w:t>
      </w:r>
      <w:r>
        <w:tab/>
        <w:t xml:space="preserve">In section 3(1) in the definition of </w:t>
      </w:r>
      <w:r>
        <w:rPr>
          <w:b/>
          <w:i/>
        </w:rPr>
        <w:t>Director</w:t>
      </w:r>
      <w:r>
        <w:t xml:space="preserve"> or </w:t>
      </w:r>
      <w:r>
        <w:rPr>
          <w:b/>
          <w:i/>
        </w:rPr>
        <w:t>Director of Liquor Licensing</w:t>
      </w:r>
      <w:r>
        <w:t xml:space="preserve"> delete “department of the Public Service principally assisting in the administration of this Act;” and insert:</w:t>
      </w:r>
    </w:p>
    <w:p>
      <w:pPr>
        <w:pStyle w:val="BlankOpen"/>
      </w:pPr>
    </w:p>
    <w:p>
      <w:pPr>
        <w:pStyle w:val="nzSubsection"/>
      </w:pPr>
      <w:r>
        <w:tab/>
      </w:r>
      <w:r>
        <w:tab/>
        <w:t>Department;</w:t>
      </w:r>
    </w:p>
    <w:p>
      <w:pPr>
        <w:pStyle w:val="BlankClose"/>
      </w:pPr>
    </w:p>
    <w:p>
      <w:pPr>
        <w:pStyle w:val="nzSubsection"/>
      </w:pPr>
      <w:r>
        <w:tab/>
        <w:t>(5)</w:t>
      </w:r>
      <w:r>
        <w:tab/>
        <w:t xml:space="preserve">In section 3(1) in the definition of </w:t>
      </w:r>
      <w:r>
        <w:rPr>
          <w:b/>
          <w:i/>
        </w:rPr>
        <w:t>hotel licence</w:t>
      </w:r>
      <w:r>
        <w:t xml:space="preserve"> delete “licence or as a small bar licence;” and insert:</w:t>
      </w:r>
    </w:p>
    <w:p>
      <w:pPr>
        <w:pStyle w:val="BlankOpen"/>
      </w:pPr>
    </w:p>
    <w:p>
      <w:pPr>
        <w:pStyle w:val="nzSubsection"/>
      </w:pPr>
      <w:r>
        <w:tab/>
      </w:r>
      <w:r>
        <w:tab/>
        <w:t>licence;</w:t>
      </w:r>
    </w:p>
    <w:p>
      <w:pPr>
        <w:pStyle w:val="BlankClose"/>
      </w:pPr>
    </w:p>
    <w:p>
      <w:pPr>
        <w:pStyle w:val="nzSubsection"/>
      </w:pPr>
      <w:r>
        <w:tab/>
        <w:t>(6)</w:t>
      </w:r>
      <w:r>
        <w:tab/>
        <w:t xml:space="preserve">In section 3(1) in the definition of </w:t>
      </w:r>
      <w:r>
        <w:rPr>
          <w:b/>
          <w:i/>
        </w:rPr>
        <w:t>manager</w:t>
      </w:r>
      <w:r>
        <w:t xml:space="preserve"> paragraph (b) delete “by the licensee of the premises”.</w:t>
      </w:r>
    </w:p>
    <w:p>
      <w:pPr>
        <w:pStyle w:val="nzSubsection"/>
      </w:pPr>
      <w:r>
        <w:tab/>
        <w:t>(7)</w:t>
      </w:r>
      <w:r>
        <w:tab/>
        <w:t xml:space="preserve">In section 3(1) in the definition of </w:t>
      </w:r>
      <w:r>
        <w:rPr>
          <w:b/>
          <w:i/>
        </w:rPr>
        <w:t>metropolitan area</w:t>
      </w:r>
      <w:r>
        <w:t xml:space="preserve"> delete paragraph (a) and insert:</w:t>
      </w:r>
    </w:p>
    <w:p>
      <w:pPr>
        <w:pStyle w:val="BlankOpen"/>
      </w:pPr>
    </w:p>
    <w:p>
      <w:pPr>
        <w:pStyle w:val="nzDefpara"/>
      </w:pPr>
      <w:r>
        <w:tab/>
        <w:t>(a)</w:t>
      </w:r>
      <w:r>
        <w:tab/>
        <w:t xml:space="preserve">the region described in the </w:t>
      </w:r>
      <w:r>
        <w:rPr>
          <w:i/>
        </w:rPr>
        <w:t>Planning and Development Act 2005</w:t>
      </w:r>
      <w:r>
        <w:t xml:space="preserve"> Schedule 3; and</w:t>
      </w:r>
    </w:p>
    <w:p>
      <w:pPr>
        <w:pStyle w:val="BlankClose"/>
      </w:pPr>
    </w:p>
    <w:p>
      <w:pPr>
        <w:pStyle w:val="nzHeading5"/>
      </w:pPr>
      <w:bookmarkStart w:id="598" w:name="_Toc518626495"/>
      <w:bookmarkStart w:id="599" w:name="_Toc519495306"/>
      <w:r>
        <w:rPr>
          <w:rStyle w:val="CharSectno"/>
        </w:rPr>
        <w:t>5</w:t>
      </w:r>
      <w:r>
        <w:t>.</w:t>
      </w:r>
      <w:r>
        <w:tab/>
        <w:t>Section 4 amended</w:t>
      </w:r>
      <w:bookmarkEnd w:id="598"/>
      <w:bookmarkEnd w:id="599"/>
    </w:p>
    <w:p>
      <w:pPr>
        <w:pStyle w:val="nzSubsection"/>
      </w:pPr>
      <w:r>
        <w:tab/>
      </w:r>
      <w:r>
        <w:tab/>
        <w:t>In section 4(6) delete “licensee,” and insert:</w:t>
      </w:r>
    </w:p>
    <w:p>
      <w:pPr>
        <w:pStyle w:val="BlankOpen"/>
      </w:pPr>
    </w:p>
    <w:p>
      <w:pPr>
        <w:pStyle w:val="nzSubsection"/>
      </w:pPr>
      <w:r>
        <w:tab/>
      </w:r>
      <w:r>
        <w:tab/>
        <w:t>licensee of a producer’s licence, a wholesaler’s licence or a special facility licence of a prescribed type,</w:t>
      </w:r>
    </w:p>
    <w:p>
      <w:pPr>
        <w:pStyle w:val="BlankClose"/>
      </w:pPr>
    </w:p>
    <w:p>
      <w:pPr>
        <w:pStyle w:val="nzHeading5"/>
      </w:pPr>
      <w:bookmarkStart w:id="600" w:name="_Toc518626496"/>
      <w:bookmarkStart w:id="601" w:name="_Toc519495307"/>
      <w:r>
        <w:rPr>
          <w:rStyle w:val="CharSectno"/>
        </w:rPr>
        <w:t>6</w:t>
      </w:r>
      <w:r>
        <w:t>.</w:t>
      </w:r>
      <w:r>
        <w:tab/>
        <w:t>Section 5 amended</w:t>
      </w:r>
      <w:bookmarkEnd w:id="600"/>
      <w:bookmarkEnd w:id="601"/>
    </w:p>
    <w:p>
      <w:pPr>
        <w:pStyle w:val="nzSubsection"/>
      </w:pPr>
      <w:r>
        <w:tab/>
      </w:r>
      <w:r>
        <w:tab/>
        <w:t>In section 5(2):</w:t>
      </w:r>
    </w:p>
    <w:p>
      <w:pPr>
        <w:pStyle w:val="nzIndenta"/>
      </w:pPr>
      <w:r>
        <w:tab/>
        <w:t>(a)</w:t>
      </w:r>
      <w:r>
        <w:tab/>
        <w:t>in paragraph (e) delete “Act.” and insert:</w:t>
      </w:r>
    </w:p>
    <w:p>
      <w:pPr>
        <w:pStyle w:val="BlankOpen"/>
      </w:pPr>
    </w:p>
    <w:p>
      <w:pPr>
        <w:pStyle w:val="nzIndenta"/>
      </w:pPr>
      <w:r>
        <w:tab/>
      </w:r>
      <w:r>
        <w:tab/>
        <w:t>Act; and</w:t>
      </w:r>
    </w:p>
    <w:p>
      <w:pPr>
        <w:pStyle w:val="BlankClose"/>
      </w:pPr>
    </w:p>
    <w:p>
      <w:pPr>
        <w:pStyle w:val="nzIndenta"/>
      </w:pPr>
      <w:r>
        <w:tab/>
        <w:t>(b)</w:t>
      </w:r>
      <w:r>
        <w:tab/>
        <w:t>after paragraph (e) insert:</w:t>
      </w:r>
    </w:p>
    <w:p>
      <w:pPr>
        <w:pStyle w:val="BlankOpen"/>
      </w:pPr>
    </w:p>
    <w:p>
      <w:pPr>
        <w:pStyle w:val="nzIndenta"/>
      </w:pPr>
      <w:r>
        <w:tab/>
        <w:t>(f)</w:t>
      </w:r>
      <w:r>
        <w:tab/>
        <w:t>to encourage responsible attitudes and practices towards the promotion, sale, supply, service and consumption of liquor that are consistent with the interests of the community.</w:t>
      </w:r>
    </w:p>
    <w:p>
      <w:pPr>
        <w:pStyle w:val="BlankClose"/>
      </w:pPr>
    </w:p>
    <w:p>
      <w:pPr>
        <w:pStyle w:val="nzHeading5"/>
      </w:pPr>
      <w:bookmarkStart w:id="602" w:name="_Toc518626497"/>
      <w:bookmarkStart w:id="603" w:name="_Toc519495308"/>
      <w:r>
        <w:rPr>
          <w:rStyle w:val="CharSectno"/>
        </w:rPr>
        <w:t>7</w:t>
      </w:r>
      <w:r>
        <w:t>.</w:t>
      </w:r>
      <w:r>
        <w:tab/>
        <w:t>Section 14 amended</w:t>
      </w:r>
      <w:bookmarkEnd w:id="602"/>
      <w:bookmarkEnd w:id="603"/>
    </w:p>
    <w:p>
      <w:pPr>
        <w:pStyle w:val="nzSubsection"/>
      </w:pPr>
      <w:r>
        <w:tab/>
      </w:r>
      <w:r>
        <w:tab/>
        <w:t>Delete section 14(3)(a) and insert:</w:t>
      </w:r>
    </w:p>
    <w:p>
      <w:pPr>
        <w:pStyle w:val="BlankOpen"/>
      </w:pPr>
    </w:p>
    <w:p>
      <w:pPr>
        <w:pStyle w:val="nzIndenta"/>
      </w:pPr>
      <w:r>
        <w:tab/>
        <w:t>(a)</w:t>
      </w:r>
      <w:r>
        <w:tab/>
        <w:t>an inspector; and</w:t>
      </w:r>
    </w:p>
    <w:p>
      <w:pPr>
        <w:pStyle w:val="BlankClose"/>
      </w:pPr>
    </w:p>
    <w:p>
      <w:pPr>
        <w:pStyle w:val="nzHeading5"/>
      </w:pPr>
      <w:bookmarkStart w:id="604" w:name="_Toc518626498"/>
      <w:bookmarkStart w:id="605" w:name="_Toc519495309"/>
      <w:r>
        <w:rPr>
          <w:rStyle w:val="CharSectno"/>
        </w:rPr>
        <w:t>8</w:t>
      </w:r>
      <w:r>
        <w:t>.</w:t>
      </w:r>
      <w:r>
        <w:tab/>
        <w:t>Section 16 amended</w:t>
      </w:r>
      <w:bookmarkEnd w:id="604"/>
      <w:bookmarkEnd w:id="605"/>
    </w:p>
    <w:p>
      <w:pPr>
        <w:pStyle w:val="nzSubsection"/>
      </w:pPr>
      <w:r>
        <w:tab/>
        <w:t>(1)</w:t>
      </w:r>
      <w:r>
        <w:tab/>
        <w:t>Delete section 16(8) and insert:</w:t>
      </w:r>
    </w:p>
    <w:p>
      <w:pPr>
        <w:pStyle w:val="BlankOpen"/>
        <w:widowControl w:val="0"/>
      </w:pPr>
    </w:p>
    <w:p>
      <w:pPr>
        <w:pStyle w:val="nzSubsection"/>
      </w:pPr>
      <w:r>
        <w:tab/>
        <w:t>(8)</w:t>
      </w:r>
      <w:r>
        <w:tab/>
        <w:t>The hearing of a proceeding before the Commission must be in public unless the Commission considers that, in the circumstances of the case, the hearing should be in private.</w:t>
      </w:r>
    </w:p>
    <w:p>
      <w:pPr>
        <w:pStyle w:val="BlankClose"/>
        <w:keepNext/>
        <w:widowControl w:val="0"/>
      </w:pPr>
    </w:p>
    <w:p>
      <w:pPr>
        <w:pStyle w:val="nzSubsection"/>
      </w:pPr>
      <w:r>
        <w:tab/>
        <w:t>(2)</w:t>
      </w:r>
      <w:r>
        <w:tab/>
        <w:t>In section 16(9) delete “Commission is in private, the Commission,” and insert:</w:t>
      </w:r>
    </w:p>
    <w:p>
      <w:pPr>
        <w:pStyle w:val="BlankOpen"/>
      </w:pPr>
    </w:p>
    <w:p>
      <w:pPr>
        <w:pStyle w:val="nzSubsection"/>
      </w:pPr>
      <w:r>
        <w:tab/>
      </w:r>
      <w:r>
        <w:tab/>
        <w:t>licensing authority, however constituted, is in private, the licensing authority,</w:t>
      </w:r>
    </w:p>
    <w:p>
      <w:pPr>
        <w:pStyle w:val="BlankClose"/>
      </w:pPr>
    </w:p>
    <w:p>
      <w:pPr>
        <w:pStyle w:val="nzSubsection"/>
      </w:pPr>
      <w:r>
        <w:tab/>
        <w:t>(3)</w:t>
      </w:r>
      <w:r>
        <w:tab/>
        <w:t>Delete section 16(11) and insert:</w:t>
      </w:r>
    </w:p>
    <w:p>
      <w:pPr>
        <w:pStyle w:val="BlankOpen"/>
      </w:pPr>
    </w:p>
    <w:p>
      <w:pPr>
        <w:pStyle w:val="nzSubsection"/>
      </w:pPr>
      <w:r>
        <w:tab/>
        <w:t>(11)</w:t>
      </w:r>
      <w:r>
        <w:tab/>
        <w:t xml:space="preserve">Subject to subsections (8) and (9) and section 30, the licensing authority must ensure that each party to proceedings is given a reasonable opportunity to — </w:t>
      </w:r>
    </w:p>
    <w:p>
      <w:pPr>
        <w:pStyle w:val="nzIndenta"/>
      </w:pPr>
      <w:r>
        <w:tab/>
        <w:t>(a)</w:t>
      </w:r>
      <w:r>
        <w:tab/>
        <w:t>present its case to the licensing authority; and</w:t>
      </w:r>
    </w:p>
    <w:p>
      <w:pPr>
        <w:pStyle w:val="nzIndenta"/>
      </w:pPr>
      <w:r>
        <w:tab/>
        <w:t>(b)</w:t>
      </w:r>
      <w:r>
        <w:tab/>
        <w:t xml:space="preserve">inspect any documents — </w:t>
      </w:r>
    </w:p>
    <w:p>
      <w:pPr>
        <w:pStyle w:val="nzIndenti"/>
      </w:pPr>
      <w:r>
        <w:tab/>
        <w:t>(i)</w:t>
      </w:r>
      <w:r>
        <w:tab/>
        <w:t>to which the licensing authority proposes to have regard in making a determination in the proceedings; and</w:t>
      </w:r>
    </w:p>
    <w:p>
      <w:pPr>
        <w:pStyle w:val="nzIndenti"/>
      </w:pPr>
      <w:r>
        <w:tab/>
        <w:t>(ii)</w:t>
      </w:r>
      <w:r>
        <w:tab/>
        <w:t>that are relevant to the party’s case;</w:t>
      </w:r>
    </w:p>
    <w:p>
      <w:pPr>
        <w:pStyle w:val="nzIndenta"/>
      </w:pPr>
      <w:r>
        <w:tab/>
      </w:r>
      <w:r>
        <w:tab/>
        <w:t>and</w:t>
      </w:r>
    </w:p>
    <w:p>
      <w:pPr>
        <w:pStyle w:val="nzIndenta"/>
      </w:pPr>
      <w:r>
        <w:tab/>
        <w:t>(c)</w:t>
      </w:r>
      <w:r>
        <w:tab/>
        <w:t>make submissions in relation to any documents inspected under paragraph (b).</w:t>
      </w:r>
    </w:p>
    <w:p>
      <w:pPr>
        <w:pStyle w:val="BlankClose"/>
      </w:pPr>
    </w:p>
    <w:p>
      <w:pPr>
        <w:pStyle w:val="nzHeading5"/>
      </w:pPr>
      <w:bookmarkStart w:id="606" w:name="_Toc518626499"/>
      <w:bookmarkStart w:id="607" w:name="_Toc519495310"/>
      <w:r>
        <w:rPr>
          <w:rStyle w:val="CharSectno"/>
        </w:rPr>
        <w:t>9</w:t>
      </w:r>
      <w:r>
        <w:t>.</w:t>
      </w:r>
      <w:r>
        <w:tab/>
        <w:t>Section 18AA inserted</w:t>
      </w:r>
      <w:bookmarkEnd w:id="606"/>
      <w:bookmarkEnd w:id="607"/>
    </w:p>
    <w:p>
      <w:pPr>
        <w:pStyle w:val="nzSubsection"/>
      </w:pPr>
      <w:r>
        <w:tab/>
      </w:r>
      <w:r>
        <w:tab/>
        <w:t>After section 18 insert:</w:t>
      </w:r>
    </w:p>
    <w:p>
      <w:pPr>
        <w:pStyle w:val="BlankOpen"/>
      </w:pPr>
    </w:p>
    <w:p>
      <w:pPr>
        <w:pStyle w:val="nzHeading5"/>
      </w:pPr>
      <w:bookmarkStart w:id="608" w:name="_Toc518626500"/>
      <w:bookmarkStart w:id="609" w:name="_Toc519495311"/>
      <w:r>
        <w:t>18AA.</w:t>
      </w:r>
      <w:r>
        <w:tab/>
        <w:t>Notice of decision</w:t>
      </w:r>
      <w:bookmarkEnd w:id="608"/>
      <w:bookmarkEnd w:id="609"/>
    </w:p>
    <w:p>
      <w:pPr>
        <w:pStyle w:val="nzSubsection"/>
      </w:pPr>
      <w:r>
        <w:tab/>
        <w:t>(1)</w:t>
      </w:r>
      <w:r>
        <w:tab/>
        <w:t>If the licensing authority, when constituted by the Director, makes a decision in relation to an application, the licensing authority must give to each party to proceedings written notice of —</w:t>
      </w:r>
    </w:p>
    <w:p>
      <w:pPr>
        <w:pStyle w:val="nzIndenta"/>
      </w:pPr>
      <w:r>
        <w:tab/>
        <w:t>(a)</w:t>
      </w:r>
      <w:r>
        <w:tab/>
        <w:t>the decision; and</w:t>
      </w:r>
    </w:p>
    <w:p>
      <w:pPr>
        <w:pStyle w:val="nzIndenta"/>
      </w:pPr>
      <w:r>
        <w:tab/>
        <w:t>(b)</w:t>
      </w:r>
      <w:r>
        <w:tab/>
        <w:t>the right of review under section 25.</w:t>
      </w:r>
    </w:p>
    <w:p>
      <w:pPr>
        <w:pStyle w:val="nzSubsection"/>
      </w:pPr>
      <w:r>
        <w:tab/>
        <w:t>(2)</w:t>
      </w:r>
      <w:r>
        <w:tab/>
        <w:t>The notice may, but need not, include the reasons for the decision.</w:t>
      </w:r>
    </w:p>
    <w:p>
      <w:pPr>
        <w:pStyle w:val="nzSubsection"/>
      </w:pPr>
      <w:r>
        <w:tab/>
        <w:t>(3)</w:t>
      </w:r>
      <w:r>
        <w:tab/>
        <w:t>If the notice does not include the reasons for the decision, a party to proceedings may, within 28 days after receiving the notice or any longer period that may be allowed by the Director, request the licensing authority to provide the party with the reasons for the decision.</w:t>
      </w:r>
    </w:p>
    <w:p>
      <w:pPr>
        <w:pStyle w:val="nzSubsection"/>
      </w:pPr>
      <w:r>
        <w:tab/>
        <w:t>(4)</w:t>
      </w:r>
      <w:r>
        <w:tab/>
        <w:t>If a party to proceedings makes a request under subsection (3), the licensing authority must provide the party to proceedings with written reasons for the decision.</w:t>
      </w:r>
    </w:p>
    <w:p>
      <w:pPr>
        <w:pStyle w:val="BlankClose"/>
      </w:pPr>
    </w:p>
    <w:p>
      <w:pPr>
        <w:pStyle w:val="nzHeading5"/>
      </w:pPr>
      <w:bookmarkStart w:id="610" w:name="_Toc518626501"/>
      <w:bookmarkStart w:id="611" w:name="_Toc519495312"/>
      <w:r>
        <w:rPr>
          <w:rStyle w:val="CharSectno"/>
        </w:rPr>
        <w:t>10</w:t>
      </w:r>
      <w:r>
        <w:t>.</w:t>
      </w:r>
      <w:r>
        <w:tab/>
        <w:t>Section 22 amended</w:t>
      </w:r>
      <w:bookmarkEnd w:id="610"/>
      <w:bookmarkEnd w:id="611"/>
    </w:p>
    <w:p>
      <w:pPr>
        <w:pStyle w:val="nzSubsection"/>
      </w:pPr>
      <w:r>
        <w:tab/>
      </w:r>
      <w:r>
        <w:tab/>
        <w:t>In section 22 delete “Commission,” and insert:</w:t>
      </w:r>
    </w:p>
    <w:p>
      <w:pPr>
        <w:pStyle w:val="BlankOpen"/>
      </w:pPr>
    </w:p>
    <w:p>
      <w:pPr>
        <w:pStyle w:val="nzSubsection"/>
      </w:pPr>
      <w:r>
        <w:tab/>
      </w:r>
      <w:r>
        <w:tab/>
        <w:t>Commission constituted by the chairperson and 2 other members,</w:t>
      </w:r>
    </w:p>
    <w:p>
      <w:pPr>
        <w:pStyle w:val="BlankClose"/>
      </w:pPr>
    </w:p>
    <w:p>
      <w:pPr>
        <w:pStyle w:val="nzHeading5"/>
      </w:pPr>
      <w:bookmarkStart w:id="612" w:name="_Toc518626502"/>
      <w:bookmarkStart w:id="613" w:name="_Toc519495313"/>
      <w:r>
        <w:rPr>
          <w:rStyle w:val="CharSectno"/>
        </w:rPr>
        <w:t>11</w:t>
      </w:r>
      <w:r>
        <w:t>.</w:t>
      </w:r>
      <w:r>
        <w:tab/>
        <w:t>Section 25 amended</w:t>
      </w:r>
      <w:bookmarkEnd w:id="612"/>
      <w:bookmarkEnd w:id="613"/>
    </w:p>
    <w:p>
      <w:pPr>
        <w:pStyle w:val="nzSubsection"/>
      </w:pPr>
      <w:r>
        <w:tab/>
        <w:t>(1)</w:t>
      </w:r>
      <w:r>
        <w:tab/>
        <w:t>In section 25(2) delete “notice o</w:t>
      </w:r>
      <w:r>
        <w:rPr>
          <w:spacing w:val="40"/>
        </w:rPr>
        <w:t>f</w:t>
      </w:r>
      <w:r>
        <w:t>” and insert:</w:t>
      </w:r>
    </w:p>
    <w:p>
      <w:pPr>
        <w:pStyle w:val="BlankOpen"/>
      </w:pPr>
    </w:p>
    <w:p>
      <w:pPr>
        <w:pStyle w:val="nzSubsection"/>
      </w:pPr>
      <w:r>
        <w:tab/>
      </w:r>
      <w:r>
        <w:tab/>
        <w:t>written reasons for</w:t>
      </w:r>
    </w:p>
    <w:p>
      <w:pPr>
        <w:pStyle w:val="BlankClose"/>
        <w:keepNext/>
      </w:pPr>
    </w:p>
    <w:p>
      <w:pPr>
        <w:pStyle w:val="nzSubsection"/>
      </w:pPr>
      <w:r>
        <w:tab/>
        <w:t>(2)</w:t>
      </w:r>
      <w:r>
        <w:tab/>
        <w:t>Delete section 25(6)(a).</w:t>
      </w:r>
    </w:p>
    <w:p>
      <w:pPr>
        <w:pStyle w:val="nzHeading5"/>
      </w:pPr>
      <w:bookmarkStart w:id="614" w:name="_Toc518626503"/>
      <w:bookmarkStart w:id="615" w:name="_Toc519495314"/>
      <w:r>
        <w:rPr>
          <w:rStyle w:val="CharSectno"/>
        </w:rPr>
        <w:t>12</w:t>
      </w:r>
      <w:r>
        <w:t>.</w:t>
      </w:r>
      <w:r>
        <w:tab/>
        <w:t>Section 25A inserted</w:t>
      </w:r>
      <w:bookmarkEnd w:id="614"/>
      <w:bookmarkEnd w:id="615"/>
    </w:p>
    <w:p>
      <w:pPr>
        <w:pStyle w:val="nzSubsection"/>
      </w:pPr>
      <w:r>
        <w:tab/>
      </w:r>
      <w:r>
        <w:tab/>
        <w:t>After section 25 insert:</w:t>
      </w:r>
    </w:p>
    <w:p>
      <w:pPr>
        <w:pStyle w:val="BlankOpen"/>
      </w:pPr>
    </w:p>
    <w:p>
      <w:pPr>
        <w:pStyle w:val="nzHeading5"/>
      </w:pPr>
      <w:bookmarkStart w:id="616" w:name="_Toc518626504"/>
      <w:bookmarkStart w:id="617" w:name="_Toc519495315"/>
      <w:r>
        <w:t>25A.</w:t>
      </w:r>
      <w:r>
        <w:tab/>
        <w:t>Commission may refer application for review to State Administrative Tribunal</w:t>
      </w:r>
      <w:bookmarkEnd w:id="616"/>
      <w:bookmarkEnd w:id="617"/>
    </w:p>
    <w:p>
      <w:pPr>
        <w:pStyle w:val="nzSubsection"/>
      </w:pPr>
      <w:r>
        <w:tab/>
        <w:t>(1)</w:t>
      </w:r>
      <w:r>
        <w:tab/>
        <w:t xml:space="preserve">If an application is made to the Commission under section 25(1) for a review of a decision, the Commission may, instead of conducting the review, refer the application to the State Administrative Tribunal (the </w:t>
      </w:r>
      <w:r>
        <w:rPr>
          <w:rStyle w:val="CharDefText"/>
        </w:rPr>
        <w:t>Tribunal</w:t>
      </w:r>
      <w:r>
        <w:t>) for a review of the decision.</w:t>
      </w:r>
    </w:p>
    <w:p>
      <w:pPr>
        <w:pStyle w:val="nzSubsection"/>
      </w:pPr>
      <w:r>
        <w:tab/>
        <w:t>(2)</w:t>
      </w:r>
      <w:r>
        <w:tab/>
        <w:t>An application cannot be referred under subsection (1) unless the President of the Tribunal agrees to the referral.</w:t>
      </w:r>
    </w:p>
    <w:p>
      <w:pPr>
        <w:pStyle w:val="nzSubsection"/>
      </w:pPr>
      <w:r>
        <w:tab/>
        <w:t>(3)</w:t>
      </w:r>
      <w:r>
        <w:tab/>
        <w:t xml:space="preserve">If an application is referred under subsection (1), the person who made the application is to be regarded as the applicant for the purposes of the exercise of the Tribunal’s review jurisdiction under the </w:t>
      </w:r>
      <w:r>
        <w:rPr>
          <w:i/>
        </w:rPr>
        <w:t>State Administrative Tribunal Act 2004</w:t>
      </w:r>
      <w:r>
        <w:t>.</w:t>
      </w:r>
    </w:p>
    <w:p>
      <w:pPr>
        <w:pStyle w:val="nzSubsection"/>
      </w:pPr>
      <w:r>
        <w:tab/>
        <w:t>(4)</w:t>
      </w:r>
      <w:r>
        <w:tab/>
        <w:t>When conducting a review under this section, the Tribunal may have regard only to the material that was before the Director when making the decision.</w:t>
      </w:r>
    </w:p>
    <w:p>
      <w:pPr>
        <w:pStyle w:val="nzSubsection"/>
      </w:pPr>
      <w:r>
        <w:tab/>
        <w:t>(5)</w:t>
      </w:r>
      <w:r>
        <w:tab/>
        <w:t>When conducting a review under this section involving a question of law or giving directions as to any question of law reviewed, the Tribunal is to be constituted by, or is to include, a lawyer.</w:t>
      </w:r>
    </w:p>
    <w:p>
      <w:pPr>
        <w:pStyle w:val="nzSubsection"/>
      </w:pPr>
      <w:r>
        <w:tab/>
        <w:t>(6)</w:t>
      </w:r>
      <w:r>
        <w:tab/>
        <w:t>Section 25(3) applies to a review under this section as if it were a review under section 25.</w:t>
      </w:r>
    </w:p>
    <w:p>
      <w:pPr>
        <w:pStyle w:val="nzSubsection"/>
      </w:pPr>
      <w:r>
        <w:tab/>
        <w:t>(7)</w:t>
      </w:r>
      <w:r>
        <w:tab/>
        <w:t>On a review under this section, the Tribunal has the powers conferred on the Commission under section 25(4).</w:t>
      </w:r>
    </w:p>
    <w:p>
      <w:pPr>
        <w:pStyle w:val="BlankClose"/>
      </w:pPr>
    </w:p>
    <w:p>
      <w:pPr>
        <w:pStyle w:val="nzHeading5"/>
      </w:pPr>
      <w:bookmarkStart w:id="618" w:name="_Toc518626505"/>
      <w:bookmarkStart w:id="619" w:name="_Toc519495316"/>
      <w:r>
        <w:rPr>
          <w:rStyle w:val="CharSectno"/>
        </w:rPr>
        <w:t>13</w:t>
      </w:r>
      <w:r>
        <w:t>.</w:t>
      </w:r>
      <w:r>
        <w:tab/>
        <w:t>Section 28 amended</w:t>
      </w:r>
      <w:bookmarkEnd w:id="618"/>
      <w:bookmarkEnd w:id="619"/>
    </w:p>
    <w:p>
      <w:pPr>
        <w:pStyle w:val="nzSubsection"/>
      </w:pPr>
      <w:r>
        <w:tab/>
      </w:r>
      <w:r>
        <w:tab/>
        <w:t>Delete section 28(1)(a) and insert:</w:t>
      </w:r>
    </w:p>
    <w:p>
      <w:pPr>
        <w:pStyle w:val="BlankOpen"/>
      </w:pPr>
    </w:p>
    <w:p>
      <w:pPr>
        <w:pStyle w:val="nzIndenta"/>
      </w:pPr>
      <w:r>
        <w:tab/>
        <w:t>(a)</w:t>
      </w:r>
      <w:r>
        <w:tab/>
        <w:t>is a party to proceedings before the Commission; and</w:t>
      </w:r>
    </w:p>
    <w:p>
      <w:pPr>
        <w:pStyle w:val="BlankClose"/>
      </w:pPr>
    </w:p>
    <w:p>
      <w:pPr>
        <w:pStyle w:val="nzHeading5"/>
      </w:pPr>
      <w:bookmarkStart w:id="620" w:name="_Toc518626506"/>
      <w:bookmarkStart w:id="621" w:name="_Toc519495317"/>
      <w:r>
        <w:rPr>
          <w:rStyle w:val="CharSectno"/>
        </w:rPr>
        <w:t>14</w:t>
      </w:r>
      <w:r>
        <w:t>.</w:t>
      </w:r>
      <w:r>
        <w:tab/>
        <w:t>Section 30 amended</w:t>
      </w:r>
      <w:bookmarkEnd w:id="620"/>
      <w:bookmarkEnd w:id="621"/>
    </w:p>
    <w:p>
      <w:pPr>
        <w:pStyle w:val="nzSubsection"/>
      </w:pPr>
      <w:r>
        <w:tab/>
      </w:r>
      <w:r>
        <w:tab/>
        <w:t>Delete section 30(4)(a) and insert:</w:t>
      </w:r>
    </w:p>
    <w:p>
      <w:pPr>
        <w:pStyle w:val="BlankOpen"/>
      </w:pPr>
    </w:p>
    <w:p>
      <w:pPr>
        <w:pStyle w:val="nzIndenta"/>
      </w:pPr>
      <w:r>
        <w:tab/>
        <w:t>(a)</w:t>
      </w:r>
      <w:r>
        <w:tab/>
        <w:t>the Director is not required to serve a copy of the notice under section 73(4A); and</w:t>
      </w:r>
    </w:p>
    <w:p>
      <w:pPr>
        <w:pStyle w:val="BlankClose"/>
      </w:pPr>
    </w:p>
    <w:p>
      <w:pPr>
        <w:pStyle w:val="nzHeading5"/>
      </w:pPr>
      <w:bookmarkStart w:id="622" w:name="_Toc518626507"/>
      <w:bookmarkStart w:id="623" w:name="_Toc519495318"/>
      <w:r>
        <w:rPr>
          <w:rStyle w:val="CharSectno"/>
        </w:rPr>
        <w:t>15</w:t>
      </w:r>
      <w:r>
        <w:t>.</w:t>
      </w:r>
      <w:r>
        <w:tab/>
        <w:t>Section 34 amended</w:t>
      </w:r>
      <w:bookmarkEnd w:id="622"/>
      <w:bookmarkEnd w:id="623"/>
    </w:p>
    <w:p>
      <w:pPr>
        <w:pStyle w:val="nzSubsection"/>
      </w:pPr>
      <w:r>
        <w:tab/>
        <w:t>(1)</w:t>
      </w:r>
      <w:r>
        <w:tab/>
        <w:t>In section 34(2):</w:t>
      </w:r>
    </w:p>
    <w:p>
      <w:pPr>
        <w:pStyle w:val="nzIndenta"/>
      </w:pPr>
      <w:r>
        <w:tab/>
        <w:t>(a)</w:t>
      </w:r>
      <w:r>
        <w:tab/>
        <w:t>in paragraph (a) delete “subject to subsection (3),”;</w:t>
      </w:r>
    </w:p>
    <w:p>
      <w:pPr>
        <w:pStyle w:val="nzIndenta"/>
      </w:pPr>
      <w:r>
        <w:tab/>
        <w:t>(b)</w:t>
      </w:r>
      <w:r>
        <w:tab/>
        <w:t>delete paragraph (a)(i).</w:t>
      </w:r>
    </w:p>
    <w:p>
      <w:pPr>
        <w:pStyle w:val="nzSubsection"/>
      </w:pPr>
      <w:r>
        <w:tab/>
        <w:t>(2)</w:t>
      </w:r>
      <w:r>
        <w:tab/>
        <w:t>Delete section 34(3) and insert:</w:t>
      </w:r>
    </w:p>
    <w:p>
      <w:pPr>
        <w:pStyle w:val="BlankOpen"/>
      </w:pPr>
    </w:p>
    <w:p>
      <w:pPr>
        <w:pStyle w:val="nzSubsection"/>
      </w:pPr>
      <w:r>
        <w:tab/>
        <w:t>(3)</w:t>
      </w:r>
      <w:r>
        <w:tab/>
        <w:t>Subsection (4) applies to any application made to the licensing authority for — </w:t>
      </w:r>
    </w:p>
    <w:p>
      <w:pPr>
        <w:pStyle w:val="nzIndenta"/>
      </w:pPr>
      <w:r>
        <w:tab/>
        <w:t>(a)</w:t>
      </w:r>
      <w:r>
        <w:tab/>
        <w:t>the grant or removal of a licence; or</w:t>
      </w:r>
    </w:p>
    <w:p>
      <w:pPr>
        <w:pStyle w:val="nzIndenta"/>
      </w:pPr>
      <w:r>
        <w:tab/>
        <w:t>(b)</w:t>
      </w:r>
      <w:r>
        <w:tab/>
        <w:t>approval to the transfer of a licence; or</w:t>
      </w:r>
    </w:p>
    <w:p>
      <w:pPr>
        <w:pStyle w:val="nzIndenta"/>
      </w:pPr>
      <w:r>
        <w:tab/>
        <w:t>(c)</w:t>
      </w:r>
      <w:r>
        <w:tab/>
        <w:t>approval of a person — </w:t>
      </w:r>
    </w:p>
    <w:p>
      <w:pPr>
        <w:pStyle w:val="nzIndenti"/>
      </w:pPr>
      <w:r>
        <w:tab/>
        <w:t>(i)</w:t>
      </w:r>
      <w:r>
        <w:tab/>
        <w:t>as a trustee; or</w:t>
      </w:r>
    </w:p>
    <w:p>
      <w:pPr>
        <w:pStyle w:val="nzIndenti"/>
      </w:pPr>
      <w:r>
        <w:tab/>
        <w:t>(ii)</w:t>
      </w:r>
      <w:r>
        <w:tab/>
        <w:t>as the occupant of a position of authority in a body corporate that holds a licence.</w:t>
      </w:r>
    </w:p>
    <w:p>
      <w:pPr>
        <w:pStyle w:val="nzSubsection"/>
      </w:pPr>
      <w:r>
        <w:tab/>
        <w:t>(4)</w:t>
      </w:r>
      <w:r>
        <w:tab/>
        <w:t xml:space="preserve">The licensing authority must not hear or determine any application to which this subsection applies if that application is made by a person who is, according the </w:t>
      </w:r>
      <w:r>
        <w:rPr>
          <w:i/>
        </w:rPr>
        <w:t>Interpretation Act 1984</w:t>
      </w:r>
      <w:r>
        <w:t xml:space="preserve"> section 13D, a bankrupt or a person whose affairs are under insolvency laws.</w:t>
      </w:r>
    </w:p>
    <w:p>
      <w:pPr>
        <w:pStyle w:val="BlankClose"/>
      </w:pPr>
    </w:p>
    <w:p>
      <w:pPr>
        <w:pStyle w:val="nzHeading5"/>
      </w:pPr>
      <w:bookmarkStart w:id="624" w:name="_Toc518626508"/>
      <w:bookmarkStart w:id="625" w:name="_Toc519495319"/>
      <w:r>
        <w:rPr>
          <w:rStyle w:val="CharSectno"/>
        </w:rPr>
        <w:t>16</w:t>
      </w:r>
      <w:r>
        <w:t>.</w:t>
      </w:r>
      <w:r>
        <w:tab/>
        <w:t>Section 36 amended</w:t>
      </w:r>
      <w:bookmarkEnd w:id="624"/>
      <w:bookmarkEnd w:id="625"/>
    </w:p>
    <w:p>
      <w:pPr>
        <w:pStyle w:val="nzSubsection"/>
      </w:pPr>
      <w:r>
        <w:tab/>
      </w:r>
      <w:r>
        <w:tab/>
        <w:t>Delete section 36(3) and insert:</w:t>
      </w:r>
    </w:p>
    <w:p>
      <w:pPr>
        <w:pStyle w:val="BlankOpen"/>
      </w:pPr>
    </w:p>
    <w:p>
      <w:pPr>
        <w:pStyle w:val="nzSubsection"/>
      </w:pPr>
      <w:r>
        <w:tab/>
        <w:t>(3)</w:t>
      </w:r>
      <w:r>
        <w:tab/>
        <w:t xml:space="preserve">In addition to a licence granted in respect of any premises, or a part of any premises, either or both of the following licences may also be granted in respect of those premises or a part of those premises — </w:t>
      </w:r>
    </w:p>
    <w:p>
      <w:pPr>
        <w:pStyle w:val="nzIndenta"/>
      </w:pPr>
      <w:r>
        <w:tab/>
        <w:t>(a)</w:t>
      </w:r>
      <w:r>
        <w:tab/>
        <w:t>an occasional licence;</w:t>
      </w:r>
    </w:p>
    <w:p>
      <w:pPr>
        <w:pStyle w:val="nzIndenta"/>
      </w:pPr>
      <w:r>
        <w:tab/>
        <w:t>(b)</w:t>
      </w:r>
      <w:r>
        <w:tab/>
        <w:t>a licence conditionally granted under section 62.</w:t>
      </w:r>
    </w:p>
    <w:p>
      <w:pPr>
        <w:pStyle w:val="BlankClose"/>
      </w:pPr>
    </w:p>
    <w:p>
      <w:pPr>
        <w:pStyle w:val="nzHeading5"/>
      </w:pPr>
      <w:bookmarkStart w:id="626" w:name="_Toc518626509"/>
      <w:bookmarkStart w:id="627" w:name="_Toc519495320"/>
      <w:r>
        <w:rPr>
          <w:rStyle w:val="CharSectno"/>
        </w:rPr>
        <w:t>17</w:t>
      </w:r>
      <w:r>
        <w:t>.</w:t>
      </w:r>
      <w:r>
        <w:tab/>
        <w:t>Section 36A amended</w:t>
      </w:r>
      <w:bookmarkEnd w:id="626"/>
      <w:bookmarkEnd w:id="627"/>
    </w:p>
    <w:p>
      <w:pPr>
        <w:pStyle w:val="nzSubsection"/>
      </w:pPr>
      <w:r>
        <w:tab/>
      </w:r>
      <w:r>
        <w:tab/>
        <w:t>In section 36A(2) delete “shall not approve” and insert:</w:t>
      </w:r>
    </w:p>
    <w:p>
      <w:pPr>
        <w:pStyle w:val="BlankOpen"/>
      </w:pPr>
    </w:p>
    <w:p>
      <w:pPr>
        <w:pStyle w:val="nzSubsection"/>
      </w:pPr>
      <w:r>
        <w:tab/>
      </w:r>
      <w:r>
        <w:tab/>
        <w:t xml:space="preserve">must not grant an application for </w:t>
      </w:r>
    </w:p>
    <w:p>
      <w:pPr>
        <w:pStyle w:val="BlankClose"/>
      </w:pPr>
    </w:p>
    <w:p>
      <w:pPr>
        <w:pStyle w:val="nzHeading5"/>
      </w:pPr>
      <w:bookmarkStart w:id="628" w:name="_Toc518626510"/>
      <w:bookmarkStart w:id="629" w:name="_Toc519495321"/>
      <w:r>
        <w:rPr>
          <w:rStyle w:val="CharSectno"/>
        </w:rPr>
        <w:t>18</w:t>
      </w:r>
      <w:r>
        <w:t>.</w:t>
      </w:r>
      <w:r>
        <w:tab/>
        <w:t>Section 36B inserted</w:t>
      </w:r>
      <w:bookmarkEnd w:id="628"/>
      <w:bookmarkEnd w:id="629"/>
    </w:p>
    <w:p>
      <w:pPr>
        <w:pStyle w:val="nzSubsection"/>
      </w:pPr>
      <w:r>
        <w:tab/>
      </w:r>
      <w:r>
        <w:tab/>
        <w:t>After section 36A insert:</w:t>
      </w:r>
    </w:p>
    <w:p>
      <w:pPr>
        <w:pStyle w:val="BlankOpen"/>
      </w:pPr>
    </w:p>
    <w:p>
      <w:pPr>
        <w:pStyle w:val="nzHeading5"/>
      </w:pPr>
      <w:bookmarkStart w:id="630" w:name="_Toc518626511"/>
      <w:bookmarkStart w:id="631" w:name="_Toc519495322"/>
      <w:r>
        <w:t>36B.</w:t>
      </w:r>
      <w:r>
        <w:tab/>
        <w:t>Restrictions on grant or removal of certain licences authorising sale of packaged liquor</w:t>
      </w:r>
      <w:bookmarkEnd w:id="630"/>
      <w:bookmarkEnd w:id="631"/>
    </w:p>
    <w:p>
      <w:pPr>
        <w:pStyle w:val="nzSubsection"/>
      </w:pPr>
      <w:r>
        <w:tab/>
        <w:t>(1)</w:t>
      </w:r>
      <w:r>
        <w:tab/>
        <w:t xml:space="preserve">In this section — </w:t>
      </w:r>
    </w:p>
    <w:p>
      <w:pPr>
        <w:pStyle w:val="nzDefstart"/>
      </w:pPr>
      <w:r>
        <w:tab/>
      </w:r>
      <w:r>
        <w:rPr>
          <w:rStyle w:val="CharDefText"/>
        </w:rPr>
        <w:t>local packaged liquor requirements</w:t>
      </w:r>
      <w:r>
        <w:t>, in relation to an application to which this section applies, means the requirements of consumers for packaged liquor in the locality in which the proposed licensed premises are, or are to be, situated;</w:t>
      </w:r>
    </w:p>
    <w:p>
      <w:pPr>
        <w:pStyle w:val="nzDefstart"/>
      </w:pPr>
      <w:r>
        <w:tab/>
      </w:r>
      <w:r>
        <w:rPr>
          <w:rStyle w:val="CharDefText"/>
        </w:rPr>
        <w:t>packaged liquor premises</w:t>
      </w:r>
      <w:r>
        <w:t xml:space="preserve"> means premises to which a licence referred to in subsection (2) relates;</w:t>
      </w:r>
    </w:p>
    <w:p>
      <w:pPr>
        <w:pStyle w:val="nzDefstart"/>
      </w:pPr>
      <w:r>
        <w:tab/>
      </w:r>
      <w:r>
        <w:rPr>
          <w:rStyle w:val="CharDefText"/>
        </w:rPr>
        <w:t>prescribed area</w:t>
      </w:r>
      <w:r>
        <w:t xml:space="preserve"> means the area prescribed for the purposes of this section;</w:t>
      </w:r>
    </w:p>
    <w:p>
      <w:pPr>
        <w:pStyle w:val="nzDefstart"/>
      </w:pPr>
      <w:r>
        <w:tab/>
      </w:r>
      <w:r>
        <w:rPr>
          <w:rStyle w:val="CharDefText"/>
        </w:rPr>
        <w:t xml:space="preserve">prescribed distance </w:t>
      </w:r>
      <w:r>
        <w:t>means the distance prescribed for the purposes of this section;</w:t>
      </w:r>
    </w:p>
    <w:p>
      <w:pPr>
        <w:pStyle w:val="nzDefstart"/>
      </w:pPr>
      <w:r>
        <w:tab/>
      </w:r>
      <w:r>
        <w:rPr>
          <w:rStyle w:val="CharDefText"/>
        </w:rPr>
        <w:t>proposed licensed premises</w:t>
      </w:r>
      <w:r>
        <w:t xml:space="preserve">, in relation to an application to which this section applies, means — </w:t>
      </w:r>
    </w:p>
    <w:p>
      <w:pPr>
        <w:pStyle w:val="nzDefpara"/>
      </w:pPr>
      <w:r>
        <w:tab/>
        <w:t>(a)</w:t>
      </w:r>
      <w:r>
        <w:tab/>
        <w:t>if the application is for the grant of a licence — the premises to which the application relates; or</w:t>
      </w:r>
    </w:p>
    <w:p>
      <w:pPr>
        <w:pStyle w:val="nzDefpara"/>
      </w:pPr>
      <w:r>
        <w:tab/>
        <w:t>(b)</w:t>
      </w:r>
      <w:r>
        <w:tab/>
        <w:t>if the application is for the removal of a licence — the premises to which the licence is sought to be removed;</w:t>
      </w:r>
    </w:p>
    <w:p>
      <w:pPr>
        <w:pStyle w:val="nzDefstart"/>
        <w:rPr>
          <w:rStyle w:val="CharDefText"/>
          <w:b w:val="0"/>
          <w:i w:val="0"/>
        </w:rPr>
      </w:pPr>
      <w:r>
        <w:tab/>
      </w:r>
      <w:r>
        <w:rPr>
          <w:rStyle w:val="CharDefText"/>
        </w:rPr>
        <w:t xml:space="preserve">retail section — </w:t>
      </w:r>
    </w:p>
    <w:p>
      <w:pPr>
        <w:pStyle w:val="nzDefpara"/>
      </w:pPr>
      <w:r>
        <w:tab/>
        <w:t>(a)</w:t>
      </w:r>
      <w:r>
        <w:tab/>
        <w:t>in relation to packaged liquor premises — means the part or parts of the premises on which packaged liquor is displayed for the purposes of sale or sold; and</w:t>
      </w:r>
    </w:p>
    <w:p>
      <w:pPr>
        <w:pStyle w:val="nzDefpara"/>
      </w:pPr>
      <w:r>
        <w:tab/>
        <w:t>(b)</w:t>
      </w:r>
      <w:r>
        <w:tab/>
        <w:t>in relation to proposed licensed premises — means the part or parts of the premises on which packaged liquor is to be displayed for the purposes of sale or sold.</w:t>
      </w:r>
    </w:p>
    <w:p>
      <w:pPr>
        <w:pStyle w:val="nzSubsection"/>
      </w:pPr>
      <w:r>
        <w:tab/>
        <w:t>(2)</w:t>
      </w:r>
      <w:r>
        <w:tab/>
        <w:t xml:space="preserve">This section applies to an application for the grant or removal of any of the following licences — </w:t>
      </w:r>
    </w:p>
    <w:p>
      <w:pPr>
        <w:pStyle w:val="nzIndenta"/>
      </w:pPr>
      <w:r>
        <w:tab/>
        <w:t>(a)</w:t>
      </w:r>
      <w:r>
        <w:tab/>
        <w:t>a hotel licence without restriction;</w:t>
      </w:r>
    </w:p>
    <w:p>
      <w:pPr>
        <w:pStyle w:val="nzIndenta"/>
      </w:pPr>
      <w:r>
        <w:tab/>
        <w:t>(b)</w:t>
      </w:r>
      <w:r>
        <w:tab/>
        <w:t>a tavern licence;</w:t>
      </w:r>
    </w:p>
    <w:p>
      <w:pPr>
        <w:pStyle w:val="nzIndenta"/>
      </w:pPr>
      <w:r>
        <w:tab/>
        <w:t>(c)</w:t>
      </w:r>
      <w:r>
        <w:tab/>
        <w:t>a liquor store licence;</w:t>
      </w:r>
    </w:p>
    <w:p>
      <w:pPr>
        <w:pStyle w:val="nzIndenta"/>
      </w:pPr>
      <w:r>
        <w:tab/>
        <w:t>(d)</w:t>
      </w:r>
      <w:r>
        <w:tab/>
        <w:t>a special facility licence of a prescribed type.</w:t>
      </w:r>
    </w:p>
    <w:p>
      <w:pPr>
        <w:pStyle w:val="nzSubsection"/>
      </w:pPr>
      <w:r>
        <w:tab/>
        <w:t>(3)</w:t>
      </w:r>
      <w:r>
        <w:tab/>
        <w:t xml:space="preserve">The licensing authority must not hear or determine an application to which this section applies if — </w:t>
      </w:r>
    </w:p>
    <w:p>
      <w:pPr>
        <w:pStyle w:val="nzIndenta"/>
      </w:pPr>
      <w:r>
        <w:tab/>
        <w:t>(a)</w:t>
      </w:r>
      <w:r>
        <w:tab/>
        <w:t>packaged liquor premises are situated less than the prescribed distance from the proposed licensed premises; and</w:t>
      </w:r>
    </w:p>
    <w:p>
      <w:pPr>
        <w:pStyle w:val="nzIndenta"/>
      </w:pPr>
      <w:r>
        <w:tab/>
        <w:t>(b)</w:t>
      </w:r>
      <w:r>
        <w:tab/>
        <w:t>the area of the retail section of those packaged liquor premises exceeds the prescribed area; and</w:t>
      </w:r>
    </w:p>
    <w:p>
      <w:pPr>
        <w:pStyle w:val="nzIndenta"/>
      </w:pPr>
      <w:r>
        <w:tab/>
        <w:t>(c)</w:t>
      </w:r>
      <w:r>
        <w:tab/>
        <w:t>the area of the retail section of the proposed licensed premises exceeds the prescribed area.</w:t>
      </w:r>
    </w:p>
    <w:p>
      <w:pPr>
        <w:pStyle w:val="nzSubsection"/>
      </w:pPr>
      <w:r>
        <w:tab/>
        <w:t>(4)</w:t>
      </w:r>
      <w:r>
        <w:tab/>
        <w:t>The licensing authority must not grant an application to which this section applies unless satisfied that local packaged liquor requirements cannot reasonably be met by existing packaged liquor premises in the locality in which the proposed licensed premises are, or are to be, situated.</w:t>
      </w:r>
    </w:p>
    <w:p>
      <w:pPr>
        <w:pStyle w:val="nzSubsection"/>
      </w:pPr>
      <w:r>
        <w:tab/>
        <w:t>(5)</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BlankClose"/>
      </w:pPr>
    </w:p>
    <w:p>
      <w:pPr>
        <w:pStyle w:val="nzHeading5"/>
      </w:pPr>
      <w:bookmarkStart w:id="632" w:name="_Toc518626512"/>
      <w:bookmarkStart w:id="633" w:name="_Toc519495323"/>
      <w:r>
        <w:rPr>
          <w:rStyle w:val="CharSectno"/>
        </w:rPr>
        <w:t>19</w:t>
      </w:r>
      <w:r>
        <w:t>.</w:t>
      </w:r>
      <w:r>
        <w:tab/>
        <w:t>Section 37C inserted</w:t>
      </w:r>
      <w:bookmarkEnd w:id="632"/>
      <w:bookmarkEnd w:id="633"/>
    </w:p>
    <w:p>
      <w:pPr>
        <w:pStyle w:val="nzSubsection"/>
      </w:pPr>
      <w:r>
        <w:tab/>
      </w:r>
      <w:r>
        <w:tab/>
        <w:t>At the end of Part 3 Division 1 insert:</w:t>
      </w:r>
    </w:p>
    <w:p>
      <w:pPr>
        <w:pStyle w:val="BlankOpen"/>
      </w:pPr>
    </w:p>
    <w:p>
      <w:pPr>
        <w:pStyle w:val="nzHeading5"/>
      </w:pPr>
      <w:bookmarkStart w:id="634" w:name="_Toc518626513"/>
      <w:bookmarkStart w:id="635" w:name="_Toc519495324"/>
      <w:r>
        <w:t>37C.</w:t>
      </w:r>
      <w:r>
        <w:tab/>
        <w:t>Register of licensed premises</w:t>
      </w:r>
      <w:bookmarkEnd w:id="634"/>
      <w:bookmarkEnd w:id="635"/>
    </w:p>
    <w:p>
      <w:pPr>
        <w:pStyle w:val="nzSubsection"/>
      </w:pPr>
      <w:r>
        <w:tab/>
        <w:t>(1)</w:t>
      </w:r>
      <w:r>
        <w:tab/>
        <w:t xml:space="preserve">The Director may keep a register that contains the following information in respect of licensed premises — </w:t>
      </w:r>
    </w:p>
    <w:p>
      <w:pPr>
        <w:pStyle w:val="nzIndenta"/>
      </w:pPr>
      <w:r>
        <w:tab/>
        <w:t>(a)</w:t>
      </w:r>
      <w:r>
        <w:tab/>
        <w:t>the name and address of the premises;</w:t>
      </w:r>
    </w:p>
    <w:p>
      <w:pPr>
        <w:pStyle w:val="nzIndenta"/>
      </w:pPr>
      <w:r>
        <w:tab/>
        <w:t>(b)</w:t>
      </w:r>
      <w:r>
        <w:tab/>
        <w:t>the licence number of the premises;</w:t>
      </w:r>
    </w:p>
    <w:p>
      <w:pPr>
        <w:pStyle w:val="nzIndenta"/>
      </w:pPr>
      <w:r>
        <w:tab/>
        <w:t>(c)</w:t>
      </w:r>
      <w:r>
        <w:tab/>
        <w:t>the type of licence that applies to the premises;</w:t>
      </w:r>
    </w:p>
    <w:p>
      <w:pPr>
        <w:pStyle w:val="nzDefpara"/>
      </w:pPr>
      <w:r>
        <w:tab/>
        <w:t>(d)</w:t>
      </w:r>
      <w:r>
        <w:tab/>
        <w:t>the status of the licence that applies to the premises (for example, whether the licence is conditionally granted or suspended);</w:t>
      </w:r>
    </w:p>
    <w:p>
      <w:pPr>
        <w:pStyle w:val="nzIndenta"/>
      </w:pPr>
      <w:r>
        <w:tab/>
        <w:t>(e)</w:t>
      </w:r>
      <w:r>
        <w:tab/>
        <w:t>the name of the licensee of the premises.</w:t>
      </w:r>
    </w:p>
    <w:p>
      <w:pPr>
        <w:pStyle w:val="nzSubsection"/>
      </w:pPr>
      <w:r>
        <w:tab/>
        <w:t>(2)</w:t>
      </w:r>
      <w:r>
        <w:tab/>
        <w:t>The Director may make the register available to the public in any way the Director considers appropriate, including by publication on the Department’s website.</w:t>
      </w:r>
    </w:p>
    <w:p>
      <w:pPr>
        <w:pStyle w:val="BlankClose"/>
      </w:pPr>
    </w:p>
    <w:p>
      <w:pPr>
        <w:pStyle w:val="nzHeading5"/>
      </w:pPr>
      <w:bookmarkStart w:id="636" w:name="_Toc518626514"/>
      <w:bookmarkStart w:id="637" w:name="_Toc519495325"/>
      <w:r>
        <w:rPr>
          <w:rStyle w:val="CharSectno"/>
        </w:rPr>
        <w:t>20</w:t>
      </w:r>
      <w:r>
        <w:t>.</w:t>
      </w:r>
      <w:r>
        <w:tab/>
        <w:t>Section 38 amended</w:t>
      </w:r>
      <w:bookmarkEnd w:id="636"/>
      <w:bookmarkEnd w:id="637"/>
    </w:p>
    <w:p>
      <w:pPr>
        <w:pStyle w:val="nzSubsection"/>
      </w:pPr>
      <w:r>
        <w:tab/>
        <w:t>(1)</w:t>
      </w:r>
      <w:r>
        <w:tab/>
        <w:t>In section 38(1)(a) delete “licence; or” and insert:</w:t>
      </w:r>
    </w:p>
    <w:p>
      <w:pPr>
        <w:pStyle w:val="BlankOpen"/>
      </w:pPr>
    </w:p>
    <w:p>
      <w:pPr>
        <w:pStyle w:val="nzSubsection"/>
      </w:pPr>
      <w:r>
        <w:tab/>
      </w:r>
      <w:r>
        <w:tab/>
        <w:t>licence of a kind prescribed; or</w:t>
      </w:r>
    </w:p>
    <w:p>
      <w:pPr>
        <w:pStyle w:val="BlankClose"/>
      </w:pPr>
    </w:p>
    <w:p>
      <w:pPr>
        <w:pStyle w:val="nzSubsection"/>
      </w:pPr>
      <w:r>
        <w:tab/>
        <w:t>(2)</w:t>
      </w:r>
      <w:r>
        <w:tab/>
        <w:t>In section 38(4):</w:t>
      </w:r>
    </w:p>
    <w:p>
      <w:pPr>
        <w:pStyle w:val="nzIndenta"/>
      </w:pPr>
      <w:r>
        <w:tab/>
        <w:t>(a)</w:t>
      </w:r>
      <w:r>
        <w:tab/>
        <w:t>delete paragraph (b) and insert:</w:t>
      </w:r>
    </w:p>
    <w:p>
      <w:pPr>
        <w:pStyle w:val="BlankOpen"/>
      </w:pPr>
    </w:p>
    <w:p>
      <w:pPr>
        <w:pStyle w:val="nzIndenta"/>
      </w:pPr>
      <w:r>
        <w:tab/>
        <w:t>(b)</w:t>
      </w:r>
      <w:r>
        <w:tab/>
        <w:t>whether the amenity, quiet or good order of the locality in which the licensed premises or proposed licensed premises are, or are to be, situated might in some manner be lessened; and</w:t>
      </w:r>
    </w:p>
    <w:p>
      <w:pPr>
        <w:pStyle w:val="BlankClose"/>
      </w:pPr>
    </w:p>
    <w:p>
      <w:pPr>
        <w:pStyle w:val="nzIndenta"/>
      </w:pPr>
      <w:r>
        <w:tab/>
        <w:t>(b)</w:t>
      </w:r>
      <w:r>
        <w:tab/>
        <w:t>after paragraph (c) insert:</w:t>
      </w:r>
    </w:p>
    <w:p>
      <w:pPr>
        <w:pStyle w:val="BlankOpen"/>
      </w:pPr>
    </w:p>
    <w:p>
      <w:pPr>
        <w:pStyle w:val="nzIndenta"/>
      </w:pPr>
      <w:r>
        <w:tab/>
        <w:t>(ca)</w:t>
      </w:r>
      <w:r>
        <w:tab/>
        <w:t>any effect the granting of the application might have in relation to tourism, or community or cultural matters; and</w:t>
      </w:r>
    </w:p>
    <w:p>
      <w:pPr>
        <w:pStyle w:val="BlankClose"/>
      </w:pPr>
    </w:p>
    <w:p>
      <w:pPr>
        <w:pStyle w:val="nzSubsection"/>
      </w:pPr>
      <w:r>
        <w:tab/>
        <w:t>(3)</w:t>
      </w:r>
      <w:r>
        <w:tab/>
        <w:t>After section 38(6) insert:</w:t>
      </w:r>
    </w:p>
    <w:p>
      <w:pPr>
        <w:pStyle w:val="BlankOpen"/>
      </w:pPr>
    </w:p>
    <w:p>
      <w:pPr>
        <w:pStyle w:val="nzSubsection"/>
      </w:pPr>
      <w:r>
        <w:tab/>
        <w:t>(7)</w:t>
      </w:r>
      <w:r>
        <w:tab/>
        <w:t xml:space="preserve">If subsection (2) applies to an application, the Director may publish the following on the Department’s website — </w:t>
      </w:r>
    </w:p>
    <w:p>
      <w:pPr>
        <w:pStyle w:val="nzIndenta"/>
      </w:pPr>
      <w:r>
        <w:tab/>
        <w:t>(a)</w:t>
      </w:r>
      <w:r>
        <w:tab/>
        <w:t>the application;</w:t>
      </w:r>
    </w:p>
    <w:p>
      <w:pPr>
        <w:pStyle w:val="nzIndenta"/>
      </w:pPr>
      <w:r>
        <w:tab/>
        <w:t>(b)</w:t>
      </w:r>
      <w:r>
        <w:tab/>
        <w:t>any document or information provided under subsection (3) in relation to the application.</w:t>
      </w:r>
    </w:p>
    <w:p>
      <w:pPr>
        <w:pStyle w:val="BlankClose"/>
      </w:pPr>
    </w:p>
    <w:p>
      <w:pPr>
        <w:pStyle w:val="nzHeading5"/>
      </w:pPr>
      <w:bookmarkStart w:id="638" w:name="_Toc518626515"/>
      <w:bookmarkStart w:id="639" w:name="_Toc519495326"/>
      <w:r>
        <w:rPr>
          <w:rStyle w:val="CharSectno"/>
        </w:rPr>
        <w:t>21</w:t>
      </w:r>
      <w:r>
        <w:t>.</w:t>
      </w:r>
      <w:r>
        <w:tab/>
        <w:t>Section 41 amended</w:t>
      </w:r>
      <w:bookmarkEnd w:id="638"/>
      <w:bookmarkEnd w:id="639"/>
    </w:p>
    <w:p>
      <w:pPr>
        <w:pStyle w:val="nzSubsection"/>
      </w:pPr>
      <w:r>
        <w:tab/>
        <w:t>(1)</w:t>
      </w:r>
      <w:r>
        <w:tab/>
        <w:t>Delete section 41(1aa).</w:t>
      </w:r>
    </w:p>
    <w:p>
      <w:pPr>
        <w:pStyle w:val="nzSubsection"/>
      </w:pPr>
      <w:r>
        <w:tab/>
        <w:t>(2)</w:t>
      </w:r>
      <w:r>
        <w:tab/>
        <w:t>In section 41(1)(a) delete “and is not a small bar licence”.</w:t>
      </w:r>
    </w:p>
    <w:p>
      <w:pPr>
        <w:pStyle w:val="nzSubsection"/>
      </w:pPr>
      <w:r>
        <w:tab/>
        <w:t>(3)</w:t>
      </w:r>
      <w:r>
        <w:tab/>
        <w:t>In section 41(2)(b) delete “small bar licence or a hotel restricted licence,” and insert:</w:t>
      </w:r>
    </w:p>
    <w:p>
      <w:pPr>
        <w:pStyle w:val="BlankOpen"/>
      </w:pPr>
    </w:p>
    <w:p>
      <w:pPr>
        <w:pStyle w:val="nzSubsection"/>
      </w:pPr>
      <w:r>
        <w:tab/>
      </w:r>
      <w:r>
        <w:tab/>
        <w:t>hotel restricted licence or a tavern restricted licence,</w:t>
      </w:r>
    </w:p>
    <w:p>
      <w:pPr>
        <w:pStyle w:val="BlankClose"/>
      </w:pPr>
    </w:p>
    <w:p>
      <w:pPr>
        <w:pStyle w:val="nzSubsection"/>
      </w:pPr>
      <w:r>
        <w:tab/>
        <w:t>(4)</w:t>
      </w:r>
      <w:r>
        <w:tab/>
        <w:t>In section 41(4) delete “small bar licence or a”.</w:t>
      </w:r>
    </w:p>
    <w:p>
      <w:pPr>
        <w:pStyle w:val="nzHeading5"/>
      </w:pPr>
      <w:bookmarkStart w:id="640" w:name="_Toc518626516"/>
      <w:bookmarkStart w:id="641" w:name="_Toc519495327"/>
      <w:r>
        <w:rPr>
          <w:rStyle w:val="CharSectno"/>
        </w:rPr>
        <w:t>22</w:t>
      </w:r>
      <w:r>
        <w:t>.</w:t>
      </w:r>
      <w:r>
        <w:tab/>
        <w:t>Sections 41A and 41B inserted</w:t>
      </w:r>
      <w:bookmarkEnd w:id="640"/>
      <w:bookmarkEnd w:id="641"/>
    </w:p>
    <w:p>
      <w:pPr>
        <w:pStyle w:val="nzSubsection"/>
      </w:pPr>
      <w:r>
        <w:tab/>
      </w:r>
      <w:r>
        <w:tab/>
        <w:t>After section 41 insert:</w:t>
      </w:r>
    </w:p>
    <w:p>
      <w:pPr>
        <w:pStyle w:val="BlankOpen"/>
      </w:pPr>
    </w:p>
    <w:p>
      <w:pPr>
        <w:pStyle w:val="nzHeading5"/>
      </w:pPr>
      <w:bookmarkStart w:id="642" w:name="_Toc518626517"/>
      <w:bookmarkStart w:id="643" w:name="_Toc519495328"/>
      <w:r>
        <w:t>41A.</w:t>
      </w:r>
      <w:r>
        <w:tab/>
        <w:t>Effect and conditions of small bar licence</w:t>
      </w:r>
      <w:bookmarkEnd w:id="642"/>
      <w:bookmarkEnd w:id="643"/>
    </w:p>
    <w:p>
      <w:pPr>
        <w:pStyle w:val="nzSubsection"/>
      </w:pPr>
      <w:r>
        <w:tab/>
        <w:t>(1)</w:t>
      </w:r>
      <w:r>
        <w:tab/>
        <w:t>Subject to this Act, the licensee of a small bar licence is, during permitted hours, authorised to sell liquor for consumption on the licensed premises.</w:t>
      </w:r>
    </w:p>
    <w:p>
      <w:pPr>
        <w:pStyle w:val="nzSubsection"/>
      </w:pPr>
      <w:r>
        <w:tab/>
        <w:t>(2)</w:t>
      </w:r>
      <w:r>
        <w:tab/>
        <w:t xml:space="preserve">A small bar licence is subject to — </w:t>
      </w:r>
    </w:p>
    <w:p>
      <w:pPr>
        <w:pStyle w:val="nzIndenta"/>
      </w:pPr>
      <w:r>
        <w:tab/>
        <w:t>(a)</w:t>
      </w:r>
      <w:r>
        <w:tab/>
        <w:t>a condition prohibiting the sale of packaged liquor; and</w:t>
      </w:r>
    </w:p>
    <w:p>
      <w:pPr>
        <w:pStyle w:val="nzIndenta"/>
      </w:pPr>
      <w:r>
        <w:tab/>
        <w:t>(b)</w:t>
      </w:r>
      <w:r>
        <w:tab/>
        <w:t>a condition limiting the maximum number of persons (excluding responsible persons and authorised officers) who may be on the licensed premises to 120.</w:t>
      </w:r>
    </w:p>
    <w:p>
      <w:pPr>
        <w:pStyle w:val="nzHeading5"/>
      </w:pPr>
      <w:bookmarkStart w:id="644" w:name="_Toc518626518"/>
      <w:bookmarkStart w:id="645" w:name="_Toc519495329"/>
      <w:r>
        <w:t>41B.</w:t>
      </w:r>
      <w:r>
        <w:tab/>
        <w:t>Small bar licence may be granted as alternative to tavern restricted licence</w:t>
      </w:r>
      <w:bookmarkEnd w:id="644"/>
      <w:bookmarkEnd w:id="645"/>
    </w:p>
    <w:p>
      <w:pPr>
        <w:pStyle w:val="nzSubsection"/>
      </w:pPr>
      <w:r>
        <w:tab/>
        <w:t>(1)</w:t>
      </w:r>
      <w:r>
        <w:tab/>
        <w:t>If the licensing authority considers it appropriate, the licensing authority may, with the agreement of the applicant, treat an application for a tavern restricted licence as an application for a small bar licence.</w:t>
      </w:r>
    </w:p>
    <w:p>
      <w:pPr>
        <w:pStyle w:val="nzSubsection"/>
      </w:pPr>
      <w:r>
        <w:tab/>
        <w:t>(2)</w:t>
      </w:r>
      <w:r>
        <w:tab/>
        <w:t xml:space="preserve">Subsection (3) applies to a tavern restricted licence if — </w:t>
      </w:r>
    </w:p>
    <w:p>
      <w:pPr>
        <w:pStyle w:val="nzIndenta"/>
      </w:pPr>
      <w:r>
        <w:tab/>
        <w:t>(a)</w:t>
      </w:r>
      <w:r>
        <w:tab/>
        <w:t>it is subject to a condition limiting the maximum number of persons (excluding responsible persons and authorised officers) who may be on the licensed premises to 120; and</w:t>
      </w:r>
    </w:p>
    <w:p>
      <w:pPr>
        <w:pStyle w:val="nzIndenta"/>
      </w:pPr>
      <w:r>
        <w:tab/>
        <w:t>(b)</w:t>
      </w:r>
      <w:r>
        <w:tab/>
        <w:t>the capacity of the licensed premises is not more than 120 persons.</w:t>
      </w:r>
    </w:p>
    <w:p>
      <w:pPr>
        <w:pStyle w:val="nzSubsection"/>
      </w:pPr>
      <w:r>
        <w:tab/>
        <w:t>(3)</w:t>
      </w:r>
      <w:r>
        <w:tab/>
        <w:t xml:space="preserve">The licensing authority may, of its own motion or on the application of the licensee of the licence — </w:t>
      </w:r>
    </w:p>
    <w:p>
      <w:pPr>
        <w:pStyle w:val="nzIndenta"/>
      </w:pPr>
      <w:r>
        <w:tab/>
        <w:t>(a)</w:t>
      </w:r>
      <w:r>
        <w:tab/>
        <w:t>cancel a tavern restricted licence to which this subsection applies; and</w:t>
      </w:r>
    </w:p>
    <w:p>
      <w:pPr>
        <w:pStyle w:val="nzIndenta"/>
      </w:pPr>
      <w:r>
        <w:tab/>
        <w:t>(b)</w:t>
      </w:r>
      <w:r>
        <w:tab/>
        <w:t>grant to the person who was the licensee of the licence a small bar licence in respect of the premises to which the licence related.</w:t>
      </w:r>
    </w:p>
    <w:p>
      <w:pPr>
        <w:pStyle w:val="nzSubsection"/>
      </w:pPr>
      <w:r>
        <w:tab/>
        <w:t>(4)</w:t>
      </w:r>
      <w:r>
        <w:tab/>
        <w:t xml:space="preserve">If the licensing authority proposes of its own motion to cancel a tavern restricted licence and grant a small bar licence under subsection (3), the licensing authority must give the licensee of the tavern restricted licence — </w:t>
      </w:r>
    </w:p>
    <w:p>
      <w:pPr>
        <w:pStyle w:val="nzIndenta"/>
      </w:pPr>
      <w:r>
        <w:tab/>
        <w:t>(a)</w:t>
      </w:r>
      <w:r>
        <w:tab/>
        <w:t>a notice that sets out the proposal and the reasons for it; and</w:t>
      </w:r>
    </w:p>
    <w:p>
      <w:pPr>
        <w:pStyle w:val="nzIndenta"/>
      </w:pPr>
      <w:r>
        <w:tab/>
        <w:t>(b)</w:t>
      </w:r>
      <w:r>
        <w:tab/>
        <w:t>a reasonable opportunity to make submissions or to be heard in relation to the proposal.</w:t>
      </w:r>
    </w:p>
    <w:p>
      <w:pPr>
        <w:pStyle w:val="BlankClose"/>
      </w:pPr>
    </w:p>
    <w:p>
      <w:pPr>
        <w:pStyle w:val="nzHeading5"/>
      </w:pPr>
      <w:bookmarkStart w:id="646" w:name="_Toc518626519"/>
      <w:bookmarkStart w:id="647" w:name="_Toc519495330"/>
      <w:r>
        <w:rPr>
          <w:rStyle w:val="CharSectno"/>
        </w:rPr>
        <w:t>23</w:t>
      </w:r>
      <w:r>
        <w:t>.</w:t>
      </w:r>
      <w:r>
        <w:tab/>
        <w:t>Section 44 amended</w:t>
      </w:r>
      <w:bookmarkEnd w:id="646"/>
      <w:bookmarkEnd w:id="647"/>
    </w:p>
    <w:p>
      <w:pPr>
        <w:pStyle w:val="nzSubsection"/>
      </w:pPr>
      <w:r>
        <w:tab/>
      </w:r>
      <w:r>
        <w:tab/>
        <w:t>Delete section 44(1) and insert:</w:t>
      </w:r>
    </w:p>
    <w:p>
      <w:pPr>
        <w:pStyle w:val="BlankOpen"/>
      </w:pPr>
    </w:p>
    <w:p>
      <w:pPr>
        <w:pStyle w:val="nzSubsection"/>
      </w:pPr>
      <w:r>
        <w:tab/>
        <w:t>(1)</w:t>
      </w:r>
      <w:r>
        <w:tab/>
        <w:t xml:space="preserve">Subject to this Act, a casino licence authorises the licensee, during permitted hours, to do either or both of the following — </w:t>
      </w:r>
    </w:p>
    <w:p>
      <w:pPr>
        <w:pStyle w:val="nzIndenta"/>
      </w:pPr>
      <w:r>
        <w:tab/>
        <w:t>(a)</w:t>
      </w:r>
      <w:r>
        <w:tab/>
        <w:t xml:space="preserve">sell liquor for consumption — </w:t>
      </w:r>
    </w:p>
    <w:p>
      <w:pPr>
        <w:pStyle w:val="nzIndenti"/>
      </w:pPr>
      <w:r>
        <w:tab/>
        <w:t>(i)</w:t>
      </w:r>
      <w:r>
        <w:tab/>
        <w:t>on the premises at the casino; and</w:t>
      </w:r>
    </w:p>
    <w:p>
      <w:pPr>
        <w:pStyle w:val="nzIndenti"/>
      </w:pPr>
      <w:r>
        <w:tab/>
        <w:t>(ii)</w:t>
      </w:r>
      <w:r>
        <w:tab/>
        <w:t>on other premises within the casino complex concerned or adjacent to that complex, within one or more defined areas as may from time to time be approved by the Gaming and Wagering Commission;</w:t>
      </w:r>
    </w:p>
    <w:p>
      <w:pPr>
        <w:pStyle w:val="nzIndenta"/>
      </w:pPr>
      <w:r>
        <w:tab/>
        <w:t>(b)</w:t>
      </w:r>
      <w:r>
        <w:tab/>
        <w:t xml:space="preserve">supply, without charge, packaged liquor on the premises referred to in paragraph (a) as part of — </w:t>
      </w:r>
    </w:p>
    <w:p>
      <w:pPr>
        <w:pStyle w:val="nzIndenti"/>
      </w:pPr>
      <w:r>
        <w:tab/>
        <w:t>(i)</w:t>
      </w:r>
      <w:r>
        <w:tab/>
        <w:t>an accommodation, restaurant or dining service provided on those premises; or</w:t>
      </w:r>
    </w:p>
    <w:p>
      <w:pPr>
        <w:pStyle w:val="nzIndenti"/>
      </w:pPr>
      <w:r>
        <w:tab/>
        <w:t>(ii)</w:t>
      </w:r>
      <w:r>
        <w:tab/>
        <w:t>a function or promotional activity conducted on those premises.</w:t>
      </w:r>
    </w:p>
    <w:p>
      <w:pPr>
        <w:pStyle w:val="BlankClose"/>
      </w:pPr>
    </w:p>
    <w:p>
      <w:pPr>
        <w:pStyle w:val="nzHeading5"/>
      </w:pPr>
      <w:bookmarkStart w:id="648" w:name="_Toc518626520"/>
      <w:bookmarkStart w:id="649" w:name="_Toc519495331"/>
      <w:r>
        <w:rPr>
          <w:rStyle w:val="CharSectno"/>
        </w:rPr>
        <w:t>24</w:t>
      </w:r>
      <w:r>
        <w:t>.</w:t>
      </w:r>
      <w:r>
        <w:tab/>
        <w:t>Section 45 amended</w:t>
      </w:r>
      <w:bookmarkEnd w:id="648"/>
      <w:bookmarkEnd w:id="649"/>
    </w:p>
    <w:p>
      <w:pPr>
        <w:pStyle w:val="nzSubsection"/>
      </w:pPr>
      <w:r>
        <w:tab/>
        <w:t>(1)</w:t>
      </w:r>
      <w:r>
        <w:tab/>
        <w:t>In section 45(1)(b) delete “that” and insert:</w:t>
      </w:r>
    </w:p>
    <w:p>
      <w:pPr>
        <w:pStyle w:val="BlankOpen"/>
      </w:pPr>
    </w:p>
    <w:p>
      <w:pPr>
        <w:pStyle w:val="nzSubsection"/>
      </w:pPr>
      <w:r>
        <w:tab/>
      </w:r>
      <w:r>
        <w:tab/>
        <w:t>a</w:t>
      </w:r>
    </w:p>
    <w:p>
      <w:pPr>
        <w:pStyle w:val="BlankClose"/>
      </w:pPr>
    </w:p>
    <w:p>
      <w:pPr>
        <w:pStyle w:val="nzSubsection"/>
      </w:pPr>
      <w:r>
        <w:tab/>
        <w:t>(2)</w:t>
      </w:r>
      <w:r>
        <w:tab/>
        <w:t>In section 45(3):</w:t>
      </w:r>
    </w:p>
    <w:p>
      <w:pPr>
        <w:pStyle w:val="nzIndenta"/>
      </w:pPr>
      <w:r>
        <w:tab/>
        <w:t>(a)</w:t>
      </w:r>
      <w:r>
        <w:tab/>
        <w:t>delete “to an applicant to whom subsection (1) applies”;</w:t>
      </w:r>
    </w:p>
    <w:p>
      <w:pPr>
        <w:pStyle w:val="nzIndenta"/>
      </w:pPr>
      <w:r>
        <w:tab/>
        <w:t>(b)</w:t>
      </w:r>
      <w:r>
        <w:tab/>
        <w:t>after “casino complex” (1</w:t>
      </w:r>
      <w:r>
        <w:rPr>
          <w:vertAlign w:val="superscript"/>
        </w:rPr>
        <w:t>st</w:t>
      </w:r>
      <w:r>
        <w:t xml:space="preserve"> occurrence) insert:</w:t>
      </w:r>
    </w:p>
    <w:p>
      <w:pPr>
        <w:pStyle w:val="BlankOpen"/>
      </w:pPr>
    </w:p>
    <w:p>
      <w:pPr>
        <w:pStyle w:val="nzIndenta"/>
      </w:pPr>
      <w:r>
        <w:tab/>
      </w:r>
      <w:r>
        <w:tab/>
        <w:t>to which a casino gaming licence relates</w:t>
      </w:r>
    </w:p>
    <w:p>
      <w:pPr>
        <w:pStyle w:val="BlankClose"/>
      </w:pPr>
    </w:p>
    <w:p>
      <w:pPr>
        <w:pStyle w:val="nzHeading5"/>
      </w:pPr>
      <w:bookmarkStart w:id="650" w:name="_Toc518626521"/>
      <w:bookmarkStart w:id="651" w:name="_Toc519495332"/>
      <w:r>
        <w:rPr>
          <w:rStyle w:val="CharSectno"/>
        </w:rPr>
        <w:t>25</w:t>
      </w:r>
      <w:r>
        <w:t>.</w:t>
      </w:r>
      <w:r>
        <w:tab/>
        <w:t>Section 48 amended</w:t>
      </w:r>
      <w:bookmarkEnd w:id="650"/>
      <w:bookmarkEnd w:id="651"/>
    </w:p>
    <w:p>
      <w:pPr>
        <w:pStyle w:val="nzSubsection"/>
      </w:pPr>
      <w:r>
        <w:tab/>
        <w:t>(1)</w:t>
      </w:r>
      <w:r>
        <w:tab/>
        <w:t>In section 48(2):</w:t>
      </w:r>
    </w:p>
    <w:p>
      <w:pPr>
        <w:pStyle w:val="nzIndenta"/>
      </w:pPr>
      <w:r>
        <w:tab/>
        <w:t>(a)</w:t>
      </w:r>
      <w:r>
        <w:tab/>
        <w:t>in paragraph (a)(ii) delete “rules approved by the Director;” and insert:</w:t>
      </w:r>
    </w:p>
    <w:p>
      <w:pPr>
        <w:pStyle w:val="BlankOpen"/>
      </w:pPr>
    </w:p>
    <w:p>
      <w:pPr>
        <w:pStyle w:val="nzIndenta"/>
      </w:pPr>
      <w:r>
        <w:tab/>
      </w:r>
      <w:r>
        <w:tab/>
        <w:t>the rules of the club;</w:t>
      </w:r>
    </w:p>
    <w:p>
      <w:pPr>
        <w:pStyle w:val="BlankClose"/>
      </w:pPr>
    </w:p>
    <w:p>
      <w:pPr>
        <w:pStyle w:val="nzIndenta"/>
      </w:pPr>
      <w:r>
        <w:tab/>
        <w:t>(b)</w:t>
      </w:r>
      <w:r>
        <w:tab/>
        <w:t>in paragraph (b) delete “rules approved by the Director; or” and insert:</w:t>
      </w:r>
    </w:p>
    <w:p>
      <w:pPr>
        <w:pStyle w:val="BlankOpen"/>
      </w:pPr>
    </w:p>
    <w:p>
      <w:pPr>
        <w:pStyle w:val="nzIndenta"/>
      </w:pPr>
      <w:r>
        <w:tab/>
      </w:r>
      <w:r>
        <w:tab/>
        <w:t>the rules of the club; or</w:t>
      </w:r>
    </w:p>
    <w:p>
      <w:pPr>
        <w:pStyle w:val="BlankClose"/>
      </w:pPr>
    </w:p>
    <w:p>
      <w:pPr>
        <w:pStyle w:val="nzIndenta"/>
      </w:pPr>
      <w:r>
        <w:tab/>
        <w:t>(c)</w:t>
      </w:r>
      <w:r>
        <w:tab/>
        <w:t>delete “constitution and rules of the club, as approved by the Director,” and insert:</w:t>
      </w:r>
    </w:p>
    <w:p>
      <w:pPr>
        <w:pStyle w:val="BlankOpen"/>
      </w:pPr>
    </w:p>
    <w:p>
      <w:pPr>
        <w:pStyle w:val="nzIndenta"/>
      </w:pPr>
      <w:r>
        <w:tab/>
      </w:r>
      <w:r>
        <w:tab/>
        <w:t>rules of the club</w:t>
      </w:r>
    </w:p>
    <w:p>
      <w:pPr>
        <w:pStyle w:val="BlankClose"/>
      </w:pPr>
    </w:p>
    <w:p>
      <w:pPr>
        <w:pStyle w:val="nzSubsection"/>
      </w:pPr>
      <w:r>
        <w:tab/>
        <w:t>(2)</w:t>
      </w:r>
      <w:r>
        <w:tab/>
        <w:t>After section 48(2) insert:</w:t>
      </w:r>
    </w:p>
    <w:p>
      <w:pPr>
        <w:pStyle w:val="BlankOpen"/>
      </w:pPr>
    </w:p>
    <w:p>
      <w:pPr>
        <w:pStyle w:val="nzSubsection"/>
      </w:pPr>
      <w:r>
        <w:tab/>
        <w:t>(2A)</w:t>
      </w:r>
      <w:r>
        <w:tab/>
        <w:t>Subject to this Act, a club licence authorises the sale, during permitted hours, of liquor to a visitor for consumption on the licensed premises if the sale does not contravene the rules of the club.</w:t>
      </w:r>
    </w:p>
    <w:p>
      <w:pPr>
        <w:pStyle w:val="nzSubsection"/>
      </w:pPr>
      <w:r>
        <w:tab/>
        <w:t>(2B)</w:t>
      </w:r>
      <w:r>
        <w:tab/>
        <w:t xml:space="preserve">In subsection (2A) — </w:t>
      </w:r>
    </w:p>
    <w:p>
      <w:pPr>
        <w:pStyle w:val="nzDefstart"/>
      </w:pPr>
      <w:r>
        <w:tab/>
      </w:r>
      <w:r>
        <w:rPr>
          <w:rStyle w:val="CharDefText"/>
        </w:rPr>
        <w:t>visitor</w:t>
      </w:r>
      <w:r>
        <w:t xml:space="preserve"> means a person, other than a member, a guest of a member or a person referred to in subsection (5), who — </w:t>
      </w:r>
    </w:p>
    <w:p>
      <w:pPr>
        <w:pStyle w:val="nzDefpara"/>
      </w:pPr>
      <w:r>
        <w:tab/>
        <w:t>(a)</w:t>
      </w:r>
      <w:r>
        <w:tab/>
        <w:t>is at least 40 km or, if a greater distance is prescribed for the purposes of this paragraph, at least that distance from their usual place of residence; and</w:t>
      </w:r>
    </w:p>
    <w:p>
      <w:pPr>
        <w:pStyle w:val="nzDefpara"/>
      </w:pPr>
      <w:r>
        <w:tab/>
        <w:t>(b)</w:t>
      </w:r>
      <w:r>
        <w:tab/>
        <w:t>is visiting the club while travelling in the course of a holiday or travelling for leisure or business; and</w:t>
      </w:r>
    </w:p>
    <w:p>
      <w:pPr>
        <w:pStyle w:val="nzDefpara"/>
      </w:pPr>
      <w:r>
        <w:tab/>
        <w:t>(c)</w:t>
      </w:r>
      <w:r>
        <w:tab/>
        <w:t>is required, at the time of their visit, to pay a fee to the club for the use of its facilities.</w:t>
      </w:r>
    </w:p>
    <w:p>
      <w:pPr>
        <w:pStyle w:val="BlankClose"/>
      </w:pPr>
    </w:p>
    <w:p>
      <w:pPr>
        <w:pStyle w:val="nzSubsection"/>
      </w:pPr>
      <w:r>
        <w:tab/>
        <w:t>(3)</w:t>
      </w:r>
      <w:r>
        <w:tab/>
        <w:t>In section 48(4):</w:t>
      </w:r>
    </w:p>
    <w:p>
      <w:pPr>
        <w:pStyle w:val="nzIndenta"/>
      </w:pPr>
      <w:r>
        <w:tab/>
        <w:t>(a)</w:t>
      </w:r>
      <w:r>
        <w:tab/>
        <w:t>in paragraph (b) delete “rules approved by the Director,” and insert:</w:t>
      </w:r>
    </w:p>
    <w:p>
      <w:pPr>
        <w:pStyle w:val="BlankOpen"/>
      </w:pPr>
    </w:p>
    <w:p>
      <w:pPr>
        <w:pStyle w:val="nzIndenta"/>
      </w:pPr>
      <w:r>
        <w:tab/>
      </w:r>
      <w:r>
        <w:tab/>
        <w:t>the rules of the club,</w:t>
      </w:r>
    </w:p>
    <w:p>
      <w:pPr>
        <w:pStyle w:val="BlankClose"/>
      </w:pPr>
    </w:p>
    <w:p>
      <w:pPr>
        <w:pStyle w:val="nzIndenta"/>
      </w:pPr>
      <w:r>
        <w:tab/>
        <w:t>(b)</w:t>
      </w:r>
      <w:r>
        <w:tab/>
        <w:t>in paragraph (d) delete the passage that begins with “change —” and ends with “the Secretary” and insert:</w:t>
      </w:r>
    </w:p>
    <w:p>
      <w:pPr>
        <w:pStyle w:val="BlankOpen"/>
      </w:pPr>
    </w:p>
    <w:p>
      <w:pPr>
        <w:pStyle w:val="nzIndenta"/>
      </w:pPr>
      <w:r>
        <w:tab/>
      </w:r>
      <w:r>
        <w:tab/>
        <w:t>change in the appointment of a person as trustee to hold the licence for the club, the Secretary</w:t>
      </w:r>
    </w:p>
    <w:p>
      <w:pPr>
        <w:pStyle w:val="BlankClose"/>
      </w:pPr>
    </w:p>
    <w:p>
      <w:pPr>
        <w:pStyle w:val="nzIndenta"/>
      </w:pPr>
      <w:r>
        <w:tab/>
        <w:t>(c)</w:t>
      </w:r>
      <w:r>
        <w:tab/>
        <w:t>after paragraph (e) insert:</w:t>
      </w:r>
    </w:p>
    <w:p>
      <w:pPr>
        <w:pStyle w:val="BlankOpen"/>
      </w:pPr>
    </w:p>
    <w:p>
      <w:pPr>
        <w:pStyle w:val="nzIndenta"/>
      </w:pPr>
      <w:r>
        <w:tab/>
        <w:t>(ea)</w:t>
      </w:r>
      <w:r>
        <w:tab/>
        <w:t>an up-to-date register of visitors (as defined in subsection (2B)) be continually available for inspection at the club premises; and</w:t>
      </w:r>
    </w:p>
    <w:p>
      <w:pPr>
        <w:pStyle w:val="BlankClose"/>
      </w:pPr>
    </w:p>
    <w:p>
      <w:pPr>
        <w:pStyle w:val="nzIndenta"/>
      </w:pPr>
      <w:r>
        <w:tab/>
        <w:t>(d)</w:t>
      </w:r>
      <w:r>
        <w:tab/>
        <w:t>in paragraph (f) delete “constitution and rules, as approved by the Director,” and insert:</w:t>
      </w:r>
    </w:p>
    <w:p>
      <w:pPr>
        <w:pStyle w:val="BlankOpen"/>
      </w:pPr>
    </w:p>
    <w:p>
      <w:pPr>
        <w:pStyle w:val="nzIndenta"/>
      </w:pPr>
      <w:r>
        <w:tab/>
      </w:r>
      <w:r>
        <w:tab/>
        <w:t>rules</w:t>
      </w:r>
    </w:p>
    <w:p>
      <w:pPr>
        <w:pStyle w:val="BlankClose"/>
      </w:pPr>
    </w:p>
    <w:p>
      <w:pPr>
        <w:pStyle w:val="nzSubsection"/>
      </w:pPr>
      <w:r>
        <w:tab/>
        <w:t>(4)</w:t>
      </w:r>
      <w:r>
        <w:tab/>
        <w:t>In section 48(5):</w:t>
      </w:r>
    </w:p>
    <w:p>
      <w:pPr>
        <w:pStyle w:val="nzIndenta"/>
      </w:pPr>
      <w:r>
        <w:tab/>
        <w:t>(a)</w:t>
      </w:r>
      <w:r>
        <w:tab/>
        <w:t>delete “club —” and insert:</w:t>
      </w:r>
    </w:p>
    <w:p>
      <w:pPr>
        <w:pStyle w:val="BlankOpen"/>
      </w:pPr>
    </w:p>
    <w:p>
      <w:pPr>
        <w:pStyle w:val="nzIndenta"/>
      </w:pPr>
      <w:r>
        <w:tab/>
      </w:r>
      <w:r>
        <w:tab/>
        <w:t xml:space="preserve">club or a team, or a person assisting a member or an official of another club or a team — </w:t>
      </w:r>
    </w:p>
    <w:p>
      <w:pPr>
        <w:pStyle w:val="BlankClose"/>
      </w:pPr>
    </w:p>
    <w:p>
      <w:pPr>
        <w:pStyle w:val="nzIndenta"/>
      </w:pPr>
      <w:r>
        <w:tab/>
        <w:t>(b)</w:t>
      </w:r>
      <w:r>
        <w:tab/>
        <w:t>delete “day in accordance with rules approved by the Director.” and insert:</w:t>
      </w:r>
    </w:p>
    <w:p>
      <w:pPr>
        <w:pStyle w:val="BlankOpen"/>
      </w:pPr>
    </w:p>
    <w:p>
      <w:pPr>
        <w:pStyle w:val="nzIndenta"/>
      </w:pPr>
      <w:r>
        <w:tab/>
      </w:r>
      <w:r>
        <w:tab/>
        <w:t>day, in accordance with the rules of the club.</w:t>
      </w:r>
    </w:p>
    <w:p>
      <w:pPr>
        <w:pStyle w:val="BlankClose"/>
      </w:pPr>
    </w:p>
    <w:p>
      <w:pPr>
        <w:pStyle w:val="nzSubsection"/>
      </w:pPr>
      <w:r>
        <w:tab/>
        <w:t>(5)</w:t>
      </w:r>
      <w:r>
        <w:tab/>
        <w:t>In section 48(7) delete “constitution or rules as approved by the Director” and insert:</w:t>
      </w:r>
    </w:p>
    <w:p>
      <w:pPr>
        <w:pStyle w:val="BlankOpen"/>
      </w:pPr>
    </w:p>
    <w:p>
      <w:pPr>
        <w:pStyle w:val="nzSubsection"/>
      </w:pPr>
      <w:r>
        <w:tab/>
      </w:r>
      <w:r>
        <w:tab/>
        <w:t>rules,</w:t>
      </w:r>
    </w:p>
    <w:p>
      <w:pPr>
        <w:pStyle w:val="BlankClose"/>
      </w:pPr>
    </w:p>
    <w:p>
      <w:pPr>
        <w:pStyle w:val="nzHeading5"/>
      </w:pPr>
      <w:bookmarkStart w:id="652" w:name="_Toc518626522"/>
      <w:bookmarkStart w:id="653" w:name="_Toc519495333"/>
      <w:r>
        <w:rPr>
          <w:rStyle w:val="CharSectno"/>
        </w:rPr>
        <w:t>26</w:t>
      </w:r>
      <w:r>
        <w:t>.</w:t>
      </w:r>
      <w:r>
        <w:tab/>
        <w:t>Section 49 amended</w:t>
      </w:r>
      <w:bookmarkEnd w:id="652"/>
      <w:bookmarkEnd w:id="653"/>
    </w:p>
    <w:p>
      <w:pPr>
        <w:pStyle w:val="nzSubsection"/>
      </w:pPr>
      <w:r>
        <w:tab/>
        <w:t>(1)</w:t>
      </w:r>
      <w:r>
        <w:tab/>
        <w:t>In section 49(1):</w:t>
      </w:r>
    </w:p>
    <w:p>
      <w:pPr>
        <w:pStyle w:val="nzIndenta"/>
      </w:pPr>
      <w:r>
        <w:tab/>
        <w:t>(a)</w:t>
      </w:r>
      <w:r>
        <w:tab/>
        <w:t>in paragraph (c) delete “unless subsection (4) applies, that the constitution and” and insert:</w:t>
      </w:r>
    </w:p>
    <w:p>
      <w:pPr>
        <w:pStyle w:val="BlankOpen"/>
      </w:pPr>
    </w:p>
    <w:p>
      <w:pPr>
        <w:pStyle w:val="nzIndenta"/>
      </w:pPr>
      <w:r>
        <w:tab/>
      </w:r>
      <w:r>
        <w:tab/>
        <w:t>that the</w:t>
      </w:r>
    </w:p>
    <w:p>
      <w:pPr>
        <w:pStyle w:val="BlankClose"/>
      </w:pPr>
    </w:p>
    <w:p>
      <w:pPr>
        <w:pStyle w:val="nzIndenta"/>
      </w:pPr>
      <w:r>
        <w:tab/>
        <w:t>(b)</w:t>
      </w:r>
      <w:r>
        <w:tab/>
        <w:t>in paragraph (c) delete “sought,” and insert:</w:t>
      </w:r>
    </w:p>
    <w:p>
      <w:pPr>
        <w:pStyle w:val="BlankOpen"/>
      </w:pPr>
    </w:p>
    <w:p>
      <w:pPr>
        <w:pStyle w:val="nzIndenta"/>
      </w:pPr>
      <w:r>
        <w:tab/>
      </w:r>
      <w:r>
        <w:tab/>
        <w:t>sought.</w:t>
      </w:r>
    </w:p>
    <w:p>
      <w:pPr>
        <w:pStyle w:val="BlankClose"/>
      </w:pPr>
    </w:p>
    <w:p>
      <w:pPr>
        <w:pStyle w:val="nzIndenta"/>
      </w:pPr>
      <w:r>
        <w:tab/>
        <w:t>(c)</w:t>
      </w:r>
      <w:r>
        <w:tab/>
        <w:t>delete “and the content of that constitution and those rules is approved by the Director.”.</w:t>
      </w:r>
    </w:p>
    <w:p>
      <w:pPr>
        <w:pStyle w:val="nzSubsection"/>
      </w:pPr>
      <w:r>
        <w:tab/>
        <w:t>(2)</w:t>
      </w:r>
      <w:r>
        <w:tab/>
        <w:t>In section 49(2) delete “constitution or” (each occurrence).</w:t>
      </w:r>
    </w:p>
    <w:p>
      <w:pPr>
        <w:pStyle w:val="nzSubsection"/>
      </w:pPr>
      <w:r>
        <w:tab/>
        <w:t>(3)</w:t>
      </w:r>
      <w:r>
        <w:tab/>
        <w:t>Delete section 49(3) and (4).</w:t>
      </w:r>
    </w:p>
    <w:p>
      <w:pPr>
        <w:pStyle w:val="nzHeading5"/>
      </w:pPr>
      <w:bookmarkStart w:id="654" w:name="_Toc518626523"/>
      <w:bookmarkStart w:id="655" w:name="_Toc519495334"/>
      <w:r>
        <w:rPr>
          <w:rStyle w:val="CharSectno"/>
        </w:rPr>
        <w:t>27</w:t>
      </w:r>
      <w:r>
        <w:t>.</w:t>
      </w:r>
      <w:r>
        <w:tab/>
        <w:t>Section 50A inserted</w:t>
      </w:r>
      <w:bookmarkEnd w:id="654"/>
      <w:bookmarkEnd w:id="655"/>
    </w:p>
    <w:p>
      <w:pPr>
        <w:pStyle w:val="nzSubsection"/>
      </w:pPr>
      <w:r>
        <w:tab/>
      </w:r>
      <w:r>
        <w:tab/>
        <w:t>After section 50 insert:</w:t>
      </w:r>
    </w:p>
    <w:p>
      <w:pPr>
        <w:pStyle w:val="BlankOpen"/>
      </w:pPr>
    </w:p>
    <w:p>
      <w:pPr>
        <w:pStyle w:val="nzHeading5"/>
      </w:pPr>
      <w:bookmarkStart w:id="656" w:name="_Toc518626524"/>
      <w:bookmarkStart w:id="657" w:name="_Toc519495335"/>
      <w:r>
        <w:t>50A.</w:t>
      </w:r>
      <w:r>
        <w:tab/>
        <w:t>Issue of extended trading permit under s. 60(4)(ca) for certain restaurant licences at time of grant</w:t>
      </w:r>
      <w:bookmarkEnd w:id="656"/>
      <w:bookmarkEnd w:id="657"/>
    </w:p>
    <w:p>
      <w:pPr>
        <w:pStyle w:val="nzSubsection"/>
      </w:pPr>
      <w:r>
        <w:tab/>
        <w:t>(1)</w:t>
      </w:r>
      <w:r>
        <w:tab/>
        <w:t xml:space="preserve">Subsection (2) applies if — </w:t>
      </w:r>
    </w:p>
    <w:p>
      <w:pPr>
        <w:pStyle w:val="nzIndenta"/>
      </w:pPr>
      <w:r>
        <w:tab/>
        <w:t>(a)</w:t>
      </w:r>
      <w:r>
        <w:tab/>
        <w:t>the licensing authority decides to grant a restaurant licence subject to a condition limiting the maximum number of persons (excluding responsible persons and authorised officers) who may be on the licensed premises to 120; and</w:t>
      </w:r>
    </w:p>
    <w:p>
      <w:pPr>
        <w:pStyle w:val="nzIndenta"/>
      </w:pPr>
      <w:r>
        <w:tab/>
        <w:t>(b)</w:t>
      </w:r>
      <w:r>
        <w:tab/>
        <w:t>the application for the restaurant licence specifies that an extended trading permit under section 60(4)(ca) is also sought in respect of the premises to which the application relates.</w:t>
      </w:r>
    </w:p>
    <w:p>
      <w:pPr>
        <w:pStyle w:val="nzSubsection"/>
      </w:pPr>
      <w:r>
        <w:tab/>
        <w:t>(2)</w:t>
      </w:r>
      <w:r>
        <w:tab/>
        <w:t>When the licensing authority grants the restaurant licence the licensing authority may issue an extended trading permit under section 60(4)(ca) in respect of the licensed premises.</w:t>
      </w:r>
    </w:p>
    <w:p>
      <w:pPr>
        <w:pStyle w:val="BlankClose"/>
      </w:pPr>
    </w:p>
    <w:p>
      <w:pPr>
        <w:pStyle w:val="nzHeading5"/>
      </w:pPr>
      <w:bookmarkStart w:id="658" w:name="_Toc518626525"/>
      <w:bookmarkStart w:id="659" w:name="_Toc519495336"/>
      <w:r>
        <w:rPr>
          <w:rStyle w:val="CharSectno"/>
        </w:rPr>
        <w:t>28</w:t>
      </w:r>
      <w:r>
        <w:t>.</w:t>
      </w:r>
      <w:r>
        <w:tab/>
        <w:t>Section 55 amended</w:t>
      </w:r>
      <w:bookmarkEnd w:id="658"/>
      <w:bookmarkEnd w:id="659"/>
    </w:p>
    <w:p>
      <w:pPr>
        <w:pStyle w:val="nzSubsection"/>
      </w:pPr>
      <w:r>
        <w:tab/>
        <w:t>(1)</w:t>
      </w:r>
      <w:r>
        <w:tab/>
        <w:t>In section 55(1):</w:t>
      </w:r>
    </w:p>
    <w:p>
      <w:pPr>
        <w:pStyle w:val="nzIndenta"/>
      </w:pPr>
      <w:r>
        <w:tab/>
        <w:t>(a)</w:t>
      </w:r>
      <w:r>
        <w:tab/>
        <w:t>delete paragraphs (a) and (b) and insert:</w:t>
      </w:r>
    </w:p>
    <w:p>
      <w:pPr>
        <w:pStyle w:val="BlankOpen"/>
      </w:pPr>
    </w:p>
    <w:p>
      <w:pPr>
        <w:pStyle w:val="nzIndenta"/>
      </w:pPr>
      <w:r>
        <w:tab/>
        <w:t>(a)</w:t>
      </w:r>
      <w:r>
        <w:tab/>
        <w:t>to sell or supply (including by way of sample) on the licensed premises liquor produced by the licensee for consumption on a part of the licensed premises approved for the purpose by the Director; and</w:t>
      </w:r>
    </w:p>
    <w:p>
      <w:pPr>
        <w:pStyle w:val="nzIndenta"/>
      </w:pPr>
      <w:r>
        <w:tab/>
        <w:t>(b)</w:t>
      </w:r>
      <w:r>
        <w:tab/>
        <w:t>to sell or supply on or from the licensed premises liquor produced by the licensee for consumption off the licensed premises; and</w:t>
      </w:r>
    </w:p>
    <w:p>
      <w:pPr>
        <w:pStyle w:val="BlankClose"/>
      </w:pPr>
    </w:p>
    <w:p>
      <w:pPr>
        <w:pStyle w:val="nzIndenta"/>
      </w:pPr>
      <w:r>
        <w:tab/>
        <w:t>(b)</w:t>
      </w:r>
      <w:r>
        <w:tab/>
        <w:t>in paragraph (c) delete “from” and insert:</w:t>
      </w:r>
    </w:p>
    <w:p>
      <w:pPr>
        <w:pStyle w:val="BlankOpen"/>
      </w:pPr>
    </w:p>
    <w:p>
      <w:pPr>
        <w:pStyle w:val="nzIndenta"/>
      </w:pPr>
      <w:r>
        <w:tab/>
      </w:r>
      <w:r>
        <w:tab/>
        <w:t>on</w:t>
      </w:r>
    </w:p>
    <w:p>
      <w:pPr>
        <w:pStyle w:val="BlankClose"/>
      </w:pPr>
    </w:p>
    <w:p>
      <w:pPr>
        <w:pStyle w:val="nzSubsection"/>
      </w:pPr>
      <w:r>
        <w:tab/>
        <w:t>(2)</w:t>
      </w:r>
      <w:r>
        <w:tab/>
        <w:t>Delete section 55(1a).</w:t>
      </w:r>
    </w:p>
    <w:p>
      <w:pPr>
        <w:pStyle w:val="nzSubsection"/>
      </w:pPr>
      <w:r>
        <w:tab/>
        <w:t>(3)</w:t>
      </w:r>
      <w:r>
        <w:tab/>
        <w:t>In section 55(2A) delete “Despite subsection (1)(a), the” and insert:</w:t>
      </w:r>
    </w:p>
    <w:p>
      <w:pPr>
        <w:pStyle w:val="BlankOpen"/>
      </w:pPr>
    </w:p>
    <w:p>
      <w:pPr>
        <w:pStyle w:val="nzSubsection"/>
      </w:pPr>
      <w:r>
        <w:tab/>
      </w:r>
      <w:r>
        <w:tab/>
        <w:t>The</w:t>
      </w:r>
    </w:p>
    <w:p>
      <w:pPr>
        <w:pStyle w:val="BlankClose"/>
      </w:pPr>
    </w:p>
    <w:p>
      <w:pPr>
        <w:pStyle w:val="nzSubsection"/>
      </w:pPr>
      <w:r>
        <w:tab/>
        <w:t>(4)</w:t>
      </w:r>
      <w:r>
        <w:tab/>
        <w:t>In section 55(3) delete “corporate which produces wine or spirits, wine or spirits” and insert:</w:t>
      </w:r>
    </w:p>
    <w:p>
      <w:pPr>
        <w:pStyle w:val="BlankOpen"/>
      </w:pPr>
    </w:p>
    <w:p>
      <w:pPr>
        <w:pStyle w:val="nzSubsection"/>
      </w:pPr>
      <w:r>
        <w:tab/>
      </w:r>
      <w:r>
        <w:tab/>
        <w:t>corporate, liquor</w:t>
      </w:r>
    </w:p>
    <w:p>
      <w:pPr>
        <w:pStyle w:val="BlankClose"/>
      </w:pPr>
    </w:p>
    <w:p>
      <w:pPr>
        <w:pStyle w:val="nzHeading5"/>
      </w:pPr>
      <w:bookmarkStart w:id="660" w:name="_Toc518626526"/>
      <w:bookmarkStart w:id="661" w:name="_Toc519495337"/>
      <w:r>
        <w:rPr>
          <w:rStyle w:val="CharSectno"/>
        </w:rPr>
        <w:t>29</w:t>
      </w:r>
      <w:r>
        <w:t>.</w:t>
      </w:r>
      <w:r>
        <w:tab/>
        <w:t>Section 56 amended</w:t>
      </w:r>
      <w:bookmarkEnd w:id="660"/>
      <w:bookmarkEnd w:id="661"/>
    </w:p>
    <w:p>
      <w:pPr>
        <w:pStyle w:val="nzSubsection"/>
      </w:pPr>
      <w:r>
        <w:tab/>
      </w:r>
      <w:r>
        <w:tab/>
        <w:t>In section 56(1):</w:t>
      </w:r>
    </w:p>
    <w:p>
      <w:pPr>
        <w:pStyle w:val="nzIndenta"/>
      </w:pPr>
      <w:r>
        <w:tab/>
        <w:t>(a)</w:t>
      </w:r>
      <w:r>
        <w:tab/>
        <w:t>after paragraph (b) insert:</w:t>
      </w:r>
    </w:p>
    <w:p>
      <w:pPr>
        <w:pStyle w:val="BlankOpen"/>
      </w:pPr>
    </w:p>
    <w:p>
      <w:pPr>
        <w:pStyle w:val="nzIndenta"/>
      </w:pPr>
      <w:r>
        <w:tab/>
        <w:t>(ba)</w:t>
      </w:r>
      <w:r>
        <w:tab/>
        <w:t xml:space="preserve">being spirits made from wine — </w:t>
      </w:r>
    </w:p>
    <w:p>
      <w:pPr>
        <w:pStyle w:val="nzIndenti"/>
      </w:pPr>
      <w:r>
        <w:tab/>
        <w:t>(i)</w:t>
      </w:r>
      <w:r>
        <w:tab/>
        <w:t>if it was distilled by that person; or</w:t>
      </w:r>
    </w:p>
    <w:p>
      <w:pPr>
        <w:pStyle w:val="nzIndenti"/>
      </w:pPr>
      <w:r>
        <w:tab/>
        <w:t>(ii)</w:t>
      </w:r>
      <w:r>
        <w:tab/>
        <w:t>if it was distilled under the control or direction of that person from wine produced by that person;</w:t>
      </w:r>
    </w:p>
    <w:p>
      <w:pPr>
        <w:pStyle w:val="nzIndenta"/>
      </w:pPr>
      <w:r>
        <w:tab/>
      </w:r>
      <w:r>
        <w:tab/>
        <w:t>or</w:t>
      </w:r>
    </w:p>
    <w:p>
      <w:pPr>
        <w:pStyle w:val="BlankClose"/>
      </w:pPr>
    </w:p>
    <w:p>
      <w:pPr>
        <w:pStyle w:val="nzIndenta"/>
      </w:pPr>
      <w:r>
        <w:tab/>
        <w:t>(b)</w:t>
      </w:r>
      <w:r>
        <w:tab/>
        <w:t>in paragraph (c) delete “spirits,” and insert:</w:t>
      </w:r>
    </w:p>
    <w:p>
      <w:pPr>
        <w:pStyle w:val="BlankOpen"/>
      </w:pPr>
    </w:p>
    <w:p>
      <w:pPr>
        <w:pStyle w:val="nzIndenta"/>
      </w:pPr>
      <w:r>
        <w:tab/>
      </w:r>
      <w:r>
        <w:tab/>
        <w:t>spirits not made from wine,</w:t>
      </w:r>
    </w:p>
    <w:p>
      <w:pPr>
        <w:pStyle w:val="BlankClose"/>
      </w:pPr>
    </w:p>
    <w:p>
      <w:pPr>
        <w:pStyle w:val="nzHeading5"/>
      </w:pPr>
      <w:bookmarkStart w:id="662" w:name="_Toc518626527"/>
      <w:bookmarkStart w:id="663" w:name="_Toc519495338"/>
      <w:r>
        <w:rPr>
          <w:rStyle w:val="CharSectno"/>
        </w:rPr>
        <w:t>30</w:t>
      </w:r>
      <w:r>
        <w:t>.</w:t>
      </w:r>
      <w:r>
        <w:tab/>
        <w:t>Section 58 amended</w:t>
      </w:r>
      <w:bookmarkEnd w:id="662"/>
      <w:bookmarkEnd w:id="663"/>
    </w:p>
    <w:p>
      <w:pPr>
        <w:pStyle w:val="nzSubsection"/>
      </w:pPr>
      <w:r>
        <w:tab/>
      </w:r>
      <w:r>
        <w:tab/>
        <w:t>Delete section 58(2a).</w:t>
      </w:r>
    </w:p>
    <w:p>
      <w:pPr>
        <w:pStyle w:val="nzHeading5"/>
      </w:pPr>
      <w:bookmarkStart w:id="664" w:name="_Toc518626528"/>
      <w:bookmarkStart w:id="665" w:name="_Toc519495339"/>
      <w:r>
        <w:rPr>
          <w:rStyle w:val="CharSectno"/>
        </w:rPr>
        <w:t>31</w:t>
      </w:r>
      <w:r>
        <w:t>.</w:t>
      </w:r>
      <w:r>
        <w:tab/>
        <w:t>Section 59A inserted</w:t>
      </w:r>
      <w:bookmarkEnd w:id="664"/>
      <w:bookmarkEnd w:id="665"/>
    </w:p>
    <w:p>
      <w:pPr>
        <w:pStyle w:val="nzSubsection"/>
      </w:pPr>
      <w:r>
        <w:tab/>
      </w:r>
      <w:r>
        <w:tab/>
        <w:t>At the end of Part 3 Division 2 insert:</w:t>
      </w:r>
    </w:p>
    <w:p>
      <w:pPr>
        <w:pStyle w:val="BlankOpen"/>
      </w:pPr>
    </w:p>
    <w:p>
      <w:pPr>
        <w:pStyle w:val="nzHeading5"/>
      </w:pPr>
      <w:bookmarkStart w:id="666" w:name="_Toc518626529"/>
      <w:bookmarkStart w:id="667" w:name="_Toc519495340"/>
      <w:r>
        <w:t>59A.</w:t>
      </w:r>
      <w:r>
        <w:tab/>
        <w:t>Additional authorisations relating to supply and sale of liquor on licensed premises</w:t>
      </w:r>
      <w:bookmarkEnd w:id="666"/>
      <w:bookmarkEnd w:id="667"/>
    </w:p>
    <w:p>
      <w:pPr>
        <w:pStyle w:val="nzSubsection"/>
      </w:pPr>
      <w:r>
        <w:tab/>
        <w:t>(1)</w:t>
      </w:r>
      <w:r>
        <w:tab/>
        <w:t xml:space="preserve">In this section — </w:t>
      </w:r>
    </w:p>
    <w:p>
      <w:pPr>
        <w:pStyle w:val="nzDefstart"/>
      </w:pPr>
      <w:r>
        <w:tab/>
      </w:r>
      <w:r>
        <w:rPr>
          <w:rStyle w:val="CharDefText"/>
        </w:rPr>
        <w:t>interstate supplier</w:t>
      </w:r>
      <w:r>
        <w:t xml:space="preserve"> means a person who is authorised under the law of another State, or of a Territory, to sell packaged liquor;</w:t>
      </w:r>
    </w:p>
    <w:p>
      <w:pPr>
        <w:pStyle w:val="nzDefstart"/>
      </w:pPr>
      <w:r>
        <w:tab/>
      </w:r>
      <w:r>
        <w:rPr>
          <w:rStyle w:val="CharDefText"/>
        </w:rPr>
        <w:t>packaged liquor</w:t>
      </w:r>
      <w:r>
        <w:t xml:space="preserve"> — </w:t>
      </w:r>
    </w:p>
    <w:p>
      <w:pPr>
        <w:pStyle w:val="nzDefpara"/>
      </w:pPr>
      <w:r>
        <w:tab/>
        <w:t>(a)</w:t>
      </w:r>
      <w:r>
        <w:tab/>
        <w:t>in relation to an interstate supplier, means liquor in sealed containers for consumption off the premises of the interstate supplier; and</w:t>
      </w:r>
    </w:p>
    <w:p>
      <w:pPr>
        <w:pStyle w:val="nzDefpara"/>
      </w:pPr>
      <w:r>
        <w:tab/>
        <w:t>(b)</w:t>
      </w:r>
      <w:r>
        <w:tab/>
        <w:t>otherwise, has the meaning given in section 3(1);</w:t>
      </w:r>
    </w:p>
    <w:p>
      <w:pPr>
        <w:pStyle w:val="nzDefstart"/>
      </w:pPr>
      <w:r>
        <w:tab/>
      </w:r>
      <w:r>
        <w:rPr>
          <w:rStyle w:val="CharDefText"/>
        </w:rPr>
        <w:t>packaged liquor licence</w:t>
      </w:r>
      <w:r>
        <w:t xml:space="preserve"> means a licence that authorises the sale of packaged liquor, but does not include a hotel restricted licence, a casino liquor licence, a club licence or an occasional licence.</w:t>
      </w:r>
    </w:p>
    <w:p>
      <w:pPr>
        <w:pStyle w:val="nzSubsection"/>
      </w:pPr>
      <w:r>
        <w:tab/>
        <w:t>(2)</w:t>
      </w:r>
      <w:r>
        <w:tab/>
        <w:t xml:space="preserve">A packaged liquor licence authorises the licensee (the </w:t>
      </w:r>
      <w:r>
        <w:rPr>
          <w:rStyle w:val="CharDefText"/>
        </w:rPr>
        <w:t>supplier</w:t>
      </w:r>
      <w:r>
        <w:t xml:space="preserve">), with the agreement of another licensee — </w:t>
      </w:r>
    </w:p>
    <w:p>
      <w:pPr>
        <w:pStyle w:val="nzIndenta"/>
      </w:pPr>
      <w:r>
        <w:tab/>
        <w:t>(a)</w:t>
      </w:r>
      <w:r>
        <w:tab/>
        <w:t>to supply liquor, by way of free sample, on the licensed premises of the other licensee for consumption on those premises; and</w:t>
      </w:r>
    </w:p>
    <w:p>
      <w:pPr>
        <w:pStyle w:val="nzIndenta"/>
      </w:pPr>
      <w:r>
        <w:tab/>
        <w:t>(b)</w:t>
      </w:r>
      <w:r>
        <w:tab/>
        <w:t>to sell packaged liquor on the licensed premises of the other licensee for delivery to the purchaser, or to premises specified by the purchaser, from the licensed premises of the supplier.</w:t>
      </w:r>
    </w:p>
    <w:p>
      <w:pPr>
        <w:pStyle w:val="nzSubsection"/>
      </w:pPr>
      <w:r>
        <w:tab/>
        <w:t>(3)</w:t>
      </w:r>
      <w:r>
        <w:tab/>
        <w:t xml:space="preserve">An interstate supplier is authorised, with the agreement of a licensee — </w:t>
      </w:r>
    </w:p>
    <w:p>
      <w:pPr>
        <w:pStyle w:val="nzIndenta"/>
      </w:pPr>
      <w:r>
        <w:tab/>
        <w:t>(a)</w:t>
      </w:r>
      <w:r>
        <w:tab/>
        <w:t>to supply liquor, by way of free sample, on the licensed premises of the licensee for consumption on those premises; and</w:t>
      </w:r>
    </w:p>
    <w:p>
      <w:pPr>
        <w:pStyle w:val="nzIndenta"/>
      </w:pPr>
      <w:r>
        <w:tab/>
        <w:t>(b)</w:t>
      </w:r>
      <w:r>
        <w:tab/>
        <w:t>to sell packaged liquor on the licensed premises of the licensee for delivery to the purchaser, or to premises specified by the purchaser, from the premises of the interstate supplier.</w:t>
      </w:r>
    </w:p>
    <w:p>
      <w:pPr>
        <w:pStyle w:val="nzSubsection"/>
      </w:pPr>
      <w:r>
        <w:tab/>
        <w:t>(4)</w:t>
      </w:r>
      <w:r>
        <w:tab/>
        <w:t>A sale of packaged liquor made by an interstate supplier as authorised under subsection (3) is taken to be made under a licence described in section 109(1)(a).</w:t>
      </w:r>
    </w:p>
    <w:p>
      <w:pPr>
        <w:pStyle w:val="BlankClose"/>
      </w:pPr>
    </w:p>
    <w:p>
      <w:pPr>
        <w:pStyle w:val="nzHeading5"/>
      </w:pPr>
      <w:bookmarkStart w:id="668" w:name="_Toc518626530"/>
      <w:bookmarkStart w:id="669" w:name="_Toc519495341"/>
      <w:r>
        <w:rPr>
          <w:rStyle w:val="CharSectno"/>
        </w:rPr>
        <w:t>32</w:t>
      </w:r>
      <w:r>
        <w:t>.</w:t>
      </w:r>
      <w:r>
        <w:tab/>
        <w:t>Section 60 amended</w:t>
      </w:r>
      <w:bookmarkEnd w:id="668"/>
      <w:bookmarkEnd w:id="669"/>
    </w:p>
    <w:p>
      <w:pPr>
        <w:pStyle w:val="nzSubsection"/>
      </w:pPr>
      <w:r>
        <w:tab/>
        <w:t>(1)</w:t>
      </w:r>
      <w:r>
        <w:tab/>
        <w:t>In section 60(3a) delete “subsection (4)(ca) or (g)” and insert:</w:t>
      </w:r>
    </w:p>
    <w:p>
      <w:pPr>
        <w:pStyle w:val="BlankOpen"/>
      </w:pPr>
    </w:p>
    <w:p>
      <w:pPr>
        <w:pStyle w:val="nzSubsection"/>
      </w:pPr>
      <w:r>
        <w:tab/>
      </w:r>
      <w:r>
        <w:tab/>
        <w:t>subsection (4)(ca), (g) or (h)</w:t>
      </w:r>
    </w:p>
    <w:p>
      <w:pPr>
        <w:pStyle w:val="BlankClose"/>
      </w:pPr>
    </w:p>
    <w:p>
      <w:pPr>
        <w:pStyle w:val="nzSubsection"/>
      </w:pPr>
      <w:r>
        <w:tab/>
        <w:t>(2)</w:t>
      </w:r>
      <w:r>
        <w:tab/>
        <w:t>In section 60(4):</w:t>
      </w:r>
    </w:p>
    <w:p>
      <w:pPr>
        <w:pStyle w:val="nzIndenta"/>
      </w:pPr>
      <w:r>
        <w:tab/>
        <w:t>(a)</w:t>
      </w:r>
      <w:r>
        <w:tab/>
        <w:t>in paragraph (a) after “liquor” insert:</w:t>
      </w:r>
    </w:p>
    <w:p>
      <w:pPr>
        <w:pStyle w:val="BlankOpen"/>
      </w:pPr>
    </w:p>
    <w:p>
      <w:pPr>
        <w:pStyle w:val="nzIndenta"/>
      </w:pPr>
      <w:r>
        <w:tab/>
      </w:r>
      <w:r>
        <w:tab/>
        <w:t>as a caterer</w:t>
      </w:r>
    </w:p>
    <w:p>
      <w:pPr>
        <w:pStyle w:val="BlankClose"/>
      </w:pPr>
    </w:p>
    <w:p>
      <w:pPr>
        <w:pStyle w:val="nzIndenta"/>
      </w:pPr>
      <w:r>
        <w:tab/>
        <w:t>(b)</w:t>
      </w:r>
      <w:r>
        <w:tab/>
        <w:t>in paragraph (a) delete “as a caterer on specified premises,”;</w:t>
      </w:r>
    </w:p>
    <w:p>
      <w:pPr>
        <w:pStyle w:val="nzIndenta"/>
      </w:pPr>
      <w:r>
        <w:tab/>
        <w:t>(c)</w:t>
      </w:r>
      <w:r>
        <w:tab/>
        <w:t>in paragraph (e) delete “a Sunday,”;</w:t>
      </w:r>
    </w:p>
    <w:p>
      <w:pPr>
        <w:pStyle w:val="nzIndenta"/>
      </w:pPr>
      <w:r>
        <w:tab/>
        <w:t>(d)</w:t>
      </w:r>
      <w:r>
        <w:tab/>
        <w:t>in paragraph (e)(ii) delete “constitution and rules of the association, if that constitution or those rules were required to be approved by the Director, are observed;” and insert:</w:t>
      </w:r>
    </w:p>
    <w:p>
      <w:pPr>
        <w:pStyle w:val="BlankOpen"/>
      </w:pPr>
    </w:p>
    <w:p>
      <w:pPr>
        <w:pStyle w:val="nzIndenta"/>
      </w:pPr>
      <w:r>
        <w:tab/>
      </w:r>
      <w:r>
        <w:tab/>
        <w:t>rules of the association are observed;</w:t>
      </w:r>
    </w:p>
    <w:p>
      <w:pPr>
        <w:pStyle w:val="BlankClose"/>
      </w:pPr>
    </w:p>
    <w:p>
      <w:pPr>
        <w:pStyle w:val="nzIndenta"/>
      </w:pPr>
      <w:r>
        <w:tab/>
        <w:t>(e)</w:t>
      </w:r>
      <w:r>
        <w:tab/>
        <w:t>in paragraph (g) delete “5” and insert:</w:t>
      </w:r>
    </w:p>
    <w:p>
      <w:pPr>
        <w:pStyle w:val="BlankOpen"/>
      </w:pPr>
    </w:p>
    <w:p>
      <w:pPr>
        <w:pStyle w:val="nzIndenta"/>
      </w:pPr>
      <w:r>
        <w:tab/>
      </w:r>
      <w:r>
        <w:tab/>
        <w:t>10</w:t>
      </w:r>
    </w:p>
    <w:p>
      <w:pPr>
        <w:pStyle w:val="BlankClose"/>
      </w:pPr>
    </w:p>
    <w:p>
      <w:pPr>
        <w:pStyle w:val="nzIndenta"/>
      </w:pPr>
      <w:r>
        <w:tab/>
        <w:t>(f)</w:t>
      </w:r>
      <w:r>
        <w:tab/>
        <w:t>in paragraph (h) delete the passage that begins with “on such days” and ends with “otherwise be authorised,” and insert:</w:t>
      </w:r>
    </w:p>
    <w:p>
      <w:pPr>
        <w:pStyle w:val="BlankOpen"/>
      </w:pPr>
    </w:p>
    <w:p>
      <w:pPr>
        <w:pStyle w:val="nzIndenta"/>
      </w:pPr>
      <w:r>
        <w:tab/>
      </w:r>
      <w:r>
        <w:tab/>
        <w:t>under the licence on specified premises or in a specified area that would not otherwise be authorised, on such days and between such hours on those days as may be specified,</w:t>
      </w:r>
    </w:p>
    <w:p>
      <w:pPr>
        <w:pStyle w:val="BlankClose"/>
      </w:pPr>
    </w:p>
    <w:p>
      <w:pPr>
        <w:pStyle w:val="nzIndenta"/>
      </w:pPr>
      <w:r>
        <w:tab/>
        <w:t>(g)</w:t>
      </w:r>
      <w:r>
        <w:tab/>
        <w:t>in paragraph (ia) delete “wine or beer” (1</w:t>
      </w:r>
      <w:r>
        <w:rPr>
          <w:vertAlign w:val="superscript"/>
        </w:rPr>
        <w:t>st</w:t>
      </w:r>
      <w:r>
        <w:t xml:space="preserve"> occurrence) and insert:</w:t>
      </w:r>
    </w:p>
    <w:p>
      <w:pPr>
        <w:pStyle w:val="BlankOpen"/>
      </w:pPr>
    </w:p>
    <w:p>
      <w:pPr>
        <w:pStyle w:val="nzIndenta"/>
      </w:pPr>
      <w:r>
        <w:tab/>
      </w:r>
      <w:r>
        <w:tab/>
        <w:t>liquor</w:t>
      </w:r>
    </w:p>
    <w:p>
      <w:pPr>
        <w:pStyle w:val="BlankClose"/>
        <w:keepNext/>
      </w:pPr>
    </w:p>
    <w:p>
      <w:pPr>
        <w:pStyle w:val="nzIndenta"/>
      </w:pPr>
      <w:r>
        <w:tab/>
        <w:t>(h)</w:t>
      </w:r>
      <w:r>
        <w:tab/>
        <w:t>in paragraph (ia) delete “wine or beer,” and insert:</w:t>
      </w:r>
    </w:p>
    <w:p>
      <w:pPr>
        <w:pStyle w:val="BlankOpen"/>
      </w:pPr>
    </w:p>
    <w:p>
      <w:pPr>
        <w:pStyle w:val="nzIndenta"/>
      </w:pPr>
      <w:r>
        <w:tab/>
      </w:r>
      <w:r>
        <w:tab/>
        <w:t>liquor,</w:t>
      </w:r>
    </w:p>
    <w:p>
      <w:pPr>
        <w:pStyle w:val="BlankClose"/>
      </w:pPr>
    </w:p>
    <w:p>
      <w:pPr>
        <w:pStyle w:val="nzHeading5"/>
      </w:pPr>
      <w:bookmarkStart w:id="670" w:name="_Toc518626531"/>
      <w:bookmarkStart w:id="671" w:name="_Toc519495342"/>
      <w:r>
        <w:rPr>
          <w:rStyle w:val="CharSectno"/>
        </w:rPr>
        <w:t>33</w:t>
      </w:r>
      <w:r>
        <w:t>.</w:t>
      </w:r>
      <w:r>
        <w:tab/>
        <w:t>Section 61 amended</w:t>
      </w:r>
      <w:bookmarkEnd w:id="670"/>
      <w:bookmarkEnd w:id="671"/>
    </w:p>
    <w:p>
      <w:pPr>
        <w:pStyle w:val="nzSubsection"/>
      </w:pPr>
      <w:r>
        <w:tab/>
        <w:t>(1)</w:t>
      </w:r>
      <w:r>
        <w:tab/>
        <w:t>In section 61(1):</w:t>
      </w:r>
    </w:p>
    <w:p>
      <w:pPr>
        <w:pStyle w:val="nzIndenta"/>
      </w:pPr>
      <w:r>
        <w:tab/>
        <w:t>(a)</w:t>
      </w:r>
      <w:r>
        <w:tab/>
        <w:t>in paragraph (c) delete “relates; and” and insert:</w:t>
      </w:r>
    </w:p>
    <w:p>
      <w:pPr>
        <w:pStyle w:val="BlankOpen"/>
      </w:pPr>
    </w:p>
    <w:p>
      <w:pPr>
        <w:pStyle w:val="nzIndenta"/>
      </w:pPr>
      <w:r>
        <w:tab/>
      </w:r>
      <w:r>
        <w:tab/>
        <w:t>relates.</w:t>
      </w:r>
    </w:p>
    <w:p>
      <w:pPr>
        <w:pStyle w:val="BlankClose"/>
      </w:pPr>
    </w:p>
    <w:p>
      <w:pPr>
        <w:pStyle w:val="nzIndenta"/>
      </w:pPr>
      <w:r>
        <w:tab/>
        <w:t>(b)</w:t>
      </w:r>
      <w:r>
        <w:tab/>
        <w:t>delete paragraph (d).</w:t>
      </w:r>
    </w:p>
    <w:p>
      <w:pPr>
        <w:pStyle w:val="nzSubsection"/>
      </w:pPr>
      <w:r>
        <w:tab/>
        <w:t>(2)</w:t>
      </w:r>
      <w:r>
        <w:tab/>
        <w:t>Delete section 61(2).</w:t>
      </w:r>
    </w:p>
    <w:p>
      <w:pPr>
        <w:pStyle w:val="nzHeading5"/>
      </w:pPr>
      <w:bookmarkStart w:id="672" w:name="_Toc518626532"/>
      <w:bookmarkStart w:id="673" w:name="_Toc519495343"/>
      <w:r>
        <w:rPr>
          <w:rStyle w:val="CharSectno"/>
        </w:rPr>
        <w:t>34</w:t>
      </w:r>
      <w:r>
        <w:t>.</w:t>
      </w:r>
      <w:r>
        <w:tab/>
        <w:t>Section 61A amended</w:t>
      </w:r>
      <w:bookmarkEnd w:id="672"/>
      <w:bookmarkEnd w:id="673"/>
    </w:p>
    <w:p>
      <w:pPr>
        <w:pStyle w:val="nzSubsection"/>
      </w:pPr>
      <w:r>
        <w:tab/>
        <w:t>(1)</w:t>
      </w:r>
      <w:r>
        <w:tab/>
        <w:t>In section 61A(2):</w:t>
      </w:r>
    </w:p>
    <w:p>
      <w:pPr>
        <w:pStyle w:val="nzIndenta"/>
      </w:pPr>
      <w:r>
        <w:tab/>
        <w:t>(a)</w:t>
      </w:r>
      <w:r>
        <w:tab/>
        <w:t>in paragraph (a) delete “wine or beer; and” and insert:</w:t>
      </w:r>
    </w:p>
    <w:p>
      <w:pPr>
        <w:pStyle w:val="BlankOpen"/>
      </w:pPr>
    </w:p>
    <w:p>
      <w:pPr>
        <w:pStyle w:val="nzIndenta"/>
      </w:pPr>
      <w:r>
        <w:tab/>
      </w:r>
      <w:r>
        <w:tab/>
        <w:t>liquor; and</w:t>
      </w:r>
    </w:p>
    <w:p>
      <w:pPr>
        <w:pStyle w:val="BlankClose"/>
      </w:pPr>
    </w:p>
    <w:p>
      <w:pPr>
        <w:pStyle w:val="nzIndenta"/>
      </w:pPr>
      <w:r>
        <w:tab/>
        <w:t>(b)</w:t>
      </w:r>
      <w:r>
        <w:tab/>
        <w:t>in paragraph (c) delete “beer,” and insert:</w:t>
      </w:r>
    </w:p>
    <w:p>
      <w:pPr>
        <w:pStyle w:val="BlankOpen"/>
      </w:pPr>
    </w:p>
    <w:p>
      <w:pPr>
        <w:pStyle w:val="nzIndenta"/>
      </w:pPr>
      <w:r>
        <w:tab/>
      </w:r>
      <w:r>
        <w:tab/>
        <w:t>liquor other than wine,</w:t>
      </w:r>
    </w:p>
    <w:p>
      <w:pPr>
        <w:pStyle w:val="BlankClose"/>
      </w:pPr>
    </w:p>
    <w:p>
      <w:pPr>
        <w:pStyle w:val="nzIndenta"/>
      </w:pPr>
      <w:r>
        <w:tab/>
        <w:t>(c)</w:t>
      </w:r>
      <w:r>
        <w:tab/>
        <w:t>in paragraph (c) delete “beer” (2</w:t>
      </w:r>
      <w:r>
        <w:rPr>
          <w:vertAlign w:val="superscript"/>
        </w:rPr>
        <w:t>nd</w:t>
      </w:r>
      <w:r>
        <w:t xml:space="preserve"> occurrence) and insert:</w:t>
      </w:r>
    </w:p>
    <w:p>
      <w:pPr>
        <w:pStyle w:val="BlankOpen"/>
      </w:pPr>
    </w:p>
    <w:p>
      <w:pPr>
        <w:pStyle w:val="nzIndenta"/>
      </w:pPr>
      <w:r>
        <w:tab/>
      </w:r>
      <w:r>
        <w:tab/>
        <w:t>liquor</w:t>
      </w:r>
    </w:p>
    <w:p>
      <w:pPr>
        <w:pStyle w:val="BlankClose"/>
      </w:pPr>
    </w:p>
    <w:p>
      <w:pPr>
        <w:pStyle w:val="nzIndenta"/>
      </w:pPr>
      <w:r>
        <w:tab/>
        <w:t>(d)</w:t>
      </w:r>
      <w:r>
        <w:tab/>
        <w:t>in paragraph (e) delete “wine or beer” and insert:</w:t>
      </w:r>
    </w:p>
    <w:p>
      <w:pPr>
        <w:pStyle w:val="BlankOpen"/>
      </w:pPr>
    </w:p>
    <w:p>
      <w:pPr>
        <w:pStyle w:val="nzIndenta"/>
      </w:pPr>
      <w:r>
        <w:tab/>
      </w:r>
      <w:r>
        <w:tab/>
        <w:t>liquor</w:t>
      </w:r>
    </w:p>
    <w:p>
      <w:pPr>
        <w:pStyle w:val="BlankClose"/>
      </w:pPr>
    </w:p>
    <w:p>
      <w:pPr>
        <w:pStyle w:val="nzSubsection"/>
      </w:pPr>
      <w:r>
        <w:tab/>
        <w:t>(2)</w:t>
      </w:r>
      <w:r>
        <w:tab/>
        <w:t>In section 61A(4):</w:t>
      </w:r>
    </w:p>
    <w:p>
      <w:pPr>
        <w:pStyle w:val="nzIndenta"/>
      </w:pPr>
      <w:r>
        <w:tab/>
        <w:t>(a)</w:t>
      </w:r>
      <w:r>
        <w:tab/>
        <w:t>delete “beer” (1</w:t>
      </w:r>
      <w:r>
        <w:rPr>
          <w:vertAlign w:val="superscript"/>
        </w:rPr>
        <w:t>st</w:t>
      </w:r>
      <w:r>
        <w:t xml:space="preserve"> occurrence) and insert:</w:t>
      </w:r>
    </w:p>
    <w:p>
      <w:pPr>
        <w:pStyle w:val="BlankOpen"/>
      </w:pPr>
    </w:p>
    <w:p>
      <w:pPr>
        <w:pStyle w:val="nzIndenta"/>
      </w:pPr>
      <w:r>
        <w:tab/>
      </w:r>
      <w:r>
        <w:tab/>
        <w:t>liquor other than wine</w:t>
      </w:r>
    </w:p>
    <w:p>
      <w:pPr>
        <w:pStyle w:val="BlankClose"/>
      </w:pPr>
    </w:p>
    <w:p>
      <w:pPr>
        <w:pStyle w:val="nzIndenta"/>
      </w:pPr>
      <w:r>
        <w:tab/>
        <w:t>(b)</w:t>
      </w:r>
      <w:r>
        <w:tab/>
        <w:t>delete “beer” (2</w:t>
      </w:r>
      <w:r>
        <w:rPr>
          <w:vertAlign w:val="superscript"/>
        </w:rPr>
        <w:t>nd</w:t>
      </w:r>
      <w:r>
        <w:t xml:space="preserve"> occurrence) and insert:</w:t>
      </w:r>
    </w:p>
    <w:p>
      <w:pPr>
        <w:pStyle w:val="BlankOpen"/>
      </w:pPr>
    </w:p>
    <w:p>
      <w:pPr>
        <w:pStyle w:val="nzIndenta"/>
      </w:pPr>
      <w:r>
        <w:tab/>
      </w:r>
      <w:r>
        <w:tab/>
        <w:t>liquor</w:t>
      </w:r>
    </w:p>
    <w:p>
      <w:pPr>
        <w:pStyle w:val="BlankClose"/>
      </w:pPr>
    </w:p>
    <w:p>
      <w:pPr>
        <w:pStyle w:val="nzSubsection"/>
      </w:pPr>
      <w:r>
        <w:tab/>
        <w:t>(3)</w:t>
      </w:r>
      <w:r>
        <w:tab/>
        <w:t>After section 61A(5) insert:</w:t>
      </w:r>
    </w:p>
    <w:p>
      <w:pPr>
        <w:pStyle w:val="BlankOpen"/>
      </w:pPr>
    </w:p>
    <w:p>
      <w:pPr>
        <w:pStyle w:val="nzSubsection"/>
      </w:pPr>
      <w:r>
        <w:tab/>
        <w:t>(5A)</w:t>
      </w:r>
      <w:r>
        <w:tab/>
        <w:t xml:space="preserve">If a cellar door permit is issued in respect of the same premises to 2 or more licensees, those licensees are jointly and severally liable — </w:t>
      </w:r>
    </w:p>
    <w:p>
      <w:pPr>
        <w:pStyle w:val="nzIndenta"/>
      </w:pPr>
      <w:r>
        <w:tab/>
        <w:t>(a)</w:t>
      </w:r>
      <w:r>
        <w:tab/>
        <w:t>as licensee; and</w:t>
      </w:r>
    </w:p>
    <w:p>
      <w:pPr>
        <w:pStyle w:val="nzIndenta"/>
      </w:pPr>
      <w:r>
        <w:tab/>
        <w:t>(b)</w:t>
      </w:r>
      <w:r>
        <w:tab/>
        <w:t>in respect of any civil or criminal liability that attaches to the licensee under this Act.</w:t>
      </w:r>
    </w:p>
    <w:p>
      <w:pPr>
        <w:pStyle w:val="BlankClose"/>
      </w:pPr>
    </w:p>
    <w:p>
      <w:pPr>
        <w:pStyle w:val="nzSubsection"/>
      </w:pPr>
      <w:r>
        <w:tab/>
        <w:t>(4)</w:t>
      </w:r>
      <w:r>
        <w:tab/>
        <w:t>In section 61A(6) delete “licence.” and insert:</w:t>
      </w:r>
    </w:p>
    <w:p>
      <w:pPr>
        <w:pStyle w:val="BlankOpen"/>
      </w:pPr>
    </w:p>
    <w:p>
      <w:pPr>
        <w:pStyle w:val="nzSubsection"/>
      </w:pPr>
      <w:r>
        <w:tab/>
      </w:r>
      <w:r>
        <w:tab/>
        <w:t xml:space="preserve">permit. </w:t>
      </w:r>
    </w:p>
    <w:p>
      <w:pPr>
        <w:pStyle w:val="BlankClose"/>
        <w:keepNext/>
      </w:pPr>
    </w:p>
    <w:p>
      <w:pPr>
        <w:pStyle w:val="nzSectAltNote"/>
      </w:pPr>
      <w:r>
        <w:tab/>
        <w:t>Note:</w:t>
      </w:r>
      <w:r>
        <w:tab/>
        <w:t>The heading to amended section 61A is to read:</w:t>
      </w:r>
    </w:p>
    <w:p>
      <w:pPr>
        <w:pStyle w:val="nzSectAltHeading"/>
      </w:pPr>
      <w:r>
        <w:rPr>
          <w:b w:val="0"/>
        </w:rPr>
        <w:tab/>
      </w:r>
      <w:r>
        <w:rPr>
          <w:b w:val="0"/>
        </w:rPr>
        <w:tab/>
      </w:r>
      <w:r>
        <w:t>Extended trading permit for sale of liquor (s. 60(4)(ia))</w:t>
      </w:r>
    </w:p>
    <w:p>
      <w:pPr>
        <w:pStyle w:val="nzHeading5"/>
      </w:pPr>
      <w:bookmarkStart w:id="674" w:name="_Toc518626533"/>
      <w:bookmarkStart w:id="675" w:name="_Toc519495344"/>
      <w:r>
        <w:rPr>
          <w:rStyle w:val="CharSectno"/>
        </w:rPr>
        <w:t>35</w:t>
      </w:r>
      <w:r>
        <w:t>.</w:t>
      </w:r>
      <w:r>
        <w:tab/>
        <w:t>Section 64 amended</w:t>
      </w:r>
      <w:bookmarkEnd w:id="674"/>
      <w:bookmarkEnd w:id="675"/>
    </w:p>
    <w:p>
      <w:pPr>
        <w:pStyle w:val="nzSubsection"/>
      </w:pPr>
      <w:r>
        <w:tab/>
      </w:r>
      <w:r>
        <w:tab/>
        <w:t>After section 64(1b) insert:</w:t>
      </w:r>
    </w:p>
    <w:p>
      <w:pPr>
        <w:pStyle w:val="BlankOpen"/>
      </w:pPr>
    </w:p>
    <w:p>
      <w:pPr>
        <w:pStyle w:val="nzSubsection"/>
      </w:pPr>
      <w:r>
        <w:tab/>
        <w:t>(1BA)</w:t>
      </w:r>
      <w:r>
        <w:tab/>
        <w:t>An application under subsection (1a)(b) to vary a condition must be made not later than the prescribed number of days before the variation is proposed to take effect, unless the Director otherwise approves.</w:t>
      </w:r>
    </w:p>
    <w:p>
      <w:pPr>
        <w:pStyle w:val="BlankClose"/>
      </w:pPr>
    </w:p>
    <w:p>
      <w:pPr>
        <w:pStyle w:val="nzHeading5"/>
      </w:pPr>
      <w:bookmarkStart w:id="676" w:name="_Toc518626534"/>
      <w:bookmarkStart w:id="677" w:name="_Toc519495345"/>
      <w:r>
        <w:rPr>
          <w:rStyle w:val="CharSectno"/>
        </w:rPr>
        <w:t>36</w:t>
      </w:r>
      <w:r>
        <w:t>.</w:t>
      </w:r>
      <w:r>
        <w:tab/>
        <w:t>Section 65 amended</w:t>
      </w:r>
      <w:bookmarkEnd w:id="676"/>
      <w:bookmarkEnd w:id="677"/>
    </w:p>
    <w:p>
      <w:pPr>
        <w:pStyle w:val="nzSubsection"/>
      </w:pPr>
      <w:r>
        <w:tab/>
      </w:r>
      <w:r>
        <w:tab/>
        <w:t>Delete section 65(1) and insert:</w:t>
      </w:r>
    </w:p>
    <w:p>
      <w:pPr>
        <w:pStyle w:val="BlankOpen"/>
      </w:pPr>
    </w:p>
    <w:p>
      <w:pPr>
        <w:pStyle w:val="nzSubsection"/>
      </w:pPr>
      <w:r>
        <w:tab/>
        <w:t>(1)</w:t>
      </w:r>
      <w:r>
        <w:tab/>
        <w:t xml:space="preserve">Subject to subsection (3), a licence or permit that authorises the sale of packaged liquor or of liquor for consumption off the licensed premises is subject to the following conditions — </w:t>
      </w:r>
    </w:p>
    <w:p>
      <w:pPr>
        <w:pStyle w:val="nzIndenta"/>
      </w:pPr>
      <w:r>
        <w:tab/>
        <w:t>(a)</w:t>
      </w:r>
      <w:r>
        <w:tab/>
        <w:t xml:space="preserve">that the liquor sold — </w:t>
      </w:r>
    </w:p>
    <w:p>
      <w:pPr>
        <w:pStyle w:val="nzIndenti"/>
      </w:pPr>
      <w:r>
        <w:tab/>
        <w:t>(i)</w:t>
      </w:r>
      <w:r>
        <w:tab/>
        <w:t>must be consigned to the purchaser at, and delivered on or from, the licensed premises, unless the Director otherwise approves; and</w:t>
      </w:r>
    </w:p>
    <w:p>
      <w:pPr>
        <w:pStyle w:val="nzIndenti"/>
        <w:rPr>
          <w:szCs w:val="24"/>
        </w:rPr>
      </w:pPr>
      <w:r>
        <w:tab/>
        <w:t>(ii)</w:t>
      </w:r>
      <w:r>
        <w:tab/>
        <w:t>must be delivered in sealed containers; and</w:t>
      </w:r>
    </w:p>
    <w:p>
      <w:pPr>
        <w:pStyle w:val="nzIndenti"/>
      </w:pPr>
      <w:r>
        <w:tab/>
        <w:t>(iii)</w:t>
      </w:r>
      <w:r>
        <w:tab/>
        <w:t>must not, unless an extended trading permit or a special facility licence so authorises, be or be permitted to be consumed on or, except in the case of liquor sold under section 55, in the immediate proximity of the licensed premises;</w:t>
      </w:r>
    </w:p>
    <w:p>
      <w:pPr>
        <w:pStyle w:val="nzIndenta"/>
      </w:pPr>
      <w:r>
        <w:tab/>
        <w:t>(b)</w:t>
      </w:r>
      <w:r>
        <w:tab/>
        <w:t>that the prescribed requirements relating to sale and delivery must be complied with.</w:t>
      </w:r>
    </w:p>
    <w:p>
      <w:pPr>
        <w:pStyle w:val="nzSubsection"/>
      </w:pPr>
      <w:r>
        <w:tab/>
        <w:t>(1A)</w:t>
      </w:r>
      <w:r>
        <w:tab/>
        <w:t>A person who contravenes a condition referred to in subsection (1) commits an offence.</w:t>
      </w:r>
    </w:p>
    <w:p>
      <w:pPr>
        <w:pStyle w:val="nzPenstart"/>
      </w:pPr>
      <w:r>
        <w:tab/>
        <w:t>Penalty for this subsection: a fine of $2 000.</w:t>
      </w:r>
    </w:p>
    <w:p>
      <w:pPr>
        <w:pStyle w:val="BlankClose"/>
      </w:pPr>
    </w:p>
    <w:p>
      <w:pPr>
        <w:pStyle w:val="nzSectAltNote"/>
      </w:pPr>
      <w:r>
        <w:tab/>
        <w:t>Note:</w:t>
      </w:r>
      <w:r>
        <w:tab/>
        <w:t>The heading to amended section 65 is to read:</w:t>
      </w:r>
    </w:p>
    <w:p>
      <w:pPr>
        <w:pStyle w:val="nzSectAltHeading"/>
      </w:pPr>
      <w:r>
        <w:rPr>
          <w:b w:val="0"/>
        </w:rPr>
        <w:tab/>
      </w:r>
      <w:r>
        <w:rPr>
          <w:b w:val="0"/>
        </w:rPr>
        <w:tab/>
      </w:r>
      <w:r>
        <w:t>Conditions relating to sale and delivery of packaged liquor or liquor for consumption off licensed premises</w:t>
      </w:r>
    </w:p>
    <w:p>
      <w:pPr>
        <w:pStyle w:val="nzHeading5"/>
      </w:pPr>
      <w:bookmarkStart w:id="678" w:name="_Toc518626535"/>
      <w:bookmarkStart w:id="679" w:name="_Toc519495346"/>
      <w:r>
        <w:rPr>
          <w:rStyle w:val="CharSectno"/>
        </w:rPr>
        <w:t>37</w:t>
      </w:r>
      <w:r>
        <w:t>.</w:t>
      </w:r>
      <w:r>
        <w:tab/>
        <w:t>Section 67 amended</w:t>
      </w:r>
      <w:bookmarkEnd w:id="678"/>
      <w:bookmarkEnd w:id="679"/>
    </w:p>
    <w:p>
      <w:pPr>
        <w:pStyle w:val="nzSubsection"/>
      </w:pPr>
      <w:r>
        <w:tab/>
      </w:r>
      <w:r>
        <w:tab/>
        <w:t>Delete section 67(5) and insert:</w:t>
      </w:r>
    </w:p>
    <w:p>
      <w:pPr>
        <w:pStyle w:val="BlankOpen"/>
      </w:pPr>
    </w:p>
    <w:p>
      <w:pPr>
        <w:pStyle w:val="nzSubsection"/>
      </w:pPr>
      <w:r>
        <w:tab/>
        <w:t>(5)</w:t>
      </w:r>
      <w:r>
        <w:tab/>
        <w:t>If an application is required to be advertised, the Director must cause a copy of the notice of application to be published on the Department’s website.</w:t>
      </w:r>
    </w:p>
    <w:p>
      <w:pPr>
        <w:pStyle w:val="BlankClose"/>
      </w:pPr>
    </w:p>
    <w:p>
      <w:pPr>
        <w:pStyle w:val="nzHeading5"/>
      </w:pPr>
      <w:bookmarkStart w:id="680" w:name="_Toc518626536"/>
      <w:bookmarkStart w:id="681" w:name="_Toc519495347"/>
      <w:r>
        <w:rPr>
          <w:rStyle w:val="CharSectno"/>
        </w:rPr>
        <w:t>38</w:t>
      </w:r>
      <w:r>
        <w:t>.</w:t>
      </w:r>
      <w:r>
        <w:tab/>
        <w:t>Section 68 amended</w:t>
      </w:r>
      <w:bookmarkEnd w:id="680"/>
      <w:bookmarkEnd w:id="681"/>
    </w:p>
    <w:p>
      <w:pPr>
        <w:pStyle w:val="nzSubsection"/>
      </w:pPr>
      <w:r>
        <w:tab/>
        <w:t>(1)</w:t>
      </w:r>
      <w:r>
        <w:tab/>
        <w:t>In section 68(1):</w:t>
      </w:r>
    </w:p>
    <w:p>
      <w:pPr>
        <w:pStyle w:val="nzIndenta"/>
      </w:pPr>
      <w:r>
        <w:tab/>
        <w:t>(a)</w:t>
      </w:r>
      <w:r>
        <w:tab/>
        <w:t>in paragraph (b)(iv) delete “section 72; and” and insert:</w:t>
      </w:r>
    </w:p>
    <w:p>
      <w:pPr>
        <w:pStyle w:val="BlankOpen"/>
      </w:pPr>
    </w:p>
    <w:p>
      <w:pPr>
        <w:pStyle w:val="nzIndenta"/>
      </w:pPr>
      <w:r>
        <w:tab/>
      </w:r>
      <w:r>
        <w:tab/>
        <w:t>section 72;</w:t>
      </w:r>
    </w:p>
    <w:p>
      <w:pPr>
        <w:pStyle w:val="BlankClose"/>
      </w:pPr>
    </w:p>
    <w:p>
      <w:pPr>
        <w:pStyle w:val="nzIndenta"/>
      </w:pPr>
      <w:r>
        <w:tab/>
        <w:t>(b)</w:t>
      </w:r>
      <w:r>
        <w:tab/>
        <w:t>delete paragraph (b)(v).</w:t>
      </w:r>
    </w:p>
    <w:p>
      <w:pPr>
        <w:pStyle w:val="nzSubsection"/>
      </w:pPr>
      <w:r>
        <w:tab/>
        <w:t>(2)</w:t>
      </w:r>
      <w:r>
        <w:tab/>
        <w:t>In section 68(2) delete “(1)(b)(iii), (iv) and (v)” and insert:</w:t>
      </w:r>
    </w:p>
    <w:p>
      <w:pPr>
        <w:pStyle w:val="BlankOpen"/>
      </w:pPr>
    </w:p>
    <w:p>
      <w:pPr>
        <w:pStyle w:val="nzSubsection"/>
      </w:pPr>
      <w:r>
        <w:tab/>
      </w:r>
      <w:r>
        <w:tab/>
        <w:t>(1)(b)(iii) and (iv)</w:t>
      </w:r>
    </w:p>
    <w:p>
      <w:pPr>
        <w:pStyle w:val="BlankClose"/>
      </w:pPr>
    </w:p>
    <w:p>
      <w:pPr>
        <w:pStyle w:val="nzHeading5"/>
      </w:pPr>
      <w:bookmarkStart w:id="682" w:name="_Toc518626537"/>
      <w:bookmarkStart w:id="683" w:name="_Toc519495348"/>
      <w:r>
        <w:rPr>
          <w:rStyle w:val="CharSectno"/>
        </w:rPr>
        <w:t>39</w:t>
      </w:r>
      <w:r>
        <w:t>.</w:t>
      </w:r>
      <w:r>
        <w:tab/>
        <w:t>Section 69 amended</w:t>
      </w:r>
      <w:bookmarkEnd w:id="682"/>
      <w:bookmarkEnd w:id="683"/>
    </w:p>
    <w:p>
      <w:pPr>
        <w:pStyle w:val="nzSubsection"/>
      </w:pPr>
      <w:r>
        <w:tab/>
        <w:t>(1)</w:t>
      </w:r>
      <w:r>
        <w:tab/>
        <w:t>In section 69(3) delete “67(5)(a)” and insert:</w:t>
      </w:r>
    </w:p>
    <w:p>
      <w:pPr>
        <w:pStyle w:val="BlankOpen"/>
      </w:pPr>
    </w:p>
    <w:p>
      <w:pPr>
        <w:pStyle w:val="nzSubsection"/>
      </w:pPr>
      <w:r>
        <w:tab/>
      </w:r>
      <w:r>
        <w:tab/>
        <w:t>67(5)</w:t>
      </w:r>
    </w:p>
    <w:p>
      <w:pPr>
        <w:pStyle w:val="BlankClose"/>
      </w:pPr>
    </w:p>
    <w:p>
      <w:pPr>
        <w:pStyle w:val="nzSubsection"/>
      </w:pPr>
      <w:r>
        <w:tab/>
        <w:t>(2)</w:t>
      </w:r>
      <w:r>
        <w:tab/>
        <w:t>Delete section 69(5).</w:t>
      </w:r>
    </w:p>
    <w:p>
      <w:pPr>
        <w:pStyle w:val="nzSubsection"/>
      </w:pPr>
      <w:r>
        <w:tab/>
        <w:t>(3)</w:t>
      </w:r>
      <w:r>
        <w:tab/>
        <w:t>In section 69(6)(c)(iv) before “any” insert:</w:t>
      </w:r>
    </w:p>
    <w:p>
      <w:pPr>
        <w:pStyle w:val="BlankOpen"/>
      </w:pPr>
    </w:p>
    <w:p>
      <w:pPr>
        <w:pStyle w:val="nzSubsection"/>
      </w:pPr>
      <w:r>
        <w:tab/>
      </w:r>
      <w:r>
        <w:tab/>
        <w:t>as to</w:t>
      </w:r>
    </w:p>
    <w:p>
      <w:pPr>
        <w:pStyle w:val="BlankClose"/>
      </w:pPr>
    </w:p>
    <w:p>
      <w:pPr>
        <w:pStyle w:val="nzSubsection"/>
      </w:pPr>
      <w:r>
        <w:tab/>
        <w:t>(4)</w:t>
      </w:r>
      <w:r>
        <w:tab/>
        <w:t>After section 69(8) insert:</w:t>
      </w:r>
    </w:p>
    <w:p>
      <w:pPr>
        <w:pStyle w:val="BlankOpen"/>
      </w:pPr>
    </w:p>
    <w:p>
      <w:pPr>
        <w:pStyle w:val="nzSubsection"/>
      </w:pPr>
      <w:r>
        <w:tab/>
        <w:t>(8AA)</w:t>
      </w:r>
      <w:r>
        <w:tab/>
        <w:t xml:space="preserve">The chief executive officer appointed under the </w:t>
      </w:r>
      <w:r>
        <w:rPr>
          <w:i/>
        </w:rPr>
        <w:t>Western Australian Tourism Commission Act 1983</w:t>
      </w:r>
      <w:r>
        <w:t xml:space="preserve"> section 17 may intervene in proceedings before the licensing authority for the purpose of introducing evidence or making representations — </w:t>
      </w:r>
    </w:p>
    <w:p>
      <w:pPr>
        <w:pStyle w:val="nzIndenta"/>
      </w:pPr>
      <w:r>
        <w:tab/>
        <w:t>(a)</w:t>
      </w:r>
      <w:r>
        <w:tab/>
        <w:t>as to whether any tourism benefits might result if a particular application is granted; and</w:t>
      </w:r>
    </w:p>
    <w:p>
      <w:pPr>
        <w:pStyle w:val="nzIndenta"/>
      </w:pPr>
      <w:r>
        <w:tab/>
        <w:t>(b)</w:t>
      </w:r>
      <w:r>
        <w:tab/>
        <w:t>as to any other matter relevant to the proper development of the tourism industry in the State.</w:t>
      </w:r>
    </w:p>
    <w:p>
      <w:pPr>
        <w:pStyle w:val="BlankClose"/>
      </w:pPr>
    </w:p>
    <w:p>
      <w:pPr>
        <w:pStyle w:val="nzHeading5"/>
      </w:pPr>
      <w:bookmarkStart w:id="684" w:name="_Toc518626538"/>
      <w:bookmarkStart w:id="685" w:name="_Toc519495349"/>
      <w:r>
        <w:rPr>
          <w:rStyle w:val="CharSectno"/>
        </w:rPr>
        <w:t>40</w:t>
      </w:r>
      <w:r>
        <w:t>.</w:t>
      </w:r>
      <w:r>
        <w:tab/>
        <w:t>Section 70 amended</w:t>
      </w:r>
      <w:bookmarkEnd w:id="684"/>
      <w:bookmarkEnd w:id="685"/>
    </w:p>
    <w:p>
      <w:pPr>
        <w:pStyle w:val="nzSubsection"/>
      </w:pPr>
      <w:r>
        <w:tab/>
      </w:r>
      <w:r>
        <w:tab/>
        <w:t>In section 70(2) delete “the section” and insert:</w:t>
      </w:r>
    </w:p>
    <w:p>
      <w:pPr>
        <w:pStyle w:val="BlankOpen"/>
      </w:pPr>
    </w:p>
    <w:p>
      <w:pPr>
        <w:pStyle w:val="nzSubsection"/>
      </w:pPr>
      <w:r>
        <w:tab/>
      </w:r>
      <w:r>
        <w:tab/>
        <w:t>this section</w:t>
      </w:r>
    </w:p>
    <w:p>
      <w:pPr>
        <w:pStyle w:val="BlankClose"/>
      </w:pPr>
    </w:p>
    <w:p>
      <w:pPr>
        <w:pStyle w:val="nzHeading5"/>
      </w:pPr>
      <w:bookmarkStart w:id="686" w:name="_Toc518626539"/>
      <w:bookmarkStart w:id="687" w:name="_Toc519495350"/>
      <w:r>
        <w:rPr>
          <w:rStyle w:val="CharSectno"/>
        </w:rPr>
        <w:t>41</w:t>
      </w:r>
      <w:r>
        <w:t>.</w:t>
      </w:r>
      <w:r>
        <w:tab/>
        <w:t>Section 72A inserted</w:t>
      </w:r>
      <w:bookmarkEnd w:id="686"/>
      <w:bookmarkEnd w:id="687"/>
    </w:p>
    <w:p>
      <w:pPr>
        <w:pStyle w:val="nzSubsection"/>
      </w:pPr>
      <w:r>
        <w:tab/>
      </w:r>
      <w:r>
        <w:tab/>
        <w:t>After section 72 insert:</w:t>
      </w:r>
    </w:p>
    <w:p>
      <w:pPr>
        <w:pStyle w:val="BlankOpen"/>
      </w:pPr>
    </w:p>
    <w:p>
      <w:pPr>
        <w:pStyle w:val="nzHeading5"/>
      </w:pPr>
      <w:bookmarkStart w:id="688" w:name="_Toc518626540"/>
      <w:bookmarkStart w:id="689" w:name="_Toc519495351"/>
      <w:r>
        <w:t>72A.</w:t>
      </w:r>
      <w:r>
        <w:tab/>
        <w:t>Submissions generally</w:t>
      </w:r>
      <w:bookmarkEnd w:id="688"/>
      <w:bookmarkEnd w:id="689"/>
    </w:p>
    <w:p>
      <w:pPr>
        <w:pStyle w:val="nzSubsection"/>
      </w:pPr>
      <w:r>
        <w:tab/>
        <w:t>(1)</w:t>
      </w:r>
      <w:r>
        <w:tab/>
        <w:t xml:space="preserve">In this section — </w:t>
      </w:r>
    </w:p>
    <w:p>
      <w:pPr>
        <w:pStyle w:val="nzDefstart"/>
      </w:pPr>
      <w:r>
        <w:rPr>
          <w:rStyle w:val="CharDefText"/>
        </w:rPr>
        <w:tab/>
        <w:t xml:space="preserve">submission </w:t>
      </w:r>
      <w:r>
        <w:t xml:space="preserve">means — </w:t>
      </w:r>
    </w:p>
    <w:p>
      <w:pPr>
        <w:pStyle w:val="nzDefpara"/>
      </w:pPr>
      <w:r>
        <w:tab/>
        <w:t>(a)</w:t>
      </w:r>
      <w:r>
        <w:tab/>
        <w:t>a submission made by a person in support of an application; or</w:t>
      </w:r>
    </w:p>
    <w:p>
      <w:pPr>
        <w:pStyle w:val="nzDefpara"/>
      </w:pPr>
      <w:r>
        <w:tab/>
        <w:t>(b)</w:t>
      </w:r>
      <w:r>
        <w:tab/>
        <w:t>a submission made by a person in opposition to an application, but does not include an objection to an application lodged with the Director under section 73.</w:t>
      </w:r>
    </w:p>
    <w:p>
      <w:pPr>
        <w:pStyle w:val="nzSubsection"/>
      </w:pPr>
      <w:r>
        <w:tab/>
        <w:t>(2)</w:t>
      </w:r>
      <w:r>
        <w:tab/>
        <w:t>A person who makes a submission to the Director is not a party to proceedings.</w:t>
      </w:r>
    </w:p>
    <w:p>
      <w:pPr>
        <w:pStyle w:val="nzSubsection"/>
      </w:pPr>
      <w:r>
        <w:tab/>
        <w:t>(3)</w:t>
      </w:r>
      <w:r>
        <w:tab/>
        <w:t>Subsection (2) does not apply to a person who intervenes in proceedings relating to an application.</w:t>
      </w:r>
    </w:p>
    <w:p>
      <w:pPr>
        <w:pStyle w:val="nzSubsection"/>
      </w:pPr>
      <w:r>
        <w:tab/>
        <w:t>(4)</w:t>
      </w:r>
      <w:r>
        <w:tab/>
        <w:t>The Director may, but need not, acknowledge receipt of a submission.</w:t>
      </w:r>
    </w:p>
    <w:p>
      <w:pPr>
        <w:pStyle w:val="nzSubsection"/>
      </w:pPr>
      <w:r>
        <w:tab/>
        <w:t>(5)</w:t>
      </w:r>
      <w:r>
        <w:tab/>
        <w:t>Sections 73 and 74 do not apply to a submission made in opposition to an application.</w:t>
      </w:r>
    </w:p>
    <w:p>
      <w:pPr>
        <w:pStyle w:val="BlankClose"/>
      </w:pPr>
    </w:p>
    <w:p>
      <w:pPr>
        <w:pStyle w:val="nzHeading5"/>
      </w:pPr>
      <w:bookmarkStart w:id="690" w:name="_Toc518626541"/>
      <w:bookmarkStart w:id="691" w:name="_Toc519495352"/>
      <w:r>
        <w:rPr>
          <w:rStyle w:val="CharSectno"/>
        </w:rPr>
        <w:t>42</w:t>
      </w:r>
      <w:r>
        <w:t>.</w:t>
      </w:r>
      <w:r>
        <w:tab/>
        <w:t>Section 73 amended</w:t>
      </w:r>
      <w:bookmarkEnd w:id="690"/>
      <w:bookmarkEnd w:id="691"/>
    </w:p>
    <w:p>
      <w:pPr>
        <w:pStyle w:val="nzSubsection"/>
      </w:pPr>
      <w:r>
        <w:tab/>
      </w:r>
      <w:r>
        <w:tab/>
        <w:t>Delete section 73(4a) and insert:</w:t>
      </w:r>
    </w:p>
    <w:p>
      <w:pPr>
        <w:pStyle w:val="BlankOpen"/>
      </w:pPr>
    </w:p>
    <w:p>
      <w:pPr>
        <w:pStyle w:val="nzSubsection"/>
      </w:pPr>
      <w:r>
        <w:tab/>
        <w:t>(4A)</w:t>
      </w:r>
      <w:r>
        <w:tab/>
        <w:t>The Director must serve a copy of a notice lodged under subsection (4) on the applicant, unless section 30(4)(a) applies.</w:t>
      </w:r>
    </w:p>
    <w:p>
      <w:pPr>
        <w:pStyle w:val="BlankClose"/>
      </w:pPr>
    </w:p>
    <w:p>
      <w:pPr>
        <w:pStyle w:val="nzHeading5"/>
      </w:pPr>
      <w:bookmarkStart w:id="692" w:name="_Toc518626542"/>
      <w:bookmarkStart w:id="693" w:name="_Toc519495353"/>
      <w:r>
        <w:rPr>
          <w:rStyle w:val="CharSectno"/>
        </w:rPr>
        <w:t>43</w:t>
      </w:r>
      <w:r>
        <w:t>.</w:t>
      </w:r>
      <w:r>
        <w:tab/>
        <w:t>Section 74 amended</w:t>
      </w:r>
      <w:bookmarkEnd w:id="692"/>
      <w:bookmarkEnd w:id="693"/>
    </w:p>
    <w:p>
      <w:pPr>
        <w:pStyle w:val="nzSubsection"/>
      </w:pPr>
      <w:r>
        <w:tab/>
      </w:r>
      <w:r>
        <w:tab/>
        <w:t>After section 74(4) insert:</w:t>
      </w:r>
    </w:p>
    <w:p>
      <w:pPr>
        <w:pStyle w:val="BlankOpen"/>
      </w:pPr>
    </w:p>
    <w:p>
      <w:pPr>
        <w:pStyle w:val="nzSubsection"/>
      </w:pPr>
      <w:r>
        <w:tab/>
        <w:t>(5)</w:t>
      </w:r>
      <w:r>
        <w:tab/>
        <w:t>A determination made by the Director under subsection (4) is not subject to review under section 25.</w:t>
      </w:r>
    </w:p>
    <w:p>
      <w:pPr>
        <w:pStyle w:val="BlankClose"/>
      </w:pPr>
    </w:p>
    <w:p>
      <w:pPr>
        <w:pStyle w:val="nzHeading5"/>
      </w:pPr>
      <w:bookmarkStart w:id="694" w:name="_Toc518626543"/>
      <w:bookmarkStart w:id="695" w:name="_Toc519495354"/>
      <w:r>
        <w:rPr>
          <w:rStyle w:val="CharSectno"/>
        </w:rPr>
        <w:t>44</w:t>
      </w:r>
      <w:r>
        <w:t>.</w:t>
      </w:r>
      <w:r>
        <w:tab/>
        <w:t>Section 75 amended</w:t>
      </w:r>
      <w:bookmarkEnd w:id="694"/>
      <w:bookmarkEnd w:id="695"/>
    </w:p>
    <w:p>
      <w:pPr>
        <w:pStyle w:val="nzSubsection"/>
      </w:pPr>
      <w:r>
        <w:tab/>
      </w:r>
      <w:r>
        <w:tab/>
        <w:t>Delete section 75(2)(b) and insert:</w:t>
      </w:r>
    </w:p>
    <w:p>
      <w:pPr>
        <w:pStyle w:val="BlankOpen"/>
      </w:pPr>
    </w:p>
    <w:p>
      <w:pPr>
        <w:pStyle w:val="nzIndenta"/>
      </w:pPr>
      <w:r>
        <w:tab/>
        <w:t>(b)</w:t>
      </w:r>
      <w:r>
        <w:tab/>
        <w:t>if not required to be advertised is not subject to objection, but may be made the subject of a submission or an intervention under section 69; and</w:t>
      </w:r>
    </w:p>
    <w:p>
      <w:pPr>
        <w:pStyle w:val="BlankClose"/>
      </w:pPr>
    </w:p>
    <w:p>
      <w:pPr>
        <w:pStyle w:val="nzHeading5"/>
      </w:pPr>
      <w:bookmarkStart w:id="696" w:name="_Toc518626544"/>
      <w:bookmarkStart w:id="697" w:name="_Toc519495355"/>
      <w:r>
        <w:rPr>
          <w:rStyle w:val="CharSectno"/>
        </w:rPr>
        <w:t>45</w:t>
      </w:r>
      <w:r>
        <w:t>.</w:t>
      </w:r>
      <w:r>
        <w:tab/>
        <w:t>Section 77A inserted</w:t>
      </w:r>
      <w:bookmarkEnd w:id="696"/>
      <w:bookmarkEnd w:id="697"/>
    </w:p>
    <w:p>
      <w:pPr>
        <w:pStyle w:val="nzSubsection"/>
      </w:pPr>
      <w:r>
        <w:tab/>
      </w:r>
      <w:r>
        <w:tab/>
        <w:t>At the end of Part 3 Division 7 insert:</w:t>
      </w:r>
    </w:p>
    <w:p>
      <w:pPr>
        <w:pStyle w:val="BlankOpen"/>
      </w:pPr>
    </w:p>
    <w:p>
      <w:pPr>
        <w:pStyle w:val="nzHeading5"/>
      </w:pPr>
      <w:bookmarkStart w:id="698" w:name="_Toc518626545"/>
      <w:bookmarkStart w:id="699" w:name="_Toc519495356"/>
      <w:r>
        <w:t>77A.</w:t>
      </w:r>
      <w:r>
        <w:tab/>
        <w:t>Restrictions on alteration or redefinition of certain packaged liquor premises</w:t>
      </w:r>
      <w:bookmarkEnd w:id="698"/>
      <w:bookmarkEnd w:id="699"/>
    </w:p>
    <w:p>
      <w:pPr>
        <w:pStyle w:val="nzSubsection"/>
      </w:pPr>
      <w:r>
        <w:tab/>
        <w:t>(1)</w:t>
      </w:r>
      <w:r>
        <w:tab/>
        <w:t xml:space="preserve">In this section — </w:t>
      </w:r>
    </w:p>
    <w:p>
      <w:pPr>
        <w:pStyle w:val="nzDefstart"/>
      </w:pPr>
      <w:r>
        <w:tab/>
      </w:r>
      <w:r>
        <w:rPr>
          <w:rStyle w:val="CharDefText"/>
        </w:rPr>
        <w:t>packaged liquor premises</w:t>
      </w:r>
      <w:r>
        <w:t xml:space="preserve"> has the meaning given in section 36B(1);</w:t>
      </w:r>
    </w:p>
    <w:p>
      <w:pPr>
        <w:pStyle w:val="nzDefstart"/>
      </w:pPr>
      <w:r>
        <w:tab/>
      </w:r>
      <w:r>
        <w:rPr>
          <w:rStyle w:val="CharDefText"/>
        </w:rPr>
        <w:t>prescribed area</w:t>
      </w:r>
      <w:r>
        <w:t xml:space="preserve"> means the area prescribed for the purposes of this section;</w:t>
      </w:r>
    </w:p>
    <w:p>
      <w:pPr>
        <w:pStyle w:val="nzDefstart"/>
      </w:pPr>
      <w:r>
        <w:tab/>
      </w:r>
      <w:r>
        <w:rPr>
          <w:rStyle w:val="CharDefText"/>
        </w:rPr>
        <w:t>prescribed distance</w:t>
      </w:r>
      <w:r>
        <w:t xml:space="preserve"> means the distance prescribed for the purposes of this section;</w:t>
      </w:r>
    </w:p>
    <w:p>
      <w:pPr>
        <w:pStyle w:val="nzDefstart"/>
      </w:pPr>
      <w:r>
        <w:tab/>
      </w:r>
      <w:r>
        <w:rPr>
          <w:rStyle w:val="CharDefText"/>
        </w:rPr>
        <w:t>retail section</w:t>
      </w:r>
      <w:r>
        <w:t>, in relation to packaged liquor premises, means the part or parts of the premises on which packaged liquor is displayed for the purposes of sale or sold.</w:t>
      </w:r>
    </w:p>
    <w:p>
      <w:pPr>
        <w:pStyle w:val="nzSubsection"/>
      </w:pPr>
      <w:r>
        <w:tab/>
        <w:t>(2)</w:t>
      </w:r>
      <w:r>
        <w:tab/>
        <w:t xml:space="preserve">Subsection (3) applies to packaged liquor premises if — </w:t>
      </w:r>
    </w:p>
    <w:p>
      <w:pPr>
        <w:pStyle w:val="nzIndenta"/>
      </w:pPr>
      <w:r>
        <w:tab/>
        <w:t>(a)</w:t>
      </w:r>
      <w:r>
        <w:tab/>
        <w:t>the premises are situated less than the prescribed distance from other packaged liquor premises; and</w:t>
      </w:r>
    </w:p>
    <w:p>
      <w:pPr>
        <w:pStyle w:val="nzIndenta"/>
      </w:pPr>
      <w:r>
        <w:tab/>
        <w:t>(b)</w:t>
      </w:r>
      <w:r>
        <w:tab/>
        <w:t>the area of the retail section of the other packaged liquor premises exceeds the prescribed area.</w:t>
      </w:r>
    </w:p>
    <w:p>
      <w:pPr>
        <w:pStyle w:val="nzSubsection"/>
      </w:pPr>
      <w:r>
        <w:tab/>
        <w:t>(3)</w:t>
      </w:r>
      <w:r>
        <w:tab/>
        <w:t xml:space="preserve">The licensing authority must not hear or determine an application made under section 77(4) in respect of packaged liquor premises to which this subsection applies — </w:t>
      </w:r>
    </w:p>
    <w:p>
      <w:pPr>
        <w:pStyle w:val="nzIndenta"/>
      </w:pPr>
      <w:r>
        <w:tab/>
        <w:t>(a)</w:t>
      </w:r>
      <w:r>
        <w:tab/>
        <w:t xml:space="preserve">if — </w:t>
      </w:r>
    </w:p>
    <w:p>
      <w:pPr>
        <w:pStyle w:val="nzIndenti"/>
      </w:pPr>
      <w:r>
        <w:tab/>
        <w:t>(i)</w:t>
      </w:r>
      <w:r>
        <w:tab/>
        <w:t>the area of the retail section of the premises does not exceed the prescribed area; and</w:t>
      </w:r>
    </w:p>
    <w:p>
      <w:pPr>
        <w:pStyle w:val="nzIndenti"/>
      </w:pPr>
      <w:r>
        <w:tab/>
        <w:t>(ii)</w:t>
      </w:r>
      <w:r>
        <w:tab/>
        <w:t>the proposed alteration or redefinition of the premises would increase the area of the retail section of the premises so that it exceeds the prescribed area;</w:t>
      </w:r>
    </w:p>
    <w:p>
      <w:pPr>
        <w:pStyle w:val="nzIndenta"/>
      </w:pPr>
      <w:r>
        <w:tab/>
      </w:r>
      <w:r>
        <w:tab/>
        <w:t>or</w:t>
      </w:r>
    </w:p>
    <w:p>
      <w:pPr>
        <w:pStyle w:val="nzIndenta"/>
      </w:pPr>
      <w:r>
        <w:tab/>
        <w:t>(b)</w:t>
      </w:r>
      <w:r>
        <w:tab/>
        <w:t xml:space="preserve">if — </w:t>
      </w:r>
    </w:p>
    <w:p>
      <w:pPr>
        <w:pStyle w:val="nzIndenti"/>
      </w:pPr>
      <w:r>
        <w:tab/>
        <w:t>(i)</w:t>
      </w:r>
      <w:r>
        <w:tab/>
        <w:t>the area of the retail section of the premises exceeds the prescribed area; and</w:t>
      </w:r>
    </w:p>
    <w:p>
      <w:pPr>
        <w:pStyle w:val="nzIndenti"/>
      </w:pPr>
      <w:r>
        <w:tab/>
        <w:t>(ii)</w:t>
      </w:r>
      <w:r>
        <w:tab/>
        <w:t>the proposed alteration or redefinition of the premises would increase the area of the retail section of the premises.</w:t>
      </w:r>
    </w:p>
    <w:p>
      <w:pPr>
        <w:pStyle w:val="nzSubsection"/>
      </w:pPr>
      <w:r>
        <w:tab/>
        <w:t>(4)</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BlankClose"/>
      </w:pPr>
    </w:p>
    <w:p>
      <w:pPr>
        <w:pStyle w:val="nzHeading5"/>
      </w:pPr>
      <w:bookmarkStart w:id="700" w:name="_Toc518626546"/>
      <w:bookmarkStart w:id="701" w:name="_Toc519495357"/>
      <w:r>
        <w:rPr>
          <w:rStyle w:val="CharSectno"/>
        </w:rPr>
        <w:t>46</w:t>
      </w:r>
      <w:r>
        <w:t>.</w:t>
      </w:r>
      <w:r>
        <w:tab/>
        <w:t>Section 95 amended</w:t>
      </w:r>
      <w:bookmarkEnd w:id="700"/>
      <w:bookmarkEnd w:id="701"/>
    </w:p>
    <w:p>
      <w:pPr>
        <w:pStyle w:val="nzSubsection"/>
      </w:pPr>
      <w:r>
        <w:tab/>
        <w:t>(1)</w:t>
      </w:r>
      <w:r>
        <w:tab/>
        <w:t>Before section 95(1) insert:</w:t>
      </w:r>
    </w:p>
    <w:p>
      <w:pPr>
        <w:pStyle w:val="BlankOpen"/>
      </w:pPr>
    </w:p>
    <w:p>
      <w:pPr>
        <w:pStyle w:val="nzSubsection"/>
      </w:pPr>
      <w:r>
        <w:tab/>
        <w:t>(1A)</w:t>
      </w:r>
      <w:r>
        <w:tab/>
        <w:t xml:space="preserve">In this section — </w:t>
      </w:r>
    </w:p>
    <w:p>
      <w:pPr>
        <w:pStyle w:val="nzDefstart"/>
      </w:pPr>
      <w:r>
        <w:tab/>
      </w:r>
      <w:r>
        <w:rPr>
          <w:rStyle w:val="CharDefText"/>
        </w:rPr>
        <w:t>employee</w:t>
      </w:r>
      <w:r>
        <w:t xml:space="preserve">, of the licensee, includes — </w:t>
      </w:r>
    </w:p>
    <w:p>
      <w:pPr>
        <w:pStyle w:val="nzDefpara"/>
      </w:pPr>
      <w:r>
        <w:tab/>
        <w:t>(a)</w:t>
      </w:r>
      <w:r>
        <w:tab/>
        <w:t>a person engaged under a contract for services by the licensee; and</w:t>
      </w:r>
    </w:p>
    <w:p>
      <w:pPr>
        <w:pStyle w:val="nzDefpara"/>
      </w:pPr>
      <w:r>
        <w:tab/>
        <w:t>(b)</w:t>
      </w:r>
      <w:r>
        <w:tab/>
        <w:t xml:space="preserve">a person who — </w:t>
      </w:r>
    </w:p>
    <w:p>
      <w:pPr>
        <w:pStyle w:val="nzDefsubpara"/>
      </w:pPr>
      <w:r>
        <w:tab/>
        <w:t>(i)</w:t>
      </w:r>
      <w:r>
        <w:tab/>
        <w:t>holds a crowd controller’s licence; and</w:t>
      </w:r>
    </w:p>
    <w:p>
      <w:pPr>
        <w:pStyle w:val="nzDefsubpara"/>
      </w:pPr>
      <w:r>
        <w:tab/>
        <w:t>(ii)</w:t>
      </w:r>
      <w:r>
        <w:tab/>
        <w:t>is employed by a crowd control agent engaged under a contract for services by the licensee or occupier or a manager of the licensed premises to supply the services of crowd controllers at those premises.</w:t>
      </w:r>
    </w:p>
    <w:p>
      <w:pPr>
        <w:pStyle w:val="BlankClose"/>
      </w:pPr>
    </w:p>
    <w:p>
      <w:pPr>
        <w:pStyle w:val="nzSubsection"/>
      </w:pPr>
      <w:r>
        <w:tab/>
        <w:t>(2)</w:t>
      </w:r>
      <w:r>
        <w:tab/>
        <w:t>In section 95(4)(k) delete “of the licensee; or” and insert:</w:t>
      </w:r>
    </w:p>
    <w:p>
      <w:pPr>
        <w:pStyle w:val="BlankOpen"/>
      </w:pPr>
    </w:p>
    <w:p>
      <w:pPr>
        <w:pStyle w:val="nzSubsection"/>
      </w:pPr>
      <w:r>
        <w:tab/>
      </w:r>
      <w:r>
        <w:tab/>
        <w:t xml:space="preserve">of — </w:t>
      </w:r>
    </w:p>
    <w:p>
      <w:pPr>
        <w:pStyle w:val="nzIndenta"/>
      </w:pPr>
      <w:r>
        <w:tab/>
        <w:t>(i)</w:t>
      </w:r>
      <w:r>
        <w:tab/>
        <w:t>the licensee; or</w:t>
      </w:r>
    </w:p>
    <w:p>
      <w:pPr>
        <w:pStyle w:val="nzIndenta"/>
      </w:pPr>
      <w:r>
        <w:tab/>
        <w:t>(ii)</w:t>
      </w:r>
      <w:r>
        <w:tab/>
        <w:t>an employee or agent of the licensee; or</w:t>
      </w:r>
    </w:p>
    <w:p>
      <w:pPr>
        <w:pStyle w:val="nzIndenta"/>
      </w:pPr>
      <w:r>
        <w:tab/>
        <w:t>(iii)</w:t>
      </w:r>
      <w:r>
        <w:tab/>
        <w:t>a person acting, or purporting to act, on behalf of the licensee;</w:t>
      </w:r>
    </w:p>
    <w:p>
      <w:pPr>
        <w:pStyle w:val="nzSubsection"/>
      </w:pPr>
      <w:r>
        <w:tab/>
      </w:r>
      <w:r>
        <w:tab/>
        <w:t>or</w:t>
      </w:r>
    </w:p>
    <w:p>
      <w:pPr>
        <w:pStyle w:val="nzSubsection"/>
      </w:pPr>
      <w:r>
        <w:tab/>
        <w:t>(3)</w:t>
      </w:r>
      <w:r>
        <w:tab/>
        <w:t>After section 95(11) insert:</w:t>
      </w:r>
    </w:p>
    <w:p>
      <w:pPr>
        <w:pStyle w:val="BlankOpen"/>
      </w:pPr>
    </w:p>
    <w:p>
      <w:pPr>
        <w:pStyle w:val="nzSubsection"/>
      </w:pPr>
      <w:r>
        <w:tab/>
        <w:t>(12)</w:t>
      </w:r>
      <w:r>
        <w:tab/>
        <w:t>The hearing of a complaint lodged under this section must be in public unless the Commission considers that, in the circumstances of the case, the hearing should be in private.</w:t>
      </w:r>
    </w:p>
    <w:p>
      <w:pPr>
        <w:pStyle w:val="BlankClose"/>
      </w:pPr>
    </w:p>
    <w:p>
      <w:pPr>
        <w:pStyle w:val="nzHeading5"/>
      </w:pPr>
      <w:bookmarkStart w:id="702" w:name="_Toc518626547"/>
      <w:bookmarkStart w:id="703" w:name="_Toc519495358"/>
      <w:r>
        <w:rPr>
          <w:rStyle w:val="CharSectno"/>
        </w:rPr>
        <w:t>47</w:t>
      </w:r>
      <w:r>
        <w:t>.</w:t>
      </w:r>
      <w:r>
        <w:tab/>
        <w:t>Section 98 amended</w:t>
      </w:r>
      <w:bookmarkEnd w:id="702"/>
      <w:bookmarkEnd w:id="703"/>
    </w:p>
    <w:p>
      <w:pPr>
        <w:pStyle w:val="nzSubsection"/>
      </w:pPr>
      <w:r>
        <w:tab/>
      </w:r>
      <w:r>
        <w:tab/>
        <w:t>In section 98(1):</w:t>
      </w:r>
    </w:p>
    <w:p>
      <w:pPr>
        <w:pStyle w:val="nzIndenta"/>
      </w:pPr>
      <w:r>
        <w:tab/>
        <w:t>(a)</w:t>
      </w:r>
      <w:r>
        <w:tab/>
        <w:t>in paragraph (a) after “6 a.m. to” insert:</w:t>
      </w:r>
    </w:p>
    <w:p>
      <w:pPr>
        <w:pStyle w:val="BlankOpen"/>
      </w:pPr>
    </w:p>
    <w:p>
      <w:pPr>
        <w:pStyle w:val="nzIndenta"/>
      </w:pPr>
      <w:r>
        <w:tab/>
      </w:r>
      <w:r>
        <w:tab/>
        <w:t>12</w:t>
      </w:r>
    </w:p>
    <w:p>
      <w:pPr>
        <w:pStyle w:val="BlankClose"/>
      </w:pPr>
    </w:p>
    <w:p>
      <w:pPr>
        <w:pStyle w:val="nzIndenta"/>
      </w:pPr>
      <w:r>
        <w:tab/>
        <w:t>(b)</w:t>
      </w:r>
      <w:r>
        <w:tab/>
        <w:t>in paragraph (d) delete “2 a.m.;” and insert:</w:t>
      </w:r>
    </w:p>
    <w:p>
      <w:pPr>
        <w:pStyle w:val="BlankOpen"/>
      </w:pPr>
    </w:p>
    <w:p>
      <w:pPr>
        <w:pStyle w:val="nzIndenta"/>
      </w:pPr>
      <w:r>
        <w:tab/>
      </w:r>
      <w:r>
        <w:tab/>
        <w:t>2 am and then in accordance with paragraph (a) or (b), as the case requires;</w:t>
      </w:r>
    </w:p>
    <w:p>
      <w:pPr>
        <w:pStyle w:val="BlankClose"/>
      </w:pPr>
    </w:p>
    <w:p>
      <w:pPr>
        <w:pStyle w:val="nzHeading5"/>
      </w:pPr>
      <w:bookmarkStart w:id="704" w:name="_Toc518626548"/>
      <w:bookmarkStart w:id="705" w:name="_Toc519495359"/>
      <w:r>
        <w:rPr>
          <w:rStyle w:val="CharSectno"/>
        </w:rPr>
        <w:t>48</w:t>
      </w:r>
      <w:r>
        <w:t>.</w:t>
      </w:r>
      <w:r>
        <w:tab/>
        <w:t>Section 98AA inserted</w:t>
      </w:r>
      <w:bookmarkEnd w:id="704"/>
      <w:bookmarkEnd w:id="705"/>
    </w:p>
    <w:p>
      <w:pPr>
        <w:pStyle w:val="nzSubsection"/>
      </w:pPr>
      <w:r>
        <w:tab/>
      </w:r>
      <w:r>
        <w:tab/>
        <w:t>After section 98 insert:</w:t>
      </w:r>
    </w:p>
    <w:p>
      <w:pPr>
        <w:pStyle w:val="BlankOpen"/>
      </w:pPr>
    </w:p>
    <w:p>
      <w:pPr>
        <w:pStyle w:val="nzHeading5"/>
      </w:pPr>
      <w:bookmarkStart w:id="706" w:name="_Toc518626549"/>
      <w:bookmarkStart w:id="707" w:name="_Toc519495360"/>
      <w:r>
        <w:t>98AA.</w:t>
      </w:r>
      <w:r>
        <w:tab/>
        <w:t>Permitted hours under small bar licence</w:t>
      </w:r>
      <w:bookmarkEnd w:id="706"/>
      <w:bookmarkEnd w:id="707"/>
    </w:p>
    <w:p>
      <w:pPr>
        <w:pStyle w:val="nzSubsection"/>
      </w:pPr>
      <w:r>
        <w:tab/>
      </w:r>
      <w:r>
        <w:tab/>
        <w:t xml:space="preserve">The permitted hours under a small bar licence are — </w:t>
      </w:r>
    </w:p>
    <w:p>
      <w:pPr>
        <w:pStyle w:val="nzIndenta"/>
      </w:pPr>
      <w:r>
        <w:tab/>
        <w:t>(a)</w:t>
      </w:r>
      <w:r>
        <w:tab/>
        <w:t>on a day other than a Sunday — from 6 am to 12 midnight;</w:t>
      </w:r>
    </w:p>
    <w:p>
      <w:pPr>
        <w:pStyle w:val="nzIndenta"/>
      </w:pPr>
      <w:r>
        <w:tab/>
        <w:t>(b)</w:t>
      </w:r>
      <w:r>
        <w:tab/>
        <w:t>on a Sunday — from 10 am to 12 midnight;</w:t>
      </w:r>
    </w:p>
    <w:p>
      <w:pPr>
        <w:pStyle w:val="nzIndenta"/>
      </w:pPr>
      <w:r>
        <w:tab/>
        <w:t>(c)</w:t>
      </w:r>
      <w:r>
        <w:tab/>
        <w:t>on New Year’s Day — from immediately after 12 midnight on New Year’s Eve to 2 am and then in accordance with paragraph (a) or (b), as the case requires;</w:t>
      </w:r>
    </w:p>
    <w:p>
      <w:pPr>
        <w:pStyle w:val="nzIndenta"/>
      </w:pPr>
      <w:r>
        <w:tab/>
        <w:t>(d)</w:t>
      </w:r>
      <w:r>
        <w:tab/>
        <w:t>on Good Friday or Christmas Day — from 12 noon to 10 pm, but only for liquor sold ancillary to a meal supplied by the licensee;</w:t>
      </w:r>
    </w:p>
    <w:p>
      <w:pPr>
        <w:pStyle w:val="nzIndenta"/>
      </w:pPr>
      <w:r>
        <w:tab/>
        <w:t>(e)</w:t>
      </w:r>
      <w:r>
        <w:tab/>
        <w:t>on ANZAC Day — from 12 noon to 12 midnight.</w:t>
      </w:r>
    </w:p>
    <w:p>
      <w:pPr>
        <w:pStyle w:val="BlankClose"/>
      </w:pPr>
    </w:p>
    <w:p>
      <w:pPr>
        <w:pStyle w:val="nzHeading5"/>
      </w:pPr>
      <w:bookmarkStart w:id="708" w:name="_Toc518626550"/>
      <w:bookmarkStart w:id="709" w:name="_Toc519495361"/>
      <w:r>
        <w:rPr>
          <w:rStyle w:val="CharSectno"/>
        </w:rPr>
        <w:t>49</w:t>
      </w:r>
      <w:r>
        <w:t>.</w:t>
      </w:r>
      <w:r>
        <w:tab/>
        <w:t>Section 98A amended</w:t>
      </w:r>
      <w:bookmarkEnd w:id="708"/>
      <w:bookmarkEnd w:id="709"/>
    </w:p>
    <w:p>
      <w:pPr>
        <w:pStyle w:val="nzSubsection"/>
      </w:pPr>
      <w:r>
        <w:tab/>
      </w:r>
      <w:r>
        <w:tab/>
        <w:t>In section 98A(1)(g) delete “paragraph (a), (b) or (c),” and insert:</w:t>
      </w:r>
    </w:p>
    <w:p>
      <w:pPr>
        <w:pStyle w:val="BlankOpen"/>
      </w:pPr>
    </w:p>
    <w:p>
      <w:pPr>
        <w:pStyle w:val="nzSubsection"/>
      </w:pPr>
      <w:r>
        <w:tab/>
      </w:r>
      <w:r>
        <w:tab/>
        <w:t>paragraph (a) or (c),</w:t>
      </w:r>
    </w:p>
    <w:p>
      <w:pPr>
        <w:pStyle w:val="BlankClose"/>
      </w:pPr>
    </w:p>
    <w:p>
      <w:pPr>
        <w:pStyle w:val="nzHeading5"/>
      </w:pPr>
      <w:bookmarkStart w:id="710" w:name="_Toc518626551"/>
      <w:bookmarkStart w:id="711" w:name="_Toc519495362"/>
      <w:r>
        <w:rPr>
          <w:rStyle w:val="CharSectno"/>
        </w:rPr>
        <w:t>50</w:t>
      </w:r>
      <w:r>
        <w:t>.</w:t>
      </w:r>
      <w:r>
        <w:tab/>
        <w:t>Section 98E amended</w:t>
      </w:r>
      <w:bookmarkEnd w:id="710"/>
      <w:bookmarkEnd w:id="711"/>
    </w:p>
    <w:p>
      <w:pPr>
        <w:pStyle w:val="nzSubsection"/>
      </w:pPr>
      <w:r>
        <w:tab/>
      </w:r>
      <w:r>
        <w:tab/>
        <w:t>In section 98E(1)(d) after “2 a.m.” insert:</w:t>
      </w:r>
    </w:p>
    <w:p>
      <w:pPr>
        <w:pStyle w:val="BlankOpen"/>
      </w:pPr>
    </w:p>
    <w:p>
      <w:pPr>
        <w:pStyle w:val="nzSubsection"/>
      </w:pPr>
      <w:r>
        <w:tab/>
      </w:r>
      <w:r>
        <w:tab/>
        <w:t>and then in accordance with paragraph (a) or (b)(ii), as the case requires.</w:t>
      </w:r>
    </w:p>
    <w:p>
      <w:pPr>
        <w:pStyle w:val="BlankClose"/>
      </w:pPr>
    </w:p>
    <w:p>
      <w:pPr>
        <w:pStyle w:val="nzHeading5"/>
      </w:pPr>
      <w:bookmarkStart w:id="712" w:name="_Toc518626552"/>
      <w:bookmarkStart w:id="713" w:name="_Toc519495363"/>
      <w:r>
        <w:rPr>
          <w:rStyle w:val="CharSectno"/>
        </w:rPr>
        <w:t>51</w:t>
      </w:r>
      <w:r>
        <w:t>.</w:t>
      </w:r>
      <w:r>
        <w:tab/>
        <w:t>Section 98G amended</w:t>
      </w:r>
      <w:bookmarkEnd w:id="712"/>
      <w:bookmarkEnd w:id="713"/>
    </w:p>
    <w:p>
      <w:pPr>
        <w:pStyle w:val="nzSubsection"/>
      </w:pPr>
      <w:r>
        <w:tab/>
      </w:r>
      <w:r>
        <w:tab/>
        <w:t>In section 98G(2) delete “section 55(1)(a)(iv) the permitted hours” and insert:</w:t>
      </w:r>
    </w:p>
    <w:p>
      <w:pPr>
        <w:pStyle w:val="BlankOpen"/>
      </w:pPr>
    </w:p>
    <w:p>
      <w:pPr>
        <w:pStyle w:val="nzSubsection"/>
      </w:pPr>
      <w:r>
        <w:tab/>
      </w:r>
      <w:r>
        <w:tab/>
        <w:t>section 55(1)(a), the permitted hours in relation to the sale or supply of beer or spirits</w:t>
      </w:r>
    </w:p>
    <w:p>
      <w:pPr>
        <w:pStyle w:val="BlankClose"/>
      </w:pPr>
    </w:p>
    <w:p>
      <w:pPr>
        <w:pStyle w:val="nzHeading5"/>
      </w:pPr>
      <w:bookmarkStart w:id="714" w:name="_Toc518626553"/>
      <w:bookmarkStart w:id="715" w:name="_Toc519495364"/>
      <w:r>
        <w:rPr>
          <w:rStyle w:val="CharSectno"/>
        </w:rPr>
        <w:t>52</w:t>
      </w:r>
      <w:r>
        <w:t>.</w:t>
      </w:r>
      <w:r>
        <w:tab/>
        <w:t>Section 100 amended</w:t>
      </w:r>
      <w:bookmarkEnd w:id="714"/>
      <w:bookmarkEnd w:id="715"/>
    </w:p>
    <w:p>
      <w:pPr>
        <w:pStyle w:val="nzSubsection"/>
      </w:pPr>
      <w:r>
        <w:tab/>
        <w:t>(1)</w:t>
      </w:r>
      <w:r>
        <w:tab/>
        <w:t>In section 100(2)(c) and (2a)(b) delete “by the licensee”.</w:t>
      </w:r>
    </w:p>
    <w:p>
      <w:pPr>
        <w:pStyle w:val="nzSubsection"/>
      </w:pPr>
      <w:r>
        <w:tab/>
        <w:t>(2)</w:t>
      </w:r>
      <w:r>
        <w:tab/>
        <w:t>In section 100(3) delete “licensee” and insert:</w:t>
      </w:r>
    </w:p>
    <w:p>
      <w:pPr>
        <w:pStyle w:val="BlankOpen"/>
      </w:pPr>
    </w:p>
    <w:p>
      <w:pPr>
        <w:pStyle w:val="nzSubsection"/>
      </w:pPr>
      <w:r>
        <w:tab/>
      </w:r>
      <w:r>
        <w:tab/>
        <w:t>licensee, an approved unrestricted manager or an approved restricted manager</w:t>
      </w:r>
    </w:p>
    <w:p>
      <w:pPr>
        <w:pStyle w:val="BlankClose"/>
      </w:pPr>
    </w:p>
    <w:p>
      <w:pPr>
        <w:pStyle w:val="nzSubsection"/>
      </w:pPr>
      <w:r>
        <w:tab/>
        <w:t>(3)</w:t>
      </w:r>
      <w:r>
        <w:tab/>
        <w:t>In section 100(4) delete “licensee from appointing” and insert:</w:t>
      </w:r>
    </w:p>
    <w:p>
      <w:pPr>
        <w:pStyle w:val="BlankOpen"/>
      </w:pPr>
    </w:p>
    <w:p>
      <w:pPr>
        <w:pStyle w:val="nzSubsection"/>
      </w:pPr>
      <w:r>
        <w:tab/>
      </w:r>
      <w:r>
        <w:tab/>
        <w:t>appointment of</w:t>
      </w:r>
    </w:p>
    <w:p>
      <w:pPr>
        <w:pStyle w:val="BlankClose"/>
      </w:pPr>
    </w:p>
    <w:p>
      <w:pPr>
        <w:pStyle w:val="nzHeading5"/>
      </w:pPr>
      <w:bookmarkStart w:id="716" w:name="_Toc518626554"/>
      <w:bookmarkStart w:id="717" w:name="_Toc519495365"/>
      <w:r>
        <w:rPr>
          <w:rStyle w:val="CharSectno"/>
        </w:rPr>
        <w:t>53</w:t>
      </w:r>
      <w:r>
        <w:t>.</w:t>
      </w:r>
      <w:r>
        <w:tab/>
        <w:t>Section 109A inserted</w:t>
      </w:r>
      <w:bookmarkEnd w:id="716"/>
      <w:bookmarkEnd w:id="717"/>
    </w:p>
    <w:p>
      <w:pPr>
        <w:pStyle w:val="nzSubsection"/>
      </w:pPr>
      <w:r>
        <w:tab/>
      </w:r>
      <w:r>
        <w:tab/>
        <w:t>After section 109 insert:</w:t>
      </w:r>
    </w:p>
    <w:p>
      <w:pPr>
        <w:pStyle w:val="BlankOpen"/>
      </w:pPr>
    </w:p>
    <w:p>
      <w:pPr>
        <w:pStyle w:val="nzHeading5"/>
      </w:pPr>
      <w:bookmarkStart w:id="718" w:name="_Toc518626555"/>
      <w:bookmarkStart w:id="719" w:name="_Toc519495366"/>
      <w:r>
        <w:t>109A.</w:t>
      </w:r>
      <w:r>
        <w:tab/>
        <w:t>Offence to carry liquor in excess of prescribed quantity in prescribed area of State</w:t>
      </w:r>
      <w:bookmarkEnd w:id="718"/>
      <w:bookmarkEnd w:id="719"/>
    </w:p>
    <w:p>
      <w:pPr>
        <w:pStyle w:val="nzSubsection"/>
      </w:pPr>
      <w:r>
        <w:tab/>
        <w:t>(1)</w:t>
      </w:r>
      <w:r>
        <w:tab/>
        <w:t xml:space="preserve">In this section — </w:t>
      </w:r>
    </w:p>
    <w:p>
      <w:pPr>
        <w:pStyle w:val="nzDefstart"/>
      </w:pPr>
      <w:r>
        <w:tab/>
      </w:r>
      <w:r>
        <w:rPr>
          <w:rStyle w:val="CharDefText"/>
        </w:rPr>
        <w:t>driver</w:t>
      </w:r>
      <w:r>
        <w:t>, in relation to a vehicle, means a person who has control over the steering, movement or propulsion of the vehicle;</w:t>
      </w:r>
    </w:p>
    <w:p>
      <w:pPr>
        <w:pStyle w:val="nzDefstart"/>
      </w:pPr>
      <w:r>
        <w:tab/>
      </w:r>
      <w:r>
        <w:rPr>
          <w:rStyle w:val="CharDefText"/>
        </w:rPr>
        <w:t>vehicle</w:t>
      </w:r>
      <w:r>
        <w:t>, without limiting the definition of that term in section 3(1), includes a trailer, semi</w:t>
      </w:r>
      <w:r>
        <w:noBreakHyphen/>
        <w:t>trailer or caravan attached to another vehicle.</w:t>
      </w:r>
    </w:p>
    <w:p>
      <w:pPr>
        <w:pStyle w:val="nzSubsection"/>
      </w:pPr>
      <w:r>
        <w:tab/>
        <w:t>(2)</w:t>
      </w:r>
      <w:r>
        <w:tab/>
        <w:t>A person who, in a prescribed area of the State, carries a kind of liquor in a quantity that exceeds the quantity prescribed for that kind of liquor commits an offence.</w:t>
      </w:r>
    </w:p>
    <w:p>
      <w:pPr>
        <w:pStyle w:val="nzPenstart"/>
      </w:pPr>
      <w:r>
        <w:tab/>
        <w:t>Penalty for this subsection: a fine of $10 000.</w:t>
      </w:r>
    </w:p>
    <w:p>
      <w:pPr>
        <w:pStyle w:val="nzSubsection"/>
      </w:pPr>
      <w:r>
        <w:tab/>
        <w:t>(3)</w:t>
      </w:r>
      <w:r>
        <w:tab/>
        <w:t>For the purposes of subsection (2), if liquor is carried in or on a vehicle the driver of the vehicle is taken to be the person who carries the liquor.</w:t>
      </w:r>
    </w:p>
    <w:p>
      <w:pPr>
        <w:pStyle w:val="nzSubsection"/>
      </w:pPr>
      <w:r>
        <w:tab/>
        <w:t>(4)</w:t>
      </w:r>
      <w:r>
        <w:tab/>
        <w:t xml:space="preserve">It is a defence to a charge of an offence under subsection (2) to prove that the liquor was carried — </w:t>
      </w:r>
    </w:p>
    <w:p>
      <w:pPr>
        <w:pStyle w:val="nzIndenta"/>
      </w:pPr>
      <w:r>
        <w:tab/>
        <w:t>(a)</w:t>
      </w:r>
      <w:r>
        <w:tab/>
        <w:t>for the purpose of a sale that may lawfully be made; or</w:t>
      </w:r>
    </w:p>
    <w:p>
      <w:pPr>
        <w:pStyle w:val="nzIndenta"/>
      </w:pPr>
      <w:r>
        <w:tab/>
        <w:t>(b)</w:t>
      </w:r>
      <w:r>
        <w:tab/>
        <w:t>by a person of a prescribed class; or</w:t>
      </w:r>
    </w:p>
    <w:p>
      <w:pPr>
        <w:pStyle w:val="nzIndenta"/>
      </w:pPr>
      <w:r>
        <w:tab/>
        <w:t>(c)</w:t>
      </w:r>
      <w:r>
        <w:tab/>
        <w:t>in or on a vehicle of a prescribed class; or</w:t>
      </w:r>
    </w:p>
    <w:p>
      <w:pPr>
        <w:pStyle w:val="nzIndenta"/>
      </w:pPr>
      <w:r>
        <w:tab/>
        <w:t>(d)</w:t>
      </w:r>
      <w:r>
        <w:tab/>
        <w:t>in prescribed circumstances.</w:t>
      </w:r>
    </w:p>
    <w:p>
      <w:pPr>
        <w:pStyle w:val="nzSubsection"/>
      </w:pPr>
      <w:r>
        <w:tab/>
        <w:t>(5)</w:t>
      </w:r>
      <w:r>
        <w:tab/>
        <w:t>Regulations made for the purposes of subsection (2) may prescribe different quantities for different areas of the State.</w:t>
      </w:r>
    </w:p>
    <w:p>
      <w:pPr>
        <w:pStyle w:val="BlankClose"/>
      </w:pPr>
    </w:p>
    <w:p>
      <w:pPr>
        <w:pStyle w:val="nzHeading5"/>
      </w:pPr>
      <w:bookmarkStart w:id="720" w:name="_Toc518626556"/>
      <w:bookmarkStart w:id="721" w:name="_Toc519495367"/>
      <w:r>
        <w:rPr>
          <w:rStyle w:val="CharSectno"/>
        </w:rPr>
        <w:t>54</w:t>
      </w:r>
      <w:r>
        <w:t>.</w:t>
      </w:r>
      <w:r>
        <w:tab/>
        <w:t>Section 110 amended</w:t>
      </w:r>
      <w:bookmarkEnd w:id="720"/>
      <w:bookmarkEnd w:id="721"/>
    </w:p>
    <w:p>
      <w:pPr>
        <w:pStyle w:val="nzSubsection"/>
      </w:pPr>
      <w:r>
        <w:tab/>
      </w:r>
      <w:r>
        <w:tab/>
        <w:t>Delete section 110(6a) and insert:</w:t>
      </w:r>
    </w:p>
    <w:p>
      <w:pPr>
        <w:pStyle w:val="BlankOpen"/>
      </w:pPr>
    </w:p>
    <w:p>
      <w:pPr>
        <w:pStyle w:val="nzSubsection"/>
      </w:pPr>
      <w:r>
        <w:tab/>
        <w:t>(6A)</w:t>
      </w:r>
      <w:r>
        <w:tab/>
        <w:t xml:space="preserve">If, under a licence, wine is sold to a person (the </w:t>
      </w:r>
      <w:r>
        <w:rPr>
          <w:rStyle w:val="CharDefText"/>
        </w:rPr>
        <w:t>purchaser</w:t>
      </w:r>
      <w:r>
        <w:t>) for consumption on the licensed premises ancillary to a meal provided by the licensee, then, despite any other provision of this Act, it is lawful for the purchaser subsequently to take from the licensed premises any opened container of the wine if its contents have been partially consumed.</w:t>
      </w:r>
    </w:p>
    <w:p>
      <w:pPr>
        <w:pStyle w:val="BlankClose"/>
      </w:pPr>
    </w:p>
    <w:p>
      <w:pPr>
        <w:pStyle w:val="nzHeading5"/>
      </w:pPr>
      <w:bookmarkStart w:id="722" w:name="_Toc518626557"/>
      <w:bookmarkStart w:id="723" w:name="_Toc519495368"/>
      <w:r>
        <w:rPr>
          <w:rStyle w:val="CharSectno"/>
        </w:rPr>
        <w:t>55</w:t>
      </w:r>
      <w:r>
        <w:t>.</w:t>
      </w:r>
      <w:r>
        <w:tab/>
        <w:t>Section 112 amended</w:t>
      </w:r>
      <w:bookmarkEnd w:id="722"/>
      <w:bookmarkEnd w:id="723"/>
    </w:p>
    <w:p>
      <w:pPr>
        <w:pStyle w:val="nzSubsection"/>
      </w:pPr>
      <w:r>
        <w:tab/>
      </w:r>
      <w:r>
        <w:tab/>
        <w:t>In section 112(1)(a)(i) delete “15” and insert:</w:t>
      </w:r>
    </w:p>
    <w:p>
      <w:pPr>
        <w:pStyle w:val="BlankOpen"/>
      </w:pPr>
    </w:p>
    <w:p>
      <w:pPr>
        <w:pStyle w:val="nzSubsection"/>
      </w:pPr>
      <w:r>
        <w:tab/>
      </w:r>
      <w:r>
        <w:tab/>
        <w:t>30</w:t>
      </w:r>
    </w:p>
    <w:p>
      <w:pPr>
        <w:pStyle w:val="BlankClose"/>
      </w:pPr>
    </w:p>
    <w:p>
      <w:pPr>
        <w:pStyle w:val="nzHeading5"/>
      </w:pPr>
      <w:bookmarkStart w:id="724" w:name="_Toc518626558"/>
      <w:bookmarkStart w:id="725" w:name="_Toc519495369"/>
      <w:r>
        <w:rPr>
          <w:rStyle w:val="CharSectno"/>
        </w:rPr>
        <w:t>56</w:t>
      </w:r>
      <w:r>
        <w:t>.</w:t>
      </w:r>
      <w:r>
        <w:tab/>
        <w:t>Section 115 amended</w:t>
      </w:r>
      <w:bookmarkEnd w:id="724"/>
      <w:bookmarkEnd w:id="725"/>
    </w:p>
    <w:p>
      <w:pPr>
        <w:pStyle w:val="nzSubsection"/>
      </w:pPr>
      <w:r>
        <w:tab/>
        <w:t>(1)</w:t>
      </w:r>
      <w:r>
        <w:tab/>
        <w:t>In section 115(1) and (2) in the Penalty delete “Penalty:” and insert:</w:t>
      </w:r>
    </w:p>
    <w:p>
      <w:pPr>
        <w:pStyle w:val="BlankOpen"/>
      </w:pPr>
    </w:p>
    <w:p>
      <w:pPr>
        <w:pStyle w:val="nzSubsection"/>
      </w:pPr>
      <w:r>
        <w:tab/>
      </w:r>
      <w:r>
        <w:tab/>
        <w:t>Penalty for this subsection:</w:t>
      </w:r>
    </w:p>
    <w:p>
      <w:pPr>
        <w:pStyle w:val="BlankClose"/>
      </w:pPr>
    </w:p>
    <w:p>
      <w:pPr>
        <w:pStyle w:val="nzSubsection"/>
      </w:pPr>
      <w:r>
        <w:tab/>
        <w:t>(2)</w:t>
      </w:r>
      <w:r>
        <w:tab/>
        <w:t>After section 115(4a) insert:</w:t>
      </w:r>
    </w:p>
    <w:p>
      <w:pPr>
        <w:pStyle w:val="BlankOpen"/>
      </w:pPr>
    </w:p>
    <w:p>
      <w:pPr>
        <w:pStyle w:val="nzSubsection"/>
      </w:pPr>
      <w:r>
        <w:tab/>
        <w:t>(4B)</w:t>
      </w:r>
      <w:r>
        <w:tab/>
        <w:t>A person commits an offence if the person does not leave licensed premises or a part of licensed premises after being required under subsection (4)(b) to do so.</w:t>
      </w:r>
    </w:p>
    <w:p>
      <w:pPr>
        <w:pStyle w:val="nzPenstart"/>
      </w:pPr>
      <w:r>
        <w:tab/>
        <w:t>Penalty for this subsection: a fine of $5 000.</w:t>
      </w:r>
    </w:p>
    <w:p>
      <w:pPr>
        <w:pStyle w:val="BlankClose"/>
      </w:pPr>
    </w:p>
    <w:p>
      <w:pPr>
        <w:pStyle w:val="nzSubsection"/>
      </w:pPr>
      <w:r>
        <w:tab/>
        <w:t>(3)</w:t>
      </w:r>
      <w:r>
        <w:tab/>
        <w:t>In section 115(5):</w:t>
      </w:r>
    </w:p>
    <w:p>
      <w:pPr>
        <w:pStyle w:val="nzIndenta"/>
      </w:pPr>
      <w:r>
        <w:tab/>
        <w:t>(a)</w:t>
      </w:r>
      <w:r>
        <w:tab/>
        <w:t>delete “A person who —” and insert:</w:t>
      </w:r>
    </w:p>
    <w:p>
      <w:pPr>
        <w:pStyle w:val="BlankOpen"/>
      </w:pPr>
    </w:p>
    <w:p>
      <w:pPr>
        <w:pStyle w:val="nzIndenta"/>
      </w:pPr>
      <w:r>
        <w:tab/>
      </w:r>
      <w:r>
        <w:tab/>
        <w:t xml:space="preserve">A person commits an offence if the person — </w:t>
      </w:r>
    </w:p>
    <w:p>
      <w:pPr>
        <w:pStyle w:val="BlankClose"/>
      </w:pPr>
    </w:p>
    <w:p>
      <w:pPr>
        <w:pStyle w:val="nzIndenta"/>
      </w:pPr>
      <w:r>
        <w:tab/>
        <w:t>(b)</w:t>
      </w:r>
      <w:r>
        <w:tab/>
        <w:t>in paragraph (b) delete “closed; or” and insert:</w:t>
      </w:r>
    </w:p>
    <w:p>
      <w:pPr>
        <w:pStyle w:val="BlankOpen"/>
      </w:pPr>
    </w:p>
    <w:p>
      <w:pPr>
        <w:pStyle w:val="nzIndenta"/>
      </w:pPr>
      <w:r>
        <w:tab/>
      </w:r>
      <w:r>
        <w:tab/>
        <w:t>closed.</w:t>
      </w:r>
    </w:p>
    <w:p>
      <w:pPr>
        <w:pStyle w:val="BlankClose"/>
      </w:pPr>
    </w:p>
    <w:p>
      <w:pPr>
        <w:pStyle w:val="nzIndenta"/>
      </w:pPr>
      <w:r>
        <w:tab/>
        <w:t>(c)</w:t>
      </w:r>
      <w:r>
        <w:tab/>
        <w:t>delete paragraph (c);</w:t>
      </w:r>
    </w:p>
    <w:p>
      <w:pPr>
        <w:pStyle w:val="nzIndenta"/>
      </w:pPr>
      <w:r>
        <w:tab/>
        <w:t>(d)</w:t>
      </w:r>
      <w:r>
        <w:tab/>
        <w:t>delete “commits an offence.”.</w:t>
      </w:r>
    </w:p>
    <w:p>
      <w:pPr>
        <w:pStyle w:val="nzSubsection"/>
      </w:pPr>
      <w:r>
        <w:tab/>
        <w:t>(4)</w:t>
      </w:r>
      <w:r>
        <w:tab/>
        <w:t>In section 115(5) in the Penalty delete “Penalty:” and insert:</w:t>
      </w:r>
    </w:p>
    <w:p>
      <w:pPr>
        <w:pStyle w:val="BlankOpen"/>
      </w:pPr>
    </w:p>
    <w:p>
      <w:pPr>
        <w:pStyle w:val="nzSubsection"/>
      </w:pPr>
      <w:r>
        <w:tab/>
      </w:r>
      <w:r>
        <w:tab/>
        <w:t>Penalty for this subsection:</w:t>
      </w:r>
    </w:p>
    <w:p>
      <w:pPr>
        <w:pStyle w:val="BlankClose"/>
      </w:pPr>
    </w:p>
    <w:p>
      <w:pPr>
        <w:pStyle w:val="nzSubsection"/>
      </w:pPr>
      <w:r>
        <w:tab/>
        <w:t>(5)</w:t>
      </w:r>
      <w:r>
        <w:tab/>
        <w:t>In section 115(6) delete the Penalty and insert:</w:t>
      </w:r>
    </w:p>
    <w:p>
      <w:pPr>
        <w:pStyle w:val="BlankOpen"/>
      </w:pPr>
    </w:p>
    <w:p>
      <w:pPr>
        <w:pStyle w:val="nzPenstart"/>
      </w:pPr>
      <w:r>
        <w:tab/>
        <w:t>Penalty for this subsection: a fine of $5 000.</w:t>
      </w:r>
    </w:p>
    <w:p>
      <w:pPr>
        <w:pStyle w:val="BlankClose"/>
      </w:pPr>
    </w:p>
    <w:p>
      <w:pPr>
        <w:pStyle w:val="nzSubsection"/>
      </w:pPr>
      <w:r>
        <w:tab/>
        <w:t>(6)</w:t>
      </w:r>
      <w:r>
        <w:tab/>
        <w:t>In section 115(7) in the Penalty delete “Penalty:” and insert:</w:t>
      </w:r>
    </w:p>
    <w:p>
      <w:pPr>
        <w:pStyle w:val="BlankOpen"/>
      </w:pPr>
    </w:p>
    <w:p>
      <w:pPr>
        <w:pStyle w:val="nzSubsection"/>
      </w:pPr>
      <w:r>
        <w:tab/>
      </w:r>
      <w:r>
        <w:tab/>
        <w:t>Penalty for this subsection:</w:t>
      </w:r>
    </w:p>
    <w:p>
      <w:pPr>
        <w:pStyle w:val="BlankClose"/>
      </w:pPr>
    </w:p>
    <w:p>
      <w:pPr>
        <w:pStyle w:val="nzHeading5"/>
      </w:pPr>
      <w:bookmarkStart w:id="726" w:name="_Toc518626559"/>
      <w:bookmarkStart w:id="727" w:name="_Toc519495370"/>
      <w:r>
        <w:rPr>
          <w:rStyle w:val="CharSectno"/>
        </w:rPr>
        <w:t>57</w:t>
      </w:r>
      <w:r>
        <w:t>.</w:t>
      </w:r>
      <w:r>
        <w:tab/>
        <w:t>Section 115AA amended</w:t>
      </w:r>
      <w:bookmarkEnd w:id="726"/>
      <w:bookmarkEnd w:id="727"/>
    </w:p>
    <w:p>
      <w:pPr>
        <w:pStyle w:val="nzSubsection"/>
      </w:pPr>
      <w:r>
        <w:tab/>
        <w:t>(1)</w:t>
      </w:r>
      <w:r>
        <w:tab/>
        <w:t>In section 115AA(2) delete “premises —” and insert:</w:t>
      </w:r>
    </w:p>
    <w:p>
      <w:pPr>
        <w:pStyle w:val="BlankOpen"/>
      </w:pPr>
    </w:p>
    <w:p>
      <w:pPr>
        <w:pStyle w:val="nzSubsection"/>
      </w:pPr>
      <w:r>
        <w:tab/>
      </w:r>
      <w:r>
        <w:tab/>
        <w:t xml:space="preserve">premises or in the vicinity of licensed premises — </w:t>
      </w:r>
    </w:p>
    <w:p>
      <w:pPr>
        <w:pStyle w:val="BlankClose"/>
      </w:pPr>
    </w:p>
    <w:p>
      <w:pPr>
        <w:pStyle w:val="nzSubsection"/>
      </w:pPr>
      <w:r>
        <w:tab/>
        <w:t>(2)</w:t>
      </w:r>
      <w:r>
        <w:tab/>
        <w:t>After section 115AA(7A) insert:</w:t>
      </w:r>
    </w:p>
    <w:p>
      <w:pPr>
        <w:pStyle w:val="BlankOpen"/>
      </w:pPr>
    </w:p>
    <w:p>
      <w:pPr>
        <w:pStyle w:val="nzSubsection"/>
      </w:pPr>
      <w:r>
        <w:tab/>
        <w:t>(7B)</w:t>
      </w:r>
      <w:r>
        <w:tab/>
        <w:t>The reference in subsection (7A) to performing duties relating to the person’s work does not include attending a function associated with the person’s work that is held on the premises.</w:t>
      </w:r>
    </w:p>
    <w:p>
      <w:pPr>
        <w:pStyle w:val="BlankClose"/>
      </w:pPr>
    </w:p>
    <w:p>
      <w:pPr>
        <w:pStyle w:val="nzHeading5"/>
      </w:pPr>
      <w:bookmarkStart w:id="728" w:name="_Toc518626560"/>
      <w:bookmarkStart w:id="729" w:name="_Toc519495371"/>
      <w:r>
        <w:rPr>
          <w:rStyle w:val="CharSectno"/>
        </w:rPr>
        <w:t>58</w:t>
      </w:r>
      <w:r>
        <w:t>.</w:t>
      </w:r>
      <w:r>
        <w:tab/>
        <w:t>Section 115AC amended</w:t>
      </w:r>
      <w:bookmarkEnd w:id="728"/>
      <w:bookmarkEnd w:id="729"/>
    </w:p>
    <w:p>
      <w:pPr>
        <w:pStyle w:val="nzSubsection"/>
      </w:pPr>
      <w:r>
        <w:tab/>
      </w:r>
      <w:r>
        <w:tab/>
        <w:t>In section 115AC(1):</w:t>
      </w:r>
    </w:p>
    <w:p>
      <w:pPr>
        <w:pStyle w:val="nzIndenta"/>
      </w:pPr>
      <w:r>
        <w:tab/>
        <w:t>(a)</w:t>
      </w:r>
      <w:r>
        <w:tab/>
        <w:t>in paragraph (a) after “name” insert:</w:t>
      </w:r>
    </w:p>
    <w:p>
      <w:pPr>
        <w:pStyle w:val="BlankOpen"/>
      </w:pPr>
    </w:p>
    <w:p>
      <w:pPr>
        <w:pStyle w:val="nzIndenta"/>
      </w:pPr>
      <w:r>
        <w:tab/>
      </w:r>
      <w:r>
        <w:tab/>
        <w:t>and date of birth</w:t>
      </w:r>
    </w:p>
    <w:p>
      <w:pPr>
        <w:pStyle w:val="BlankClose"/>
      </w:pPr>
    </w:p>
    <w:p>
      <w:pPr>
        <w:pStyle w:val="nzIndenta"/>
      </w:pPr>
      <w:r>
        <w:tab/>
        <w:t>(b)</w:t>
      </w:r>
      <w:r>
        <w:tab/>
        <w:t>delete paragraph (c) and insert:</w:t>
      </w:r>
    </w:p>
    <w:p>
      <w:pPr>
        <w:pStyle w:val="BlankOpen"/>
      </w:pPr>
    </w:p>
    <w:p>
      <w:pPr>
        <w:pStyle w:val="nzIndenta"/>
      </w:pPr>
      <w:r>
        <w:tab/>
        <w:t>(c)</w:t>
      </w:r>
      <w:r>
        <w:tab/>
        <w:t>the address of the person;</w:t>
      </w:r>
    </w:p>
    <w:p>
      <w:pPr>
        <w:pStyle w:val="BlankClose"/>
      </w:pPr>
    </w:p>
    <w:p>
      <w:pPr>
        <w:pStyle w:val="nzHeading5"/>
      </w:pPr>
      <w:bookmarkStart w:id="730" w:name="_Toc518626561"/>
      <w:bookmarkStart w:id="731" w:name="_Toc519495372"/>
      <w:r>
        <w:rPr>
          <w:rStyle w:val="CharSectno"/>
        </w:rPr>
        <w:t>59</w:t>
      </w:r>
      <w:r>
        <w:t>.</w:t>
      </w:r>
      <w:r>
        <w:tab/>
        <w:t>Section 115AE amended</w:t>
      </w:r>
      <w:bookmarkEnd w:id="730"/>
      <w:bookmarkEnd w:id="731"/>
    </w:p>
    <w:p>
      <w:pPr>
        <w:pStyle w:val="nzSubsection"/>
      </w:pPr>
      <w:r>
        <w:tab/>
        <w:t>(1)</w:t>
      </w:r>
      <w:r>
        <w:tab/>
        <w:t>In section 115AE delete “A responsible” and insert:</w:t>
      </w:r>
    </w:p>
    <w:p>
      <w:pPr>
        <w:pStyle w:val="BlankOpen"/>
      </w:pPr>
    </w:p>
    <w:p>
      <w:pPr>
        <w:pStyle w:val="nzSubsection"/>
      </w:pPr>
      <w:r>
        <w:tab/>
        <w:t>(1)</w:t>
      </w:r>
      <w:r>
        <w:tab/>
        <w:t>Subject to subsection (2), a responsible</w:t>
      </w:r>
    </w:p>
    <w:p>
      <w:pPr>
        <w:pStyle w:val="BlankClose"/>
      </w:pPr>
    </w:p>
    <w:p>
      <w:pPr>
        <w:pStyle w:val="nzSubsection"/>
      </w:pPr>
      <w:r>
        <w:tab/>
        <w:t>(2)</w:t>
      </w:r>
      <w:r>
        <w:tab/>
        <w:t>In section 115AE in the Penalty delete “Penalty:” and insert:</w:t>
      </w:r>
    </w:p>
    <w:p>
      <w:pPr>
        <w:pStyle w:val="BlankOpen"/>
      </w:pPr>
    </w:p>
    <w:p>
      <w:pPr>
        <w:pStyle w:val="nzSubsection"/>
      </w:pPr>
      <w:r>
        <w:tab/>
      </w:r>
      <w:r>
        <w:tab/>
        <w:t>Penalty for this subsection:</w:t>
      </w:r>
    </w:p>
    <w:p>
      <w:pPr>
        <w:pStyle w:val="BlankClose"/>
      </w:pPr>
    </w:p>
    <w:p>
      <w:pPr>
        <w:pStyle w:val="nzSubsection"/>
      </w:pPr>
      <w:r>
        <w:tab/>
        <w:t>(3)</w:t>
      </w:r>
      <w:r>
        <w:tab/>
        <w:t>At the end of section 115AE insert:</w:t>
      </w:r>
    </w:p>
    <w:p>
      <w:pPr>
        <w:pStyle w:val="BlankOpen"/>
      </w:pPr>
    </w:p>
    <w:p>
      <w:pPr>
        <w:pStyle w:val="nzSubsection"/>
      </w:pPr>
      <w:r>
        <w:tab/>
        <w:t>(2)</w:t>
      </w:r>
      <w:r>
        <w:tab/>
        <w:t>A responsible person in relation to licensed premises does not commit an offence under subsection (1) if the responsible person permits the person to enter or remain on the premises solely for the purpose of performing duties relating to the person’s work.</w:t>
      </w:r>
    </w:p>
    <w:p>
      <w:pPr>
        <w:pStyle w:val="nzSubsection"/>
      </w:pPr>
      <w:r>
        <w:tab/>
        <w:t>(3)</w:t>
      </w:r>
      <w:r>
        <w:tab/>
        <w:t>The reference in subsection (2) to performing duties relating to the person’s work does not include attending a function associated with the person’s work that is held on the premises.</w:t>
      </w:r>
    </w:p>
    <w:p>
      <w:pPr>
        <w:pStyle w:val="BlankClose"/>
      </w:pPr>
    </w:p>
    <w:p>
      <w:pPr>
        <w:pStyle w:val="nzHeading5"/>
      </w:pPr>
      <w:bookmarkStart w:id="732" w:name="_Toc518626562"/>
      <w:bookmarkStart w:id="733" w:name="_Toc519495373"/>
      <w:r>
        <w:rPr>
          <w:rStyle w:val="CharSectno"/>
        </w:rPr>
        <w:t>60</w:t>
      </w:r>
      <w:r>
        <w:t>.</w:t>
      </w:r>
      <w:r>
        <w:tab/>
        <w:t>Section 120 amended</w:t>
      </w:r>
      <w:bookmarkEnd w:id="732"/>
      <w:bookmarkEnd w:id="733"/>
    </w:p>
    <w:p>
      <w:pPr>
        <w:pStyle w:val="nzSubsection"/>
      </w:pPr>
      <w:r>
        <w:tab/>
      </w:r>
      <w:r>
        <w:tab/>
        <w:t>In section 120(1)(a)(i) delete “constitution or”.</w:t>
      </w:r>
    </w:p>
    <w:p>
      <w:pPr>
        <w:pStyle w:val="nzHeading5"/>
      </w:pPr>
      <w:bookmarkStart w:id="734" w:name="_Toc518626563"/>
      <w:bookmarkStart w:id="735" w:name="_Toc519495374"/>
      <w:r>
        <w:rPr>
          <w:rStyle w:val="CharSectno"/>
        </w:rPr>
        <w:t>61</w:t>
      </w:r>
      <w:r>
        <w:t>.</w:t>
      </w:r>
      <w:r>
        <w:tab/>
        <w:t>Section 152B amended</w:t>
      </w:r>
      <w:bookmarkEnd w:id="734"/>
      <w:bookmarkEnd w:id="735"/>
    </w:p>
    <w:p>
      <w:pPr>
        <w:pStyle w:val="nzSubsection"/>
      </w:pPr>
      <w:r>
        <w:tab/>
        <w:t>(1)</w:t>
      </w:r>
      <w:r>
        <w:tab/>
        <w:t>In section 152B delete “The Commissioner” and insert:</w:t>
      </w:r>
    </w:p>
    <w:p>
      <w:pPr>
        <w:pStyle w:val="BlankOpen"/>
      </w:pPr>
    </w:p>
    <w:p>
      <w:pPr>
        <w:pStyle w:val="nzSubsection"/>
      </w:pPr>
      <w:r>
        <w:tab/>
        <w:t>(1)</w:t>
      </w:r>
      <w:r>
        <w:tab/>
        <w:t>The Commissioner</w:t>
      </w:r>
    </w:p>
    <w:p>
      <w:pPr>
        <w:pStyle w:val="BlankClose"/>
      </w:pPr>
    </w:p>
    <w:p>
      <w:pPr>
        <w:pStyle w:val="nzSubsection"/>
      </w:pPr>
      <w:r>
        <w:tab/>
        <w:t>(2)</w:t>
      </w:r>
      <w:r>
        <w:tab/>
        <w:t>At the end of section 152B insert:</w:t>
      </w:r>
    </w:p>
    <w:p>
      <w:pPr>
        <w:pStyle w:val="BlankOpen"/>
      </w:pPr>
    </w:p>
    <w:p>
      <w:pPr>
        <w:pStyle w:val="nzSubsection"/>
      </w:pPr>
      <w:r>
        <w:tab/>
        <w:t>(2)</w:t>
      </w:r>
      <w:r>
        <w:tab/>
        <w:t>The Commissioner of Police must serve a copy of the application on the relevant person.</w:t>
      </w:r>
    </w:p>
    <w:p>
      <w:pPr>
        <w:pStyle w:val="BlankClose"/>
      </w:pPr>
    </w:p>
    <w:p>
      <w:pPr>
        <w:pStyle w:val="nzHeading5"/>
      </w:pPr>
      <w:bookmarkStart w:id="736" w:name="_Toc518626564"/>
      <w:bookmarkStart w:id="737" w:name="_Toc519495375"/>
      <w:r>
        <w:rPr>
          <w:rStyle w:val="CharSectno"/>
        </w:rPr>
        <w:t>62</w:t>
      </w:r>
      <w:r>
        <w:t>.</w:t>
      </w:r>
      <w:r>
        <w:tab/>
        <w:t>Section 155 amended</w:t>
      </w:r>
      <w:bookmarkEnd w:id="736"/>
      <w:bookmarkEnd w:id="737"/>
    </w:p>
    <w:p>
      <w:pPr>
        <w:pStyle w:val="nzSubsection"/>
      </w:pPr>
      <w:r>
        <w:tab/>
        <w:t>(1)</w:t>
      </w:r>
      <w:r>
        <w:tab/>
        <w:t>After section 155(5) insert:</w:t>
      </w:r>
    </w:p>
    <w:p>
      <w:pPr>
        <w:pStyle w:val="BlankOpen"/>
      </w:pPr>
    </w:p>
    <w:p>
      <w:pPr>
        <w:pStyle w:val="nzSubsection"/>
      </w:pPr>
      <w:r>
        <w:tab/>
        <w:t>(5A)</w:t>
      </w:r>
      <w:r>
        <w:tab/>
        <w:t>If a person is contravening section 109A(2) a member of the Police Force may, subject to subsection (5B), seize an opened or unopened container of liquor involved in the contravention.</w:t>
      </w:r>
    </w:p>
    <w:p>
      <w:pPr>
        <w:pStyle w:val="nzSubsection"/>
      </w:pPr>
      <w:r>
        <w:tab/>
        <w:t>(5B)</w:t>
      </w:r>
      <w:r>
        <w:tab/>
        <w:t>The total quantity of a kind of liquor in any containers seized under subsection (5A) must not exceed the seizable quantity for that kind of liquor.</w:t>
      </w:r>
    </w:p>
    <w:p>
      <w:pPr>
        <w:pStyle w:val="nzSubsection"/>
      </w:pPr>
      <w:r>
        <w:tab/>
        <w:t>(5C)</w:t>
      </w:r>
      <w:r>
        <w:tab/>
        <w:t xml:space="preserve">In subsection (5B) — </w:t>
      </w:r>
    </w:p>
    <w:p>
      <w:pPr>
        <w:pStyle w:val="nzDefstart"/>
      </w:pPr>
      <w:r>
        <w:tab/>
      </w:r>
      <w:r>
        <w:rPr>
          <w:rStyle w:val="CharDefText"/>
        </w:rPr>
        <w:t>seizable quantity</w:t>
      </w:r>
      <w:r>
        <w:t>, for a kind of liquor, means the quantity representing the difference between the total quantity of that kind of liquor involved in the contravention and the quantity prescribed for that kind of liquor under section 109A(2).</w:t>
      </w:r>
    </w:p>
    <w:p>
      <w:pPr>
        <w:pStyle w:val="BlankClose"/>
      </w:pPr>
    </w:p>
    <w:p>
      <w:pPr>
        <w:pStyle w:val="nzSubsection"/>
      </w:pPr>
      <w:r>
        <w:tab/>
        <w:t>(2)</w:t>
      </w:r>
      <w:r>
        <w:tab/>
        <w:t>In section 155(7)(b)(ii) delete “believes” and insert:</w:t>
      </w:r>
    </w:p>
    <w:p>
      <w:pPr>
        <w:pStyle w:val="BlankOpen"/>
      </w:pPr>
    </w:p>
    <w:p>
      <w:pPr>
        <w:pStyle w:val="nzSubsection"/>
      </w:pPr>
      <w:r>
        <w:tab/>
      </w:r>
      <w:r>
        <w:tab/>
        <w:t>suspects</w:t>
      </w:r>
    </w:p>
    <w:p>
      <w:pPr>
        <w:pStyle w:val="BlankClose"/>
      </w:pPr>
    </w:p>
    <w:p>
      <w:pPr>
        <w:pStyle w:val="nzSubsection"/>
      </w:pPr>
      <w:r>
        <w:tab/>
        <w:t>(3)</w:t>
      </w:r>
      <w:r>
        <w:tab/>
        <w:t>In section 155(9) after “subsection” (2</w:t>
      </w:r>
      <w:r>
        <w:rPr>
          <w:vertAlign w:val="superscript"/>
        </w:rPr>
        <w:t>nd</w:t>
      </w:r>
      <w:r>
        <w:t xml:space="preserve"> occurrence) insert:</w:t>
      </w:r>
    </w:p>
    <w:p>
      <w:pPr>
        <w:pStyle w:val="BlankOpen"/>
      </w:pPr>
    </w:p>
    <w:p>
      <w:pPr>
        <w:pStyle w:val="nzSubsection"/>
      </w:pPr>
      <w:r>
        <w:tab/>
      </w:r>
      <w:r>
        <w:tab/>
        <w:t>(5A),</w:t>
      </w:r>
    </w:p>
    <w:p>
      <w:pPr>
        <w:pStyle w:val="BlankClose"/>
      </w:pPr>
    </w:p>
    <w:p>
      <w:pPr>
        <w:pStyle w:val="nzHeading5"/>
      </w:pPr>
      <w:bookmarkStart w:id="738" w:name="_Toc518626565"/>
      <w:bookmarkStart w:id="739" w:name="_Toc519495376"/>
      <w:r>
        <w:rPr>
          <w:rStyle w:val="CharSectno"/>
        </w:rPr>
        <w:t>63</w:t>
      </w:r>
      <w:r>
        <w:t>.</w:t>
      </w:r>
      <w:r>
        <w:tab/>
        <w:t>Section 167 amended</w:t>
      </w:r>
      <w:bookmarkEnd w:id="738"/>
      <w:bookmarkEnd w:id="739"/>
    </w:p>
    <w:p>
      <w:pPr>
        <w:pStyle w:val="nzSubsection"/>
      </w:pPr>
      <w:r>
        <w:tab/>
        <w:t>(1)</w:t>
      </w:r>
      <w:r>
        <w:tab/>
        <w:t>In section 167(1) insert in alphabetical order:</w:t>
      </w:r>
    </w:p>
    <w:p>
      <w:pPr>
        <w:pStyle w:val="BlankOpen"/>
      </w:pPr>
    </w:p>
    <w:p>
      <w:pPr>
        <w:pStyle w:val="nzDefstart"/>
      </w:pPr>
      <w:r>
        <w:tab/>
      </w:r>
      <w:r>
        <w:rPr>
          <w:rStyle w:val="CharDefText"/>
        </w:rPr>
        <w:t>approved form</w:t>
      </w:r>
      <w:r>
        <w:t xml:space="preserve"> means the form approved by the Director;</w:t>
      </w:r>
    </w:p>
    <w:p>
      <w:pPr>
        <w:pStyle w:val="BlankClose"/>
      </w:pPr>
    </w:p>
    <w:p>
      <w:pPr>
        <w:pStyle w:val="nzSubsection"/>
      </w:pPr>
      <w:r>
        <w:tab/>
        <w:t>(2)</w:t>
      </w:r>
      <w:r>
        <w:tab/>
        <w:t xml:space="preserve">In section 167(1) in the definition of </w:t>
      </w:r>
      <w:r>
        <w:rPr>
          <w:b/>
          <w:i/>
        </w:rPr>
        <w:t>infringement notice</w:t>
      </w:r>
      <w:r>
        <w:t xml:space="preserve"> delete “a notice” and insert:</w:t>
      </w:r>
    </w:p>
    <w:p>
      <w:pPr>
        <w:pStyle w:val="BlankOpen"/>
      </w:pPr>
    </w:p>
    <w:p>
      <w:pPr>
        <w:pStyle w:val="nzSubsection"/>
      </w:pPr>
      <w:r>
        <w:tab/>
      </w:r>
      <w:r>
        <w:tab/>
        <w:t>an infringement notice</w:t>
      </w:r>
    </w:p>
    <w:p>
      <w:pPr>
        <w:pStyle w:val="BlankClose"/>
      </w:pPr>
    </w:p>
    <w:p>
      <w:pPr>
        <w:pStyle w:val="nzSubsection"/>
      </w:pPr>
      <w:r>
        <w:tab/>
        <w:t>(3)</w:t>
      </w:r>
      <w:r>
        <w:tab/>
        <w:t>In section 167(2) delete the passage that begins with “a notice” and ends with “in the notice.” and insert:</w:t>
      </w:r>
    </w:p>
    <w:p>
      <w:pPr>
        <w:pStyle w:val="BlankOpen"/>
      </w:pPr>
    </w:p>
    <w:p>
      <w:pPr>
        <w:pStyle w:val="nzSubsection"/>
      </w:pPr>
      <w:r>
        <w:tab/>
      </w:r>
      <w:r>
        <w:tab/>
        <w:t>an infringement notice.</w:t>
      </w:r>
    </w:p>
    <w:p>
      <w:pPr>
        <w:pStyle w:val="BlankClose"/>
      </w:pPr>
    </w:p>
    <w:p>
      <w:pPr>
        <w:pStyle w:val="nzSubsection"/>
      </w:pPr>
      <w:r>
        <w:tab/>
        <w:t>(4)</w:t>
      </w:r>
      <w:r>
        <w:tab/>
        <w:t>After section 167(2) insert:</w:t>
      </w:r>
    </w:p>
    <w:p>
      <w:pPr>
        <w:pStyle w:val="BlankOpen"/>
      </w:pPr>
    </w:p>
    <w:p>
      <w:pPr>
        <w:pStyle w:val="nzSubsection"/>
      </w:pPr>
      <w:r>
        <w:tab/>
        <w:t>(2A)</w:t>
      </w:r>
      <w:r>
        <w:tab/>
        <w:t xml:space="preserve">An infringement notice must be in the approved form and must — </w:t>
      </w:r>
    </w:p>
    <w:p>
      <w:pPr>
        <w:pStyle w:val="nzIndenta"/>
      </w:pPr>
      <w:r>
        <w:tab/>
        <w:t>(a)</w:t>
      </w:r>
      <w:r>
        <w:tab/>
        <w:t>contain a description of the alleged offence; and</w:t>
      </w:r>
    </w:p>
    <w:p>
      <w:pPr>
        <w:pStyle w:val="nz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nzIndenta"/>
      </w:pPr>
      <w:r>
        <w:tab/>
        <w:t>(c)</w:t>
      </w:r>
      <w:r>
        <w:tab/>
        <w:t>inform the alleged offender as to who are authorised persons for the purposes of receiving payment of modified penalties.</w:t>
      </w:r>
    </w:p>
    <w:p>
      <w:pPr>
        <w:pStyle w:val="BlankClose"/>
      </w:pPr>
    </w:p>
    <w:p>
      <w:pPr>
        <w:pStyle w:val="nzSubsection"/>
      </w:pPr>
      <w:r>
        <w:tab/>
        <w:t>(5)</w:t>
      </w:r>
      <w:r>
        <w:tab/>
        <w:t>In section 167(5) delete “prescribed” and insert:</w:t>
      </w:r>
    </w:p>
    <w:p>
      <w:pPr>
        <w:pStyle w:val="BlankOpen"/>
      </w:pPr>
    </w:p>
    <w:p>
      <w:pPr>
        <w:pStyle w:val="nzSubsection"/>
      </w:pPr>
      <w:r>
        <w:tab/>
      </w:r>
      <w:r>
        <w:tab/>
        <w:t>approved</w:t>
      </w:r>
    </w:p>
    <w:p>
      <w:pPr>
        <w:pStyle w:val="BlankClose"/>
      </w:pPr>
    </w:p>
    <w:p>
      <w:pPr>
        <w:pStyle w:val="nzHeading5"/>
      </w:pPr>
      <w:bookmarkStart w:id="740" w:name="_Toc518626566"/>
      <w:bookmarkStart w:id="741" w:name="_Toc519495377"/>
      <w:r>
        <w:rPr>
          <w:rStyle w:val="CharSectno"/>
        </w:rPr>
        <w:t>64</w:t>
      </w:r>
      <w:r>
        <w:t>.</w:t>
      </w:r>
      <w:r>
        <w:tab/>
        <w:t>Section 170 amended</w:t>
      </w:r>
      <w:bookmarkEnd w:id="740"/>
      <w:bookmarkEnd w:id="741"/>
    </w:p>
    <w:p>
      <w:pPr>
        <w:pStyle w:val="nzSubsection"/>
      </w:pPr>
      <w:r>
        <w:tab/>
      </w:r>
      <w:r>
        <w:tab/>
        <w:t>In section 170(db) delete “the licensee shall be deemed not to have appointed a person” and insert:</w:t>
      </w:r>
    </w:p>
    <w:p>
      <w:pPr>
        <w:pStyle w:val="BlankOpen"/>
      </w:pPr>
    </w:p>
    <w:p>
      <w:pPr>
        <w:pStyle w:val="nzSubsection"/>
      </w:pPr>
      <w:r>
        <w:tab/>
      </w:r>
      <w:r>
        <w:tab/>
        <w:t xml:space="preserve">a person is taken not to have been appointed </w:t>
      </w:r>
    </w:p>
    <w:p>
      <w:pPr>
        <w:pStyle w:val="BlankClose"/>
      </w:pPr>
    </w:p>
    <w:p>
      <w:pPr>
        <w:pStyle w:val="nzHeading5"/>
      </w:pPr>
      <w:bookmarkStart w:id="742" w:name="_Toc518626567"/>
      <w:bookmarkStart w:id="743" w:name="_Toc519495378"/>
      <w:r>
        <w:rPr>
          <w:rStyle w:val="CharSectno"/>
        </w:rPr>
        <w:t>65</w:t>
      </w:r>
      <w:r>
        <w:t>.</w:t>
      </w:r>
      <w:r>
        <w:tab/>
        <w:t>Section 174A amended</w:t>
      </w:r>
      <w:bookmarkEnd w:id="742"/>
      <w:bookmarkEnd w:id="743"/>
    </w:p>
    <w:p>
      <w:pPr>
        <w:pStyle w:val="nzSubsection"/>
      </w:pPr>
      <w:r>
        <w:tab/>
      </w:r>
      <w:r>
        <w:tab/>
        <w:t>In section 174A(2) delete “department of the Public Service that principally assists the Minister to administer this Act” and insert:</w:t>
      </w:r>
    </w:p>
    <w:p>
      <w:pPr>
        <w:pStyle w:val="BlankOpen"/>
      </w:pPr>
    </w:p>
    <w:p>
      <w:pPr>
        <w:pStyle w:val="nzSubsection"/>
      </w:pPr>
      <w:r>
        <w:tab/>
      </w:r>
      <w:r>
        <w:tab/>
        <w:t>Department</w:t>
      </w:r>
    </w:p>
    <w:p>
      <w:pPr>
        <w:pStyle w:val="BlankClose"/>
      </w:pPr>
    </w:p>
    <w:p>
      <w:pPr>
        <w:pStyle w:val="nzHeading5"/>
      </w:pPr>
      <w:bookmarkStart w:id="744" w:name="_Toc518626568"/>
      <w:bookmarkStart w:id="745" w:name="_Toc519495379"/>
      <w:r>
        <w:rPr>
          <w:rStyle w:val="CharSectno"/>
        </w:rPr>
        <w:t>66</w:t>
      </w:r>
      <w:r>
        <w:t>.</w:t>
      </w:r>
      <w:r>
        <w:tab/>
        <w:t>Section 174B inserted</w:t>
      </w:r>
      <w:bookmarkEnd w:id="744"/>
      <w:bookmarkEnd w:id="745"/>
    </w:p>
    <w:p>
      <w:pPr>
        <w:pStyle w:val="nzSubsection"/>
      </w:pPr>
      <w:r>
        <w:tab/>
      </w:r>
      <w:r>
        <w:tab/>
        <w:t>After section 174A insert:</w:t>
      </w:r>
    </w:p>
    <w:p>
      <w:pPr>
        <w:pStyle w:val="BlankOpen"/>
      </w:pPr>
    </w:p>
    <w:p>
      <w:pPr>
        <w:pStyle w:val="nzHeading5"/>
      </w:pPr>
      <w:bookmarkStart w:id="746" w:name="_Toc518626569"/>
      <w:bookmarkStart w:id="747" w:name="_Toc519495380"/>
      <w:r>
        <w:t>174B.</w:t>
      </w:r>
      <w:r>
        <w:tab/>
        <w:t xml:space="preserve">Liquor accords: authorisation for purposes of </w:t>
      </w:r>
      <w:r>
        <w:rPr>
          <w:i/>
        </w:rPr>
        <w:t>Competition and Consumer Act 2010</w:t>
      </w:r>
      <w:r>
        <w:t xml:space="preserve"> and Competition Code</w:t>
      </w:r>
      <w:bookmarkEnd w:id="746"/>
      <w:bookmarkEnd w:id="747"/>
    </w:p>
    <w:p>
      <w:pPr>
        <w:pStyle w:val="nzSubsection"/>
      </w:pPr>
      <w:r>
        <w:tab/>
        <w:t>(1)</w:t>
      </w:r>
      <w:r>
        <w:tab/>
        <w:t xml:space="preserve">In this section — </w:t>
      </w:r>
    </w:p>
    <w:p>
      <w:pPr>
        <w:pStyle w:val="nzDefstart"/>
      </w:pPr>
      <w:r>
        <w:tab/>
      </w:r>
      <w:r>
        <w:rPr>
          <w:rStyle w:val="CharDefText"/>
        </w:rPr>
        <w:t>liquor accord</w:t>
      </w:r>
      <w:r>
        <w:t xml:space="preserve"> has the meaning given in section 64(1b).</w:t>
      </w:r>
    </w:p>
    <w:p>
      <w:pPr>
        <w:pStyle w:val="nzSubsection"/>
      </w:pPr>
      <w:r>
        <w:tab/>
        <w:t>(2)</w:t>
      </w:r>
      <w:r>
        <w:tab/>
        <w:t xml:space="preserve">For the purposes of the </w:t>
      </w:r>
      <w:r>
        <w:rPr>
          <w:i/>
        </w:rPr>
        <w:t>Competition and Consumer Act 2010</w:t>
      </w:r>
      <w:r>
        <w:t xml:space="preserve"> (Commonwealth) and the Competition Code, the following conduct is authorised by this Act, to the extent that it would otherwise contravene that Act or that Code — </w:t>
      </w:r>
    </w:p>
    <w:p>
      <w:pPr>
        <w:pStyle w:val="nzIndenta"/>
      </w:pPr>
      <w:r>
        <w:tab/>
        <w:t>(a)</w:t>
      </w:r>
      <w:r>
        <w:tab/>
        <w:t>the entry by any person into a liquor accord;</w:t>
      </w:r>
    </w:p>
    <w:p>
      <w:pPr>
        <w:pStyle w:val="nzIndenta"/>
      </w:pPr>
      <w:r>
        <w:tab/>
        <w:t>(b)</w:t>
      </w:r>
      <w:r>
        <w:tab/>
        <w:t>conduct engaged in by any person for the purpose of promoting or giving effect to the terms of a liquor accord.</w:t>
      </w:r>
    </w:p>
    <w:p>
      <w:pPr>
        <w:pStyle w:val="BlankClose"/>
      </w:pPr>
    </w:p>
    <w:p>
      <w:pPr>
        <w:pStyle w:val="nzHeading5"/>
      </w:pPr>
      <w:bookmarkStart w:id="748" w:name="_Toc518626570"/>
      <w:bookmarkStart w:id="749" w:name="_Toc519495381"/>
      <w:r>
        <w:rPr>
          <w:rStyle w:val="CharSectno"/>
        </w:rPr>
        <w:t>67</w:t>
      </w:r>
      <w:r>
        <w:t>.</w:t>
      </w:r>
      <w:r>
        <w:tab/>
        <w:t>Section 175 amended</w:t>
      </w:r>
      <w:bookmarkEnd w:id="748"/>
      <w:bookmarkEnd w:id="749"/>
    </w:p>
    <w:p>
      <w:pPr>
        <w:pStyle w:val="nzSubsection"/>
      </w:pPr>
      <w:r>
        <w:tab/>
      </w:r>
      <w:r>
        <w:tab/>
        <w:t>Delete section 175(1)(d) and (e) and insert:</w:t>
      </w:r>
    </w:p>
    <w:p>
      <w:pPr>
        <w:pStyle w:val="BlankOpen"/>
      </w:pPr>
    </w:p>
    <w:p>
      <w:pPr>
        <w:pStyle w:val="nzIndenta"/>
      </w:pPr>
      <w:r>
        <w:tab/>
        <w:t>(d)</w:t>
      </w:r>
      <w:r>
        <w:tab/>
        <w:t>advertising, websites maintained by licensees, and the content of notices; and</w:t>
      </w:r>
    </w:p>
    <w:p>
      <w:pPr>
        <w:pStyle w:val="nzIndenta"/>
      </w:pPr>
      <w:r>
        <w:tab/>
        <w:t>(e)</w:t>
      </w:r>
      <w:r>
        <w:tab/>
        <w:t>the endorsement, production and display of licences; and</w:t>
      </w:r>
    </w:p>
    <w:p>
      <w:pPr>
        <w:pStyle w:val="BlankClose"/>
      </w:pPr>
    </w:p>
    <w:p>
      <w:pPr>
        <w:pStyle w:val="nzHeading5"/>
      </w:pPr>
      <w:bookmarkStart w:id="750" w:name="_Toc518626571"/>
      <w:bookmarkStart w:id="751" w:name="_Toc519495382"/>
      <w:r>
        <w:rPr>
          <w:rStyle w:val="CharSectno"/>
        </w:rPr>
        <w:t>68</w:t>
      </w:r>
      <w:r>
        <w:t>.</w:t>
      </w:r>
      <w:r>
        <w:tab/>
        <w:t>Section 177C inserted</w:t>
      </w:r>
      <w:bookmarkEnd w:id="750"/>
      <w:bookmarkEnd w:id="751"/>
    </w:p>
    <w:p>
      <w:pPr>
        <w:pStyle w:val="nzSubsection"/>
      </w:pPr>
      <w:r>
        <w:tab/>
      </w:r>
      <w:r>
        <w:tab/>
        <w:t>After section 177B insert:</w:t>
      </w:r>
    </w:p>
    <w:p>
      <w:pPr>
        <w:pStyle w:val="BlankOpen"/>
      </w:pPr>
    </w:p>
    <w:p>
      <w:pPr>
        <w:pStyle w:val="nzHeading5"/>
      </w:pPr>
      <w:bookmarkStart w:id="752" w:name="_Toc518626572"/>
      <w:bookmarkStart w:id="753" w:name="_Toc519495383"/>
      <w:r>
        <w:t>177C.</w:t>
      </w:r>
      <w:r>
        <w:tab/>
        <w:t xml:space="preserve">Transitional provisions for </w:t>
      </w:r>
      <w:r>
        <w:rPr>
          <w:i/>
        </w:rPr>
        <w:t>Liquor Control Amendment Act 2018</w:t>
      </w:r>
      <w:r>
        <w:t xml:space="preserve"> (Sch. 1C)</w:t>
      </w:r>
      <w:bookmarkEnd w:id="752"/>
      <w:bookmarkEnd w:id="753"/>
    </w:p>
    <w:p>
      <w:pPr>
        <w:pStyle w:val="nzSubsection"/>
      </w:pPr>
      <w:r>
        <w:tab/>
      </w:r>
      <w:r>
        <w:tab/>
        <w:t xml:space="preserve">Schedule 1C sets out transitional provisions relating to amendments made to this Act by the </w:t>
      </w:r>
      <w:r>
        <w:rPr>
          <w:i/>
        </w:rPr>
        <w:t>Liquor Control Amendment Act 2018</w:t>
      </w:r>
      <w:r>
        <w:t>.</w:t>
      </w:r>
    </w:p>
    <w:p>
      <w:pPr>
        <w:pStyle w:val="BlankClose"/>
      </w:pPr>
    </w:p>
    <w:p>
      <w:pPr>
        <w:pStyle w:val="nzHeading5"/>
      </w:pPr>
      <w:bookmarkStart w:id="754" w:name="_Toc518626573"/>
      <w:bookmarkStart w:id="755" w:name="_Toc519495384"/>
      <w:r>
        <w:rPr>
          <w:rStyle w:val="CharSectno"/>
        </w:rPr>
        <w:t>69</w:t>
      </w:r>
      <w:r>
        <w:t>.</w:t>
      </w:r>
      <w:r>
        <w:tab/>
        <w:t>Section 178 amended</w:t>
      </w:r>
      <w:bookmarkEnd w:id="754"/>
      <w:bookmarkEnd w:id="755"/>
    </w:p>
    <w:p>
      <w:pPr>
        <w:pStyle w:val="nzSubsection"/>
      </w:pPr>
      <w:r>
        <w:tab/>
      </w:r>
      <w:r>
        <w:tab/>
        <w:t xml:space="preserve">In section 178(1) delete “section 95 of the </w:t>
      </w:r>
      <w:r>
        <w:rPr>
          <w:i/>
        </w:rPr>
        <w:t>Liquor Licensing Amendment Act 1998</w:t>
      </w:r>
      <w:r>
        <w:t>,” and insert:</w:t>
      </w:r>
    </w:p>
    <w:p>
      <w:pPr>
        <w:pStyle w:val="BlankOpen"/>
      </w:pPr>
    </w:p>
    <w:p>
      <w:pPr>
        <w:pStyle w:val="nzSubsection"/>
      </w:pPr>
      <w:r>
        <w:tab/>
      </w:r>
      <w:r>
        <w:tab/>
        <w:t xml:space="preserve">the </w:t>
      </w:r>
      <w:r>
        <w:rPr>
          <w:i/>
        </w:rPr>
        <w:t>Liquor Control Amendment Act 2018</w:t>
      </w:r>
      <w:r>
        <w:t xml:space="preserve"> section 68,</w:t>
      </w:r>
    </w:p>
    <w:p>
      <w:pPr>
        <w:pStyle w:val="BlankClose"/>
      </w:pPr>
    </w:p>
    <w:p>
      <w:pPr>
        <w:pStyle w:val="nzHeading5"/>
      </w:pPr>
      <w:bookmarkStart w:id="756" w:name="_Toc518626574"/>
      <w:bookmarkStart w:id="757" w:name="_Toc519495385"/>
      <w:r>
        <w:rPr>
          <w:rStyle w:val="CharSectno"/>
        </w:rPr>
        <w:t>70</w:t>
      </w:r>
      <w:r>
        <w:t>.</w:t>
      </w:r>
      <w:r>
        <w:tab/>
        <w:t>Schedule 1C inserted</w:t>
      </w:r>
      <w:bookmarkEnd w:id="756"/>
      <w:bookmarkEnd w:id="757"/>
    </w:p>
    <w:p>
      <w:pPr>
        <w:pStyle w:val="nzSubsection"/>
      </w:pPr>
      <w:r>
        <w:tab/>
      </w:r>
      <w:r>
        <w:tab/>
        <w:t>After Schedule 1B insert:</w:t>
      </w:r>
    </w:p>
    <w:p>
      <w:pPr>
        <w:pStyle w:val="BlankOpen"/>
      </w:pPr>
    </w:p>
    <w:p>
      <w:pPr>
        <w:pStyle w:val="zyScheduleHeading"/>
        <w:rPr>
          <w:sz w:val="28"/>
        </w:rPr>
      </w:pPr>
      <w:bookmarkStart w:id="758" w:name="_Toc499190343"/>
      <w:bookmarkStart w:id="759" w:name="_Toc499190429"/>
      <w:bookmarkStart w:id="760" w:name="_Toc499199901"/>
      <w:bookmarkStart w:id="761" w:name="_Toc501443806"/>
      <w:bookmarkStart w:id="762" w:name="_Toc501445354"/>
      <w:bookmarkStart w:id="763" w:name="_Toc501452147"/>
      <w:bookmarkStart w:id="764" w:name="_Toc501453342"/>
      <w:bookmarkStart w:id="765" w:name="_Toc501457933"/>
      <w:bookmarkStart w:id="766" w:name="_Toc501458261"/>
      <w:bookmarkStart w:id="767" w:name="_Toc501458567"/>
      <w:bookmarkStart w:id="768" w:name="_Toc501460575"/>
      <w:bookmarkStart w:id="769" w:name="_Toc501460661"/>
      <w:bookmarkStart w:id="770" w:name="_Toc501460871"/>
      <w:bookmarkStart w:id="771" w:name="_Toc505595071"/>
      <w:bookmarkStart w:id="772" w:name="_Toc505595484"/>
      <w:bookmarkStart w:id="773" w:name="_Toc505606502"/>
      <w:bookmarkStart w:id="774" w:name="_Toc505606589"/>
      <w:bookmarkStart w:id="775" w:name="_Toc505609572"/>
      <w:bookmarkStart w:id="776" w:name="_Toc509925197"/>
      <w:bookmarkStart w:id="777" w:name="_Toc510615102"/>
      <w:bookmarkStart w:id="778" w:name="_Toc510693454"/>
      <w:bookmarkStart w:id="779" w:name="_Toc518282779"/>
      <w:bookmarkStart w:id="780" w:name="_Toc518623402"/>
      <w:bookmarkStart w:id="781" w:name="_Toc518626575"/>
      <w:bookmarkStart w:id="782" w:name="_Toc519495386"/>
      <w:r>
        <w:rPr>
          <w:sz w:val="28"/>
        </w:rPr>
        <w:t>Schedule 1C</w:t>
      </w:r>
      <w:r>
        <w:rPr>
          <w:sz w:val="24"/>
        </w:rPr>
        <w:t> </w:t>
      </w:r>
      <w:r>
        <w:rPr>
          <w:sz w:val="28"/>
        </w:rPr>
        <w:t>—</w:t>
      </w:r>
      <w:r>
        <w:rPr>
          <w:sz w:val="24"/>
        </w:rPr>
        <w:t> </w:t>
      </w:r>
      <w:r>
        <w:rPr>
          <w:sz w:val="28"/>
        </w:rPr>
        <w:t xml:space="preserve">Transitional provisions relating to the </w:t>
      </w:r>
      <w:r>
        <w:rPr>
          <w:i/>
          <w:sz w:val="28"/>
        </w:rPr>
        <w:t>Liquor Control Amendment Act 201</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i/>
          <w:sz w:val="28"/>
        </w:rPr>
        <w:t>8</w:t>
      </w:r>
      <w:bookmarkEnd w:id="774"/>
      <w:bookmarkEnd w:id="775"/>
      <w:bookmarkEnd w:id="776"/>
      <w:bookmarkEnd w:id="777"/>
      <w:bookmarkEnd w:id="778"/>
      <w:bookmarkEnd w:id="779"/>
      <w:bookmarkEnd w:id="780"/>
      <w:bookmarkEnd w:id="781"/>
      <w:bookmarkEnd w:id="782"/>
    </w:p>
    <w:p>
      <w:pPr>
        <w:pStyle w:val="nzShoulderClause"/>
      </w:pPr>
      <w:r>
        <w:t>[s. 177C]</w:t>
      </w:r>
    </w:p>
    <w:p>
      <w:pPr>
        <w:pStyle w:val="nzHeading5"/>
      </w:pPr>
      <w:bookmarkStart w:id="783" w:name="_Toc518626576"/>
      <w:bookmarkStart w:id="784" w:name="_Toc519495387"/>
      <w:r>
        <w:t>1.</w:t>
      </w:r>
      <w:r>
        <w:tab/>
        <w:t>Application of s. 36B to existing applications for grant or removal of licence</w:t>
      </w:r>
      <w:bookmarkEnd w:id="783"/>
      <w:bookmarkEnd w:id="784"/>
    </w:p>
    <w:p>
      <w:pPr>
        <w:pStyle w:val="nzSubsection"/>
      </w:pPr>
      <w:r>
        <w:tab/>
      </w:r>
      <w:r>
        <w:tab/>
        <w:t xml:space="preserve">Section 36B applies to an application for the grant or removal of a licence referred to in section 36B(2) that was made, but not determined by the licensing authority, before the day on which the </w:t>
      </w:r>
      <w:r>
        <w:rPr>
          <w:i/>
        </w:rPr>
        <w:t xml:space="preserve">Liquor Control Amendment Act 2018 </w:t>
      </w:r>
      <w:r>
        <w:t>section 18 comes into operation.</w:t>
      </w:r>
    </w:p>
    <w:p>
      <w:pPr>
        <w:pStyle w:val="nzHeading5"/>
      </w:pPr>
      <w:bookmarkStart w:id="785" w:name="_Toc518626577"/>
      <w:bookmarkStart w:id="786" w:name="_Toc519495388"/>
      <w:r>
        <w:t>2.</w:t>
      </w:r>
      <w:r>
        <w:tab/>
        <w:t>Small bar licences</w:t>
      </w:r>
      <w:bookmarkEnd w:id="785"/>
      <w:bookmarkEnd w:id="786"/>
    </w:p>
    <w:p>
      <w:pPr>
        <w:pStyle w:val="nzSubsection"/>
      </w:pPr>
      <w:r>
        <w:tab/>
        <w:t>(1)</w:t>
      </w:r>
      <w:r>
        <w:tab/>
        <w:t>In this clause —</w:t>
      </w:r>
    </w:p>
    <w:p>
      <w:pPr>
        <w:pStyle w:val="nzDefstart"/>
      </w:pPr>
      <w:r>
        <w:tab/>
      </w:r>
      <w:r>
        <w:rPr>
          <w:rStyle w:val="CharDefText"/>
        </w:rPr>
        <w:t>commencement day</w:t>
      </w:r>
      <w:r>
        <w:t xml:space="preserve"> means the day on which the </w:t>
      </w:r>
      <w:r>
        <w:rPr>
          <w:i/>
        </w:rPr>
        <w:t xml:space="preserve">Liquor Control Amendment Act 2018 </w:t>
      </w:r>
      <w:r>
        <w:t>section 21 comes into operation;</w:t>
      </w:r>
    </w:p>
    <w:p>
      <w:pPr>
        <w:pStyle w:val="nzDefstart"/>
      </w:pPr>
      <w:r>
        <w:tab/>
      </w:r>
      <w:r>
        <w:rPr>
          <w:rStyle w:val="CharDefText"/>
        </w:rPr>
        <w:t xml:space="preserve">old licence </w:t>
      </w:r>
      <w:r>
        <w:t>means a hotel licence of the kind referred to in section 41(1aa) as in force immediately before commencement day.</w:t>
      </w:r>
    </w:p>
    <w:p>
      <w:pPr>
        <w:pStyle w:val="nzSubsection"/>
      </w:pPr>
      <w:r>
        <w:tab/>
        <w:t>(2)</w:t>
      </w:r>
      <w:r>
        <w:tab/>
        <w:t>An old licence that was in effect immediately before commencement day is taken to be a small bar licence under section 41A, subject to the conditions that applied to the old licence immediately before commencement day.</w:t>
      </w:r>
    </w:p>
    <w:p>
      <w:pPr>
        <w:pStyle w:val="nzSubsection"/>
        <w:rPr>
          <w:b/>
        </w:rPr>
      </w:pPr>
      <w:r>
        <w:tab/>
        <w:t>(3)</w:t>
      </w:r>
      <w:r>
        <w:tab/>
        <w:t>An application for an old licence that was made, but not determined by the licensing authority, before commencement day is taken to be an application for a small bar licence under section 41A.</w:t>
      </w:r>
    </w:p>
    <w:p>
      <w:pPr>
        <w:pStyle w:val="nzHeading5"/>
      </w:pPr>
      <w:bookmarkStart w:id="787" w:name="_Toc518626578"/>
      <w:bookmarkStart w:id="788" w:name="_Toc519495389"/>
      <w:r>
        <w:t>3.</w:t>
      </w:r>
      <w:r>
        <w:tab/>
        <w:t>Certain restaurant licences: no fee for application for extended trading permit under section 60(4)(ca)</w:t>
      </w:r>
      <w:bookmarkEnd w:id="787"/>
      <w:bookmarkEnd w:id="788"/>
    </w:p>
    <w:p>
      <w:pPr>
        <w:pStyle w:val="nzSubsection"/>
      </w:pPr>
      <w:r>
        <w:tab/>
        <w:t>(1)</w:t>
      </w:r>
      <w:r>
        <w:tab/>
        <w:t xml:space="preserve">In this clause — </w:t>
      </w:r>
    </w:p>
    <w:p>
      <w:pPr>
        <w:pStyle w:val="nzDefstart"/>
      </w:pPr>
      <w:r>
        <w:tab/>
      </w:r>
      <w:r>
        <w:rPr>
          <w:rStyle w:val="CharDefText"/>
        </w:rPr>
        <w:t>commencement day</w:t>
      </w:r>
      <w:r>
        <w:t xml:space="preserve"> means the day on which the </w:t>
      </w:r>
      <w:r>
        <w:rPr>
          <w:i/>
        </w:rPr>
        <w:t xml:space="preserve">Liquor Control Amendment Act 2018 </w:t>
      </w:r>
      <w:r>
        <w:t>section 27 comes into operation;</w:t>
      </w:r>
    </w:p>
    <w:p>
      <w:pPr>
        <w:pStyle w:val="nzDefstart"/>
      </w:pPr>
      <w:r>
        <w:tab/>
      </w:r>
      <w:r>
        <w:rPr>
          <w:rStyle w:val="CharDefText"/>
        </w:rPr>
        <w:t>small restaurant licence</w:t>
      </w:r>
      <w:r>
        <w:t xml:space="preserve"> means a restaurant licence that, immediately before commencement day, was subject to a condition limiting the maximum number of persons (excluding responsible persons and authorised officers) who may be on the licensed premises to 120.</w:t>
      </w:r>
    </w:p>
    <w:p>
      <w:pPr>
        <w:pStyle w:val="nzSubsection"/>
      </w:pPr>
      <w:r>
        <w:tab/>
        <w:t>(2)</w:t>
      </w:r>
      <w:r>
        <w:tab/>
        <w:t>If, in the period of 12 months beginning on commencement day, the licensee of a small restaurant licence makes an application for an extended trading permit under section 60(4)(ca), then, despite section 68(1)(b), the notice of application is not required to be accompanied by any prescribed fee.</w:t>
      </w:r>
    </w:p>
    <w:p>
      <w:pPr>
        <w:pStyle w:val="nzHeading5"/>
      </w:pPr>
      <w:bookmarkStart w:id="789" w:name="_Toc518626579"/>
      <w:bookmarkStart w:id="790" w:name="_Toc519495390"/>
      <w:r>
        <w:t>4.</w:t>
      </w:r>
      <w:r>
        <w:tab/>
        <w:t>Application of s. 77A to existing applications for alteration or redefinition of licensed premises</w:t>
      </w:r>
      <w:bookmarkEnd w:id="789"/>
      <w:bookmarkEnd w:id="790"/>
    </w:p>
    <w:p>
      <w:pPr>
        <w:pStyle w:val="nzSubsection"/>
      </w:pPr>
      <w:r>
        <w:tab/>
      </w:r>
      <w:r>
        <w:tab/>
        <w:t xml:space="preserve">Section 77A applies to an application under section 77(4) that was made, but not determined by the licensing authority, before the day on which the </w:t>
      </w:r>
      <w:r>
        <w:rPr>
          <w:i/>
        </w:rPr>
        <w:t xml:space="preserve">Liquor Control Amendment Act 2018 </w:t>
      </w:r>
      <w:r>
        <w:t>section 45 comes into operation.</w:t>
      </w:r>
    </w:p>
    <w:p>
      <w:pPr>
        <w:pStyle w:val="BlankClose"/>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bookmarkEnd w:id="591"/>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3 unrelated adults</w:t>
      </w:r>
      <w:r>
        <w:tab/>
        <w:t>117(2b)</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applicant</w:t>
      </w:r>
      <w:r>
        <w:tab/>
        <w:t>152N, Sch. 1B cl. 4(1)</w:t>
      </w:r>
    </w:p>
    <w:p>
      <w:pPr>
        <w:pStyle w:val="DefinedTerms"/>
      </w:pPr>
      <w:r>
        <w:t>application</w:t>
      </w:r>
      <w:r>
        <w:tab/>
        <w:t>152W(1), Sch. 1 cl. 1(1)</w:t>
      </w:r>
    </w:p>
    <w:p>
      <w:pPr>
        <w:pStyle w:val="DefinedTerms"/>
      </w:pPr>
      <w:r>
        <w:t>appointed day</w:t>
      </w:r>
      <w:r>
        <w:tab/>
        <w:t>Sch. 1 cl. 1(1)</w:t>
      </w:r>
    </w:p>
    <w:p>
      <w:pPr>
        <w:pStyle w:val="DefinedTerms"/>
      </w:pPr>
      <w:r>
        <w:t>approved manager</w:t>
      </w:r>
      <w:r>
        <w:tab/>
        <w:t>102A, Sch. 1B cl. 1</w:t>
      </w:r>
    </w:p>
    <w:p>
      <w:pPr>
        <w:pStyle w:val="DefinedTerms"/>
      </w:pPr>
      <w:r>
        <w:t>approved restricted manager</w:t>
      </w:r>
      <w:r>
        <w:tab/>
        <w:t>3(1)</w:t>
      </w:r>
    </w:p>
    <w:p>
      <w:pPr>
        <w:pStyle w:val="DefinedTerms"/>
      </w:pPr>
      <w:r>
        <w:t>approved unrestricted manager</w:t>
      </w:r>
      <w:r>
        <w:tab/>
        <w:t>3(1)</w:t>
      </w:r>
    </w:p>
    <w:p>
      <w:pPr>
        <w:pStyle w:val="DefinedTerms"/>
      </w:pPr>
      <w:r>
        <w:t>assessment</w:t>
      </w:r>
      <w:r>
        <w:tab/>
        <w:t>3(1)</w:t>
      </w:r>
    </w:p>
    <w:p>
      <w:pPr>
        <w:pStyle w:val="DefinedTerms"/>
      </w:pPr>
      <w:r>
        <w:t>Association</w:t>
      </w:r>
      <w:r>
        <w:tab/>
        <w:t>Sch. 2 Div. 1 cl. 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buyer</w:t>
      </w:r>
      <w:r>
        <w:tab/>
        <w:t>109(4A)</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cellar door permit</w:t>
      </w:r>
      <w:r>
        <w:tab/>
        <w:t>3(1), 61A(1)</w:t>
      </w:r>
    </w:p>
    <w:p>
      <w:pPr>
        <w:pStyle w:val="DefinedTerms"/>
      </w:pPr>
      <w:r>
        <w:t>chairperson</w:t>
      </w:r>
      <w:r>
        <w:tab/>
        <w:t>3(1)</w:t>
      </w:r>
    </w:p>
    <w:p>
      <w:pPr>
        <w:pStyle w:val="DefinedTerms"/>
      </w:pPr>
      <w:r>
        <w:t>Chief Health Officer</w:t>
      </w:r>
      <w:r>
        <w:tab/>
        <w:t>3(1)</w:t>
      </w:r>
    </w:p>
    <w:p>
      <w:pPr>
        <w:pStyle w:val="DefinedTerms"/>
      </w:pPr>
      <w:r>
        <w:t>closing time</w:t>
      </w:r>
      <w:r>
        <w:tab/>
        <w:t>3(1)</w:t>
      </w:r>
    </w:p>
    <w:p>
      <w:pPr>
        <w:pStyle w:val="DefinedTerms"/>
      </w:pPr>
      <w:r>
        <w:t>club</w:t>
      </w:r>
      <w:r>
        <w:tab/>
        <w:t>49(1), Sch. 2 Div 1. cl. 1, Sch. 2 Div. 2 cl. 1</w:t>
      </w:r>
    </w:p>
    <w:p>
      <w:pPr>
        <w:pStyle w:val="DefinedTerms"/>
      </w:pPr>
      <w:r>
        <w:t>club licence</w:t>
      </w:r>
      <w:r>
        <w:tab/>
        <w:t>3(1)</w:t>
      </w:r>
    </w:p>
    <w:p>
      <w:pPr>
        <w:pStyle w:val="DefinedTerms"/>
      </w:pPr>
      <w:r>
        <w:t>club restricted licence</w:t>
      </w:r>
      <w:r>
        <w:tab/>
        <w:t>3(1)</w:t>
      </w:r>
    </w:p>
    <w:p>
      <w:pPr>
        <w:pStyle w:val="DefinedTerms"/>
      </w:pPr>
      <w:r>
        <w:t>commencement day</w:t>
      </w:r>
      <w:r>
        <w:tab/>
        <w:t>Sch. 1A cl. 1, Sch. 1B cl. 1</w:t>
      </w:r>
    </w:p>
    <w:p>
      <w:pPr>
        <w:pStyle w:val="DefinedTerms"/>
      </w:pPr>
      <w:r>
        <w:t>Commission</w:t>
      </w:r>
      <w:r>
        <w:tab/>
        <w:t>3(1)</w:t>
      </w:r>
    </w:p>
    <w:p>
      <w:pPr>
        <w:pStyle w:val="DefinedTerms"/>
      </w:pPr>
      <w:r>
        <w:t>Commissioner of Police</w:t>
      </w:r>
      <w:r>
        <w:tab/>
        <w:t>3(1)</w:t>
      </w:r>
    </w:p>
    <w:p>
      <w:pPr>
        <w:pStyle w:val="DefinedTerms"/>
      </w:pPr>
      <w:r>
        <w:t>Committee of Management</w:t>
      </w:r>
      <w:r>
        <w:tab/>
        <w:t>Sch. 2 Div 2 cl. 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dining area</w:t>
      </w:r>
      <w:r>
        <w:tab/>
        <w:t>3(1)</w:t>
      </w:r>
    </w:p>
    <w:p>
      <w:pPr>
        <w:pStyle w:val="DefinedTerms"/>
      </w:pPr>
      <w:r>
        <w:t>director</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drunk</w:t>
      </w:r>
      <w:r>
        <w:tab/>
        <w:t>3(1), 3A(1)</w:t>
      </w:r>
    </w:p>
    <w:p>
      <w:pPr>
        <w:pStyle w:val="DefinedTerms"/>
      </w:pPr>
      <w:r>
        <w:t>employed</w:t>
      </w:r>
      <w:r>
        <w:tab/>
        <w:t>152A</w:t>
      </w:r>
    </w:p>
    <w:p>
      <w:pPr>
        <w:pStyle w:val="DefinedTerms"/>
      </w:pPr>
      <w:r>
        <w:t>employee</w:t>
      </w:r>
      <w:r>
        <w:tab/>
        <w:t>3(7), 165(4)</w:t>
      </w:r>
    </w:p>
    <w:p>
      <w:pPr>
        <w:pStyle w:val="DefinedTerms"/>
      </w:pPr>
      <w:r>
        <w:t>extended trading permit</w:t>
      </w:r>
      <w:r>
        <w:tab/>
        <w:t>3(1)</w:t>
      </w:r>
    </w:p>
    <w:p>
      <w:pPr>
        <w:pStyle w:val="DefinedTerms"/>
      </w:pPr>
      <w:r>
        <w:t>former Act</w:t>
      </w:r>
      <w:r>
        <w:tab/>
        <w:t>Sch. 1A cl. 1</w:t>
      </w:r>
    </w:p>
    <w:p>
      <w:pPr>
        <w:pStyle w:val="DefinedTerms"/>
      </w:pPr>
      <w:r>
        <w:t>function</w:t>
      </w:r>
      <w:r>
        <w:tab/>
        <w:t>3(1)</w:t>
      </w:r>
    </w:p>
    <w:p>
      <w:pPr>
        <w:pStyle w:val="DefinedTerms"/>
      </w:pPr>
      <w:r>
        <w:t>Gaming and Wagering Commission</w:t>
      </w:r>
      <w:r>
        <w:tab/>
        <w:t>3(1)</w:t>
      </w:r>
    </w:p>
    <w:p>
      <w:pPr>
        <w:pStyle w:val="DefinedTerms"/>
      </w:pPr>
      <w:r>
        <w:t>geographical indication</w:t>
      </w:r>
      <w:r>
        <w:tab/>
        <w:t>61A(1)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interest of the community</w:t>
      </w:r>
      <w:r>
        <w:tab/>
        <w:t>3(1)</w:t>
      </w:r>
    </w:p>
    <w:p>
      <w:pPr>
        <w:pStyle w:val="DefinedTerms"/>
      </w:pPr>
      <w:r>
        <w:t>juvenile</w:t>
      </w:r>
      <w:r>
        <w:tab/>
        <w:t>3(1)</w:t>
      </w:r>
    </w:p>
    <w:p>
      <w:pPr>
        <w:pStyle w:val="DefinedTerms"/>
      </w:pPr>
      <w:r>
        <w:t>kind</w:t>
      </w:r>
      <w:r>
        <w:tab/>
        <w:t>3(1)</w:t>
      </w:r>
    </w:p>
    <w:p>
      <w:pPr>
        <w:pStyle w:val="DefinedTerms"/>
      </w:pPr>
      <w:r>
        <w:t>lawyer</w:t>
      </w:r>
      <w:r>
        <w:tab/>
        <w:t>3(1)</w:t>
      </w:r>
    </w:p>
    <w:p>
      <w:pPr>
        <w:pStyle w:val="DefinedTerms"/>
      </w:pPr>
      <w:r>
        <w:t>League</w:t>
      </w:r>
      <w:r>
        <w:tab/>
        <w:t>Sch. 2 Div. 1 cl. 1, Sch. 2 Div. 2 cl. 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w:t>
      </w:r>
    </w:p>
    <w:p>
      <w:pPr>
        <w:pStyle w:val="DefinedTerms"/>
      </w:pPr>
      <w:r>
        <w:t>liquor merchant</w:t>
      </w:r>
      <w:r>
        <w:tab/>
        <w:t>3(1)</w:t>
      </w:r>
    </w:p>
    <w:p>
      <w:pPr>
        <w:pStyle w:val="DefinedTerms"/>
      </w:pPr>
      <w:r>
        <w:t>liquor restricted premises</w:t>
      </w:r>
      <w:r>
        <w:tab/>
        <w:t>152N</w:t>
      </w:r>
    </w:p>
    <w:p>
      <w:pPr>
        <w:pStyle w:val="DefinedTerms"/>
      </w:pPr>
      <w:r>
        <w:t>liquor restriction declaration</w:t>
      </w:r>
      <w:r>
        <w:tab/>
        <w:t>152N</w:t>
      </w:r>
    </w:p>
    <w:p>
      <w:pPr>
        <w:pStyle w:val="DefinedTerms"/>
      </w:pPr>
      <w:r>
        <w:t>liquor store licence</w:t>
      </w:r>
      <w:r>
        <w:tab/>
        <w:t>3(1)</w:t>
      </w:r>
    </w:p>
    <w:p>
      <w:pPr>
        <w:pStyle w:val="DefinedTerms"/>
      </w:pPr>
      <w:r>
        <w:t>lodger</w:t>
      </w:r>
      <w:r>
        <w:tab/>
        <w:t>3(1)</w:t>
      </w:r>
    </w:p>
    <w:p>
      <w:pPr>
        <w:pStyle w:val="DefinedTerms"/>
      </w:pPr>
      <w:r>
        <w:t>low alcohol liquor</w:t>
      </w:r>
      <w:r>
        <w:tab/>
        <w:t>3(1)</w:t>
      </w:r>
    </w:p>
    <w:p>
      <w:pPr>
        <w:pStyle w:val="DefinedTerms"/>
      </w:pPr>
      <w:r>
        <w:t>manager</w:t>
      </w:r>
      <w:r>
        <w:tab/>
        <w:t>3(1)</w:t>
      </w:r>
    </w:p>
    <w:p>
      <w:pPr>
        <w:pStyle w:val="DefinedTerms"/>
      </w:pPr>
      <w:r>
        <w:t>manager’s approval</w:t>
      </w:r>
      <w:r>
        <w:tab/>
        <w:t>102A</w:t>
      </w:r>
    </w:p>
    <w:p>
      <w:pPr>
        <w:pStyle w:val="DefinedTerms"/>
      </w:pPr>
      <w:r>
        <w:t>meal</w:t>
      </w:r>
      <w:r>
        <w:tab/>
        <w:t>3(1)</w:t>
      </w:r>
    </w:p>
    <w:p>
      <w:pPr>
        <w:pStyle w:val="DefinedTerms"/>
      </w:pPr>
      <w:r>
        <w:t>member</w:t>
      </w:r>
      <w:r>
        <w:tab/>
        <w:t>3(1), 3(1)</w:t>
      </w:r>
    </w:p>
    <w:p>
      <w:pPr>
        <w:pStyle w:val="DefinedTerms"/>
      </w:pPr>
      <w:r>
        <w:t>member of the family</w:t>
      </w:r>
      <w:r>
        <w:tab/>
        <w:t>125(3)</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non</w:t>
      </w:r>
      <w:r>
        <w:noBreakHyphen/>
        <w:t>liquor business on licensed premises</w:t>
      </w:r>
      <w:r>
        <w:tab/>
        <w:t>119A(1)</w:t>
      </w:r>
    </w:p>
    <w:p>
      <w:pPr>
        <w:pStyle w:val="DefinedTerms"/>
      </w:pPr>
      <w:r>
        <w:t>notice</w:t>
      </w:r>
      <w:r>
        <w:tab/>
        <w:t>115AD(1)</w:t>
      </w:r>
    </w:p>
    <w:p>
      <w:pPr>
        <w:pStyle w:val="DefinedTerms"/>
      </w:pPr>
      <w:r>
        <w:t>occasional licence</w:t>
      </w:r>
      <w:r>
        <w:tab/>
        <w:t>3(1)</w:t>
      </w:r>
    </w:p>
    <w:p>
      <w:pPr>
        <w:pStyle w:val="DefinedTerms"/>
      </w:pPr>
      <w:r>
        <w:t>occupier</w:t>
      </w:r>
      <w:r>
        <w:tab/>
        <w:t>152N</w:t>
      </w:r>
    </w:p>
    <w:p>
      <w:pPr>
        <w:pStyle w:val="DefinedTerms"/>
      </w:pPr>
      <w:r>
        <w:t>officer</w:t>
      </w:r>
      <w:r>
        <w:tab/>
        <w:t>164(2)</w:t>
      </w:r>
    </w:p>
    <w:p>
      <w:pPr>
        <w:pStyle w:val="DefinedTerms"/>
      </w:pPr>
      <w:r>
        <w:t>old section 35B</w:t>
      </w:r>
      <w:r>
        <w:tab/>
        <w:t>Sch. 1B cl. 1</w:t>
      </w:r>
    </w:p>
    <w:p>
      <w:pPr>
        <w:pStyle w:val="DefinedTerms"/>
      </w:pPr>
      <w:r>
        <w:t>other licensee</w:t>
      </w:r>
      <w:r>
        <w:tab/>
        <w:t>55(1a), 58(2a)</w:t>
      </w:r>
    </w:p>
    <w:p>
      <w:pPr>
        <w:pStyle w:val="DefinedTerms"/>
      </w:pPr>
      <w:r>
        <w:t>owner</w:t>
      </w:r>
      <w:r>
        <w:tab/>
        <w:t>3(1)</w:t>
      </w:r>
    </w:p>
    <w:p>
      <w:pPr>
        <w:pStyle w:val="DefinedTerms"/>
      </w:pPr>
      <w:r>
        <w:t>packaged liquor</w:t>
      </w:r>
      <w:r>
        <w:tab/>
        <w:t>3(1)</w:t>
      </w:r>
    </w:p>
    <w:p>
      <w:pPr>
        <w:pStyle w:val="DefinedTerms"/>
      </w:pPr>
      <w:r>
        <w:t>packaged liquor outlet</w:t>
      </w:r>
      <w:r>
        <w:tab/>
        <w:t>36A(1)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person authorised to sell liquor</w:t>
      </w:r>
      <w:r>
        <w:tab/>
        <w:t>3(1)</w:t>
      </w:r>
    </w:p>
    <w:p>
      <w:pPr>
        <w:pStyle w:val="DefinedTerms"/>
      </w:pPr>
      <w:r>
        <w:t>petrol station</w:t>
      </w:r>
      <w:r>
        <w:tab/>
        <w:t>36A(1), 65A(1)</w:t>
      </w:r>
    </w:p>
    <w:p>
      <w:pPr>
        <w:pStyle w:val="DefinedTerms"/>
      </w:pPr>
      <w:r>
        <w:t>premises</w:t>
      </w:r>
      <w:r>
        <w:tab/>
        <w:t>3(1)</w:t>
      </w:r>
    </w:p>
    <w:p>
      <w:pPr>
        <w:pStyle w:val="DefinedTerms"/>
      </w:pPr>
      <w:r>
        <w:t>prescribed</w:t>
      </w:r>
      <w:r>
        <w:tab/>
        <w:t>3(1)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proprietary company</w:t>
      </w:r>
      <w:r>
        <w:tab/>
        <w:t>3(1)</w:t>
      </w:r>
    </w:p>
    <w:p>
      <w:pPr>
        <w:pStyle w:val="DefinedTerms"/>
      </w:pPr>
      <w:r>
        <w:t>protection order</w:t>
      </w:r>
      <w:r>
        <w:tab/>
        <w:t>3(1), 87(1)</w:t>
      </w:r>
    </w:p>
    <w:p>
      <w:pPr>
        <w:pStyle w:val="DefinedTerms"/>
      </w:pPr>
      <w:r>
        <w:t>public body</w:t>
      </w:r>
      <w:r>
        <w:tab/>
        <w:t>37(1A)</w:t>
      </w:r>
    </w:p>
    <w:p>
      <w:pPr>
        <w:pStyle w:val="DefinedTerms"/>
      </w:pPr>
      <w:r>
        <w:t>public event</w:t>
      </w:r>
      <w:r>
        <w:tab/>
        <w:t>110(4B)</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Register</w:t>
      </w:r>
      <w:r>
        <w:tab/>
        <w:t>103AA(1)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liquor</w:t>
      </w:r>
      <w:r>
        <w:tab/>
        <w:t>57(1)</w:t>
      </w:r>
    </w:p>
    <w:p>
      <w:pPr>
        <w:pStyle w:val="DefinedTerms"/>
      </w:pPr>
      <w:r>
        <w:t>relevant matters</w:t>
      </w:r>
      <w:r>
        <w:tab/>
        <w:t>69(8b)</w:t>
      </w:r>
    </w:p>
    <w:p>
      <w:pPr>
        <w:pStyle w:val="DefinedTerms"/>
      </w:pPr>
      <w:r>
        <w:t>relevant period</w:t>
      </w:r>
      <w:r>
        <w:tab/>
        <w:t>57(1), 93(1a)</w:t>
      </w:r>
    </w:p>
    <w:p>
      <w:pPr>
        <w:pStyle w:val="DefinedTerms"/>
      </w:pPr>
      <w:r>
        <w:t>relevant person</w:t>
      </w:r>
      <w:r>
        <w:tab/>
        <w:t>152A</w:t>
      </w:r>
    </w:p>
    <w:p>
      <w:pPr>
        <w:pStyle w:val="DefinedTerms"/>
      </w:pPr>
      <w:r>
        <w:t>removal</w:t>
      </w:r>
      <w:r>
        <w:tab/>
        <w:t>3(1)</w:t>
      </w:r>
    </w:p>
    <w:p>
      <w:pPr>
        <w:pStyle w:val="DefinedTerms"/>
      </w:pPr>
      <w:r>
        <w:t>repealed Act</w:t>
      </w:r>
      <w:r>
        <w:tab/>
        <w:t>Sch. 1 cl. 1(1)</w:t>
      </w:r>
    </w:p>
    <w:p>
      <w:pPr>
        <w:pStyle w:val="DefinedTerms"/>
      </w:pPr>
      <w:r>
        <w:t>responsible person</w:t>
      </w:r>
      <w:r>
        <w:tab/>
        <w:t>3(1)</w:t>
      </w:r>
    </w:p>
    <w:p>
      <w:pPr>
        <w:pStyle w:val="DefinedTerms"/>
      </w:pPr>
      <w:r>
        <w:t>restaurant</w:t>
      </w:r>
      <w:r>
        <w:tab/>
        <w:t>3(1)</w:t>
      </w:r>
    </w:p>
    <w:p>
      <w:pPr>
        <w:pStyle w:val="DefinedTerms"/>
      </w:pPr>
      <w:r>
        <w:t>restaurant licence</w:t>
      </w:r>
      <w:r>
        <w:tab/>
        <w:t>3(1)</w:t>
      </w:r>
    </w:p>
    <w:p>
      <w:pPr>
        <w:pStyle w:val="DefinedTerms"/>
      </w:pPr>
      <w:r>
        <w:t>sample</w:t>
      </w:r>
      <w:r>
        <w:tab/>
        <w:t>3(1)</w:t>
      </w:r>
    </w:p>
    <w:p>
      <w:pPr>
        <w:pStyle w:val="DefinedTerms"/>
      </w:pPr>
      <w:r>
        <w:t>Secretary</w:t>
      </w:r>
      <w:r>
        <w:tab/>
        <w:t>3(1)</w:t>
      </w:r>
    </w:p>
    <w:p>
      <w:pPr>
        <w:pStyle w:val="DefinedTerms"/>
      </w:pPr>
      <w:r>
        <w:t>secure webpage</w:t>
      </w:r>
      <w:r>
        <w:tab/>
        <w:t>115AC(1A)</w:t>
      </w:r>
    </w:p>
    <w:p>
      <w:pPr>
        <w:pStyle w:val="DefinedTerms"/>
      </w:pPr>
      <w:r>
        <w:t>sell</w:t>
      </w:r>
      <w:r>
        <w:tab/>
        <w:t>3(1)</w:t>
      </w:r>
    </w:p>
    <w:p>
      <w:pPr>
        <w:pStyle w:val="DefinedTerms"/>
      </w:pPr>
      <w:r>
        <w:t>seller</w:t>
      </w:r>
      <w:r>
        <w:tab/>
        <w:t>109(4A)</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115AA(1), 126E(1), 172(12)</w:t>
      </w:r>
    </w:p>
    <w:p>
      <w:pPr>
        <w:pStyle w:val="DefinedTerms"/>
      </w:pPr>
      <w:r>
        <w:t>spirits</w:t>
      </w:r>
      <w:r>
        <w:tab/>
        <w:t>3(1)</w:t>
      </w:r>
    </w:p>
    <w:p>
      <w:pPr>
        <w:pStyle w:val="DefinedTerms"/>
      </w:pPr>
      <w:r>
        <w:t>sports arena</w:t>
      </w:r>
      <w:r>
        <w:tab/>
        <w:t>110(4B)</w:t>
      </w:r>
    </w:p>
    <w:p>
      <w:pPr>
        <w:pStyle w:val="DefinedTerms"/>
      </w:pPr>
      <w:r>
        <w:t>State Branch Headquarters</w:t>
      </w:r>
      <w:r>
        <w:tab/>
        <w:t>Sch. 2 Div. 1 cl. 1, Sch. 2 Div. 2 cl. 1</w:t>
      </w:r>
    </w:p>
    <w:p>
      <w:pPr>
        <w:pStyle w:val="DefinedTerms"/>
      </w:pPr>
      <w:r>
        <w:t>State Executive</w:t>
      </w:r>
      <w:r>
        <w:tab/>
        <w:t>Sch. 2 Div. 1 cl. 1, Sch. 2 Div. 2 cl. 1</w:t>
      </w:r>
    </w:p>
    <w:p>
      <w:pPr>
        <w:pStyle w:val="DefinedTerms"/>
      </w:pPr>
      <w:r>
        <w:t>subsidy</w:t>
      </w:r>
      <w:r>
        <w:tab/>
        <w:t>3(1)</w:t>
      </w:r>
    </w:p>
    <w:p>
      <w:pPr>
        <w:pStyle w:val="DefinedTerms"/>
      </w:pPr>
      <w:r>
        <w:t>substance</w:t>
      </w:r>
      <w:r>
        <w:tab/>
        <w:t>3(1)</w:t>
      </w:r>
    </w:p>
    <w:p>
      <w:pPr>
        <w:pStyle w:val="DefinedTerms"/>
      </w:pPr>
      <w:r>
        <w:t>tavern licence</w:t>
      </w:r>
      <w:r>
        <w:tab/>
        <w:t>3(1)</w:t>
      </w:r>
    </w:p>
    <w:p>
      <w:pPr>
        <w:pStyle w:val="DefinedTerms"/>
      </w:pPr>
      <w:r>
        <w:t>tavern restricted licence</w:t>
      </w:r>
      <w:r>
        <w:tab/>
        <w:t>3(1)</w:t>
      </w:r>
    </w:p>
    <w:p>
      <w:pPr>
        <w:pStyle w:val="DefinedTerms"/>
      </w:pPr>
      <w:r>
        <w:t>the required day</w:t>
      </w:r>
      <w:r>
        <w:tab/>
        <w:t>62(4)</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transitioned approval</w:t>
      </w:r>
      <w:r>
        <w:tab/>
        <w:t>Sch. 1B cl. 3(1)</w:t>
      </w:r>
    </w:p>
    <w:p>
      <w:pPr>
        <w:pStyle w:val="DefinedTerms"/>
      </w:pPr>
      <w:r>
        <w:t>trustee</w:t>
      </w:r>
      <w:r>
        <w:tab/>
        <w:t>3(1)</w:t>
      </w:r>
    </w:p>
    <w:p>
      <w:pPr>
        <w:pStyle w:val="DefinedTerms"/>
      </w:pPr>
      <w:r>
        <w:t>vehicle</w:t>
      </w:r>
      <w:r>
        <w:tab/>
        <w:t>3(1)</w:t>
      </w:r>
    </w:p>
    <w:p>
      <w:pPr>
        <w:pStyle w:val="DefinedTerms"/>
      </w:pPr>
      <w:r>
        <w:t>wholesaler</w:t>
      </w:r>
      <w:r>
        <w:tab/>
        <w:t>129</w:t>
      </w:r>
    </w:p>
    <w:p>
      <w:pPr>
        <w:pStyle w:val="DefinedTerms"/>
      </w:pPr>
      <w:r>
        <w:t>wholesaler’s licence</w:t>
      </w:r>
      <w:r>
        <w:tab/>
        <w:t>3(1)</w:t>
      </w:r>
    </w:p>
    <w:p>
      <w:pPr>
        <w:pStyle w:val="DefinedTerms"/>
      </w:pPr>
      <w:r>
        <w:t>wine</w:t>
      </w:r>
      <w:r>
        <w:tab/>
        <w:t>3(1)</w:t>
      </w:r>
    </w:p>
    <w:p>
      <w:pPr>
        <w:pStyle w:val="DefinedTerms"/>
      </w:pPr>
      <w:r>
        <w:t>wine producing region</w:t>
      </w:r>
      <w:r>
        <w:tab/>
        <w:t>61A(1)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363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c>
        <w:tcPr>
          <w:tcW w:w="5760" w:type="dxa"/>
        </w:tcPr>
        <w:p>
          <w:pPr>
            <w:pStyle w:val="Header"/>
            <w:spacing w:before="40"/>
            <w:jc w:val="right"/>
          </w:pPr>
          <w:r>
            <w:fldChar w:fldCharType="begin"/>
          </w:r>
          <w:r>
            <w:instrText xml:space="preserve"> styleref CharSDivText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r>
    <w:tr>
      <w:trPr>
        <w:cantSplit/>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91" w:name="Compilation"/>
    <w:bookmarkEnd w:id="79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92" w:name="DefinedTerms"/>
    <w:bookmarkEnd w:id="79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93" w:name="Coversheet"/>
    <w:bookmarkEnd w:id="7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513" w:name="Schedule"/>
    <w:bookmarkEnd w:id="51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lvlText w:val="%1."/>
      <w:lvlJc w:val="left"/>
      <w:pPr>
        <w:tabs>
          <w:tab w:val="num" w:pos="1492"/>
        </w:tabs>
        <w:ind w:left="1492" w:hanging="360"/>
      </w:pPr>
    </w:lvl>
  </w:abstractNum>
  <w:abstractNum w:abstractNumId="1">
    <w:nsid w:val="FFFFFF7D"/>
    <w:multiLevelType w:val="singleLevel"/>
    <w:tmpl w:val="35E03BA0"/>
    <w:lvl w:ilvl="0">
      <w:start w:val="1"/>
      <w:numFmt w:val="decimal"/>
      <w:lvlText w:val="%1."/>
      <w:lvlJc w:val="left"/>
      <w:pPr>
        <w:tabs>
          <w:tab w:val="num" w:pos="1209"/>
        </w:tabs>
        <w:ind w:left="1209" w:hanging="360"/>
      </w:pPr>
    </w:lvl>
  </w:abstractNum>
  <w:abstractNum w:abstractNumId="2">
    <w:nsid w:val="FFFFFF7E"/>
    <w:multiLevelType w:val="singleLevel"/>
    <w:tmpl w:val="F228A5A4"/>
    <w:lvl w:ilvl="0">
      <w:start w:val="1"/>
      <w:numFmt w:val="decimal"/>
      <w:lvlText w:val="%1."/>
      <w:lvlJc w:val="left"/>
      <w:pPr>
        <w:tabs>
          <w:tab w:val="num" w:pos="926"/>
        </w:tabs>
        <w:ind w:left="926" w:hanging="360"/>
      </w:pPr>
    </w:lvl>
  </w:abstractNum>
  <w:abstractNum w:abstractNumId="3">
    <w:nsid w:val="FFFFFF7F"/>
    <w:multiLevelType w:val="singleLevel"/>
    <w:tmpl w:val="9C3887AA"/>
    <w:lvl w:ilvl="0">
      <w:start w:val="1"/>
      <w:numFmt w:val="decimal"/>
      <w:lvlText w:val="%1."/>
      <w:lvlJc w:val="left"/>
      <w:pPr>
        <w:tabs>
          <w:tab w:val="num" w:pos="643"/>
        </w:tabs>
        <w:ind w:left="643" w:hanging="360"/>
      </w:pPr>
    </w:lvl>
  </w:abstractNum>
  <w:abstractNum w:abstractNumId="4">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lvlText w:val="%1."/>
      <w:lvlJc w:val="left"/>
      <w:pPr>
        <w:tabs>
          <w:tab w:val="num" w:pos="360"/>
        </w:tabs>
        <w:ind w:left="360" w:hanging="360"/>
      </w:pPr>
    </w:lvl>
  </w:abstractNum>
  <w:abstractNum w:abstractNumId="9">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3A8091E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354"/>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 w:name="WAFER_20170111123354" w:val="RemoveTocBookmarks,RemoveUnusedBookmarks,RemoveLanguageTags,UsedStyles,ResetPageSize"/>
    <w:docVar w:name="WAFER_20170111123354_GUID" w:val="031a31d9-e76c-42de-af41-1143811ed3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B62F8-8096-4DEE-A2D4-35BCA125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379</Pages>
  <Words>98005</Words>
  <Characters>463568</Characters>
  <Application>Microsoft Office Word</Application>
  <DocSecurity>0</DocSecurity>
  <Lines>12528</Lines>
  <Paragraphs>7019</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554554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1988 - 08-g0-00</dc:title>
  <dc:subject/>
  <dc:creator/>
  <cp:keywords/>
  <dc:description/>
  <cp:lastModifiedBy>svcMRProcess</cp:lastModifiedBy>
  <cp:revision>4</cp:revision>
  <cp:lastPrinted>2018-07-16T03:46:00Z</cp:lastPrinted>
  <dcterms:created xsi:type="dcterms:W3CDTF">2018-09-04T06:05:00Z</dcterms:created>
  <dcterms:modified xsi:type="dcterms:W3CDTF">2018-09-04T06:06:00Z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CommencementDate">
    <vt:lpwstr>20180713</vt:lpwstr>
  </property>
  <property fmtid="{D5CDD505-2E9C-101B-9397-08002B2CF9AE}" pid="9" name="AsAtDate">
    <vt:lpwstr>13 Jul 2018</vt:lpwstr>
  </property>
  <property fmtid="{D5CDD505-2E9C-101B-9397-08002B2CF9AE}" pid="10" name="Suffix">
    <vt:lpwstr>08-g0-00</vt:lpwstr>
  </property>
</Properties>
</file>