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_Toc522197183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_Toc522197184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_Toc522197185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_Toc522197186 \h </w:instrText>
      </w:r>
      <w:r>
        <w:fldChar w:fldCharType="separate"/>
      </w:r>
      <w:r>
        <w:t>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_Toc522197187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_Toc522197188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_Toc522197189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_Toc522197192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_Toc522197194 \h </w:instrText>
      </w:r>
      <w:r>
        <w:fldChar w:fldCharType="separate"/>
      </w:r>
      <w:r>
        <w:t>18</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_Toc522197195 \h </w:instrText>
      </w:r>
      <w:r>
        <w:fldChar w:fldCharType="separate"/>
      </w:r>
      <w:r>
        <w:t>19</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_Toc522197196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_Toc522197198 \h </w:instrText>
      </w:r>
      <w:r>
        <w:fldChar w:fldCharType="separate"/>
      </w:r>
      <w:r>
        <w:t>19</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_Toc522197199 \h </w:instrText>
      </w:r>
      <w:r>
        <w:fldChar w:fldCharType="separate"/>
      </w:r>
      <w:r>
        <w:t>20</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_Toc522197200 \h </w:instrText>
      </w:r>
      <w:r>
        <w:fldChar w:fldCharType="separate"/>
      </w:r>
      <w:r>
        <w:t>20</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_Toc522197201 \h </w:instrText>
      </w:r>
      <w:r>
        <w:fldChar w:fldCharType="separate"/>
      </w:r>
      <w:r>
        <w:t>21</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_Toc522197202 \h </w:instrText>
      </w:r>
      <w:r>
        <w:fldChar w:fldCharType="separate"/>
      </w:r>
      <w:r>
        <w:t>21</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_Toc522197203 \h </w:instrText>
      </w:r>
      <w:r>
        <w:fldChar w:fldCharType="separate"/>
      </w:r>
      <w:r>
        <w:t>21</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_Toc522197204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_Toc522197206 \h </w:instrText>
      </w:r>
      <w:r>
        <w:fldChar w:fldCharType="separate"/>
      </w:r>
      <w:r>
        <w:t>22</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_Toc522197207 \h </w:instrText>
      </w:r>
      <w:r>
        <w:fldChar w:fldCharType="separate"/>
      </w:r>
      <w:r>
        <w:t>22</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_Toc522197208 \h </w:instrText>
      </w:r>
      <w:r>
        <w:fldChar w:fldCharType="separate"/>
      </w:r>
      <w:r>
        <w:t>23</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_Toc522197209 \h </w:instrText>
      </w:r>
      <w:r>
        <w:fldChar w:fldCharType="separate"/>
      </w:r>
      <w:r>
        <w:t>24</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_Toc522197210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_Toc522197212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_Toc522197213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_Toc522197215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_Toc522197217 \h </w:instrText>
      </w:r>
      <w:r>
        <w:fldChar w:fldCharType="separate"/>
      </w:r>
      <w:r>
        <w:t>28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_Toc522197218 \h </w:instrText>
      </w:r>
      <w:r>
        <w:fldChar w:fldCharType="separate"/>
      </w:r>
      <w:r>
        <w:t>31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_Toc522197219 \h </w:instrText>
      </w:r>
      <w:r>
        <w:fldChar w:fldCharType="separate"/>
      </w:r>
      <w:r>
        <w:t>32</w:t>
      </w:r>
      <w:r>
        <w:fldChar w:fldCharType="end"/>
      </w:r>
    </w:p>
    <w:p>
      <w:pPr>
        <w:pStyle w:val="TOC8"/>
        <w:rPr>
          <w:rFonts w:asciiTheme="minorHAnsi" w:eastAsiaTheme="minorEastAsia" w:hAnsiTheme="minorHAnsi" w:cstheme="minorBidi"/>
          <w:szCs w:val="22"/>
        </w:rPr>
      </w:pPr>
      <w:r>
        <w:t>18AA.</w:t>
      </w:r>
      <w:r>
        <w:tab/>
        <w:t>Notice of decision</w:t>
      </w:r>
      <w:r>
        <w:tab/>
      </w:r>
      <w:r>
        <w:fldChar w:fldCharType="begin"/>
      </w:r>
      <w:r>
        <w:instrText xml:space="preserve"> PAGEREF _Toc522197220 \h </w:instrText>
      </w:r>
      <w:r>
        <w:fldChar w:fldCharType="separate"/>
      </w:r>
      <w:r>
        <w:t>33</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_Toc522197221 \h </w:instrText>
      </w:r>
      <w:r>
        <w:fldChar w:fldCharType="separate"/>
      </w:r>
      <w:r>
        <w:t>34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_Toc522197222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_Toc522197223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_Toc522197224 \h </w:instrText>
      </w:r>
      <w:r>
        <w:fldChar w:fldCharType="separate"/>
      </w:r>
      <w:r>
        <w:t>36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_Toc522197225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_Toc522197226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_Toc522197228 \h </w:instrText>
      </w:r>
      <w:r>
        <w:fldChar w:fldCharType="separate"/>
      </w:r>
      <w:r>
        <w:t>38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_Toc522197229 \h </w:instrText>
      </w:r>
      <w:r>
        <w:fldChar w:fldCharType="separate"/>
      </w:r>
      <w:r>
        <w:t>39</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_Toc522197230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_Toc522197231 \h </w:instrText>
      </w:r>
      <w:r>
        <w:fldChar w:fldCharType="separate"/>
      </w:r>
      <w:r>
        <w:t>42</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_Toc522197232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_Toc522197233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_Toc522197235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_Toc522197238 \h </w:instrText>
      </w:r>
      <w:r>
        <w:fldChar w:fldCharType="separate"/>
      </w:r>
      <w:r>
        <w:t>48</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_Toc522197239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_Toc522197240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_Toc522197241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_Toc522197242 \h </w:instrText>
      </w:r>
      <w:r>
        <w:fldChar w:fldCharType="separate"/>
      </w:r>
      <w:r>
        <w:t>51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_Toc522197243 \h </w:instrText>
      </w:r>
      <w:r>
        <w:fldChar w:fldCharType="separate"/>
      </w:r>
      <w:r>
        <w:t>54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_Toc522197244 \h </w:instrText>
      </w:r>
      <w:r>
        <w:fldChar w:fldCharType="separate"/>
      </w:r>
      <w:r>
        <w:t>56</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_Toc522197245 \h </w:instrText>
      </w:r>
      <w:r>
        <w:fldChar w:fldCharType="separate"/>
      </w:r>
      <w:r>
        <w:t>56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_Toc522197246 \h </w:instrText>
      </w:r>
      <w:r>
        <w:fldChar w:fldCharType="separate"/>
      </w:r>
      <w:r>
        <w:t>57</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_Toc522197247 \h </w:instrText>
      </w:r>
      <w:r>
        <w:fldChar w:fldCharType="separate"/>
      </w:r>
      <w:r>
        <w:t>57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_Toc522197248 \h </w:instrText>
      </w:r>
      <w:r>
        <w:fldChar w:fldCharType="separate"/>
      </w:r>
      <w:r>
        <w:t>58</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_Toc522197249 \h </w:instrText>
      </w:r>
      <w:r>
        <w:fldChar w:fldCharType="separate"/>
      </w:r>
      <w:r>
        <w:t>61</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_Toc522197250 \h </w:instrText>
      </w:r>
      <w:r>
        <w:fldChar w:fldCharType="separate"/>
      </w:r>
      <w:r>
        <w:t>62</w:t>
      </w:r>
      <w:r>
        <w:fldChar w:fldCharType="end"/>
      </w:r>
    </w:p>
    <w:p>
      <w:pPr>
        <w:pStyle w:val="TOC8"/>
        <w:rPr>
          <w:rFonts w:asciiTheme="minorHAnsi" w:eastAsiaTheme="minorEastAsia" w:hAnsiTheme="minorHAnsi" w:cstheme="minorBidi"/>
          <w:szCs w:val="22"/>
        </w:rPr>
      </w:pPr>
      <w:r>
        <w:t>37C.</w:t>
      </w:r>
      <w:r>
        <w:tab/>
        <w:t>Register of licensed premises</w:t>
      </w:r>
      <w:r>
        <w:tab/>
      </w:r>
      <w:r>
        <w:fldChar w:fldCharType="begin"/>
      </w:r>
      <w:r>
        <w:instrText xml:space="preserve"> PAGEREF _Toc522197251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_Toc522197253 \h </w:instrText>
      </w:r>
      <w:r>
        <w:fldChar w:fldCharType="separate"/>
      </w:r>
      <w:r>
        <w:t>64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_Toc522197254 \h </w:instrText>
      </w:r>
      <w:r>
        <w:fldChar w:fldCharType="separate"/>
      </w:r>
      <w:r>
        <w:t>65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_Toc522197255 \h </w:instrText>
      </w:r>
      <w:r>
        <w:fldChar w:fldCharType="separate"/>
      </w:r>
      <w:r>
        <w:t>66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_Toc522197256 \h </w:instrText>
      </w:r>
      <w:r>
        <w:fldChar w:fldCharType="separate"/>
      </w:r>
      <w:r>
        <w:t>67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_Toc522197257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_Toc522197258 \h </w:instrText>
      </w:r>
      <w:r>
        <w:fldChar w:fldCharType="separate"/>
      </w:r>
      <w:r>
        <w:t>71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_Toc522197259 \h </w:instrText>
      </w:r>
      <w:r>
        <w:fldChar w:fldCharType="separate"/>
      </w:r>
      <w:r>
        <w:t>71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_Toc522197260 \h </w:instrText>
      </w:r>
      <w:r>
        <w:fldChar w:fldCharType="separate"/>
      </w:r>
      <w:r>
        <w:t>72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_Toc522197261 \h </w:instrText>
      </w:r>
      <w:r>
        <w:fldChar w:fldCharType="separate"/>
      </w:r>
      <w:r>
        <w:t>73</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_Toc522197262 \h </w:instrText>
      </w:r>
      <w:r>
        <w:fldChar w:fldCharType="separate"/>
      </w:r>
      <w:r>
        <w:t>75</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_Toc522197263 \h </w:instrText>
      </w:r>
      <w:r>
        <w:fldChar w:fldCharType="separate"/>
      </w:r>
      <w:r>
        <w:t>75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_Toc522197264 \h </w:instrText>
      </w:r>
      <w:r>
        <w:fldChar w:fldCharType="separate"/>
      </w:r>
      <w:r>
        <w:t>76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_Toc522197265 \h </w:instrText>
      </w:r>
      <w:r>
        <w:fldChar w:fldCharType="separate"/>
      </w:r>
      <w:r>
        <w:t>77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_Toc522197266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_Toc522197267 \h </w:instrText>
      </w:r>
      <w:r>
        <w:fldChar w:fldCharType="separate"/>
      </w:r>
      <w:r>
        <w:t>83</w:t>
      </w:r>
      <w:r>
        <w:fldChar w:fldCharType="end"/>
      </w:r>
    </w:p>
    <w:p>
      <w:pPr>
        <w:pStyle w:val="TOC8"/>
        <w:rPr>
          <w:rFonts w:asciiTheme="minorHAnsi" w:eastAsiaTheme="minorEastAsia" w:hAnsiTheme="minorHAnsi" w:cstheme="minorBidi"/>
          <w:szCs w:val="22"/>
        </w:rPr>
      </w:pPr>
      <w:r>
        <w:t>50A.</w:t>
      </w:r>
      <w:r>
        <w:tab/>
        <w:t>Issue of extended trading permit under s. 60(4)(ca) for certain restaurant licences at time of grant</w:t>
      </w:r>
      <w:r>
        <w:tab/>
      </w:r>
      <w:r>
        <w:fldChar w:fldCharType="begin"/>
      </w:r>
      <w:r>
        <w:instrText xml:space="preserve"> PAGEREF _Toc522197268 \h </w:instrText>
      </w:r>
      <w:r>
        <w:fldChar w:fldCharType="separate"/>
      </w:r>
      <w:r>
        <w:t>85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_Toc522197269 \h </w:instrText>
      </w:r>
      <w:r>
        <w:fldChar w:fldCharType="separate"/>
      </w:r>
      <w:r>
        <w:t>85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_Toc522197270 \h </w:instrText>
      </w:r>
      <w:r>
        <w:fldChar w:fldCharType="separate"/>
      </w:r>
      <w:r>
        <w:t>86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_Toc522197271 \h </w:instrText>
      </w:r>
      <w:r>
        <w:fldChar w:fldCharType="separate"/>
      </w:r>
      <w:r>
        <w:t>87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_Toc522197272 \h </w:instrText>
      </w:r>
      <w:r>
        <w:fldChar w:fldCharType="separate"/>
      </w:r>
      <w:r>
        <w:t>88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_Toc522197273 \h </w:instrText>
      </w:r>
      <w:r>
        <w:fldChar w:fldCharType="separate"/>
      </w:r>
      <w:r>
        <w:t>89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_Toc522197274 \h </w:instrText>
      </w:r>
      <w:r>
        <w:fldChar w:fldCharType="separate"/>
      </w:r>
      <w:r>
        <w:t>89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_Toc522197275 \h </w:instrText>
      </w:r>
      <w:r>
        <w:fldChar w:fldCharType="separate"/>
      </w:r>
      <w:r>
        <w:t>90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_Toc522197276 \h </w:instrText>
      </w:r>
      <w:r>
        <w:fldChar w:fldCharType="separate"/>
      </w:r>
      <w:r>
        <w:t>92</w:t>
      </w:r>
      <w:r>
        <w:fldChar w:fldCharType="end"/>
      </w:r>
    </w:p>
    <w:p>
      <w:pPr>
        <w:pStyle w:val="TOC8"/>
        <w:rPr>
          <w:rFonts w:asciiTheme="minorHAnsi" w:eastAsiaTheme="minorEastAsia" w:hAnsiTheme="minorHAnsi" w:cstheme="minorBidi"/>
          <w:szCs w:val="22"/>
        </w:rPr>
      </w:pPr>
      <w:r>
        <w:t>59A.</w:t>
      </w:r>
      <w:r>
        <w:tab/>
        <w:t>Additional authorisations relating to supply and sale of liquor on licensed premises</w:t>
      </w:r>
      <w:r>
        <w:tab/>
      </w:r>
      <w:r>
        <w:fldChar w:fldCharType="begin"/>
      </w:r>
      <w:r>
        <w:instrText xml:space="preserve"> PAGEREF _Toc522197277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_Toc522197279 \h </w:instrText>
      </w:r>
      <w:r>
        <w:fldChar w:fldCharType="separate"/>
      </w:r>
      <w:r>
        <w:t>95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_Toc522197280 \h </w:instrText>
      </w:r>
      <w:r>
        <w:fldChar w:fldCharType="separate"/>
      </w:r>
      <w:r>
        <w:t>101</w:t>
      </w:r>
      <w:r>
        <w:fldChar w:fldCharType="end"/>
      </w:r>
    </w:p>
    <w:p>
      <w:pPr>
        <w:pStyle w:val="TOC8"/>
        <w:rPr>
          <w:rFonts w:asciiTheme="minorHAnsi" w:eastAsiaTheme="minorEastAsia" w:hAnsiTheme="minorHAnsi" w:cstheme="minorBidi"/>
          <w:szCs w:val="22"/>
        </w:rPr>
      </w:pPr>
      <w:r>
        <w:t>61A.</w:t>
      </w:r>
      <w:r>
        <w:tab/>
        <w:t>Extended trading permit for sale of liquor (s. 60(4)(ia))</w:t>
      </w:r>
      <w:r>
        <w:tab/>
      </w:r>
      <w:r>
        <w:fldChar w:fldCharType="begin"/>
      </w:r>
      <w:r>
        <w:instrText xml:space="preserve"> PAGEREF _Toc522197281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_Toc522197283 \h </w:instrText>
      </w:r>
      <w:r>
        <w:fldChar w:fldCharType="separate"/>
      </w:r>
      <w:r>
        <w:t>103</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_Toc522197284 \h </w:instrText>
      </w:r>
      <w:r>
        <w:fldChar w:fldCharType="separate"/>
      </w:r>
      <w:r>
        <w:t>106</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_Toc522197285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_Toc522197287 \h </w:instrText>
      </w:r>
      <w:r>
        <w:fldChar w:fldCharType="separate"/>
      </w:r>
      <w:r>
        <w:t>107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_Toc522197288 \h </w:instrText>
      </w:r>
      <w:r>
        <w:fldChar w:fldCharType="separate"/>
      </w:r>
      <w:r>
        <w:t>108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Packaged liquor, conditions relating to sale of for consumption off licensed premises</w:t>
      </w:r>
      <w:r>
        <w:tab/>
      </w:r>
      <w:r>
        <w:fldChar w:fldCharType="begin"/>
      </w:r>
      <w:r>
        <w:instrText xml:space="preserve"> PAGEREF _Toc522197289 \h </w:instrText>
      </w:r>
      <w:r>
        <w:fldChar w:fldCharType="separate"/>
      </w:r>
      <w:r>
        <w:t>113</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_Toc522197290 \h </w:instrText>
      </w:r>
      <w:r>
        <w:fldChar w:fldCharType="separate"/>
      </w:r>
      <w:r>
        <w:t>114</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_Toc522197291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_Toc522197293 \h </w:instrText>
      </w:r>
      <w:r>
        <w:fldChar w:fldCharType="separate"/>
      </w:r>
      <w:r>
        <w:t>116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_Toc522197294 \h </w:instrText>
      </w:r>
      <w:r>
        <w:fldChar w:fldCharType="separate"/>
      </w:r>
      <w:r>
        <w:t>117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_Toc522197295 \h </w:instrText>
      </w:r>
      <w:r>
        <w:fldChar w:fldCharType="separate"/>
      </w:r>
      <w:r>
        <w:t>117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_Toc522197296 \h </w:instrText>
      </w:r>
      <w:r>
        <w:fldChar w:fldCharType="separate"/>
      </w:r>
      <w:r>
        <w:t>118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_Toc522197297 \h </w:instrText>
      </w:r>
      <w:r>
        <w:fldChar w:fldCharType="separate"/>
      </w:r>
      <w:r>
        <w:t>123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_Toc522197298 \h </w:instrText>
      </w:r>
      <w:r>
        <w:fldChar w:fldCharType="separate"/>
      </w:r>
      <w:r>
        <w:t>123</w:t>
      </w:r>
      <w:r>
        <w:fldChar w:fldCharType="end"/>
      </w:r>
    </w:p>
    <w:p>
      <w:pPr>
        <w:pStyle w:val="TOC8"/>
        <w:rPr>
          <w:rFonts w:asciiTheme="minorHAnsi" w:eastAsiaTheme="minorEastAsia" w:hAnsiTheme="minorHAnsi" w:cstheme="minorBidi"/>
          <w:szCs w:val="22"/>
        </w:rPr>
      </w:pPr>
      <w:r>
        <w:t>72A.</w:t>
      </w:r>
      <w:r>
        <w:tab/>
        <w:t>Submissions generally</w:t>
      </w:r>
      <w:r>
        <w:tab/>
      </w:r>
      <w:r>
        <w:fldChar w:fldCharType="begin"/>
      </w:r>
      <w:r>
        <w:instrText xml:space="preserve"> PAGEREF _Toc522197299 \h </w:instrText>
      </w:r>
      <w:r>
        <w:fldChar w:fldCharType="separate"/>
      </w:r>
      <w:r>
        <w:t>124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_Toc522197300 \h </w:instrText>
      </w:r>
      <w:r>
        <w:fldChar w:fldCharType="separate"/>
      </w:r>
      <w:r>
        <w:t>125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_Toc522197301 \h </w:instrText>
      </w:r>
      <w:r>
        <w:fldChar w:fldCharType="separate"/>
      </w:r>
      <w:r>
        <w:t>127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_Toc522197302 \h </w:instrText>
      </w:r>
      <w:r>
        <w:fldChar w:fldCharType="separate"/>
      </w:r>
      <w:r>
        <w:t>129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_Toc522197303 \h </w:instrText>
      </w:r>
      <w:r>
        <w:fldChar w:fldCharType="separate"/>
      </w:r>
      <w:r>
        <w:t>130</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_Toc522197304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_Toc522197306 \h </w:instrText>
      </w:r>
      <w:r>
        <w:fldChar w:fldCharType="separate"/>
      </w:r>
      <w:r>
        <w:t>133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_Toc522197307 \h </w:instrText>
      </w:r>
      <w:r>
        <w:fldChar w:fldCharType="separate"/>
      </w:r>
      <w:r>
        <w:t>133</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_Toc522197308 \h </w:instrText>
      </w:r>
      <w:r>
        <w:fldChar w:fldCharType="separate"/>
      </w:r>
      <w:r>
        <w:t>133</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_Toc522197309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_Toc522197311 \h </w:instrText>
      </w:r>
      <w:r>
        <w:fldChar w:fldCharType="separate"/>
      </w:r>
      <w:r>
        <w:t>136</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_Toc522197312 \h </w:instrText>
      </w:r>
      <w:r>
        <w:fldChar w:fldCharType="separate"/>
      </w:r>
      <w:r>
        <w:t>136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_Toc522197313 \h </w:instrText>
      </w:r>
      <w:r>
        <w:fldChar w:fldCharType="separate"/>
      </w:r>
      <w:r>
        <w:t>137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_Toc522197314 \h </w:instrText>
      </w:r>
      <w:r>
        <w:fldChar w:fldCharType="separate"/>
      </w:r>
      <w:r>
        <w:t>137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_Toc522197315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_Toc522197317 \h </w:instrText>
      </w:r>
      <w:r>
        <w:fldChar w:fldCharType="separate"/>
      </w:r>
      <w:r>
        <w:t>140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_Toc522197318 \h </w:instrText>
      </w:r>
      <w:r>
        <w:fldChar w:fldCharType="separate"/>
      </w:r>
      <w:r>
        <w:t>143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_Toc522197319 \h </w:instrText>
      </w:r>
      <w:r>
        <w:fldChar w:fldCharType="separate"/>
      </w:r>
      <w:r>
        <w:t>146</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_Toc522197320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_Toc522197322 \h </w:instrText>
      </w:r>
      <w:r>
        <w:fldChar w:fldCharType="separate"/>
      </w:r>
      <w:r>
        <w:t>147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_Toc522197323 \h </w:instrText>
      </w:r>
      <w:r>
        <w:fldChar w:fldCharType="separate"/>
      </w:r>
      <w:r>
        <w:t>148</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_Toc522197324 \h </w:instrText>
      </w:r>
      <w:r>
        <w:fldChar w:fldCharType="separate"/>
      </w:r>
      <w:r>
        <w:t>148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_Toc522197325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_Toc522197327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_Toc522197329 \h </w:instrText>
      </w:r>
      <w:r>
        <w:fldChar w:fldCharType="separate"/>
      </w:r>
      <w:r>
        <w:t>151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_Toc522197330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_Toc522197333 \h </w:instrText>
      </w:r>
      <w:r>
        <w:fldChar w:fldCharType="separate"/>
      </w:r>
      <w:r>
        <w:t>158</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_Toc522197334 \h </w:instrText>
      </w:r>
      <w:r>
        <w:fldChar w:fldCharType="separate"/>
      </w:r>
      <w:r>
        <w:t>158</w:t>
      </w:r>
      <w:r>
        <w:fldChar w:fldCharType="end"/>
      </w:r>
    </w:p>
    <w:p>
      <w:pPr>
        <w:pStyle w:val="TOC8"/>
        <w:rPr>
          <w:rFonts w:asciiTheme="minorHAnsi" w:eastAsiaTheme="minorEastAsia" w:hAnsiTheme="minorHAnsi" w:cstheme="minorBidi"/>
          <w:szCs w:val="22"/>
        </w:rPr>
      </w:pPr>
      <w:r>
        <w:t>98AA.</w:t>
      </w:r>
      <w:r>
        <w:tab/>
        <w:t>Permitted hours under small bar licence</w:t>
      </w:r>
      <w:r>
        <w:tab/>
      </w:r>
      <w:r>
        <w:fldChar w:fldCharType="begin"/>
      </w:r>
      <w:r>
        <w:instrText xml:space="preserve"> PAGEREF _Toc522197335 \h </w:instrText>
      </w:r>
      <w:r>
        <w:fldChar w:fldCharType="separate"/>
      </w:r>
      <w:r>
        <w:t>159</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_Toc522197336 \h </w:instrText>
      </w:r>
      <w:r>
        <w:fldChar w:fldCharType="separate"/>
      </w:r>
      <w:r>
        <w:t>159</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_Toc522197337 \h </w:instrText>
      </w:r>
      <w:r>
        <w:fldChar w:fldCharType="separate"/>
      </w:r>
      <w:r>
        <w:t>160</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_Toc522197338 \h </w:instrText>
      </w:r>
      <w:r>
        <w:fldChar w:fldCharType="separate"/>
      </w:r>
      <w:r>
        <w:t>160</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_Toc522197339 \h </w:instrText>
      </w:r>
      <w:r>
        <w:fldChar w:fldCharType="separate"/>
      </w:r>
      <w:r>
        <w:t>161</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_Toc522197340 \h </w:instrText>
      </w:r>
      <w:r>
        <w:fldChar w:fldCharType="separate"/>
      </w:r>
      <w:r>
        <w:t>161</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_Toc522197341 \h </w:instrText>
      </w:r>
      <w:r>
        <w:fldChar w:fldCharType="separate"/>
      </w:r>
      <w:r>
        <w:t>163</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_Toc522197342 \h </w:instrText>
      </w:r>
      <w:r>
        <w:fldChar w:fldCharType="separate"/>
      </w:r>
      <w:r>
        <w:t>163</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_Toc522197343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_Toc522197345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_Toc522197348 \h </w:instrText>
      </w:r>
      <w:r>
        <w:fldChar w:fldCharType="separate"/>
      </w:r>
      <w:r>
        <w:t>165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_Toc522197349 \h </w:instrText>
      </w:r>
      <w:r>
        <w:fldChar w:fldCharType="separate"/>
      </w:r>
      <w:r>
        <w:t>168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_Toc522197351 \h </w:instrText>
      </w:r>
      <w:r>
        <w:fldChar w:fldCharType="separate"/>
      </w:r>
      <w:r>
        <w:t>169</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_Toc522197352 \h </w:instrText>
      </w:r>
      <w:r>
        <w:fldChar w:fldCharType="separate"/>
      </w:r>
      <w:r>
        <w:t>169</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_Toc522197353 \h </w:instrText>
      </w:r>
      <w:r>
        <w:fldChar w:fldCharType="separate"/>
      </w:r>
      <w:r>
        <w:t>170</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_Toc522197354 \h </w:instrText>
      </w:r>
      <w:r>
        <w:fldChar w:fldCharType="separate"/>
      </w:r>
      <w:r>
        <w:t>170</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_Toc522197355 \h </w:instrText>
      </w:r>
      <w:r>
        <w:fldChar w:fldCharType="separate"/>
      </w:r>
      <w:r>
        <w:t>170</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_Toc522197356 \h </w:instrText>
      </w:r>
      <w:r>
        <w:fldChar w:fldCharType="separate"/>
      </w:r>
      <w:r>
        <w:t>170</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_Toc522197357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_Toc522197359 \h </w:instrText>
      </w:r>
      <w:r>
        <w:fldChar w:fldCharType="separate"/>
      </w:r>
      <w:r>
        <w:t>172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_Toc522197360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_Toc522197362 \h </w:instrText>
      </w:r>
      <w:r>
        <w:fldChar w:fldCharType="separate"/>
      </w:r>
      <w:r>
        <w:t>173</w:t>
      </w:r>
      <w:r>
        <w:fldChar w:fldCharType="end"/>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_Toc522197363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_Toc522197365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_Toc522197367 \h </w:instrText>
      </w:r>
      <w:r>
        <w:fldChar w:fldCharType="separate"/>
      </w:r>
      <w:r>
        <w:t>177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_Toc522197368 \h </w:instrText>
      </w:r>
      <w:r>
        <w:fldChar w:fldCharType="separate"/>
      </w:r>
      <w:r>
        <w:t>177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_Toc522197369 \h </w:instrText>
      </w:r>
      <w:r>
        <w:fldChar w:fldCharType="separate"/>
      </w:r>
      <w:r>
        <w:t>178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_Toc522197371 \h </w:instrText>
      </w:r>
      <w:r>
        <w:fldChar w:fldCharType="separate"/>
      </w:r>
      <w:r>
        <w:t>179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_Toc522197372 \h </w:instrText>
      </w:r>
      <w:r>
        <w:fldChar w:fldCharType="separate"/>
      </w:r>
      <w:r>
        <w:t>179</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_Toc522197373 \h </w:instrText>
      </w:r>
      <w:r>
        <w:fldChar w:fldCharType="separate"/>
      </w:r>
      <w:r>
        <w:t>182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_Toc522197374 \h </w:instrText>
      </w:r>
      <w:r>
        <w:fldChar w:fldCharType="separate"/>
      </w:r>
      <w:r>
        <w:t>185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_Toc522197375 \h </w:instrText>
      </w:r>
      <w:r>
        <w:fldChar w:fldCharType="separate"/>
      </w:r>
      <w:r>
        <w:t>186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_Toc522197376 \h </w:instrText>
      </w:r>
      <w:r>
        <w:fldChar w:fldCharType="separate"/>
      </w:r>
      <w:r>
        <w:t>188</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_Toc522197377 \h </w:instrText>
      </w:r>
      <w:r>
        <w:fldChar w:fldCharType="separate"/>
      </w:r>
      <w:r>
        <w:t>188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_Toc522197378 \h </w:instrText>
      </w:r>
      <w:r>
        <w:fldChar w:fldCharType="separate"/>
      </w:r>
      <w:r>
        <w:t>189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_Toc522197379 \h </w:instrText>
      </w:r>
      <w:r>
        <w:fldChar w:fldCharType="separate"/>
      </w:r>
      <w:r>
        <w:t>190</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_Toc522197380 \h </w:instrText>
      </w:r>
      <w:r>
        <w:fldChar w:fldCharType="separate"/>
      </w:r>
      <w:r>
        <w:t>194</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_Toc522197381 \h </w:instrText>
      </w:r>
      <w:r>
        <w:fldChar w:fldCharType="separate"/>
      </w:r>
      <w:r>
        <w:t>196</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_Toc522197382 \h </w:instrText>
      </w:r>
      <w:r>
        <w:fldChar w:fldCharType="separate"/>
      </w:r>
      <w:r>
        <w:t>196</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_Toc522197383 \h </w:instrText>
      </w:r>
      <w:r>
        <w:fldChar w:fldCharType="separate"/>
      </w:r>
      <w:r>
        <w:t>197</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_Toc522197384 \h </w:instrText>
      </w:r>
      <w:r>
        <w:fldChar w:fldCharType="separate"/>
      </w:r>
      <w:r>
        <w:t>199</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_Toc522197385 \h </w:instrText>
      </w:r>
      <w:r>
        <w:fldChar w:fldCharType="separate"/>
      </w:r>
      <w:r>
        <w:t>199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_Toc522197386 \h </w:instrText>
      </w:r>
      <w:r>
        <w:fldChar w:fldCharType="separate"/>
      </w:r>
      <w:r>
        <w:t>200</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_Toc522197387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_Toc522197389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_Toc522197391 \h </w:instrText>
      </w:r>
      <w:r>
        <w:fldChar w:fldCharType="separate"/>
      </w:r>
      <w:r>
        <w:t>207</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_Toc522197392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_Toc522197394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_Toc522197396 \h </w:instrText>
      </w:r>
      <w:r>
        <w:fldChar w:fldCharType="separate"/>
      </w:r>
      <w:r>
        <w:t>212</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_Toc522197397 \h </w:instrText>
      </w:r>
      <w:r>
        <w:fldChar w:fldCharType="separate"/>
      </w:r>
      <w:r>
        <w:t>214</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_Toc522197398 \h </w:instrText>
      </w:r>
      <w:r>
        <w:fldChar w:fldCharType="separate"/>
      </w:r>
      <w:r>
        <w:t>218</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_Toc522197399 \h </w:instrText>
      </w:r>
      <w:r>
        <w:fldChar w:fldCharType="separate"/>
      </w:r>
      <w:r>
        <w:t>219</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_Toc522197400 \h </w:instrText>
      </w:r>
      <w:r>
        <w:fldChar w:fldCharType="separate"/>
      </w:r>
      <w:r>
        <w:t>221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_Toc522197401 \h </w:instrText>
      </w:r>
      <w:r>
        <w:fldChar w:fldCharType="separate"/>
      </w:r>
      <w:r>
        <w:t>221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_Toc522197402 \h </w:instrText>
      </w:r>
      <w:r>
        <w:fldChar w:fldCharType="separate"/>
      </w:r>
      <w:r>
        <w:t>222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_Toc522197403 \h </w:instrText>
      </w:r>
      <w:r>
        <w:fldChar w:fldCharType="separate"/>
      </w:r>
      <w:r>
        <w:t>223</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_Toc522197404 \h </w:instrText>
      </w:r>
      <w:r>
        <w:fldChar w:fldCharType="separate"/>
      </w:r>
      <w:r>
        <w:t>225</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_Toc522197405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_Toc522197407 \h </w:instrText>
      </w:r>
      <w:r>
        <w:fldChar w:fldCharType="separate"/>
      </w:r>
      <w:r>
        <w:t>227</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_Toc522197408 \h </w:instrText>
      </w:r>
      <w:r>
        <w:fldChar w:fldCharType="separate"/>
      </w:r>
      <w:r>
        <w:t>227</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_Toc522197409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_Toc522197412 \h </w:instrText>
      </w:r>
      <w:r>
        <w:fldChar w:fldCharType="separate"/>
      </w:r>
      <w:r>
        <w:t>230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_Toc522197413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_Toc522197415 \h </w:instrText>
      </w:r>
      <w:r>
        <w:fldChar w:fldCharType="separate"/>
      </w:r>
      <w:r>
        <w:t>231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_Toc522197416 \h </w:instrText>
      </w:r>
      <w:r>
        <w:fldChar w:fldCharType="separate"/>
      </w:r>
      <w:r>
        <w:t>231</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_Toc522197417 \h </w:instrText>
      </w:r>
      <w:r>
        <w:fldChar w:fldCharType="separate"/>
      </w:r>
      <w:r>
        <w:t>232</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_Toc522197418 \h </w:instrText>
      </w:r>
      <w:r>
        <w:fldChar w:fldCharType="separate"/>
      </w:r>
      <w:r>
        <w:t>232</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_Toc522197419 \h </w:instrText>
      </w:r>
      <w:r>
        <w:fldChar w:fldCharType="separate"/>
      </w:r>
      <w:r>
        <w:t>232</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_Toc522197420 \h </w:instrText>
      </w:r>
      <w:r>
        <w:fldChar w:fldCharType="separate"/>
      </w:r>
      <w:r>
        <w:t>233</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_Toc522197421 \h </w:instrText>
      </w:r>
      <w:r>
        <w:fldChar w:fldCharType="separate"/>
      </w:r>
      <w:r>
        <w:t>233</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_Toc522197422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_Toc522197424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_Toc522197426 \h </w:instrText>
      </w:r>
      <w:r>
        <w:fldChar w:fldCharType="separate"/>
      </w:r>
      <w:r>
        <w:t>236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_Toc522197427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_Toc522197429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_Toc522197431 \h </w:instrText>
      </w:r>
      <w:r>
        <w:fldChar w:fldCharType="separate"/>
      </w:r>
      <w:r>
        <w:t>239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_Toc522197432 \h </w:instrText>
      </w:r>
      <w:r>
        <w:fldChar w:fldCharType="separate"/>
      </w:r>
      <w:r>
        <w:t>239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_Toc522197433 \h </w:instrText>
      </w:r>
      <w:r>
        <w:fldChar w:fldCharType="separate"/>
      </w:r>
      <w:r>
        <w:t>239</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_Toc522197434 \h </w:instrText>
      </w:r>
      <w:r>
        <w:fldChar w:fldCharType="separate"/>
      </w:r>
      <w:r>
        <w:t>240</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_Toc522197435 \h </w:instrText>
      </w:r>
      <w:r>
        <w:fldChar w:fldCharType="separate"/>
      </w:r>
      <w:r>
        <w:t>240</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_Toc522197437 \h </w:instrText>
      </w:r>
      <w:r>
        <w:fldChar w:fldCharType="separate"/>
      </w:r>
      <w:r>
        <w:t>242</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_Toc522197438 \h </w:instrText>
      </w:r>
      <w:r>
        <w:fldChar w:fldCharType="separate"/>
      </w:r>
      <w:r>
        <w:t>242</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_Toc522197439 \h </w:instrText>
      </w:r>
      <w:r>
        <w:fldChar w:fldCharType="separate"/>
      </w:r>
      <w:r>
        <w:t>243</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_Toc522197440 \h </w:instrText>
      </w:r>
      <w:r>
        <w:fldChar w:fldCharType="separate"/>
      </w:r>
      <w:r>
        <w:t>243</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_Toc522197441 \h </w:instrText>
      </w:r>
      <w:r>
        <w:fldChar w:fldCharType="separate"/>
      </w:r>
      <w:r>
        <w:t>244</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_Toc522197442 \h </w:instrText>
      </w:r>
      <w:r>
        <w:fldChar w:fldCharType="separate"/>
      </w:r>
      <w:r>
        <w:t>244</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_Toc522197443 \h </w:instrText>
      </w:r>
      <w:r>
        <w:fldChar w:fldCharType="separate"/>
      </w:r>
      <w:r>
        <w:t>245</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_Toc522197444 \h </w:instrText>
      </w:r>
      <w:r>
        <w:fldChar w:fldCharType="separate"/>
      </w:r>
      <w:r>
        <w:t>245</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_Toc522197445 \h </w:instrText>
      </w:r>
      <w:r>
        <w:fldChar w:fldCharType="separate"/>
      </w:r>
      <w:r>
        <w:t>245</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_Toc522197446 \h </w:instrText>
      </w:r>
      <w:r>
        <w:fldChar w:fldCharType="separate"/>
      </w:r>
      <w:r>
        <w:t>246</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_Toc522197447 \h </w:instrText>
      </w:r>
      <w:r>
        <w:fldChar w:fldCharType="separate"/>
      </w:r>
      <w:r>
        <w:t>246</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_Toc522197448 \h </w:instrText>
      </w:r>
      <w:r>
        <w:fldChar w:fldCharType="separate"/>
      </w:r>
      <w:r>
        <w:t>247</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_Toc522197449 \h </w:instrText>
      </w:r>
      <w:r>
        <w:fldChar w:fldCharType="separate"/>
      </w:r>
      <w:r>
        <w:t>248</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_Toc522197450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_Toc522197452 \h </w:instrText>
      </w:r>
      <w:r>
        <w:fldChar w:fldCharType="separate"/>
      </w:r>
      <w:r>
        <w:t>249</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_Toc522197453 \h </w:instrText>
      </w:r>
      <w:r>
        <w:fldChar w:fldCharType="separate"/>
      </w:r>
      <w:r>
        <w:t>249</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_Toc522197454 \h </w:instrText>
      </w:r>
      <w:r>
        <w:fldChar w:fldCharType="separate"/>
      </w:r>
      <w:r>
        <w:t>250</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_Toc522197455 \h </w:instrText>
      </w:r>
      <w:r>
        <w:fldChar w:fldCharType="separate"/>
      </w:r>
      <w:r>
        <w:t>251</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_Toc522197456 \h </w:instrText>
      </w:r>
      <w:r>
        <w:fldChar w:fldCharType="separate"/>
      </w:r>
      <w:r>
        <w:t>252</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_Toc522197457 \h </w:instrText>
      </w:r>
      <w:r>
        <w:fldChar w:fldCharType="separate"/>
      </w:r>
      <w:r>
        <w:t>253</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_Toc522197458 \h </w:instrText>
      </w:r>
      <w:r>
        <w:fldChar w:fldCharType="separate"/>
      </w:r>
      <w:r>
        <w:t>254</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_Toc522197459 \h </w:instrText>
      </w:r>
      <w:r>
        <w:fldChar w:fldCharType="separate"/>
      </w:r>
      <w:r>
        <w:t>254</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_Toc522197460 \h </w:instrText>
      </w:r>
      <w:r>
        <w:fldChar w:fldCharType="separate"/>
      </w:r>
      <w:r>
        <w:t>256</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_Toc522197461 \h </w:instrText>
      </w:r>
      <w:r>
        <w:fldChar w:fldCharType="separate"/>
      </w:r>
      <w:r>
        <w:t>256</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_Toc522197462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_Toc522197464 \h </w:instrText>
      </w:r>
      <w:r>
        <w:fldChar w:fldCharType="separate"/>
      </w:r>
      <w:r>
        <w:t>258</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_Toc522197465 \h </w:instrText>
      </w:r>
      <w:r>
        <w:fldChar w:fldCharType="separate"/>
      </w:r>
      <w:r>
        <w:t>259</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_Toc522197466 \h </w:instrText>
      </w:r>
      <w:r>
        <w:fldChar w:fldCharType="separate"/>
      </w:r>
      <w:r>
        <w:t>261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_Toc522197467 \h </w:instrText>
      </w:r>
      <w:r>
        <w:fldChar w:fldCharType="separate"/>
      </w:r>
      <w:r>
        <w:t>263</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_Toc522197468 \h </w:instrText>
      </w:r>
      <w:r>
        <w:fldChar w:fldCharType="separate"/>
      </w:r>
      <w:r>
        <w:t>264</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_Toc522197469 \h </w:instrText>
      </w:r>
      <w:r>
        <w:fldChar w:fldCharType="separate"/>
      </w:r>
      <w:r>
        <w:t>264</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_Toc522197470 \h </w:instrText>
      </w:r>
      <w:r>
        <w:fldChar w:fldCharType="separate"/>
      </w:r>
      <w:r>
        <w:t>265</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_Toc522197471 \h </w:instrText>
      </w:r>
      <w:r>
        <w:fldChar w:fldCharType="separate"/>
      </w:r>
      <w:r>
        <w:t>266</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_Toc522197472 \h </w:instrText>
      </w:r>
      <w:r>
        <w:fldChar w:fldCharType="separate"/>
      </w:r>
      <w:r>
        <w:t>267</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_Toc522197473 \h </w:instrText>
      </w:r>
      <w:r>
        <w:fldChar w:fldCharType="separate"/>
      </w:r>
      <w:r>
        <w:t>269</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_Toc522197474 \h </w:instrText>
      </w:r>
      <w:r>
        <w:fldChar w:fldCharType="separate"/>
      </w:r>
      <w:r>
        <w:t>270</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_Toc522197475 \h </w:instrText>
      </w:r>
      <w:r>
        <w:fldChar w:fldCharType="separate"/>
      </w:r>
      <w:r>
        <w:t>270</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_Toc522197476 \h </w:instrText>
      </w:r>
      <w:r>
        <w:fldChar w:fldCharType="separate"/>
      </w:r>
      <w:r>
        <w:t>273</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_Toc522197477 \h </w:instrText>
      </w:r>
      <w:r>
        <w:fldChar w:fldCharType="separate"/>
      </w:r>
      <w:r>
        <w:t>273</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_Toc522197478 \h </w:instrText>
      </w:r>
      <w:r>
        <w:fldChar w:fldCharType="separate"/>
      </w:r>
      <w:r>
        <w:t>274</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_Toc522197479 \h </w:instrText>
      </w:r>
      <w:r>
        <w:fldChar w:fldCharType="separate"/>
      </w:r>
      <w:r>
        <w:t>276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_Toc522197480 \h </w:instrText>
      </w:r>
      <w:r>
        <w:fldChar w:fldCharType="separate"/>
      </w:r>
      <w:r>
        <w:t>276</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_Toc522197481 \h </w:instrText>
      </w:r>
      <w:r>
        <w:fldChar w:fldCharType="separate"/>
      </w:r>
      <w:r>
        <w:t>277</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_Toc522197482 \h </w:instrText>
      </w:r>
      <w:r>
        <w:fldChar w:fldCharType="separate"/>
      </w:r>
      <w:r>
        <w:t>278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_Toc522197483 \h </w:instrText>
      </w:r>
      <w:r>
        <w:fldChar w:fldCharType="separate"/>
      </w:r>
      <w:r>
        <w:t>279</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_Toc522197484 \h </w:instrText>
      </w:r>
      <w:r>
        <w:fldChar w:fldCharType="separate"/>
      </w:r>
      <w:r>
        <w:t>285</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_Toc522197486 \h </w:instrText>
      </w:r>
      <w:r>
        <w:fldChar w:fldCharType="separate"/>
      </w:r>
      <w:r>
        <w:t>286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_Toc522197487 \h </w:instrText>
      </w:r>
      <w:r>
        <w:fldChar w:fldCharType="separate"/>
      </w:r>
      <w:r>
        <w:t>286</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_Toc522197488 \h </w:instrText>
      </w:r>
      <w:r>
        <w:fldChar w:fldCharType="separate"/>
      </w:r>
      <w:r>
        <w:t>287</w:t>
      </w:r>
      <w:r>
        <w:fldChar w:fldCharType="end"/>
      </w:r>
    </w:p>
    <w:p>
      <w:pPr>
        <w:pStyle w:val="TOC8"/>
        <w:rPr>
          <w:rFonts w:asciiTheme="minorHAnsi" w:eastAsiaTheme="minorEastAsia" w:hAnsiTheme="minorHAnsi" w:cstheme="minorBidi"/>
          <w:szCs w:val="22"/>
        </w:rPr>
      </w:pPr>
      <w:r>
        <w:t>174B.</w:t>
      </w:r>
      <w:r>
        <w:tab/>
        <w:t xml:space="preserve">Liquor accords: authorisation for purposes of </w:t>
      </w:r>
      <w:r>
        <w:rPr>
          <w:i/>
        </w:rPr>
        <w:t>Competition and Consumer Act 2010</w:t>
      </w:r>
      <w:r>
        <w:t xml:space="preserve"> and Competition Code</w:t>
      </w:r>
      <w:r>
        <w:tab/>
      </w:r>
      <w:r>
        <w:fldChar w:fldCharType="begin"/>
      </w:r>
      <w:r>
        <w:instrText xml:space="preserve"> PAGEREF _Toc522197489 \h </w:instrText>
      </w:r>
      <w:r>
        <w:fldChar w:fldCharType="separate"/>
      </w:r>
      <w:r>
        <w:t>287</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_Toc522197490 \h </w:instrText>
      </w:r>
      <w:r>
        <w:fldChar w:fldCharType="separate"/>
      </w:r>
      <w:r>
        <w:t>287</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_Toc522197491 \h </w:instrText>
      </w:r>
      <w:r>
        <w:fldChar w:fldCharType="separate"/>
      </w:r>
      <w:r>
        <w:t>289</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_Toc522197492 \h </w:instrText>
      </w:r>
      <w:r>
        <w:fldChar w:fldCharType="separate"/>
      </w:r>
      <w:r>
        <w:t>290</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_Toc522197493 \h </w:instrText>
      </w:r>
      <w:r>
        <w:fldChar w:fldCharType="separate"/>
      </w:r>
      <w:r>
        <w:t>290</w:t>
      </w:r>
      <w:r>
        <w:fldChar w:fldCharType="end"/>
      </w:r>
    </w:p>
    <w:p>
      <w:pPr>
        <w:pStyle w:val="TOC8"/>
        <w:rPr>
          <w:rFonts w:asciiTheme="minorHAnsi" w:eastAsiaTheme="minorEastAsia" w:hAnsiTheme="minorHAnsi" w:cstheme="minorBidi"/>
          <w:szCs w:val="22"/>
        </w:rPr>
      </w:pPr>
      <w:r>
        <w:t>177C.</w:t>
      </w:r>
      <w:r>
        <w:tab/>
        <w:t xml:space="preserve">Transitional provisions for </w:t>
      </w:r>
      <w:r>
        <w:rPr>
          <w:i/>
        </w:rPr>
        <w:t>Liquor Control Amendment Act 2018</w:t>
      </w:r>
      <w:r>
        <w:t xml:space="preserve"> (Sch. 1C)</w:t>
      </w:r>
      <w:r>
        <w:tab/>
      </w:r>
      <w:r>
        <w:fldChar w:fldCharType="begin"/>
      </w:r>
      <w:r>
        <w:instrText xml:space="preserve"> PAGEREF _Toc522197494 \h </w:instrText>
      </w:r>
      <w:r>
        <w:fldChar w:fldCharType="separate"/>
      </w:r>
      <w:r>
        <w:t>290</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_Toc522197495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_Toc522197497 \h </w:instrText>
      </w:r>
      <w:r>
        <w:fldChar w:fldCharType="separate"/>
      </w:r>
      <w:r>
        <w:t>292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_Toc522197498 \h </w:instrText>
      </w:r>
      <w:r>
        <w:fldChar w:fldCharType="separate"/>
      </w:r>
      <w:r>
        <w:t>293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_Toc522197499 \h </w:instrText>
      </w:r>
      <w:r>
        <w:fldChar w:fldCharType="separate"/>
      </w:r>
      <w:r>
        <w:t>293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_Toc522197500 \h </w:instrText>
      </w:r>
      <w:r>
        <w:fldChar w:fldCharType="separate"/>
      </w:r>
      <w:r>
        <w:t>295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_Toc522197501 \h </w:instrText>
      </w:r>
      <w:r>
        <w:fldChar w:fldCharType="separate"/>
      </w:r>
      <w:r>
        <w:t>296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_Toc522197502 \h </w:instrText>
      </w:r>
      <w:r>
        <w:fldChar w:fldCharType="separate"/>
      </w:r>
      <w:r>
        <w:t>297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_Toc522197503 \h </w:instrText>
      </w:r>
      <w:r>
        <w:fldChar w:fldCharType="separate"/>
      </w:r>
      <w:r>
        <w:t>299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_Toc522197504 \h </w:instrText>
      </w:r>
      <w:r>
        <w:fldChar w:fldCharType="separate"/>
      </w:r>
      <w:r>
        <w:t>299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_Toc522197505 \h </w:instrText>
      </w:r>
      <w:r>
        <w:fldChar w:fldCharType="separate"/>
      </w:r>
      <w:r>
        <w:t>299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_Toc522197506 \h </w:instrText>
      </w:r>
      <w:r>
        <w:fldChar w:fldCharType="separate"/>
      </w:r>
      <w:r>
        <w:t>299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_Toc522197507 \h </w:instrText>
      </w:r>
      <w:r>
        <w:fldChar w:fldCharType="separate"/>
      </w:r>
      <w:r>
        <w:t>300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_Toc522197508 \h </w:instrText>
      </w:r>
      <w:r>
        <w:fldChar w:fldCharType="separate"/>
      </w:r>
      <w:r>
        <w:t>301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_Toc522197509 \h </w:instrText>
      </w:r>
      <w:r>
        <w:fldChar w:fldCharType="separate"/>
      </w:r>
      <w:r>
        <w:t>301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_Toc522197510 \h </w:instrText>
      </w:r>
      <w:r>
        <w:fldChar w:fldCharType="separate"/>
      </w:r>
      <w:r>
        <w:t>301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_Toc522197511 \h </w:instrText>
      </w:r>
      <w:r>
        <w:fldChar w:fldCharType="separate"/>
      </w:r>
      <w:r>
        <w:t>301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_Toc522197512 \h </w:instrText>
      </w:r>
      <w:r>
        <w:fldChar w:fldCharType="separate"/>
      </w:r>
      <w:r>
        <w:t>302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_Toc522197513 \h </w:instrText>
      </w:r>
      <w:r>
        <w:fldChar w:fldCharType="separate"/>
      </w:r>
      <w:r>
        <w:t>303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_Toc522197514 \h </w:instrText>
      </w:r>
      <w:r>
        <w:fldChar w:fldCharType="separate"/>
      </w:r>
      <w:r>
        <w:t>303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_Toc522197515 \h </w:instrText>
      </w:r>
      <w:r>
        <w:fldChar w:fldCharType="separate"/>
      </w:r>
      <w:r>
        <w:t>304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_Toc522197516 \h </w:instrText>
      </w:r>
      <w:r>
        <w:fldChar w:fldCharType="separate"/>
      </w:r>
      <w:r>
        <w:t>305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_Toc522197517 \h </w:instrText>
      </w:r>
      <w:r>
        <w:fldChar w:fldCharType="separate"/>
      </w:r>
      <w:r>
        <w:t>307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_Toc522197518 \h </w:instrText>
      </w:r>
      <w:r>
        <w:fldChar w:fldCharType="separate"/>
      </w:r>
      <w:r>
        <w:t>307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_Toc522197519 \h </w:instrText>
      </w:r>
      <w:r>
        <w:fldChar w:fldCharType="separate"/>
      </w:r>
      <w:r>
        <w:t>307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_Toc522197520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_Toc522197522 \h </w:instrText>
      </w:r>
      <w:r>
        <w:fldChar w:fldCharType="separate"/>
      </w:r>
      <w:r>
        <w:t>309</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_Toc522197523 \h </w:instrText>
      </w:r>
      <w:r>
        <w:fldChar w:fldCharType="separate"/>
      </w:r>
      <w:r>
        <w:t>309</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_Toc522197524 \h </w:instrText>
      </w:r>
      <w:r>
        <w:fldChar w:fldCharType="separate"/>
      </w:r>
      <w:r>
        <w:t>309</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_Toc522197525 \h </w:instrText>
      </w:r>
      <w:r>
        <w:fldChar w:fldCharType="separate"/>
      </w:r>
      <w:r>
        <w:t>310</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_Toc522197526 \h </w:instrText>
      </w:r>
      <w:r>
        <w:fldChar w:fldCharType="separate"/>
      </w:r>
      <w:r>
        <w:t>310</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_Toc522197527 \h </w:instrText>
      </w:r>
      <w:r>
        <w:fldChar w:fldCharType="separate"/>
      </w:r>
      <w:r>
        <w:t>311</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_Toc522197528 \h </w:instrText>
      </w:r>
      <w:r>
        <w:fldChar w:fldCharType="separate"/>
      </w:r>
      <w:r>
        <w:t>311</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_Toc522197529 \h </w:instrText>
      </w:r>
      <w:r>
        <w:fldChar w:fldCharType="separate"/>
      </w:r>
      <w:r>
        <w:t>311</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_Toc522197530 \h </w:instrText>
      </w:r>
      <w:r>
        <w:fldChar w:fldCharType="separate"/>
      </w:r>
      <w:r>
        <w:t>312</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_Toc522197531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_Toc522197533 \h </w:instrText>
      </w:r>
      <w:r>
        <w:fldChar w:fldCharType="separate"/>
      </w:r>
      <w:r>
        <w:t>313</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_Toc522197534 \h </w:instrText>
      </w:r>
      <w:r>
        <w:fldChar w:fldCharType="separate"/>
      </w:r>
      <w:r>
        <w:t>313</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_Toc522197535 \h </w:instrText>
      </w:r>
      <w:r>
        <w:fldChar w:fldCharType="separate"/>
      </w:r>
      <w:r>
        <w:t>313</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_Toc522197536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1C — Transitional provisions relating to the </w:t>
      </w:r>
      <w:r>
        <w:rPr>
          <w:i/>
        </w:rPr>
        <w:t>Liquor Control Amendment Act 2018</w:t>
      </w:r>
    </w:p>
    <w:p>
      <w:pPr>
        <w:pStyle w:val="TOC8"/>
        <w:rPr>
          <w:rFonts w:asciiTheme="minorHAnsi" w:eastAsiaTheme="minorEastAsia" w:hAnsiTheme="minorHAnsi" w:cstheme="minorBidi"/>
          <w:szCs w:val="22"/>
        </w:rPr>
      </w:pPr>
      <w:r>
        <w:t>1.</w:t>
      </w:r>
      <w:r>
        <w:tab/>
        <w:t>Application of s. 36B to existing applications for grant or removal of licence</w:t>
      </w:r>
      <w:r>
        <w:tab/>
      </w:r>
      <w:r>
        <w:fldChar w:fldCharType="begin"/>
      </w:r>
      <w:r>
        <w:instrText xml:space="preserve"> PAGEREF _Toc522197538 \h </w:instrText>
      </w:r>
      <w:r>
        <w:fldChar w:fldCharType="separate"/>
      </w:r>
      <w:r>
        <w:t>315</w:t>
      </w:r>
      <w:r>
        <w:fldChar w:fldCharType="end"/>
      </w:r>
    </w:p>
    <w:p>
      <w:pPr>
        <w:pStyle w:val="TOC8"/>
        <w:rPr>
          <w:rFonts w:asciiTheme="minorHAnsi" w:eastAsiaTheme="minorEastAsia" w:hAnsiTheme="minorHAnsi" w:cstheme="minorBidi"/>
          <w:szCs w:val="22"/>
        </w:rPr>
      </w:pPr>
      <w:r>
        <w:t>2.</w:t>
      </w:r>
      <w:r>
        <w:tab/>
        <w:t>Small bar licences</w:t>
      </w:r>
      <w:r>
        <w:tab/>
      </w:r>
      <w:r>
        <w:fldChar w:fldCharType="begin"/>
      </w:r>
      <w:r>
        <w:instrText xml:space="preserve"> PAGEREF _Toc522197539 \h </w:instrText>
      </w:r>
      <w:r>
        <w:fldChar w:fldCharType="separate"/>
      </w:r>
      <w:r>
        <w:t>315</w:t>
      </w:r>
      <w:r>
        <w:fldChar w:fldCharType="end"/>
      </w:r>
    </w:p>
    <w:p>
      <w:pPr>
        <w:pStyle w:val="TOC8"/>
        <w:rPr>
          <w:rFonts w:asciiTheme="minorHAnsi" w:eastAsiaTheme="minorEastAsia" w:hAnsiTheme="minorHAnsi" w:cstheme="minorBidi"/>
          <w:szCs w:val="22"/>
        </w:rPr>
      </w:pPr>
      <w:r>
        <w:t>3.</w:t>
      </w:r>
      <w:r>
        <w:tab/>
        <w:t>Certain restaurant licences: no fee for application for extended trading permit under section 60(4)(ca)</w:t>
      </w:r>
      <w:r>
        <w:tab/>
      </w:r>
      <w:r>
        <w:fldChar w:fldCharType="begin"/>
      </w:r>
      <w:r>
        <w:instrText xml:space="preserve"> PAGEREF _Toc522197540 \h </w:instrText>
      </w:r>
      <w:r>
        <w:fldChar w:fldCharType="separate"/>
      </w:r>
      <w:r>
        <w:t>315</w:t>
      </w:r>
      <w:r>
        <w:fldChar w:fldCharType="end"/>
      </w:r>
    </w:p>
    <w:p>
      <w:pPr>
        <w:pStyle w:val="TOC8"/>
        <w:rPr>
          <w:rFonts w:asciiTheme="minorHAnsi" w:eastAsiaTheme="minorEastAsia" w:hAnsiTheme="minorHAnsi" w:cstheme="minorBidi"/>
          <w:szCs w:val="22"/>
        </w:rPr>
      </w:pPr>
      <w:r>
        <w:t>4.</w:t>
      </w:r>
      <w:r>
        <w:tab/>
        <w:t>Application of s. 77A to existing applications for alteration or redefinition of licensed premises</w:t>
      </w:r>
      <w:r>
        <w:tab/>
      </w:r>
      <w:r>
        <w:fldChar w:fldCharType="begin"/>
      </w:r>
      <w:r>
        <w:instrText xml:space="preserve"> PAGEREF _Toc522197541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_Toc522197544 \h </w:instrText>
      </w:r>
      <w:r>
        <w:fldChar w:fldCharType="separate"/>
      </w:r>
      <w:r>
        <w:t>317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_Toc522197545 \h </w:instrText>
      </w:r>
      <w:r>
        <w:fldChar w:fldCharType="separate"/>
      </w:r>
      <w:r>
        <w:t>317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_Toc522197547 \h </w:instrText>
      </w:r>
      <w:r>
        <w:fldChar w:fldCharType="separate"/>
      </w:r>
      <w:r>
        <w:t>319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_Toc522197548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_Toc522197550 \h </w:instrText>
      </w:r>
      <w:r>
        <w:fldChar w:fldCharType="separate"/>
      </w:r>
      <w:r>
        <w:t>321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_Toc522197551 \h </w:instrText>
      </w:r>
      <w:r>
        <w:fldChar w:fldCharType="separate"/>
      </w:r>
      <w:r>
        <w:t>326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3" w:name="_Toc471906663"/>
      <w:bookmarkStart w:id="4" w:name="_Toc472001580"/>
      <w:bookmarkStart w:id="5" w:name="_Toc472676608"/>
      <w:bookmarkStart w:id="6" w:name="_Toc472681993"/>
      <w:bookmarkStart w:id="7" w:name="_Toc473119134"/>
      <w:bookmarkStart w:id="8" w:name="_Toc52219718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522197183"/>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10" w:name="_Toc522197184"/>
      <w:r>
        <w:rPr>
          <w:rStyle w:val="CharSectno"/>
        </w:rPr>
        <w:t>2</w:t>
      </w:r>
      <w:r>
        <w:rPr>
          <w:snapToGrid w:val="0"/>
        </w:rPr>
        <w:t>.</w:t>
      </w:r>
      <w:r>
        <w:rPr>
          <w:snapToGrid w:val="0"/>
        </w:rPr>
        <w:tab/>
        <w:t>Commencement</w:t>
      </w:r>
      <w:bookmarkEnd w:id="10"/>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11" w:name="_Toc522197185"/>
      <w:r>
        <w:rPr>
          <w:rStyle w:val="CharSectno"/>
        </w:rPr>
        <w:t>3</w:t>
      </w:r>
      <w:r>
        <w:rPr>
          <w:snapToGrid w:val="0"/>
        </w:rPr>
        <w:t>.</w:t>
      </w:r>
      <w:r>
        <w:rPr>
          <w:snapToGrid w:val="0"/>
        </w:rPr>
        <w:tab/>
        <w:t>Terms used</w:t>
      </w:r>
      <w:bookmarkEnd w:id="1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w:t>
      </w:r>
    </w:p>
    <w:p>
      <w:pPr>
        <w:pStyle w:val="Defstart"/>
      </w:pPr>
      <w:r>
        <w:rPr>
          <w:b/>
        </w:rPr>
        <w:tab/>
      </w:r>
      <w:r>
        <w:rPr>
          <w:rStyle w:val="CharDefText"/>
        </w:rPr>
        <w:t>hotel restricted licence</w:t>
      </w:r>
      <w:r>
        <w:t xml:space="preserve"> means a hotel licence of the kind referred to in section 41(1)(b);</w:t>
      </w:r>
    </w:p>
    <w:p>
      <w:pPr>
        <w:pStyle w:val="Defstart"/>
      </w:pPr>
      <w:r>
        <w:tab/>
      </w:r>
      <w:r>
        <w:rPr>
          <w:rStyle w:val="CharDefText"/>
        </w:rPr>
        <w:t>inspector</w:t>
      </w:r>
      <w:r>
        <w:t xml:space="preserve"> means an inspector appointed under section 14(1)(a);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tab/>
      </w:r>
      <w:r>
        <w:rPr>
          <w:rStyle w:val="CharDefText"/>
        </w:rPr>
        <w:t>member</w:t>
      </w:r>
      <w:r>
        <w:t xml:space="preserve"> — </w:t>
      </w:r>
    </w:p>
    <w:p>
      <w:pPr>
        <w:pStyle w:val="Defpara"/>
      </w:pPr>
      <w:r>
        <w:tab/>
        <w:t>(a)</w:t>
      </w:r>
      <w:r>
        <w:tab/>
        <w:t>in relation to a club — includes a person who is a member of the club by reason of reciprocal arrangements with another club made in accordance with the rules of the club; and</w:t>
      </w:r>
    </w:p>
    <w:p>
      <w:pPr>
        <w:pStyle w:val="Defpara"/>
      </w:pPr>
      <w:r>
        <w:tab/>
        <w:t>(b)</w:t>
      </w:r>
      <w:r>
        <w:tab/>
        <w:t>in relation to the Commission —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region described in the </w:t>
      </w:r>
      <w:r>
        <w:rPr>
          <w:i/>
        </w:rPr>
        <w:t>Planning and Development Act 2005</w:t>
      </w:r>
      <w:r>
        <w:t xml:space="preserve"> Schedule 3;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pPr>
      <w:r>
        <w:tab/>
      </w:r>
      <w:r>
        <w:rPr>
          <w:rStyle w:val="CharDefText"/>
        </w:rPr>
        <w:t>party to proceedings</w:t>
      </w:r>
      <w:r>
        <w:t xml:space="preserve"> includes — </w:t>
      </w:r>
    </w:p>
    <w:p>
      <w:pPr>
        <w:pStyle w:val="Defpara"/>
      </w:pPr>
      <w:r>
        <w:tab/>
        <w:t>(a)</w:t>
      </w:r>
      <w:r>
        <w:tab/>
        <w:t>an objector, unless a determination is made under section 74(4) in relation to the objection; and</w:t>
      </w:r>
    </w:p>
    <w:p>
      <w:pPr>
        <w:pStyle w:val="Defpara"/>
      </w:pPr>
      <w:r>
        <w:tab/>
        <w:t>(b)</w:t>
      </w:r>
      <w:r>
        <w:tab/>
        <w:t>a person who intervenes in proceedings;</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tab/>
      </w:r>
      <w:r>
        <w:rPr>
          <w:rStyle w:val="CharDefText"/>
        </w:rPr>
        <w:t>small bar licence</w:t>
      </w:r>
      <w:r>
        <w:t xml:space="preserve"> means a licence granted under section 41A;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 No. 19 of 2016 s. 162; No. 9 of 2018 s. 4</w:t>
      </w:r>
      <w:r>
        <w:t xml:space="preserve">.] </w:t>
      </w:r>
    </w:p>
    <w:p>
      <w:pPr>
        <w:pStyle w:val="Heading5"/>
        <w:spacing w:before="180"/>
      </w:pPr>
      <w:bookmarkStart w:id="12" w:name="_Toc522197186"/>
      <w:r>
        <w:rPr>
          <w:rStyle w:val="CharSectno"/>
        </w:rPr>
        <w:t>3A</w:t>
      </w:r>
      <w:r>
        <w:t>.</w:t>
      </w:r>
      <w:r>
        <w:tab/>
        <w:t>Term used: drunk</w:t>
      </w:r>
      <w:bookmarkEnd w:id="12"/>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180"/>
        <w:rPr>
          <w:snapToGrid w:val="0"/>
        </w:rPr>
      </w:pPr>
      <w:bookmarkStart w:id="13" w:name="_Toc522197187"/>
      <w:r>
        <w:rPr>
          <w:rStyle w:val="CharSectno"/>
        </w:rPr>
        <w:t>4</w:t>
      </w:r>
      <w:r>
        <w:rPr>
          <w:snapToGrid w:val="0"/>
        </w:rPr>
        <w:t>.</w:t>
      </w:r>
      <w:r>
        <w:rPr>
          <w:snapToGrid w:val="0"/>
        </w:rPr>
        <w:tab/>
        <w:t>Storing and receiving liquor for licensed premises at other premises; records to be kept</w:t>
      </w:r>
      <w:bookmarkEnd w:id="13"/>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4" w:name="_Toc522197188"/>
      <w:r>
        <w:rPr>
          <w:rStyle w:val="CharSectno"/>
        </w:rPr>
        <w:t>5</w:t>
      </w:r>
      <w:r>
        <w:rPr>
          <w:snapToGrid w:val="0"/>
        </w:rPr>
        <w:t>.</w:t>
      </w:r>
      <w:r>
        <w:rPr>
          <w:snapToGrid w:val="0"/>
        </w:rPr>
        <w:tab/>
        <w:t>Objects of Act</w:t>
      </w:r>
      <w:bookmarkEnd w:id="14"/>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 xml:space="preserve">to provide a flexible system, with as little formality or technicality as may be practicable, for the administration of this </w:t>
      </w:r>
      <w:r>
        <w:t>Act; and</w:t>
      </w:r>
    </w:p>
    <w:p>
      <w:pPr>
        <w:pStyle w:val="Indenta"/>
      </w:pPr>
      <w:r>
        <w:tab/>
        <w:t>(f)</w:t>
      </w:r>
      <w:r>
        <w:tab/>
        <w:t>to encourage responsible attitudes and practices towards the promotion, sale, supply, service and consumption of liquor that are consistent with the interests of the community.</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No. 9 of 2018 s. 6.] </w:t>
      </w:r>
    </w:p>
    <w:p>
      <w:pPr>
        <w:pStyle w:val="Heading5"/>
        <w:rPr>
          <w:snapToGrid w:val="0"/>
        </w:rPr>
      </w:pPr>
      <w:bookmarkStart w:id="15" w:name="_Toc522197189"/>
      <w:r>
        <w:rPr>
          <w:rStyle w:val="CharSectno"/>
        </w:rPr>
        <w:t>6</w:t>
      </w:r>
      <w:r>
        <w:rPr>
          <w:snapToGrid w:val="0"/>
        </w:rPr>
        <w:t>.</w:t>
      </w:r>
      <w:r>
        <w:rPr>
          <w:snapToGrid w:val="0"/>
        </w:rPr>
        <w:tab/>
        <w:t>Act not to apply in certain cases</w:t>
      </w:r>
      <w:bookmarkEnd w:id="15"/>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6" w:name="_Toc471906671"/>
      <w:bookmarkStart w:id="17" w:name="_Toc472001588"/>
      <w:bookmarkStart w:id="18" w:name="_Toc472676616"/>
      <w:bookmarkStart w:id="19" w:name="_Toc472682001"/>
      <w:bookmarkStart w:id="20" w:name="_Toc473119142"/>
      <w:bookmarkStart w:id="21" w:name="_Toc522197190"/>
      <w:r>
        <w:rPr>
          <w:rStyle w:val="CharPartNo"/>
        </w:rPr>
        <w:t>Part 2</w:t>
      </w:r>
      <w:r>
        <w:t> — </w:t>
      </w:r>
      <w:r>
        <w:rPr>
          <w:rStyle w:val="CharPartText"/>
        </w:rPr>
        <w:t>The licensing authority</w:t>
      </w:r>
      <w:bookmarkEnd w:id="16"/>
      <w:bookmarkEnd w:id="17"/>
      <w:bookmarkEnd w:id="18"/>
      <w:bookmarkEnd w:id="19"/>
      <w:bookmarkEnd w:id="20"/>
      <w:bookmarkEnd w:id="21"/>
      <w:r>
        <w:rPr>
          <w:rStyle w:val="CharPartText"/>
        </w:rPr>
        <w:t xml:space="preserve"> </w:t>
      </w:r>
    </w:p>
    <w:p>
      <w:pPr>
        <w:pStyle w:val="Heading3"/>
        <w:rPr>
          <w:snapToGrid w:val="0"/>
        </w:rPr>
      </w:pPr>
      <w:bookmarkStart w:id="22" w:name="_Toc471906672"/>
      <w:bookmarkStart w:id="23" w:name="_Toc472001589"/>
      <w:bookmarkStart w:id="24" w:name="_Toc472676617"/>
      <w:bookmarkStart w:id="25" w:name="_Toc472682002"/>
      <w:bookmarkStart w:id="26" w:name="_Toc473119143"/>
      <w:bookmarkStart w:id="27" w:name="_Toc522197191"/>
      <w:r>
        <w:rPr>
          <w:rStyle w:val="CharDivNo"/>
        </w:rPr>
        <w:t>Division 1</w:t>
      </w:r>
      <w:r>
        <w:rPr>
          <w:snapToGrid w:val="0"/>
        </w:rPr>
        <w:t> — </w:t>
      </w:r>
      <w:r>
        <w:rPr>
          <w:rStyle w:val="CharDivText"/>
        </w:rPr>
        <w:t>The licensing authority</w:t>
      </w:r>
      <w:bookmarkEnd w:id="22"/>
      <w:bookmarkEnd w:id="23"/>
      <w:bookmarkEnd w:id="24"/>
      <w:bookmarkEnd w:id="25"/>
      <w:bookmarkEnd w:id="26"/>
      <w:bookmarkEnd w:id="27"/>
      <w:r>
        <w:rPr>
          <w:rStyle w:val="CharDivText"/>
        </w:rPr>
        <w:t xml:space="preserve"> </w:t>
      </w:r>
    </w:p>
    <w:p>
      <w:pPr>
        <w:pStyle w:val="Heading5"/>
        <w:spacing w:before="180"/>
        <w:rPr>
          <w:snapToGrid w:val="0"/>
        </w:rPr>
      </w:pPr>
      <w:bookmarkStart w:id="28" w:name="_Toc522197192"/>
      <w:r>
        <w:rPr>
          <w:rStyle w:val="CharSectno"/>
        </w:rPr>
        <w:t>7</w:t>
      </w:r>
      <w:r>
        <w:rPr>
          <w:snapToGrid w:val="0"/>
        </w:rPr>
        <w:t>.</w:t>
      </w:r>
      <w:r>
        <w:rPr>
          <w:snapToGrid w:val="0"/>
        </w:rPr>
        <w:tab/>
        <w:t>Constitution and jurisdiction of licensing authority</w:t>
      </w:r>
      <w:bookmarkEnd w:id="28"/>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29" w:name="_Toc471906674"/>
      <w:bookmarkStart w:id="30" w:name="_Toc472001591"/>
      <w:bookmarkStart w:id="31" w:name="_Toc472676619"/>
      <w:bookmarkStart w:id="32" w:name="_Toc472682004"/>
      <w:bookmarkStart w:id="33" w:name="_Toc473119145"/>
      <w:bookmarkStart w:id="34" w:name="_Toc522197193"/>
      <w:r>
        <w:rPr>
          <w:rStyle w:val="CharDivNo"/>
        </w:rPr>
        <w:t>Division 2</w:t>
      </w:r>
      <w:r>
        <w:t> — </w:t>
      </w:r>
      <w:r>
        <w:rPr>
          <w:rStyle w:val="CharDivText"/>
        </w:rPr>
        <w:t>The Liquor Commission</w:t>
      </w:r>
      <w:bookmarkEnd w:id="29"/>
      <w:bookmarkEnd w:id="30"/>
      <w:bookmarkEnd w:id="31"/>
      <w:bookmarkEnd w:id="32"/>
      <w:bookmarkEnd w:id="33"/>
      <w:bookmarkEnd w:id="34"/>
    </w:p>
    <w:p>
      <w:pPr>
        <w:pStyle w:val="Footnoteheading"/>
      </w:pPr>
      <w:r>
        <w:tab/>
        <w:t>[Heading inserted by No. 73 of 2006 s. 11.]</w:t>
      </w:r>
    </w:p>
    <w:p>
      <w:pPr>
        <w:pStyle w:val="Heading5"/>
        <w:keepNext w:val="0"/>
        <w:keepLines w:val="0"/>
        <w:spacing w:before="180"/>
      </w:pPr>
      <w:bookmarkStart w:id="35" w:name="_Toc522197194"/>
      <w:r>
        <w:rPr>
          <w:rStyle w:val="CharSectno"/>
        </w:rPr>
        <w:t>8</w:t>
      </w:r>
      <w:r>
        <w:t>.</w:t>
      </w:r>
      <w:r>
        <w:tab/>
        <w:t>Commission established</w:t>
      </w:r>
      <w:bookmarkEnd w:id="35"/>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36" w:name="_Toc522197195"/>
      <w:r>
        <w:rPr>
          <w:rStyle w:val="CharSectno"/>
        </w:rPr>
        <w:t>9</w:t>
      </w:r>
      <w:r>
        <w:t>.</w:t>
      </w:r>
      <w:r>
        <w:tab/>
        <w:t>Jurisdiction of Commission</w:t>
      </w:r>
      <w:bookmarkEnd w:id="36"/>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37" w:name="_Toc522197196"/>
      <w:r>
        <w:rPr>
          <w:rStyle w:val="CharSectno"/>
        </w:rPr>
        <w:t>9A</w:t>
      </w:r>
      <w:r>
        <w:t>.</w:t>
      </w:r>
      <w:r>
        <w:tab/>
        <w:t>Constitution of Commission</w:t>
      </w:r>
      <w:bookmarkEnd w:id="37"/>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8" w:name="_Toc471906678"/>
      <w:bookmarkStart w:id="39" w:name="_Toc472001595"/>
      <w:bookmarkStart w:id="40" w:name="_Toc472676623"/>
      <w:bookmarkStart w:id="41" w:name="_Toc472682008"/>
      <w:bookmarkStart w:id="42" w:name="_Toc473119149"/>
      <w:bookmarkStart w:id="43" w:name="_Toc522197197"/>
      <w:r>
        <w:rPr>
          <w:rStyle w:val="CharDivNo"/>
        </w:rPr>
        <w:t>Division 2A</w:t>
      </w:r>
      <w:r>
        <w:t> — </w:t>
      </w:r>
      <w:r>
        <w:rPr>
          <w:rStyle w:val="CharDivText"/>
        </w:rPr>
        <w:t>Members of the Commission</w:t>
      </w:r>
      <w:bookmarkEnd w:id="38"/>
      <w:bookmarkEnd w:id="39"/>
      <w:bookmarkEnd w:id="40"/>
      <w:bookmarkEnd w:id="41"/>
      <w:bookmarkEnd w:id="42"/>
      <w:bookmarkEnd w:id="43"/>
    </w:p>
    <w:p>
      <w:pPr>
        <w:pStyle w:val="Footnoteheading"/>
      </w:pPr>
      <w:r>
        <w:tab/>
        <w:t>[Heading inserted by No. 73 of 2006 s. 11.]</w:t>
      </w:r>
    </w:p>
    <w:p>
      <w:pPr>
        <w:pStyle w:val="Heading5"/>
      </w:pPr>
      <w:bookmarkStart w:id="44" w:name="_Toc522197198"/>
      <w:r>
        <w:rPr>
          <w:rStyle w:val="CharSectno"/>
        </w:rPr>
        <w:t>9B</w:t>
      </w:r>
      <w:r>
        <w:t>.</w:t>
      </w:r>
      <w:r>
        <w:tab/>
        <w:t>Commission members</w:t>
      </w:r>
      <w:bookmarkEnd w:id="44"/>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45" w:name="_Toc522197199"/>
      <w:r>
        <w:rPr>
          <w:rStyle w:val="CharSectno"/>
        </w:rPr>
        <w:t>9C</w:t>
      </w:r>
      <w:r>
        <w:t>.</w:t>
      </w:r>
      <w:r>
        <w:tab/>
        <w:t>Tenure of office</w:t>
      </w:r>
      <w:bookmarkEnd w:id="45"/>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46" w:name="_Toc522197200"/>
      <w:r>
        <w:rPr>
          <w:rStyle w:val="CharSectno"/>
        </w:rPr>
        <w:t>9D</w:t>
      </w:r>
      <w:r>
        <w:t>.</w:t>
      </w:r>
      <w:r>
        <w:tab/>
        <w:t>Deputy chairperson</w:t>
      </w:r>
      <w:bookmarkEnd w:id="46"/>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47" w:name="_Toc522197201"/>
      <w:r>
        <w:rPr>
          <w:rStyle w:val="CharSectno"/>
        </w:rPr>
        <w:t>9E</w:t>
      </w:r>
      <w:r>
        <w:t>.</w:t>
      </w:r>
      <w:r>
        <w:tab/>
        <w:t>Removal or resignation</w:t>
      </w:r>
      <w:bookmarkEnd w:id="47"/>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48" w:name="_Toc522197202"/>
      <w:r>
        <w:rPr>
          <w:rStyle w:val="CharSectno"/>
        </w:rPr>
        <w:t>9F</w:t>
      </w:r>
      <w:r>
        <w:t>.</w:t>
      </w:r>
      <w:r>
        <w:tab/>
        <w:t>Leave of absence</w:t>
      </w:r>
      <w:bookmarkEnd w:id="4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49" w:name="_Toc522197203"/>
      <w:r>
        <w:rPr>
          <w:rStyle w:val="CharSectno"/>
        </w:rPr>
        <w:t>9G</w:t>
      </w:r>
      <w:r>
        <w:t>.</w:t>
      </w:r>
      <w:r>
        <w:tab/>
        <w:t>Member whose term has expired may continue in office</w:t>
      </w:r>
      <w:bookmarkEnd w:id="49"/>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50" w:name="_Toc522197204"/>
      <w:r>
        <w:rPr>
          <w:rStyle w:val="CharSectno"/>
        </w:rPr>
        <w:t>9H</w:t>
      </w:r>
      <w:r>
        <w:t>.</w:t>
      </w:r>
      <w:r>
        <w:tab/>
        <w:t>Remuneration and conditions of office</w:t>
      </w:r>
      <w:bookmarkEnd w:id="50"/>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51" w:name="_Toc471906686"/>
      <w:bookmarkStart w:id="52" w:name="_Toc472001603"/>
      <w:bookmarkStart w:id="53" w:name="_Toc472676631"/>
      <w:bookmarkStart w:id="54" w:name="_Toc472682016"/>
      <w:bookmarkStart w:id="55" w:name="_Toc473119157"/>
      <w:bookmarkStart w:id="56" w:name="_Toc522197205"/>
      <w:r>
        <w:rPr>
          <w:rStyle w:val="CharDivNo"/>
        </w:rPr>
        <w:t>Division 2B</w:t>
      </w:r>
      <w:r>
        <w:t> — </w:t>
      </w:r>
      <w:r>
        <w:rPr>
          <w:rStyle w:val="CharDivText"/>
        </w:rPr>
        <w:t>Other matters</w:t>
      </w:r>
      <w:bookmarkEnd w:id="51"/>
      <w:bookmarkEnd w:id="52"/>
      <w:bookmarkEnd w:id="53"/>
      <w:bookmarkEnd w:id="54"/>
      <w:bookmarkEnd w:id="55"/>
      <w:bookmarkEnd w:id="56"/>
    </w:p>
    <w:p>
      <w:pPr>
        <w:pStyle w:val="Footnoteheading"/>
      </w:pPr>
      <w:r>
        <w:tab/>
        <w:t>[Heading inserted by No. 73 of 2006 s. 11.]</w:t>
      </w:r>
    </w:p>
    <w:p>
      <w:pPr>
        <w:pStyle w:val="Heading5"/>
        <w:spacing w:before="240"/>
      </w:pPr>
      <w:bookmarkStart w:id="57" w:name="_Toc522197206"/>
      <w:r>
        <w:rPr>
          <w:rStyle w:val="CharSectno"/>
        </w:rPr>
        <w:t>9I</w:t>
      </w:r>
      <w:r>
        <w:t>.</w:t>
      </w:r>
      <w:r>
        <w:tab/>
        <w:t>Decisions of Commission to be written etc.</w:t>
      </w:r>
      <w:bookmarkEnd w:id="57"/>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58" w:name="_Toc522197207"/>
      <w:r>
        <w:rPr>
          <w:rStyle w:val="CharSectno"/>
        </w:rPr>
        <w:t>9J</w:t>
      </w:r>
      <w:r>
        <w:t>.</w:t>
      </w:r>
      <w:r>
        <w:tab/>
        <w:t>Seal of Commission</w:t>
      </w:r>
      <w:bookmarkEnd w:id="58"/>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59" w:name="_Toc522197208"/>
      <w:r>
        <w:rPr>
          <w:rStyle w:val="CharSectno"/>
        </w:rPr>
        <w:t>9K</w:t>
      </w:r>
      <w:r>
        <w:t>.</w:t>
      </w:r>
      <w:r>
        <w:tab/>
        <w:t>Annual reports by Commission</w:t>
      </w:r>
      <w:bookmarkEnd w:id="59"/>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60" w:name="_Toc522197209"/>
      <w:r>
        <w:rPr>
          <w:rStyle w:val="CharSectno"/>
        </w:rPr>
        <w:t>9L</w:t>
      </w:r>
      <w:r>
        <w:t>.</w:t>
      </w:r>
      <w:r>
        <w:tab/>
        <w:t>Laying annual report before House of Parliament not sitting</w:t>
      </w:r>
      <w:bookmarkEnd w:id="60"/>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61" w:name="_Toc522197210"/>
      <w:r>
        <w:rPr>
          <w:rStyle w:val="CharSectno"/>
        </w:rPr>
        <w:t>9M</w:t>
      </w:r>
      <w:r>
        <w:t>.</w:t>
      </w:r>
      <w:r>
        <w:tab/>
        <w:t>Protection and immunity of members, parties etc.</w:t>
      </w:r>
      <w:bookmarkEnd w:id="61"/>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62" w:name="_Toc471906692"/>
      <w:bookmarkStart w:id="63" w:name="_Toc472001609"/>
      <w:bookmarkStart w:id="64" w:name="_Toc472676637"/>
      <w:bookmarkStart w:id="65" w:name="_Toc472682022"/>
      <w:bookmarkStart w:id="66" w:name="_Toc473119163"/>
      <w:bookmarkStart w:id="67" w:name="_Toc522197211"/>
      <w:r>
        <w:rPr>
          <w:rStyle w:val="CharDivNo"/>
        </w:rPr>
        <w:t>Division 3</w:t>
      </w:r>
      <w:r>
        <w:rPr>
          <w:snapToGrid w:val="0"/>
        </w:rPr>
        <w:t> — </w:t>
      </w:r>
      <w:r>
        <w:rPr>
          <w:rStyle w:val="CharDivText"/>
        </w:rPr>
        <w:t>The Director of Liquor Licensing</w:t>
      </w:r>
      <w:bookmarkEnd w:id="62"/>
      <w:bookmarkEnd w:id="63"/>
      <w:bookmarkEnd w:id="64"/>
      <w:bookmarkEnd w:id="65"/>
      <w:bookmarkEnd w:id="66"/>
      <w:bookmarkEnd w:id="67"/>
      <w:r>
        <w:rPr>
          <w:rStyle w:val="CharDivText"/>
        </w:rPr>
        <w:t xml:space="preserve"> </w:t>
      </w:r>
    </w:p>
    <w:p>
      <w:pPr>
        <w:pStyle w:val="Heading5"/>
        <w:spacing w:before="240"/>
        <w:rPr>
          <w:snapToGrid w:val="0"/>
        </w:rPr>
      </w:pPr>
      <w:bookmarkStart w:id="68" w:name="_Toc522197212"/>
      <w:r>
        <w:rPr>
          <w:rStyle w:val="CharSectno"/>
        </w:rPr>
        <w:t>13</w:t>
      </w:r>
      <w:r>
        <w:rPr>
          <w:snapToGrid w:val="0"/>
        </w:rPr>
        <w:t>.</w:t>
      </w:r>
      <w:r>
        <w:rPr>
          <w:snapToGrid w:val="0"/>
        </w:rPr>
        <w:tab/>
        <w:t>Functions of and hearings by Director</w:t>
      </w:r>
      <w:bookmarkEnd w:id="68"/>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69" w:name="_Toc522197213"/>
      <w:r>
        <w:rPr>
          <w:rStyle w:val="CharSectno"/>
        </w:rPr>
        <w:t>14</w:t>
      </w:r>
      <w:r>
        <w:rPr>
          <w:snapToGrid w:val="0"/>
        </w:rPr>
        <w:t>.</w:t>
      </w:r>
      <w:r>
        <w:rPr>
          <w:snapToGrid w:val="0"/>
        </w:rPr>
        <w:tab/>
        <w:t>Inspectors etc., appointment of etc.</w:t>
      </w:r>
      <w:bookmarkEnd w:id="69"/>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pPr>
      <w:r>
        <w:tab/>
        <w:t>(a)</w:t>
      </w:r>
      <w:r>
        <w:tab/>
        <w:t>an inspector;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No. 9 of 2018 s. 7.] </w:t>
      </w:r>
    </w:p>
    <w:p>
      <w:pPr>
        <w:pStyle w:val="Heading3"/>
        <w:rPr>
          <w:snapToGrid w:val="0"/>
        </w:rPr>
      </w:pPr>
      <w:bookmarkStart w:id="70" w:name="_Toc471906695"/>
      <w:bookmarkStart w:id="71" w:name="_Toc472001612"/>
      <w:bookmarkStart w:id="72" w:name="_Toc472676640"/>
      <w:bookmarkStart w:id="73" w:name="_Toc472682025"/>
      <w:bookmarkStart w:id="74" w:name="_Toc473119166"/>
      <w:bookmarkStart w:id="75" w:name="_Toc522197214"/>
      <w:r>
        <w:rPr>
          <w:rStyle w:val="CharDivNo"/>
        </w:rPr>
        <w:t>Division 4</w:t>
      </w:r>
      <w:r>
        <w:rPr>
          <w:snapToGrid w:val="0"/>
        </w:rPr>
        <w:t> — </w:t>
      </w:r>
      <w:r>
        <w:rPr>
          <w:rStyle w:val="CharDivText"/>
        </w:rPr>
        <w:t>Other staff of the licensing authority</w:t>
      </w:r>
      <w:bookmarkEnd w:id="70"/>
      <w:bookmarkEnd w:id="71"/>
      <w:bookmarkEnd w:id="72"/>
      <w:bookmarkEnd w:id="73"/>
      <w:bookmarkEnd w:id="74"/>
      <w:bookmarkEnd w:id="75"/>
      <w:r>
        <w:rPr>
          <w:rStyle w:val="CharDivText"/>
        </w:rPr>
        <w:t xml:space="preserve"> </w:t>
      </w:r>
    </w:p>
    <w:p>
      <w:pPr>
        <w:pStyle w:val="Heading5"/>
        <w:rPr>
          <w:snapToGrid w:val="0"/>
        </w:rPr>
      </w:pPr>
      <w:bookmarkStart w:id="76" w:name="_Toc522197215"/>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76"/>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77" w:name="_Toc471906697"/>
      <w:bookmarkStart w:id="78" w:name="_Toc472001614"/>
      <w:bookmarkStart w:id="79" w:name="_Toc472676642"/>
      <w:bookmarkStart w:id="80" w:name="_Toc472682027"/>
      <w:bookmarkStart w:id="81" w:name="_Toc473119168"/>
      <w:bookmarkStart w:id="82" w:name="_Toc522197216"/>
      <w:r>
        <w:rPr>
          <w:rStyle w:val="CharDivNo"/>
        </w:rPr>
        <w:t>Division 5</w:t>
      </w:r>
      <w:r>
        <w:rPr>
          <w:snapToGrid w:val="0"/>
        </w:rPr>
        <w:t> — </w:t>
      </w:r>
      <w:r>
        <w:rPr>
          <w:rStyle w:val="CharDivText"/>
        </w:rPr>
        <w:t>Proceedings before the licensing authority</w:t>
      </w:r>
      <w:bookmarkEnd w:id="77"/>
      <w:bookmarkEnd w:id="78"/>
      <w:bookmarkEnd w:id="79"/>
      <w:bookmarkEnd w:id="80"/>
      <w:bookmarkEnd w:id="81"/>
      <w:bookmarkEnd w:id="82"/>
      <w:r>
        <w:rPr>
          <w:rStyle w:val="CharDivText"/>
        </w:rPr>
        <w:t xml:space="preserve"> </w:t>
      </w:r>
    </w:p>
    <w:p>
      <w:pPr>
        <w:pStyle w:val="Heading5"/>
        <w:spacing w:before="180"/>
        <w:rPr>
          <w:snapToGrid w:val="0"/>
        </w:rPr>
      </w:pPr>
      <w:bookmarkStart w:id="83" w:name="_Toc522197217"/>
      <w:r>
        <w:rPr>
          <w:rStyle w:val="CharSectno"/>
        </w:rPr>
        <w:t>16</w:t>
      </w:r>
      <w:r>
        <w:rPr>
          <w:snapToGrid w:val="0"/>
        </w:rPr>
        <w:t>.</w:t>
      </w:r>
      <w:r>
        <w:rPr>
          <w:snapToGrid w:val="0"/>
        </w:rPr>
        <w:tab/>
        <w:t>Procedure, sittings, use of experts, evidentiary rules etc.</w:t>
      </w:r>
      <w:bookmarkEnd w:id="83"/>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84" w:name="_Toc522197218"/>
      <w:r>
        <w:rPr>
          <w:rStyle w:val="CharSectno"/>
        </w:rPr>
        <w:t>17</w:t>
      </w:r>
      <w:r>
        <w:rPr>
          <w:snapToGrid w:val="0"/>
        </w:rPr>
        <w:t>.</w:t>
      </w:r>
      <w:r>
        <w:rPr>
          <w:snapToGrid w:val="0"/>
        </w:rPr>
        <w:tab/>
        <w:t>Representation of parties</w:t>
      </w:r>
      <w:bookmarkEnd w:id="84"/>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85" w:name="_Toc522197219"/>
      <w:r>
        <w:rPr>
          <w:rStyle w:val="CharSectno"/>
        </w:rPr>
        <w:t>18</w:t>
      </w:r>
      <w:r>
        <w:rPr>
          <w:snapToGrid w:val="0"/>
        </w:rPr>
        <w:t>.</w:t>
      </w:r>
      <w:r>
        <w:rPr>
          <w:snapToGrid w:val="0"/>
        </w:rPr>
        <w:tab/>
        <w:t>Witnesses and evidence, powers to summon etc.</w:t>
      </w:r>
      <w:bookmarkEnd w:id="85"/>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86" w:name="_Toc522197220"/>
      <w:r>
        <w:rPr>
          <w:rStyle w:val="CharSectno"/>
        </w:rPr>
        <w:t>18AA</w:t>
      </w:r>
      <w:r>
        <w:t>.</w:t>
      </w:r>
      <w:r>
        <w:tab/>
        <w:t>Notice of decision</w:t>
      </w:r>
      <w:bookmarkEnd w:id="86"/>
    </w:p>
    <w:p>
      <w:pPr>
        <w:pStyle w:val="Subsection"/>
      </w:pPr>
      <w:r>
        <w:tab/>
        <w:t>(1)</w:t>
      </w:r>
      <w:r>
        <w:tab/>
        <w:t>If the licensing authority, when constituted by the Director, makes a decision in relation to an application, the licensing authority must give to each party to proceedings written notice of —</w:t>
      </w:r>
    </w:p>
    <w:p>
      <w:pPr>
        <w:pStyle w:val="Indenta"/>
      </w:pPr>
      <w:r>
        <w:tab/>
        <w:t>(a)</w:t>
      </w:r>
      <w:r>
        <w:tab/>
        <w:t>the decision; and</w:t>
      </w:r>
    </w:p>
    <w:p>
      <w:pPr>
        <w:pStyle w:val="Indenta"/>
      </w:pPr>
      <w:r>
        <w:tab/>
        <w:t>(b)</w:t>
      </w:r>
      <w:r>
        <w:tab/>
        <w:t>the right of review under section 25.</w:t>
      </w:r>
    </w:p>
    <w:p>
      <w:pPr>
        <w:pStyle w:val="Subsection"/>
      </w:pPr>
      <w:r>
        <w:tab/>
        <w:t>(2)</w:t>
      </w:r>
      <w:r>
        <w:tab/>
        <w:t>The notice may, but need not, include the reasons for the decision.</w:t>
      </w:r>
    </w:p>
    <w:p>
      <w:pPr>
        <w:pStyle w:val="Subsection"/>
      </w:pPr>
      <w:r>
        <w:tab/>
        <w:t>(3)</w:t>
      </w:r>
      <w:r>
        <w:tab/>
        <w:t>If the notice does not include the reasons for the decision, a party to proceedings may, within 28 days after receiving the notice or any longer period that may be allowed by the Director, request the licensing authority to provide the party with the reasons for the decision.</w:t>
      </w:r>
    </w:p>
    <w:p>
      <w:pPr>
        <w:pStyle w:val="Subsection"/>
      </w:pPr>
      <w:r>
        <w:tab/>
        <w:t>(4)</w:t>
      </w:r>
      <w:r>
        <w:tab/>
        <w:t>If a party to proceedings makes a request under subsection (3), the licensing authority must provide the party to proceedings with written reasons for the decision.</w:t>
      </w:r>
    </w:p>
    <w:p>
      <w:pPr>
        <w:pStyle w:val="Footnotesection"/>
      </w:pPr>
      <w:r>
        <w:tab/>
        <w:t xml:space="preserve">[Section 18AA inserted by No. 9 of 2018 s. 9.] </w:t>
      </w:r>
    </w:p>
    <w:p>
      <w:pPr>
        <w:pStyle w:val="Heading5"/>
      </w:pPr>
      <w:bookmarkStart w:id="87" w:name="_Toc522197221"/>
      <w:r>
        <w:rPr>
          <w:rStyle w:val="CharSectno"/>
        </w:rPr>
        <w:t>18A</w:t>
      </w:r>
      <w:r>
        <w:t>.</w:t>
      </w:r>
      <w:r>
        <w:tab/>
        <w:t>Enforcing decisions</w:t>
      </w:r>
      <w:bookmarkEnd w:id="87"/>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88" w:name="_Toc522197222"/>
      <w:r>
        <w:rPr>
          <w:rStyle w:val="CharSectno"/>
        </w:rPr>
        <w:t>19</w:t>
      </w:r>
      <w:r>
        <w:rPr>
          <w:snapToGrid w:val="0"/>
        </w:rPr>
        <w:t>.</w:t>
      </w:r>
      <w:r>
        <w:rPr>
          <w:snapToGrid w:val="0"/>
        </w:rPr>
        <w:tab/>
        <w:t>Enforcing monetary penalties</w:t>
      </w:r>
      <w:bookmarkEnd w:id="88"/>
    </w:p>
    <w:p>
      <w:pPr>
        <w:pStyle w:val="Ednotesubsection"/>
        <w:keepNext/>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89" w:name="_Toc522197223"/>
      <w:r>
        <w:rPr>
          <w:rStyle w:val="CharSectno"/>
        </w:rPr>
        <w:t>20</w:t>
      </w:r>
      <w:r>
        <w:rPr>
          <w:snapToGrid w:val="0"/>
        </w:rPr>
        <w:t>.</w:t>
      </w:r>
      <w:r>
        <w:rPr>
          <w:snapToGrid w:val="0"/>
        </w:rPr>
        <w:tab/>
        <w:t>Contempt etc.</w:t>
      </w:r>
      <w:bookmarkEnd w:id="89"/>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90" w:name="_Toc522197224"/>
      <w:r>
        <w:rPr>
          <w:rStyle w:val="CharSectno"/>
        </w:rPr>
        <w:t>21</w:t>
      </w:r>
      <w:r>
        <w:rPr>
          <w:snapToGrid w:val="0"/>
        </w:rPr>
        <w:t>.</w:t>
      </w:r>
      <w:r>
        <w:rPr>
          <w:snapToGrid w:val="0"/>
        </w:rPr>
        <w:tab/>
        <w:t>Costs</w:t>
      </w:r>
      <w:bookmarkEnd w:id="90"/>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91" w:name="_Toc522197225"/>
      <w:r>
        <w:rPr>
          <w:rStyle w:val="CharSectno"/>
        </w:rPr>
        <w:t>22</w:t>
      </w:r>
      <w:r>
        <w:rPr>
          <w:snapToGrid w:val="0"/>
        </w:rPr>
        <w:t>.</w:t>
      </w:r>
      <w:r>
        <w:rPr>
          <w:snapToGrid w:val="0"/>
        </w:rPr>
        <w:tab/>
        <w:t xml:space="preserve">Rules </w:t>
      </w:r>
      <w:r>
        <w:t>of Commission</w:t>
      </w:r>
      <w:bookmarkEnd w:id="91"/>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92" w:name="_Toc522197226"/>
      <w:r>
        <w:rPr>
          <w:rStyle w:val="CharSectno"/>
        </w:rPr>
        <w:t>23</w:t>
      </w:r>
      <w:r>
        <w:rPr>
          <w:snapToGrid w:val="0"/>
        </w:rPr>
        <w:t>.</w:t>
      </w:r>
      <w:r>
        <w:rPr>
          <w:snapToGrid w:val="0"/>
        </w:rPr>
        <w:tab/>
        <w:t>Proof of process; protection from personal liability</w:t>
      </w:r>
      <w:bookmarkEnd w:id="92"/>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93" w:name="_Toc471906707"/>
      <w:bookmarkStart w:id="94" w:name="_Toc472001624"/>
      <w:bookmarkStart w:id="95" w:name="_Toc472676652"/>
      <w:bookmarkStart w:id="96" w:name="_Toc472682037"/>
      <w:bookmarkStart w:id="97" w:name="_Toc473119178"/>
      <w:bookmarkStart w:id="98" w:name="_Toc522197227"/>
      <w:r>
        <w:rPr>
          <w:rStyle w:val="CharDivNo"/>
        </w:rPr>
        <w:t>Division 6</w:t>
      </w:r>
      <w:r>
        <w:rPr>
          <w:snapToGrid w:val="0"/>
        </w:rPr>
        <w:t> — </w:t>
      </w:r>
      <w:r>
        <w:rPr>
          <w:rStyle w:val="CharDivText"/>
        </w:rPr>
        <w:t>Reference to the Commission, review and appeals</w:t>
      </w:r>
      <w:bookmarkEnd w:id="93"/>
      <w:bookmarkEnd w:id="94"/>
      <w:bookmarkEnd w:id="95"/>
      <w:bookmarkEnd w:id="96"/>
      <w:bookmarkEnd w:id="97"/>
      <w:bookmarkEnd w:id="98"/>
      <w:r>
        <w:t xml:space="preserve"> </w:t>
      </w:r>
    </w:p>
    <w:p>
      <w:pPr>
        <w:pStyle w:val="Footnoteheading"/>
        <w:keepNext/>
        <w:keepLines/>
      </w:pPr>
      <w:r>
        <w:tab/>
        <w:t>[Heading amended by No. 73 of 2006 s. 20.]</w:t>
      </w:r>
    </w:p>
    <w:p>
      <w:pPr>
        <w:pStyle w:val="Heading5"/>
        <w:rPr>
          <w:snapToGrid w:val="0"/>
        </w:rPr>
      </w:pPr>
      <w:bookmarkStart w:id="99" w:name="_Toc522197228"/>
      <w:r>
        <w:rPr>
          <w:rStyle w:val="CharSectno"/>
        </w:rPr>
        <w:t>24</w:t>
      </w:r>
      <w:r>
        <w:rPr>
          <w:snapToGrid w:val="0"/>
        </w:rPr>
        <w:t>.</w:t>
      </w:r>
      <w:r>
        <w:rPr>
          <w:snapToGrid w:val="0"/>
        </w:rPr>
        <w:tab/>
        <w:t>Director may refer matters to Commission</w:t>
      </w:r>
      <w:bookmarkEnd w:id="99"/>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100" w:name="_Toc522197229"/>
      <w:r>
        <w:rPr>
          <w:rStyle w:val="CharSectno"/>
        </w:rPr>
        <w:t>25</w:t>
      </w:r>
      <w:r>
        <w:rPr>
          <w:snapToGrid w:val="0"/>
        </w:rPr>
        <w:t>.</w:t>
      </w:r>
      <w:r>
        <w:rPr>
          <w:snapToGrid w:val="0"/>
        </w:rPr>
        <w:tab/>
        <w:t>Review of Director’s decisions</w:t>
      </w:r>
      <w:bookmarkEnd w:id="100"/>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 xml:space="preserve">An application under subsection (1) must be made within a month after the applicant receives </w:t>
      </w:r>
      <w:r>
        <w:t>written reasons for</w:t>
      </w:r>
      <w:r>
        <w:rPr>
          <w:snapToGrid w:val="0"/>
        </w:rPr>
        <w:t xml:space="preserve">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 No. 9 of 2018 s. 11.]</w:t>
      </w:r>
    </w:p>
    <w:p>
      <w:pPr>
        <w:pStyle w:val="Heading5"/>
      </w:pPr>
      <w:bookmarkStart w:id="101" w:name="_Toc522197230"/>
      <w:r>
        <w:rPr>
          <w:rStyle w:val="CharSectno"/>
        </w:rPr>
        <w:t>26</w:t>
      </w:r>
      <w:r>
        <w:t>.</w:t>
      </w:r>
      <w:r>
        <w:tab/>
        <w:t>Some Director’s decisions have effect despite application to review</w:t>
      </w:r>
      <w:bookmarkEnd w:id="101"/>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102" w:name="_Toc522197231"/>
      <w:r>
        <w:rPr>
          <w:rStyle w:val="CharSectno"/>
        </w:rPr>
        <w:t>27</w:t>
      </w:r>
      <w:r>
        <w:rPr>
          <w:snapToGrid w:val="0"/>
        </w:rPr>
        <w:t>.</w:t>
      </w:r>
      <w:r>
        <w:rPr>
          <w:snapToGrid w:val="0"/>
        </w:rPr>
        <w:tab/>
        <w:t>Question of law, Commission may state to Supreme Court</w:t>
      </w:r>
      <w:bookmarkEnd w:id="102"/>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103" w:name="_Toc522197232"/>
      <w:r>
        <w:rPr>
          <w:rStyle w:val="CharSectno"/>
        </w:rPr>
        <w:t>28</w:t>
      </w:r>
      <w:r>
        <w:rPr>
          <w:snapToGrid w:val="0"/>
        </w:rPr>
        <w:t>.</w:t>
      </w:r>
      <w:r>
        <w:rPr>
          <w:snapToGrid w:val="0"/>
        </w:rPr>
        <w:tab/>
        <w:t>Appeals against Commission’s decisions</w:t>
      </w:r>
      <w:bookmarkEnd w:id="103"/>
    </w:p>
    <w:p>
      <w:pPr>
        <w:pStyle w:val="Subsection"/>
      </w:pPr>
      <w:r>
        <w:tab/>
        <w:t>(1)</w:t>
      </w:r>
      <w:r>
        <w:tab/>
        <w:t xml:space="preserve">Subject to this section, a person who — </w:t>
      </w:r>
    </w:p>
    <w:p>
      <w:pPr>
        <w:pStyle w:val="Indenta"/>
      </w:pPr>
      <w:r>
        <w:tab/>
        <w:t>(a)</w:t>
      </w:r>
      <w:r>
        <w:tab/>
        <w:t>is a party to proceedings before the Commission;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No. 9 of 2018 s. 13.] </w:t>
      </w:r>
    </w:p>
    <w:p>
      <w:pPr>
        <w:pStyle w:val="Heading5"/>
        <w:spacing w:before="180"/>
        <w:rPr>
          <w:snapToGrid w:val="0"/>
        </w:rPr>
      </w:pPr>
      <w:bookmarkStart w:id="104" w:name="_Toc522197233"/>
      <w:r>
        <w:rPr>
          <w:rStyle w:val="CharSectno"/>
        </w:rPr>
        <w:t>29</w:t>
      </w:r>
      <w:r>
        <w:rPr>
          <w:snapToGrid w:val="0"/>
        </w:rPr>
        <w:t>.</w:t>
      </w:r>
      <w:r>
        <w:rPr>
          <w:snapToGrid w:val="0"/>
        </w:rPr>
        <w:tab/>
        <w:t>Licence or permit continues to have effect pending appeal</w:t>
      </w:r>
      <w:bookmarkEnd w:id="104"/>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105" w:name="_Toc471906714"/>
      <w:bookmarkStart w:id="106" w:name="_Toc472001631"/>
      <w:bookmarkStart w:id="107" w:name="_Toc472676659"/>
      <w:bookmarkStart w:id="108" w:name="_Toc472682044"/>
      <w:bookmarkStart w:id="109" w:name="_Toc473119185"/>
      <w:bookmarkStart w:id="110" w:name="_Toc522197234"/>
      <w:r>
        <w:rPr>
          <w:rStyle w:val="CharDivNo"/>
        </w:rPr>
        <w:t>Division 7</w:t>
      </w:r>
      <w:r>
        <w:t> — </w:t>
      </w:r>
      <w:r>
        <w:rPr>
          <w:rStyle w:val="CharDivText"/>
        </w:rPr>
        <w:t>Confidential police information</w:t>
      </w:r>
      <w:bookmarkEnd w:id="105"/>
      <w:bookmarkEnd w:id="106"/>
      <w:bookmarkEnd w:id="107"/>
      <w:bookmarkEnd w:id="108"/>
      <w:bookmarkEnd w:id="109"/>
      <w:bookmarkEnd w:id="110"/>
    </w:p>
    <w:p>
      <w:pPr>
        <w:pStyle w:val="Footnoteheading"/>
      </w:pPr>
      <w:r>
        <w:tab/>
        <w:t>[Heading inserted by No. 73 of 2006 s. 27.]</w:t>
      </w:r>
    </w:p>
    <w:p>
      <w:pPr>
        <w:pStyle w:val="Heading5"/>
        <w:spacing w:before="180"/>
      </w:pPr>
      <w:bookmarkStart w:id="111" w:name="_Toc522197235"/>
      <w:r>
        <w:rPr>
          <w:rStyle w:val="CharSectno"/>
        </w:rPr>
        <w:t>30</w:t>
      </w:r>
      <w:r>
        <w:t>.</w:t>
      </w:r>
      <w:r>
        <w:tab/>
        <w:t>Confidential police information, use and protection of</w:t>
      </w:r>
      <w:bookmarkEnd w:id="111"/>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Director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 No. 9 of 2018 s. 14.]</w:t>
      </w:r>
    </w:p>
    <w:p>
      <w:pPr>
        <w:pStyle w:val="Heading2"/>
      </w:pPr>
      <w:bookmarkStart w:id="112" w:name="_Toc471906716"/>
      <w:bookmarkStart w:id="113" w:name="_Toc472001633"/>
      <w:bookmarkStart w:id="114" w:name="_Toc472676661"/>
      <w:bookmarkStart w:id="115" w:name="_Toc472682046"/>
      <w:bookmarkStart w:id="116" w:name="_Toc473119187"/>
      <w:bookmarkStart w:id="117" w:name="_Toc522197236"/>
      <w:r>
        <w:rPr>
          <w:rStyle w:val="CharPartNo"/>
        </w:rPr>
        <w:t>Part 3</w:t>
      </w:r>
      <w:r>
        <w:t> — </w:t>
      </w:r>
      <w:r>
        <w:rPr>
          <w:rStyle w:val="CharPartText"/>
        </w:rPr>
        <w:t>Licences and permits</w:t>
      </w:r>
      <w:bookmarkEnd w:id="112"/>
      <w:bookmarkEnd w:id="113"/>
      <w:bookmarkEnd w:id="114"/>
      <w:bookmarkEnd w:id="115"/>
      <w:bookmarkEnd w:id="116"/>
      <w:bookmarkEnd w:id="117"/>
      <w:r>
        <w:rPr>
          <w:rStyle w:val="CharPartText"/>
        </w:rPr>
        <w:t xml:space="preserve"> </w:t>
      </w:r>
    </w:p>
    <w:p>
      <w:pPr>
        <w:pStyle w:val="Heading3"/>
        <w:rPr>
          <w:snapToGrid w:val="0"/>
        </w:rPr>
      </w:pPr>
      <w:bookmarkStart w:id="118" w:name="_Toc471906717"/>
      <w:bookmarkStart w:id="119" w:name="_Toc472001634"/>
      <w:bookmarkStart w:id="120" w:name="_Toc472676662"/>
      <w:bookmarkStart w:id="121" w:name="_Toc472682047"/>
      <w:bookmarkStart w:id="122" w:name="_Toc473119188"/>
      <w:bookmarkStart w:id="123" w:name="_Toc522197237"/>
      <w:r>
        <w:rPr>
          <w:rStyle w:val="CharDivNo"/>
        </w:rPr>
        <w:t>Division 1</w:t>
      </w:r>
      <w:r>
        <w:rPr>
          <w:snapToGrid w:val="0"/>
        </w:rPr>
        <w:t> — </w:t>
      </w:r>
      <w:r>
        <w:rPr>
          <w:rStyle w:val="CharDivText"/>
        </w:rPr>
        <w:t>General matters</w:t>
      </w:r>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522197238"/>
      <w:r>
        <w:rPr>
          <w:rStyle w:val="CharSectno"/>
        </w:rPr>
        <w:t>30A</w:t>
      </w:r>
      <w:r>
        <w:rPr>
          <w:snapToGrid w:val="0"/>
        </w:rPr>
        <w:t>.</w:t>
      </w:r>
      <w:r>
        <w:rPr>
          <w:snapToGrid w:val="0"/>
        </w:rPr>
        <w:tab/>
        <w:t>Licences to sell liquor, grant and nature of</w:t>
      </w:r>
      <w:bookmarkEnd w:id="124"/>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spacing w:before="180"/>
        <w:rPr>
          <w:snapToGrid w:val="0"/>
        </w:rPr>
      </w:pPr>
      <w:bookmarkStart w:id="125" w:name="_Toc522197239"/>
      <w:r>
        <w:rPr>
          <w:rStyle w:val="CharSectno"/>
        </w:rPr>
        <w:t>30B</w:t>
      </w:r>
      <w:r>
        <w:rPr>
          <w:snapToGrid w:val="0"/>
        </w:rPr>
        <w:t>.</w:t>
      </w:r>
      <w:r>
        <w:rPr>
          <w:snapToGrid w:val="0"/>
        </w:rPr>
        <w:tab/>
        <w:t>Power of attorney does not empower donee to act for licensee under this Act</w:t>
      </w:r>
      <w:bookmarkEnd w:id="125"/>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spacing w:before="180"/>
        <w:rPr>
          <w:snapToGrid w:val="0"/>
        </w:rPr>
      </w:pPr>
      <w:bookmarkStart w:id="126" w:name="_Toc522197240"/>
      <w:r>
        <w:rPr>
          <w:rStyle w:val="CharSectno"/>
        </w:rPr>
        <w:t>31</w:t>
      </w:r>
      <w:r>
        <w:rPr>
          <w:snapToGrid w:val="0"/>
        </w:rPr>
        <w:t>.</w:t>
      </w:r>
      <w:r>
        <w:rPr>
          <w:snapToGrid w:val="0"/>
        </w:rPr>
        <w:tab/>
        <w:t>Licences, generally</w:t>
      </w:r>
      <w:bookmarkEnd w:id="126"/>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27" w:name="_Toc522197241"/>
      <w:r>
        <w:rPr>
          <w:rStyle w:val="CharSectno"/>
        </w:rPr>
        <w:t>32</w:t>
      </w:r>
      <w:r>
        <w:rPr>
          <w:snapToGrid w:val="0"/>
        </w:rPr>
        <w:t>.</w:t>
      </w:r>
      <w:r>
        <w:rPr>
          <w:snapToGrid w:val="0"/>
        </w:rPr>
        <w:tab/>
        <w:t>Duration of licences</w:t>
      </w:r>
      <w:bookmarkEnd w:id="127"/>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28" w:name="_Toc522197242"/>
      <w:r>
        <w:rPr>
          <w:rStyle w:val="CharSectno"/>
        </w:rPr>
        <w:t>33</w:t>
      </w:r>
      <w:r>
        <w:rPr>
          <w:snapToGrid w:val="0"/>
        </w:rPr>
        <w:t>.</w:t>
      </w:r>
      <w:r>
        <w:rPr>
          <w:snapToGrid w:val="0"/>
        </w:rPr>
        <w:tab/>
        <w:t>Powers of licensing authority when deciding applications</w:t>
      </w:r>
      <w:bookmarkEnd w:id="128"/>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29" w:name="_Toc522197243"/>
      <w:r>
        <w:rPr>
          <w:rStyle w:val="CharSectno"/>
        </w:rPr>
        <w:t>34</w:t>
      </w:r>
      <w:r>
        <w:rPr>
          <w:snapToGrid w:val="0"/>
        </w:rPr>
        <w:t>.</w:t>
      </w:r>
      <w:r>
        <w:rPr>
          <w:snapToGrid w:val="0"/>
        </w:rPr>
        <w:tab/>
        <w:t>Certain applications not to be decided</w:t>
      </w:r>
      <w:bookmarkEnd w:id="129"/>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by a person who — </w:t>
      </w:r>
    </w:p>
    <w:p>
      <w:pPr>
        <w:pStyle w:val="Ednotesubpara"/>
      </w:pPr>
      <w:r>
        <w:tab/>
        <w:t>[(i)</w:t>
      </w:r>
      <w:r>
        <w:tab/>
        <w:t>deleted]</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pPr>
      <w:r>
        <w:tab/>
        <w:t>(3)</w:t>
      </w:r>
      <w:r>
        <w:tab/>
        <w:t>Subsection (4) applies to any application made to the licensing authority for — </w:t>
      </w:r>
    </w:p>
    <w:p>
      <w:pPr>
        <w:pStyle w:val="Indenta"/>
      </w:pPr>
      <w:r>
        <w:tab/>
        <w:t>(a)</w:t>
      </w:r>
      <w:r>
        <w:tab/>
        <w:t>the grant or removal of a licence; or</w:t>
      </w:r>
    </w:p>
    <w:p>
      <w:pPr>
        <w:pStyle w:val="Indenta"/>
      </w:pPr>
      <w:r>
        <w:tab/>
        <w:t>(b)</w:t>
      </w:r>
      <w:r>
        <w:tab/>
        <w:t>approval to the transfer of a licence; or</w:t>
      </w:r>
    </w:p>
    <w:p>
      <w:pPr>
        <w:pStyle w:val="Indenta"/>
      </w:pPr>
      <w:r>
        <w:tab/>
        <w:t>(c)</w:t>
      </w:r>
      <w:r>
        <w:tab/>
        <w:t>approval of a person — </w:t>
      </w:r>
    </w:p>
    <w:p>
      <w:pPr>
        <w:pStyle w:val="Indenti"/>
      </w:pPr>
      <w:r>
        <w:tab/>
        <w:t>(i)</w:t>
      </w:r>
      <w:r>
        <w:tab/>
        <w:t>as a trustee; or</w:t>
      </w:r>
    </w:p>
    <w:p>
      <w:pPr>
        <w:pStyle w:val="Indenti"/>
      </w:pPr>
      <w:r>
        <w:tab/>
        <w:t>(ii)</w:t>
      </w:r>
      <w:r>
        <w:tab/>
        <w:t>as the occupant of a position of authority in a body corporate that holds a licence.</w:t>
      </w:r>
    </w:p>
    <w:p>
      <w:pPr>
        <w:pStyle w:val="Subsection"/>
      </w:pPr>
      <w:r>
        <w:tab/>
        <w:t>(4)</w:t>
      </w:r>
      <w:r>
        <w:tab/>
        <w:t xml:space="preserve">The licensing authority must not hear or determine any application to which this subsection applies if that application is made by a person who is, according the </w:t>
      </w:r>
      <w:r>
        <w:rPr>
          <w:i/>
        </w:rPr>
        <w:t>Interpretation Act 1984</w:t>
      </w:r>
      <w:r>
        <w:t xml:space="preserve"> section 13D, a bankrupt or a person whose affairs are under insolvency laws.</w:t>
      </w:r>
    </w:p>
    <w:p>
      <w:pPr>
        <w:pStyle w:val="Footnotesection"/>
      </w:pPr>
      <w:r>
        <w:tab/>
        <w:t xml:space="preserve">[Section 34 amended by No. 12 of 1998 s. 21 and 97(1); No. 10 of 2001 s. 220; No. 18 of 2009 s. 51; No. 56 of 2010 s. 7 and 25; No. 9 of 2018 s. 15.] </w:t>
      </w:r>
    </w:p>
    <w:p>
      <w:pPr>
        <w:pStyle w:val="Heading5"/>
        <w:spacing w:before="180"/>
        <w:rPr>
          <w:snapToGrid w:val="0"/>
        </w:rPr>
      </w:pPr>
      <w:bookmarkStart w:id="130" w:name="_Toc522197244"/>
      <w:r>
        <w:rPr>
          <w:rStyle w:val="CharSectno"/>
        </w:rPr>
        <w:t>35</w:t>
      </w:r>
      <w:r>
        <w:rPr>
          <w:snapToGrid w:val="0"/>
        </w:rPr>
        <w:t>.</w:t>
      </w:r>
      <w:r>
        <w:rPr>
          <w:snapToGrid w:val="0"/>
        </w:rPr>
        <w:tab/>
        <w:t>Persons who may hold licences</w:t>
      </w:r>
      <w:bookmarkEnd w:id="130"/>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31" w:name="_Toc522197245"/>
      <w:r>
        <w:rPr>
          <w:rStyle w:val="CharSectno"/>
        </w:rPr>
        <w:t>35A</w:t>
      </w:r>
      <w:r>
        <w:rPr>
          <w:snapToGrid w:val="0"/>
        </w:rPr>
        <w:t>.</w:t>
      </w:r>
      <w:r>
        <w:rPr>
          <w:snapToGrid w:val="0"/>
        </w:rPr>
        <w:tab/>
        <w:t>Trustees for unincorporated bodies</w:t>
      </w:r>
      <w:bookmarkEnd w:id="131"/>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132" w:name="_Toc522197246"/>
      <w:r>
        <w:rPr>
          <w:rStyle w:val="CharSectno"/>
        </w:rPr>
        <w:t>36</w:t>
      </w:r>
      <w:r>
        <w:rPr>
          <w:snapToGrid w:val="0"/>
        </w:rPr>
        <w:t>.</w:t>
      </w:r>
      <w:r>
        <w:rPr>
          <w:snapToGrid w:val="0"/>
        </w:rPr>
        <w:tab/>
        <w:t>Two or more licences for same premises, restrictions on</w:t>
      </w:r>
      <w:bookmarkEnd w:id="132"/>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pPr>
      <w:r>
        <w:tab/>
        <w:t>(3)</w:t>
      </w:r>
      <w:r>
        <w:tab/>
        <w:t xml:space="preserve">In addition to a licence granted in respect of any premises, or a part of any premises, either or both of the following licences may also be granted in respect of those premises or a part of those premises — </w:t>
      </w:r>
    </w:p>
    <w:p>
      <w:pPr>
        <w:pStyle w:val="Indenta"/>
      </w:pPr>
      <w:r>
        <w:tab/>
        <w:t>(a)</w:t>
      </w:r>
      <w:r>
        <w:tab/>
        <w:t>an occasional licence;</w:t>
      </w:r>
    </w:p>
    <w:p>
      <w:pPr>
        <w:pStyle w:val="Indenta"/>
      </w:pPr>
      <w:r>
        <w:tab/>
        <w:t>(b)</w:t>
      </w:r>
      <w:r>
        <w:tab/>
        <w:t>a licence conditionally granted under section 62.</w:t>
      </w:r>
    </w:p>
    <w:p>
      <w:pPr>
        <w:pStyle w:val="Footnotesection"/>
      </w:pPr>
      <w:r>
        <w:tab/>
        <w:t xml:space="preserve">[Section 36 amended by No. 9 of 2018 s. 16.] </w:t>
      </w:r>
    </w:p>
    <w:p>
      <w:pPr>
        <w:pStyle w:val="Heading5"/>
      </w:pPr>
      <w:bookmarkStart w:id="133" w:name="_Toc522197247"/>
      <w:r>
        <w:rPr>
          <w:rStyle w:val="CharSectno"/>
        </w:rPr>
        <w:t>36A</w:t>
      </w:r>
      <w:r>
        <w:t>.</w:t>
      </w:r>
      <w:r>
        <w:tab/>
        <w:t>Petrol stations in some areas not to be granted licences</w:t>
      </w:r>
      <w:bookmarkEnd w:id="133"/>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34" w:name="_Toc522197248"/>
      <w:r>
        <w:rPr>
          <w:rStyle w:val="CharSectno"/>
        </w:rPr>
        <w:t>37</w:t>
      </w:r>
      <w:r>
        <w:rPr>
          <w:snapToGrid w:val="0"/>
        </w:rPr>
        <w:t>.</w:t>
      </w:r>
      <w:r>
        <w:rPr>
          <w:snapToGrid w:val="0"/>
        </w:rPr>
        <w:tab/>
        <w:t>Pre-requisites for grants of licences etc.; conditions on licences</w:t>
      </w:r>
      <w:bookmarkEnd w:id="134"/>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No. 30 of 2015 s. 222; No. 26 of 2016 s. 66.] </w:t>
      </w:r>
    </w:p>
    <w:p>
      <w:pPr>
        <w:pStyle w:val="Heading5"/>
        <w:rPr>
          <w:snapToGrid w:val="0"/>
        </w:rPr>
      </w:pPr>
      <w:bookmarkStart w:id="135" w:name="_Toc522197249"/>
      <w:r>
        <w:rPr>
          <w:rStyle w:val="CharSectno"/>
        </w:rPr>
        <w:t>37A</w:t>
      </w:r>
      <w:r>
        <w:rPr>
          <w:snapToGrid w:val="0"/>
        </w:rPr>
        <w:t>.</w:t>
      </w:r>
      <w:r>
        <w:rPr>
          <w:snapToGrid w:val="0"/>
        </w:rPr>
        <w:tab/>
        <w:t>Conviction of licensee etc., duty to inform Director</w:t>
      </w:r>
      <w:bookmarkEnd w:id="135"/>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36" w:name="_Toc522197250"/>
      <w:r>
        <w:rPr>
          <w:rStyle w:val="CharSectno"/>
        </w:rPr>
        <w:t>37B</w:t>
      </w:r>
      <w:r>
        <w:t>.</w:t>
      </w:r>
      <w:r>
        <w:tab/>
        <w:t>Fingerprints etc., licensing authority’s powers to obtain</w:t>
      </w:r>
      <w:bookmarkEnd w:id="136"/>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5"/>
      </w:pPr>
      <w:bookmarkStart w:id="137" w:name="_Toc522197251"/>
      <w:bookmarkStart w:id="138" w:name="_Toc471906731"/>
      <w:bookmarkStart w:id="139" w:name="_Toc472001648"/>
      <w:bookmarkStart w:id="140" w:name="_Toc472676676"/>
      <w:bookmarkStart w:id="141" w:name="_Toc472682061"/>
      <w:bookmarkStart w:id="142" w:name="_Toc473119202"/>
      <w:r>
        <w:rPr>
          <w:rStyle w:val="CharSectno"/>
        </w:rPr>
        <w:t>37C</w:t>
      </w:r>
      <w:r>
        <w:t>.</w:t>
      </w:r>
      <w:r>
        <w:tab/>
        <w:t>Register of licensed premises</w:t>
      </w:r>
      <w:bookmarkEnd w:id="137"/>
    </w:p>
    <w:p>
      <w:pPr>
        <w:pStyle w:val="Subsection"/>
      </w:pPr>
      <w:r>
        <w:tab/>
        <w:t>(1)</w:t>
      </w:r>
      <w:r>
        <w:tab/>
        <w:t xml:space="preserve">The Director may keep a register that contains the following information in respect of licensed premises — </w:t>
      </w:r>
    </w:p>
    <w:p>
      <w:pPr>
        <w:pStyle w:val="Indenta"/>
      </w:pPr>
      <w:r>
        <w:tab/>
        <w:t>(a)</w:t>
      </w:r>
      <w:r>
        <w:tab/>
        <w:t>the name and address of the premises;</w:t>
      </w:r>
    </w:p>
    <w:p>
      <w:pPr>
        <w:pStyle w:val="Indenta"/>
      </w:pPr>
      <w:r>
        <w:tab/>
        <w:t>(b)</w:t>
      </w:r>
      <w:r>
        <w:tab/>
        <w:t>the licence number of the premises;</w:t>
      </w:r>
    </w:p>
    <w:p>
      <w:pPr>
        <w:pStyle w:val="Indenta"/>
      </w:pPr>
      <w:r>
        <w:tab/>
        <w:t>(c)</w:t>
      </w:r>
      <w:r>
        <w:tab/>
        <w:t>the type of licence that applies to the premises;</w:t>
      </w:r>
    </w:p>
    <w:p>
      <w:pPr>
        <w:pStyle w:val="Defpara"/>
      </w:pPr>
      <w:r>
        <w:tab/>
        <w:t>(d)</w:t>
      </w:r>
      <w:r>
        <w:tab/>
        <w:t>the status of the licence that applies to the premises (for example, whether the licence is conditionally granted or suspended);</w:t>
      </w:r>
    </w:p>
    <w:p>
      <w:pPr>
        <w:pStyle w:val="Indenta"/>
      </w:pPr>
      <w:r>
        <w:tab/>
        <w:t>(e)</w:t>
      </w:r>
      <w:r>
        <w:tab/>
        <w:t>the name of the licensee of the premises.</w:t>
      </w:r>
    </w:p>
    <w:p>
      <w:pPr>
        <w:pStyle w:val="Subsection"/>
      </w:pPr>
      <w:r>
        <w:tab/>
        <w:t>(2)</w:t>
      </w:r>
      <w:r>
        <w:tab/>
        <w:t>The Director may make the register available to the public in any way the Director considers appropriate, including by publication on the Department’s website.</w:t>
      </w:r>
    </w:p>
    <w:p>
      <w:pPr>
        <w:pStyle w:val="Footnotesection"/>
      </w:pPr>
      <w:r>
        <w:tab/>
        <w:t>[Section 37C inserted by No. 9 of 2018 s. 19.]</w:t>
      </w:r>
    </w:p>
    <w:p>
      <w:pPr>
        <w:pStyle w:val="Heading3"/>
      </w:pPr>
      <w:bookmarkStart w:id="143" w:name="_Toc522197252"/>
      <w:r>
        <w:rPr>
          <w:rStyle w:val="CharDivNo"/>
        </w:rPr>
        <w:t>Division 2</w:t>
      </w:r>
      <w:r>
        <w:t> — </w:t>
      </w:r>
      <w:r>
        <w:rPr>
          <w:rStyle w:val="CharDivText"/>
        </w:rPr>
        <w:t>Licences</w:t>
      </w:r>
      <w:bookmarkEnd w:id="138"/>
      <w:bookmarkEnd w:id="139"/>
      <w:bookmarkEnd w:id="140"/>
      <w:bookmarkEnd w:id="141"/>
      <w:bookmarkEnd w:id="142"/>
      <w:bookmarkEnd w:id="143"/>
    </w:p>
    <w:p>
      <w:pPr>
        <w:pStyle w:val="Footnoteheading"/>
        <w:rPr>
          <w:snapToGrid w:val="0"/>
        </w:rPr>
      </w:pPr>
      <w:r>
        <w:tab/>
        <w:t>[Heading inserted by No. 73 of 2006 s. 32.]</w:t>
      </w:r>
    </w:p>
    <w:p>
      <w:pPr>
        <w:pStyle w:val="Heading5"/>
      </w:pPr>
      <w:bookmarkStart w:id="144" w:name="_Toc522197253"/>
      <w:r>
        <w:rPr>
          <w:rStyle w:val="CharSectno"/>
        </w:rPr>
        <w:t>38</w:t>
      </w:r>
      <w:r>
        <w:t>.</w:t>
      </w:r>
      <w:r>
        <w:tab/>
        <w:t>Some applications not to be granted unless in the public interest</w:t>
      </w:r>
      <w:bookmarkEnd w:id="144"/>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spacing w:before="180"/>
        <w:rPr>
          <w:snapToGrid w:val="0"/>
        </w:rPr>
      </w:pPr>
      <w:bookmarkStart w:id="145" w:name="_Toc522197254"/>
      <w:r>
        <w:rPr>
          <w:rStyle w:val="CharSectno"/>
        </w:rPr>
        <w:t>39</w:t>
      </w:r>
      <w:r>
        <w:rPr>
          <w:snapToGrid w:val="0"/>
        </w:rPr>
        <w:t>.</w:t>
      </w:r>
      <w:r>
        <w:rPr>
          <w:snapToGrid w:val="0"/>
        </w:rPr>
        <w:tab/>
        <w:t>Certificate of local government as to whether premises comply with laws</w:t>
      </w:r>
      <w:bookmarkEnd w:id="145"/>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(Miscellaneous Provisions)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No. 19 of 2016 s. 101.] </w:t>
      </w:r>
    </w:p>
    <w:p>
      <w:pPr>
        <w:pStyle w:val="Heading5"/>
        <w:spacing w:before="180"/>
        <w:rPr>
          <w:snapToGrid w:val="0"/>
        </w:rPr>
      </w:pPr>
      <w:bookmarkStart w:id="146" w:name="_Toc522197255"/>
      <w:r>
        <w:rPr>
          <w:rStyle w:val="CharSectno"/>
        </w:rPr>
        <w:t>40</w:t>
      </w:r>
      <w:r>
        <w:rPr>
          <w:snapToGrid w:val="0"/>
        </w:rPr>
        <w:t>.</w:t>
      </w:r>
      <w:r>
        <w:rPr>
          <w:snapToGrid w:val="0"/>
        </w:rPr>
        <w:tab/>
        <w:t>Certificate of planning authority as to whether use of premises complies with planning laws</w:t>
      </w:r>
      <w:bookmarkEnd w:id="146"/>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spacing w:before="180"/>
        <w:rPr>
          <w:snapToGrid w:val="0"/>
        </w:rPr>
      </w:pPr>
      <w:bookmarkStart w:id="147" w:name="_Toc522197256"/>
      <w:r>
        <w:rPr>
          <w:rStyle w:val="CharSectno"/>
        </w:rPr>
        <w:t>41</w:t>
      </w:r>
      <w:r>
        <w:rPr>
          <w:snapToGrid w:val="0"/>
        </w:rPr>
        <w:t>.</w:t>
      </w:r>
      <w:r>
        <w:rPr>
          <w:snapToGrid w:val="0"/>
        </w:rPr>
        <w:tab/>
        <w:t>Hotel licence, kinds, conditions and effect of</w:t>
      </w:r>
      <w:bookmarkEnd w:id="147"/>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by No. 12 of 1998 s. 27; No. 26 of 2001 s. 4; No. 73 of 2006 s. 34 and 108; No. 56 of 2010 s. 41.] </w:t>
      </w:r>
    </w:p>
    <w:p>
      <w:pPr>
        <w:pStyle w:val="Heading5"/>
        <w:spacing w:before="240"/>
        <w:rPr>
          <w:snapToGrid w:val="0"/>
        </w:rPr>
      </w:pPr>
      <w:bookmarkStart w:id="148" w:name="_Toc522197257"/>
      <w:r>
        <w:rPr>
          <w:rStyle w:val="CharSectno"/>
        </w:rPr>
        <w:t>42</w:t>
      </w:r>
      <w:r>
        <w:rPr>
          <w:snapToGrid w:val="0"/>
        </w:rPr>
        <w:t>.</w:t>
      </w:r>
      <w:r>
        <w:rPr>
          <w:snapToGrid w:val="0"/>
        </w:rPr>
        <w:tab/>
        <w:t>Nightclub licence, effect and conditions of</w:t>
      </w:r>
      <w:bookmarkEnd w:id="148"/>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by No. 73 of 2006 s. 107.]</w:t>
      </w:r>
    </w:p>
    <w:p>
      <w:pPr>
        <w:pStyle w:val="Heading5"/>
        <w:rPr>
          <w:snapToGrid w:val="0"/>
        </w:rPr>
      </w:pPr>
      <w:bookmarkStart w:id="149" w:name="_Toc522197258"/>
      <w:r>
        <w:rPr>
          <w:rStyle w:val="CharSectno"/>
        </w:rPr>
        <w:t>43</w:t>
      </w:r>
      <w:r>
        <w:rPr>
          <w:snapToGrid w:val="0"/>
        </w:rPr>
        <w:t>.</w:t>
      </w:r>
      <w:r>
        <w:rPr>
          <w:snapToGrid w:val="0"/>
        </w:rPr>
        <w:tab/>
        <w:t>N</w:t>
      </w:r>
      <w:r>
        <w:t xml:space="preserve">ightclub </w:t>
      </w:r>
      <w:r>
        <w:rPr>
          <w:snapToGrid w:val="0"/>
        </w:rPr>
        <w:t>licence, pre-requisites for grant of</w:t>
      </w:r>
      <w:bookmarkEnd w:id="149"/>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50" w:name="_Toc522197259"/>
      <w:r>
        <w:rPr>
          <w:rStyle w:val="CharSectno"/>
        </w:rPr>
        <w:t>44</w:t>
      </w:r>
      <w:r>
        <w:rPr>
          <w:snapToGrid w:val="0"/>
        </w:rPr>
        <w:t>.</w:t>
      </w:r>
      <w:r>
        <w:rPr>
          <w:snapToGrid w:val="0"/>
        </w:rPr>
        <w:tab/>
        <w:t>Casino liquor licence, effect and conditions of</w:t>
      </w:r>
      <w:bookmarkEnd w:id="150"/>
    </w:p>
    <w:p>
      <w:pPr>
        <w:pStyle w:val="Subsection"/>
      </w:pPr>
      <w:r>
        <w:tab/>
        <w:t>(1)</w:t>
      </w:r>
      <w:r>
        <w:tab/>
        <w:t xml:space="preserve">Subject to this Act, a casino licence authorises the licensee, during permitted hours, to do either or both of the following — </w:t>
      </w:r>
    </w:p>
    <w:p>
      <w:pPr>
        <w:pStyle w:val="Indenta"/>
      </w:pPr>
      <w:r>
        <w:tab/>
        <w:t>(a)</w:t>
      </w:r>
      <w:r>
        <w:tab/>
        <w:t xml:space="preserve">sell liquor for consumption — </w:t>
      </w:r>
    </w:p>
    <w:p>
      <w:pPr>
        <w:pStyle w:val="Indenti"/>
      </w:pPr>
      <w:r>
        <w:tab/>
        <w:t>(i)</w:t>
      </w:r>
      <w:r>
        <w:tab/>
        <w:t>on the premises at the casino; and</w:t>
      </w:r>
    </w:p>
    <w:p>
      <w:pPr>
        <w:pStyle w:val="Indenti"/>
      </w:pPr>
      <w:r>
        <w:tab/>
        <w:t>(ii)</w:t>
      </w:r>
      <w:r>
        <w:tab/>
        <w:t>on other premises within the casino complex concerned or adjacent to that complex, within one or more defined areas as may from time to time be approved by the Gaming and Wagering Commission;</w:t>
      </w:r>
    </w:p>
    <w:p>
      <w:pPr>
        <w:pStyle w:val="Indenta"/>
      </w:pPr>
      <w:r>
        <w:tab/>
        <w:t>(b)</w:t>
      </w:r>
      <w:r>
        <w:tab/>
        <w:t xml:space="preserve">supply, without charge, packaged liquor on the premises referred to in paragraph (a) as part of — </w:t>
      </w:r>
    </w:p>
    <w:p>
      <w:pPr>
        <w:pStyle w:val="Indenti"/>
      </w:pPr>
      <w:r>
        <w:tab/>
        <w:t>(i)</w:t>
      </w:r>
      <w:r>
        <w:tab/>
        <w:t>an accommodation, restaurant or dining service provided on those premises; or</w:t>
      </w:r>
    </w:p>
    <w:p>
      <w:pPr>
        <w:pStyle w:val="Indenti"/>
      </w:pPr>
      <w:r>
        <w:tab/>
        <w:t>(ii)</w:t>
      </w:r>
      <w:r>
        <w:tab/>
        <w:t>a function or promotional activity conducted on those premises.</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 No. 9 of 2018 s. 23.]</w:t>
      </w:r>
    </w:p>
    <w:p>
      <w:pPr>
        <w:pStyle w:val="Heading5"/>
        <w:keepNext w:val="0"/>
        <w:keepLines w:val="0"/>
        <w:spacing w:before="180"/>
        <w:rPr>
          <w:snapToGrid w:val="0"/>
        </w:rPr>
      </w:pPr>
      <w:bookmarkStart w:id="151" w:name="_Toc522197260"/>
      <w:r>
        <w:rPr>
          <w:rStyle w:val="CharSectno"/>
        </w:rPr>
        <w:t>45</w:t>
      </w:r>
      <w:r>
        <w:rPr>
          <w:snapToGrid w:val="0"/>
        </w:rPr>
        <w:t>.</w:t>
      </w:r>
      <w:r>
        <w:rPr>
          <w:snapToGrid w:val="0"/>
        </w:rPr>
        <w:tab/>
        <w:t>Casino liquor licence, pre-requisites for grant of</w:t>
      </w:r>
      <w:bookmarkEnd w:id="151"/>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premises sought to be licensed are premises approved for the purpose by the Gaming and Wagering Commission and are comprised within or are adjacent to the casino complex to which </w:t>
      </w:r>
      <w:r>
        <w:t>a</w:t>
      </w:r>
      <w:r>
        <w:rPr>
          <w:snapToGrid w:val="0"/>
        </w:rPr>
        <w:t xml:space="preserve">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 xml:space="preserve">The licensing authority shall not grant any authorisation to sell liquor in the casino complex </w:t>
      </w:r>
      <w:r>
        <w:t>to which a casino gaming licence relates</w:t>
      </w:r>
      <w:r>
        <w:rPr>
          <w:snapToGrid w:val="0"/>
        </w:rPr>
        <w:t xml:space="preserve">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No. 9 of 2018 s. 24.] </w:t>
      </w:r>
    </w:p>
    <w:p>
      <w:pPr>
        <w:pStyle w:val="Heading5"/>
        <w:spacing w:before="240"/>
        <w:rPr>
          <w:snapToGrid w:val="0"/>
        </w:rPr>
      </w:pPr>
      <w:bookmarkStart w:id="152" w:name="_Toc522197261"/>
      <w:r>
        <w:rPr>
          <w:rStyle w:val="CharSectno"/>
        </w:rPr>
        <w:t>46</w:t>
      </w:r>
      <w:r>
        <w:rPr>
          <w:snapToGrid w:val="0"/>
        </w:rPr>
        <w:t>.</w:t>
      </w:r>
      <w:r>
        <w:rPr>
          <w:snapToGrid w:val="0"/>
        </w:rPr>
        <w:tab/>
        <w:t>Special facility licence, pre-requisites for grant of</w:t>
      </w:r>
      <w:bookmarkEnd w:id="152"/>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53" w:name="_Toc522197262"/>
      <w:r>
        <w:rPr>
          <w:rStyle w:val="CharSectno"/>
        </w:rPr>
        <w:t>46A</w:t>
      </w:r>
      <w:r>
        <w:t>.</w:t>
      </w:r>
      <w:r>
        <w:tab/>
        <w:t>Special facility licence, restrictions on varying</w:t>
      </w:r>
      <w:bookmarkEnd w:id="153"/>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54" w:name="_Toc522197263"/>
      <w:r>
        <w:rPr>
          <w:rStyle w:val="CharSectno"/>
        </w:rPr>
        <w:t>46B</w:t>
      </w:r>
      <w:r>
        <w:t>.</w:t>
      </w:r>
      <w:r>
        <w:tab/>
        <w:t>Alternatives to granting or varying special facility licences</w:t>
      </w:r>
      <w:bookmarkEnd w:id="154"/>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180"/>
        <w:rPr>
          <w:snapToGrid w:val="0"/>
        </w:rPr>
      </w:pPr>
      <w:bookmarkStart w:id="155" w:name="_Toc522197264"/>
      <w:r>
        <w:rPr>
          <w:rStyle w:val="CharSectno"/>
        </w:rPr>
        <w:t>47</w:t>
      </w:r>
      <w:r>
        <w:rPr>
          <w:snapToGrid w:val="0"/>
        </w:rPr>
        <w:t>.</w:t>
      </w:r>
      <w:r>
        <w:rPr>
          <w:snapToGrid w:val="0"/>
        </w:rPr>
        <w:tab/>
        <w:t>Liquor store licence, effect of</w:t>
      </w:r>
      <w:bookmarkEnd w:id="155"/>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56" w:name="_Toc522197265"/>
      <w:r>
        <w:rPr>
          <w:rStyle w:val="CharSectno"/>
        </w:rPr>
        <w:t>48</w:t>
      </w:r>
      <w:r>
        <w:rPr>
          <w:snapToGrid w:val="0"/>
        </w:rPr>
        <w:t>.</w:t>
      </w:r>
      <w:r>
        <w:rPr>
          <w:snapToGrid w:val="0"/>
        </w:rPr>
        <w:tab/>
        <w:t>Club licence, kinds, conditions and effect of</w:t>
      </w:r>
      <w:bookmarkEnd w:id="156"/>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57" w:name="_Toc522197266"/>
      <w:r>
        <w:rPr>
          <w:rStyle w:val="CharSectno"/>
        </w:rPr>
        <w:t>49</w:t>
      </w:r>
      <w:r>
        <w:rPr>
          <w:snapToGrid w:val="0"/>
        </w:rPr>
        <w:t>.</w:t>
      </w:r>
      <w:r>
        <w:rPr>
          <w:snapToGrid w:val="0"/>
        </w:rPr>
        <w:tab/>
        <w:t>Club licence, pre-requisites for grant of</w:t>
      </w:r>
      <w:bookmarkEnd w:id="157"/>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No. 30 of 2015 s. 232.] </w:t>
      </w:r>
    </w:p>
    <w:p>
      <w:pPr>
        <w:pStyle w:val="Heading5"/>
        <w:rPr>
          <w:snapToGrid w:val="0"/>
        </w:rPr>
      </w:pPr>
      <w:bookmarkStart w:id="158" w:name="_Toc522197267"/>
      <w:r>
        <w:rPr>
          <w:rStyle w:val="CharSectno"/>
        </w:rPr>
        <w:t>50</w:t>
      </w:r>
      <w:r>
        <w:rPr>
          <w:snapToGrid w:val="0"/>
        </w:rPr>
        <w:t>.</w:t>
      </w:r>
      <w:r>
        <w:rPr>
          <w:snapToGrid w:val="0"/>
        </w:rPr>
        <w:tab/>
        <w:t>Restaurant licence, effect and conditions of</w:t>
      </w:r>
      <w:bookmarkEnd w:id="158"/>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pPr>
      <w:bookmarkStart w:id="159" w:name="_Toc522197268"/>
      <w:r>
        <w:rPr>
          <w:rStyle w:val="CharSectno"/>
        </w:rPr>
        <w:t>50A</w:t>
      </w:r>
      <w:r>
        <w:t>.</w:t>
      </w:r>
      <w:r>
        <w:tab/>
        <w:t>Issue of extended trading permit under s. 60(4)(ca) for certain restaurant licences at time of grant</w:t>
      </w:r>
      <w:bookmarkEnd w:id="159"/>
    </w:p>
    <w:p>
      <w:pPr>
        <w:pStyle w:val="Subsection"/>
      </w:pPr>
      <w:r>
        <w:tab/>
        <w:t>(1)</w:t>
      </w:r>
      <w:r>
        <w:tab/>
        <w:t xml:space="preserve">Subsection (2) applies if — </w:t>
      </w:r>
    </w:p>
    <w:p>
      <w:pPr>
        <w:pStyle w:val="Indenta"/>
      </w:pPr>
      <w:r>
        <w:tab/>
        <w:t>(a)</w:t>
      </w:r>
      <w:r>
        <w:tab/>
        <w:t>the licensing authority decides to grant a restaurant licence subject to a condition limiting the maximum number of persons (excluding responsible persons and authorised officers) who may be on the licensed premises to 120; and</w:t>
      </w:r>
    </w:p>
    <w:p>
      <w:pPr>
        <w:pStyle w:val="Indenta"/>
      </w:pPr>
      <w:r>
        <w:tab/>
        <w:t>(b)</w:t>
      </w:r>
      <w:r>
        <w:tab/>
        <w:t>the application for the restaurant licence specifies that an extended trading permit under section 60(4)(ca) is also sought in respect of the premises to which the application relates.</w:t>
      </w:r>
    </w:p>
    <w:p>
      <w:pPr>
        <w:pStyle w:val="Subsection"/>
      </w:pPr>
      <w:r>
        <w:tab/>
        <w:t>(2)</w:t>
      </w:r>
      <w:r>
        <w:tab/>
        <w:t>When the licensing authority grants the restaurant licence the licensing authority may issue an extended trading permit under section 60(4)(ca) in respect of the licensed premises.</w:t>
      </w:r>
    </w:p>
    <w:p>
      <w:pPr>
        <w:pStyle w:val="Footnotesection"/>
      </w:pPr>
      <w:r>
        <w:tab/>
        <w:t>[Section 50A inserted by No. 9 of 2018 s. 27.]</w:t>
      </w:r>
    </w:p>
    <w:p>
      <w:pPr>
        <w:pStyle w:val="Heading5"/>
        <w:rPr>
          <w:snapToGrid w:val="0"/>
        </w:rPr>
      </w:pPr>
      <w:bookmarkStart w:id="160" w:name="_Toc522197269"/>
      <w:r>
        <w:rPr>
          <w:rStyle w:val="CharSectno"/>
        </w:rPr>
        <w:t>51</w:t>
      </w:r>
      <w:r>
        <w:rPr>
          <w:snapToGrid w:val="0"/>
        </w:rPr>
        <w:t>.</w:t>
      </w:r>
      <w:r>
        <w:rPr>
          <w:snapToGrid w:val="0"/>
        </w:rPr>
        <w:tab/>
        <w:t>Unlicensed restaurants, supply of liquor in</w:t>
      </w:r>
      <w:bookmarkEnd w:id="160"/>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by No. 12 of 1998 s. 34; No. 73 of 2006 s. 110; No. 56 of 2010 s. 69.] </w:t>
      </w:r>
    </w:p>
    <w:p>
      <w:pPr>
        <w:pStyle w:val="Heading5"/>
        <w:rPr>
          <w:snapToGrid w:val="0"/>
        </w:rPr>
      </w:pPr>
      <w:bookmarkStart w:id="161" w:name="_Toc522197270"/>
      <w:r>
        <w:rPr>
          <w:rStyle w:val="CharSectno"/>
        </w:rPr>
        <w:t>52</w:t>
      </w:r>
      <w:r>
        <w:rPr>
          <w:snapToGrid w:val="0"/>
        </w:rPr>
        <w:t>.</w:t>
      </w:r>
      <w:r>
        <w:rPr>
          <w:snapToGrid w:val="0"/>
        </w:rPr>
        <w:tab/>
        <w:t>Liquor sold or consumed with meals, effect of extended trading permit which authorises; evidentiary provisions</w:t>
      </w:r>
      <w:bookmarkEnd w:id="161"/>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62" w:name="_Toc522197271"/>
      <w:r>
        <w:rPr>
          <w:rStyle w:val="CharSectno"/>
        </w:rPr>
        <w:t>53</w:t>
      </w:r>
      <w:r>
        <w:rPr>
          <w:snapToGrid w:val="0"/>
        </w:rPr>
        <w:t>.</w:t>
      </w:r>
      <w:r>
        <w:rPr>
          <w:snapToGrid w:val="0"/>
        </w:rPr>
        <w:tab/>
        <w:t>Restaurant licence and extended trading permit, effect of may be restricted as to selling liquor with meals</w:t>
      </w:r>
      <w:bookmarkEnd w:id="162"/>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by No. 12 of 1998 s. 35(1).] </w:t>
      </w:r>
    </w:p>
    <w:p>
      <w:pPr>
        <w:pStyle w:val="Heading5"/>
        <w:spacing w:before="240"/>
        <w:rPr>
          <w:snapToGrid w:val="0"/>
        </w:rPr>
      </w:pPr>
      <w:bookmarkStart w:id="163" w:name="_Toc522197272"/>
      <w:r>
        <w:rPr>
          <w:rStyle w:val="CharSectno"/>
        </w:rPr>
        <w:t>55</w:t>
      </w:r>
      <w:r>
        <w:rPr>
          <w:snapToGrid w:val="0"/>
        </w:rPr>
        <w:t>.</w:t>
      </w:r>
      <w:r>
        <w:rPr>
          <w:snapToGrid w:val="0"/>
        </w:rPr>
        <w:tab/>
        <w:t>Producer’s licence, effect of</w:t>
      </w:r>
      <w:bookmarkEnd w:id="163"/>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pPr>
      <w:r>
        <w:tab/>
        <w:t>(a)</w:t>
      </w:r>
      <w:r>
        <w:tab/>
        <w:t>to sell or supply (including by way of sample) on the licensed premises liquor produced by the licensee for consumption on a part of the licensed premises approved for the purpose by the Director; and</w:t>
      </w:r>
    </w:p>
    <w:p>
      <w:pPr>
        <w:pStyle w:val="Indenta"/>
      </w:pPr>
      <w:r>
        <w:tab/>
        <w:t>(b)</w:t>
      </w:r>
      <w:r>
        <w:tab/>
        <w:t>to sell or supply on or from the licensed premises liquor produced by the licensee for consumption off the licensed premises; and</w:t>
      </w:r>
    </w:p>
    <w:p>
      <w:pPr>
        <w:pStyle w:val="Indenta"/>
      </w:pPr>
      <w:r>
        <w:tab/>
        <w:t>(c)</w:t>
      </w:r>
      <w:r>
        <w:tab/>
        <w:t xml:space="preserve">to sell or supply liquor, other than liquor produced by the licensee, on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Ednotesubsection"/>
      </w:pPr>
      <w:r>
        <w:tab/>
        <w:t>[(1a)</w:t>
      </w:r>
      <w:r>
        <w:tab/>
        <w:t>deleted]</w:t>
      </w:r>
    </w:p>
    <w:p>
      <w:pPr>
        <w:pStyle w:val="Subsection"/>
        <w:spacing w:before="120"/>
      </w:pPr>
      <w:r>
        <w:tab/>
        <w:t>(2A)</w:t>
      </w:r>
      <w:r>
        <w:tab/>
        <w:t xml:space="preserve">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 xml:space="preserve">Where the licensee is a body </w:t>
      </w:r>
      <w:r>
        <w:t>corporate, liquor</w:t>
      </w:r>
      <w:r>
        <w:rPr>
          <w:snapToGrid w:val="0"/>
        </w:rPr>
        <w:t xml:space="preserve"> produced by a related body corporate shall be deemed to have been produced by the licensee.</w:t>
      </w:r>
    </w:p>
    <w:p>
      <w:pPr>
        <w:pStyle w:val="Footnotesection"/>
        <w:spacing w:before="80"/>
        <w:ind w:left="890" w:hanging="890"/>
      </w:pPr>
      <w:r>
        <w:tab/>
        <w:t xml:space="preserve">[Section 55 amended by No. 12 of 1998 s. 36; No. 73 of 2006 s. 41; No. 56 of 2010 s. 42; No. 35 of 2015 s. 6; No. 9 of 2018 s. 28.] </w:t>
      </w:r>
    </w:p>
    <w:p>
      <w:pPr>
        <w:pStyle w:val="Heading5"/>
        <w:spacing w:before="180"/>
        <w:rPr>
          <w:snapToGrid w:val="0"/>
        </w:rPr>
      </w:pPr>
      <w:bookmarkStart w:id="164" w:name="_Toc522197273"/>
      <w:r>
        <w:rPr>
          <w:rStyle w:val="CharSectno"/>
        </w:rPr>
        <w:t>56</w:t>
      </w:r>
      <w:r>
        <w:rPr>
          <w:snapToGrid w:val="0"/>
        </w:rPr>
        <w:t>.</w:t>
      </w:r>
      <w:r>
        <w:rPr>
          <w:snapToGrid w:val="0"/>
        </w:rPr>
        <w:tab/>
        <w:t>Production of liquor by person, presumption of</w:t>
      </w:r>
      <w:bookmarkEnd w:id="164"/>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pPr>
      <w:r>
        <w:tab/>
        <w:t>(ba)</w:t>
      </w:r>
      <w:r>
        <w:tab/>
        <w:t xml:space="preserve">being spirits made from wine — </w:t>
      </w:r>
    </w:p>
    <w:p>
      <w:pPr>
        <w:pStyle w:val="Indenti"/>
      </w:pPr>
      <w:r>
        <w:tab/>
        <w:t>(i)</w:t>
      </w:r>
      <w:r>
        <w:tab/>
        <w:t>if it was distilled by that person; or</w:t>
      </w:r>
    </w:p>
    <w:p>
      <w:pPr>
        <w:pStyle w:val="Indenti"/>
      </w:pPr>
      <w:r>
        <w:tab/>
        <w:t>(ii)</w:t>
      </w:r>
      <w:r>
        <w:tab/>
        <w:t>if it was distilled under the control or direction of that person from wine produced by that person;</w:t>
      </w:r>
    </w:p>
    <w:p>
      <w:pPr>
        <w:pStyle w:val="Indenta"/>
      </w:pPr>
      <w:r>
        <w:tab/>
      </w:r>
      <w:r>
        <w:tab/>
        <w:t>or</w:t>
      </w:r>
    </w:p>
    <w:p>
      <w:pPr>
        <w:pStyle w:val="Indenta"/>
        <w:rPr>
          <w:snapToGrid w:val="0"/>
        </w:rPr>
      </w:pPr>
      <w:r>
        <w:rPr>
          <w:snapToGrid w:val="0"/>
        </w:rPr>
        <w:tab/>
        <w:t>(c)</w:t>
      </w:r>
      <w:r>
        <w:rPr>
          <w:snapToGrid w:val="0"/>
        </w:rPr>
        <w:tab/>
        <w:t xml:space="preserve">being </w:t>
      </w:r>
      <w:r>
        <w:t xml:space="preserve">spirits not made from wine, </w:t>
      </w:r>
      <w:r>
        <w:rPr>
          <w:snapToGrid w:val="0"/>
        </w:rPr>
        <w:t>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 No. 9 of 2018 s. 29.]</w:t>
      </w:r>
    </w:p>
    <w:p>
      <w:pPr>
        <w:pStyle w:val="Heading5"/>
        <w:spacing w:before="180"/>
        <w:rPr>
          <w:snapToGrid w:val="0"/>
        </w:rPr>
      </w:pPr>
      <w:bookmarkStart w:id="165" w:name="_Toc522197274"/>
      <w:r>
        <w:rPr>
          <w:rStyle w:val="CharSectno"/>
        </w:rPr>
        <w:t>57</w:t>
      </w:r>
      <w:r>
        <w:rPr>
          <w:snapToGrid w:val="0"/>
        </w:rPr>
        <w:t>.</w:t>
      </w:r>
      <w:r>
        <w:rPr>
          <w:snapToGrid w:val="0"/>
        </w:rPr>
        <w:tab/>
        <w:t>Producer’s licence, pre-requisites for grant of</w:t>
      </w:r>
      <w:bookmarkEnd w:id="165"/>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66" w:name="_Toc522197275"/>
      <w:r>
        <w:rPr>
          <w:rStyle w:val="CharSectno"/>
        </w:rPr>
        <w:t>58</w:t>
      </w:r>
      <w:r>
        <w:rPr>
          <w:snapToGrid w:val="0"/>
        </w:rPr>
        <w:t>.</w:t>
      </w:r>
      <w:r>
        <w:rPr>
          <w:snapToGrid w:val="0"/>
        </w:rPr>
        <w:tab/>
        <w:t>Wholesaler’s licence, effect and conditions of</w:t>
      </w:r>
      <w:bookmarkEnd w:id="166"/>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Ednotesubsection"/>
      </w:pPr>
      <w:r>
        <w:tab/>
        <w:t>[(2a)</w:t>
      </w:r>
      <w:r>
        <w:tab/>
        <w:t>deleted]</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No. 9 of 2018 s. 30.] </w:t>
      </w:r>
    </w:p>
    <w:p>
      <w:pPr>
        <w:pStyle w:val="Heading5"/>
        <w:rPr>
          <w:snapToGrid w:val="0"/>
        </w:rPr>
      </w:pPr>
      <w:bookmarkStart w:id="167" w:name="_Toc522197276"/>
      <w:r>
        <w:rPr>
          <w:rStyle w:val="CharSectno"/>
        </w:rPr>
        <w:t>59</w:t>
      </w:r>
      <w:r>
        <w:rPr>
          <w:snapToGrid w:val="0"/>
        </w:rPr>
        <w:t>.</w:t>
      </w:r>
      <w:r>
        <w:rPr>
          <w:snapToGrid w:val="0"/>
        </w:rPr>
        <w:tab/>
        <w:t>Occasional licence, effect, conditions and pre-requisites for grant of</w:t>
      </w:r>
      <w:bookmarkEnd w:id="167"/>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5"/>
      </w:pPr>
      <w:bookmarkStart w:id="168" w:name="_Toc522197277"/>
      <w:bookmarkStart w:id="169" w:name="_Toc471906755"/>
      <w:bookmarkStart w:id="170" w:name="_Toc472001672"/>
      <w:bookmarkStart w:id="171" w:name="_Toc472676700"/>
      <w:bookmarkStart w:id="172" w:name="_Toc472682085"/>
      <w:bookmarkStart w:id="173" w:name="_Toc473119226"/>
      <w:r>
        <w:rPr>
          <w:rStyle w:val="CharSectno"/>
        </w:rPr>
        <w:t>59A</w:t>
      </w:r>
      <w:r>
        <w:t>.</w:t>
      </w:r>
      <w:r>
        <w:tab/>
        <w:t>Additional authorisations relating to supply and sale of liquor on licensed premises</w:t>
      </w:r>
      <w:bookmarkEnd w:id="168"/>
    </w:p>
    <w:p>
      <w:pPr>
        <w:pStyle w:val="Subsection"/>
      </w:pPr>
      <w:r>
        <w:tab/>
        <w:t>(1)</w:t>
      </w:r>
      <w:r>
        <w:tab/>
        <w:t xml:space="preserve">In this section — </w:t>
      </w:r>
    </w:p>
    <w:p>
      <w:pPr>
        <w:pStyle w:val="Defstart"/>
      </w:pPr>
      <w:r>
        <w:tab/>
      </w:r>
      <w:r>
        <w:rPr>
          <w:rStyle w:val="CharDefText"/>
        </w:rPr>
        <w:t>interstate supplier</w:t>
      </w:r>
      <w:r>
        <w:t xml:space="preserve"> means a person who is authorised under the law of another State, or of a Territory, to sell packaged liquor;</w:t>
      </w:r>
    </w:p>
    <w:p>
      <w:pPr>
        <w:pStyle w:val="Defstart"/>
      </w:pPr>
      <w:r>
        <w:tab/>
      </w:r>
      <w:r>
        <w:rPr>
          <w:rStyle w:val="CharDefText"/>
        </w:rPr>
        <w:t>packaged liquor</w:t>
      </w:r>
      <w:r>
        <w:t xml:space="preserve"> — </w:t>
      </w:r>
    </w:p>
    <w:p>
      <w:pPr>
        <w:pStyle w:val="Defpara"/>
      </w:pPr>
      <w:r>
        <w:tab/>
        <w:t>(a)</w:t>
      </w:r>
      <w:r>
        <w:tab/>
        <w:t>in relation to an interstate supplier, means liquor in sealed containers for consumption off the premises of the interstate supplier; and</w:t>
      </w:r>
    </w:p>
    <w:p>
      <w:pPr>
        <w:pStyle w:val="Defpara"/>
      </w:pPr>
      <w:r>
        <w:tab/>
        <w:t>(b)</w:t>
      </w:r>
      <w:r>
        <w:tab/>
        <w:t>otherwise, has the meaning given in section 3(1);</w:t>
      </w:r>
    </w:p>
    <w:p>
      <w:pPr>
        <w:pStyle w:val="Defstart"/>
      </w:pPr>
      <w:r>
        <w:tab/>
      </w:r>
      <w:r>
        <w:rPr>
          <w:rStyle w:val="CharDefText"/>
        </w:rPr>
        <w:t>packaged liquor licence</w:t>
      </w:r>
      <w:r>
        <w:t xml:space="preserve"> means a licence that authorises the sale of packaged liquor, but does not include a hotel restricted licence, a casino liquor licence, a club licence or an occasional licence.</w:t>
      </w:r>
    </w:p>
    <w:p>
      <w:pPr>
        <w:pStyle w:val="Subsection"/>
      </w:pPr>
      <w:r>
        <w:tab/>
        <w:t>(2)</w:t>
      </w:r>
      <w:r>
        <w:tab/>
        <w:t xml:space="preserve">A packaged liquor licence authorises the licensee (the </w:t>
      </w:r>
      <w:r>
        <w:rPr>
          <w:rStyle w:val="CharDefText"/>
        </w:rPr>
        <w:t>supplier</w:t>
      </w:r>
      <w:r>
        <w:t xml:space="preserve">), with the agreement of another licensee — </w:t>
      </w:r>
    </w:p>
    <w:p>
      <w:pPr>
        <w:pStyle w:val="Indenta"/>
      </w:pPr>
      <w:r>
        <w:tab/>
        <w:t>(a)</w:t>
      </w:r>
      <w:r>
        <w:tab/>
        <w:t>to supply liquor, by way of free sample, on the licensed premises of the other licensee for consumption on those premises; and</w:t>
      </w:r>
    </w:p>
    <w:p>
      <w:pPr>
        <w:pStyle w:val="Indenta"/>
      </w:pPr>
      <w:r>
        <w:tab/>
        <w:t>(b)</w:t>
      </w:r>
      <w:r>
        <w:tab/>
        <w:t>to sell packaged liquor on the licensed premises of the other licensee for delivery to the purchaser, or to premises specified by the purchaser, from the licensed premises of the supplier.</w:t>
      </w:r>
    </w:p>
    <w:p>
      <w:pPr>
        <w:pStyle w:val="Subsection"/>
      </w:pPr>
      <w:r>
        <w:tab/>
        <w:t>(3)</w:t>
      </w:r>
      <w:r>
        <w:tab/>
        <w:t xml:space="preserve">An interstate supplier is authorised, with the agreement of a licensee — </w:t>
      </w:r>
    </w:p>
    <w:p>
      <w:pPr>
        <w:pStyle w:val="Indenta"/>
      </w:pPr>
      <w:r>
        <w:tab/>
        <w:t>(a)</w:t>
      </w:r>
      <w:r>
        <w:tab/>
        <w:t>to supply liquor, by way of free sample, on the licensed premises of the licensee for consumption on those premises; and</w:t>
      </w:r>
    </w:p>
    <w:p>
      <w:pPr>
        <w:pStyle w:val="Indenta"/>
      </w:pPr>
      <w:r>
        <w:tab/>
        <w:t>(b)</w:t>
      </w:r>
      <w:r>
        <w:tab/>
        <w:t>to sell packaged liquor on the licensed premises of the licensee for delivery to the purchaser, or to premises specified by the purchaser, from the premises of the interstate supplier.</w:t>
      </w:r>
    </w:p>
    <w:p>
      <w:pPr>
        <w:pStyle w:val="Subsection"/>
      </w:pPr>
      <w:r>
        <w:tab/>
        <w:t>(4)</w:t>
      </w:r>
      <w:r>
        <w:tab/>
        <w:t>A sale of packaged liquor made by an interstate supplier as authorised under subsection (3) is taken to be made under a licence described in section 109(1)(a).</w:t>
      </w:r>
    </w:p>
    <w:p>
      <w:pPr>
        <w:pStyle w:val="Footnotesection"/>
        <w:spacing w:before="80"/>
        <w:ind w:left="890" w:hanging="890"/>
      </w:pPr>
      <w:r>
        <w:tab/>
        <w:t xml:space="preserve">[Section 59A inserted by No. 9 of 2018 s. 31.] </w:t>
      </w:r>
    </w:p>
    <w:p>
      <w:pPr>
        <w:pStyle w:val="Heading3"/>
        <w:rPr>
          <w:snapToGrid w:val="0"/>
        </w:rPr>
      </w:pPr>
      <w:bookmarkStart w:id="174" w:name="_Toc522197278"/>
      <w:r>
        <w:rPr>
          <w:rStyle w:val="CharDivNo"/>
        </w:rPr>
        <w:t>Division 4</w:t>
      </w:r>
      <w:r>
        <w:rPr>
          <w:snapToGrid w:val="0"/>
        </w:rPr>
        <w:t> — </w:t>
      </w:r>
      <w:r>
        <w:rPr>
          <w:rStyle w:val="CharDivText"/>
        </w:rPr>
        <w:t>Permits</w:t>
      </w:r>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522197279"/>
      <w:r>
        <w:rPr>
          <w:rStyle w:val="CharSectno"/>
        </w:rPr>
        <w:t>60</w:t>
      </w:r>
      <w:r>
        <w:rPr>
          <w:snapToGrid w:val="0"/>
        </w:rPr>
        <w:t>.</w:t>
      </w:r>
      <w:r>
        <w:rPr>
          <w:snapToGrid w:val="0"/>
        </w:rPr>
        <w:tab/>
        <w:t>Extended trading permit, purposes, effect and conditions of</w:t>
      </w:r>
      <w:bookmarkEnd w:id="175"/>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176" w:name="_Toc522197280"/>
      <w:r>
        <w:rPr>
          <w:rStyle w:val="CharSectno"/>
        </w:rPr>
        <w:t>61</w:t>
      </w:r>
      <w:r>
        <w:rPr>
          <w:snapToGrid w:val="0"/>
        </w:rPr>
        <w:t>.</w:t>
      </w:r>
      <w:r>
        <w:rPr>
          <w:snapToGrid w:val="0"/>
        </w:rPr>
        <w:tab/>
        <w:t>Extended trading permit for extended area (s. 60(4)(h)), pre</w:t>
      </w:r>
      <w:r>
        <w:rPr>
          <w:snapToGrid w:val="0"/>
        </w:rPr>
        <w:noBreakHyphen/>
        <w:t>requisites for grant of</w:t>
      </w:r>
      <w:bookmarkEnd w:id="176"/>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 xml:space="preserve">the licensee will, at times when the sale of liquor under the permit is authorised, be entitled to use for that purpose the premises or area to which the permit sought </w:t>
      </w:r>
      <w:r>
        <w:t>relates.</w:t>
      </w:r>
    </w:p>
    <w:p>
      <w:pPr>
        <w:pStyle w:val="Ednotepara"/>
        <w:rPr>
          <w:snapToGrid w:val="0"/>
        </w:rPr>
      </w:pPr>
      <w:r>
        <w:rPr>
          <w:snapToGrid w:val="0"/>
        </w:rPr>
        <w:tab/>
        <w:t>[(d)</w:t>
      </w:r>
      <w:r>
        <w:rPr>
          <w:snapToGrid w:val="0"/>
        </w:rPr>
        <w:tab/>
        <w:t>deleted]</w:t>
      </w:r>
    </w:p>
    <w:p>
      <w:pPr>
        <w:pStyle w:val="Ednotesubsection"/>
      </w:pPr>
      <w:r>
        <w:tab/>
        <w:t>[(2)</w:t>
      </w:r>
      <w:r>
        <w:tab/>
        <w:t>deleted]</w:t>
      </w:r>
    </w:p>
    <w:p>
      <w:pPr>
        <w:pStyle w:val="Footnotesection"/>
        <w:ind w:left="890" w:hanging="890"/>
      </w:pPr>
      <w:r>
        <w:tab/>
        <w:t xml:space="preserve">[Section 61 amended by No. 14 of 1996 s. 4; No. 9 of 2018 s. 33.] </w:t>
      </w:r>
    </w:p>
    <w:p>
      <w:pPr>
        <w:pStyle w:val="Heading5"/>
      </w:pPr>
      <w:bookmarkStart w:id="177" w:name="_Toc522197281"/>
      <w:r>
        <w:rPr>
          <w:rStyle w:val="CharSectno"/>
        </w:rPr>
        <w:t>61A</w:t>
      </w:r>
      <w:r>
        <w:t>.</w:t>
      </w:r>
      <w:r>
        <w:tab/>
        <w:t>Extended trading permit for sale of liquor (s. 60(4)(ia))</w:t>
      </w:r>
      <w:bookmarkEnd w:id="177"/>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liquor;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liquor other than wine, the premises are located in the district where the liquor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liquor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liquor other than wine if the licensee does not already hold a cellar door permit for the purposes of the sale of liquor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(5A)</w:t>
      </w:r>
      <w:r>
        <w:tab/>
        <w:t xml:space="preserve">If a cellar door permit is issued in respect of the same premises to 2 or more licensees, those licensees are jointly and severally liable — </w:t>
      </w:r>
    </w:p>
    <w:p>
      <w:pPr>
        <w:pStyle w:val="Indenta"/>
      </w:pPr>
      <w:r>
        <w:tab/>
        <w:t>(a)</w:t>
      </w:r>
      <w:r>
        <w:tab/>
        <w:t>as licensee; and</w:t>
      </w:r>
    </w:p>
    <w:p>
      <w:pPr>
        <w:pStyle w:val="Indenta"/>
      </w:pPr>
      <w:r>
        <w:tab/>
        <w:t>(b)</w:t>
      </w:r>
      <w:r>
        <w:tab/>
        <w:t>in respect of any civil or criminal liability that attaches to the licensee under this Act.</w:t>
      </w:r>
    </w:p>
    <w:p>
      <w:pPr>
        <w:pStyle w:val="Subsection"/>
      </w:pPr>
      <w:r>
        <w:tab/>
        <w:t>(6)</w:t>
      </w:r>
      <w:r>
        <w:tab/>
        <w:t>The regulations may prescribe conditions that are to be taken to be attached to a cellar door permit unless otherwise specified in the permit.</w:t>
      </w:r>
    </w:p>
    <w:p>
      <w:pPr>
        <w:pStyle w:val="Footnotesection"/>
      </w:pPr>
      <w:r>
        <w:tab/>
        <w:t>[Section 61A inserted by No. 35 of 2015 s. 9; amended by No. 9 of 2018 s. 34.]</w:t>
      </w:r>
    </w:p>
    <w:p>
      <w:pPr>
        <w:pStyle w:val="Heading3"/>
        <w:keepLines/>
        <w:rPr>
          <w:snapToGrid w:val="0"/>
        </w:rPr>
      </w:pPr>
      <w:bookmarkStart w:id="178" w:name="_Toc471906759"/>
      <w:bookmarkStart w:id="179" w:name="_Toc472001676"/>
      <w:bookmarkStart w:id="180" w:name="_Toc472676704"/>
      <w:bookmarkStart w:id="181" w:name="_Toc472682089"/>
      <w:bookmarkStart w:id="182" w:name="_Toc473119230"/>
      <w:bookmarkStart w:id="183" w:name="_Toc522197282"/>
      <w:r>
        <w:rPr>
          <w:rStyle w:val="CharDivNo"/>
        </w:rPr>
        <w:t>Division 5</w:t>
      </w:r>
      <w:r>
        <w:rPr>
          <w:snapToGrid w:val="0"/>
        </w:rPr>
        <w:t> — </w:t>
      </w:r>
      <w:r>
        <w:rPr>
          <w:rStyle w:val="CharDivText"/>
        </w:rPr>
        <w:t>Conditional grants or approvals</w:t>
      </w:r>
      <w:bookmarkEnd w:id="178"/>
      <w:bookmarkEnd w:id="179"/>
      <w:bookmarkEnd w:id="180"/>
      <w:bookmarkEnd w:id="181"/>
      <w:bookmarkEnd w:id="182"/>
      <w:bookmarkEnd w:id="183"/>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84" w:name="_Toc522197283"/>
      <w:r>
        <w:rPr>
          <w:rStyle w:val="CharSectno"/>
        </w:rPr>
        <w:t>62</w:t>
      </w:r>
      <w:r>
        <w:rPr>
          <w:snapToGrid w:val="0"/>
        </w:rPr>
        <w:t>.</w:t>
      </w:r>
      <w:r>
        <w:rPr>
          <w:snapToGrid w:val="0"/>
        </w:rPr>
        <w:tab/>
        <w:t>Uncompleted premises, conditional grant or removal in case of</w:t>
      </w:r>
      <w:bookmarkEnd w:id="184"/>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spacing w:before="180"/>
        <w:rPr>
          <w:snapToGrid w:val="0"/>
        </w:rPr>
      </w:pPr>
      <w:bookmarkStart w:id="185" w:name="_Toc522197284"/>
      <w:r>
        <w:rPr>
          <w:rStyle w:val="CharSectno"/>
        </w:rPr>
        <w:t>62A</w:t>
      </w:r>
      <w:r>
        <w:rPr>
          <w:snapToGrid w:val="0"/>
        </w:rPr>
        <w:t>.</w:t>
      </w:r>
      <w:r>
        <w:rPr>
          <w:snapToGrid w:val="0"/>
        </w:rPr>
        <w:tab/>
        <w:t>Pending certificate (s. 39 or 40) etc., conditional grant in case of</w:t>
      </w:r>
      <w:bookmarkEnd w:id="185"/>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by No. 12 of 1998 s. 42.] </w:t>
      </w:r>
    </w:p>
    <w:p>
      <w:pPr>
        <w:pStyle w:val="Heading5"/>
        <w:spacing w:before="160"/>
        <w:rPr>
          <w:snapToGrid w:val="0"/>
        </w:rPr>
      </w:pPr>
      <w:bookmarkStart w:id="186" w:name="_Toc522197285"/>
      <w:r>
        <w:rPr>
          <w:rStyle w:val="CharSectno"/>
        </w:rPr>
        <w:t>62B</w:t>
      </w:r>
      <w:r>
        <w:rPr>
          <w:snapToGrid w:val="0"/>
        </w:rPr>
        <w:t>.</w:t>
      </w:r>
      <w:r>
        <w:rPr>
          <w:snapToGrid w:val="0"/>
        </w:rPr>
        <w:tab/>
        <w:t>Pending approval etc. (s. 77(5)), conditional approval of alteration etc. in case of</w:t>
      </w:r>
      <w:bookmarkEnd w:id="186"/>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by No. 12 of 1998 </w:t>
      </w:r>
      <w:r>
        <w:t xml:space="preserve">s. 42.] </w:t>
      </w:r>
    </w:p>
    <w:p>
      <w:pPr>
        <w:pStyle w:val="Heading3"/>
        <w:keepLines/>
        <w:rPr>
          <w:snapToGrid w:val="0"/>
        </w:rPr>
      </w:pPr>
      <w:bookmarkStart w:id="187" w:name="_Toc471906763"/>
      <w:bookmarkStart w:id="188" w:name="_Toc472001680"/>
      <w:bookmarkStart w:id="189" w:name="_Toc472676708"/>
      <w:bookmarkStart w:id="190" w:name="_Toc472682093"/>
      <w:bookmarkStart w:id="191" w:name="_Toc473119234"/>
      <w:bookmarkStart w:id="192" w:name="_Toc522197286"/>
      <w:r>
        <w:rPr>
          <w:rStyle w:val="CharDivNo"/>
        </w:rPr>
        <w:t>Division 6</w:t>
      </w:r>
      <w:r>
        <w:rPr>
          <w:snapToGrid w:val="0"/>
        </w:rPr>
        <w:t> — </w:t>
      </w:r>
      <w:r>
        <w:rPr>
          <w:rStyle w:val="CharDivText"/>
        </w:rPr>
        <w:t>Conditions, generally</w:t>
      </w:r>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522197287"/>
      <w:r>
        <w:rPr>
          <w:rStyle w:val="CharSectno"/>
        </w:rPr>
        <w:t>63</w:t>
      </w:r>
      <w:r>
        <w:rPr>
          <w:snapToGrid w:val="0"/>
        </w:rPr>
        <w:t>.</w:t>
      </w:r>
      <w:r>
        <w:rPr>
          <w:snapToGrid w:val="0"/>
        </w:rPr>
        <w:tab/>
        <w:t>Terms fixed and conditions imposed by Act, only some can be varied etc.</w:t>
      </w:r>
      <w:bookmarkEnd w:id="193"/>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rPr>
          <w:snapToGrid w:val="0"/>
        </w:rPr>
      </w:pPr>
      <w:bookmarkStart w:id="194" w:name="_Toc522197288"/>
      <w:r>
        <w:rPr>
          <w:rStyle w:val="CharSectno"/>
        </w:rPr>
        <w:t>64</w:t>
      </w:r>
      <w:r>
        <w:rPr>
          <w:snapToGrid w:val="0"/>
        </w:rPr>
        <w:t>.</w:t>
      </w:r>
      <w:r>
        <w:rPr>
          <w:snapToGrid w:val="0"/>
        </w:rPr>
        <w:tab/>
        <w:t>Imposing, varying and cancelling conditions</w:t>
      </w:r>
      <w:bookmarkEnd w:id="194"/>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Chief Health Officer;</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[Section 64 amended by No. 56 of 1997 s. 31; No. 12 of 1998 s. 44; No. 73 of 2006 s. 46; No. 56 of 2010 s. 44; No. 35 of 2015 s. 10</w:t>
      </w:r>
      <w:r>
        <w:rPr>
          <w:spacing w:val="-4"/>
        </w:rPr>
        <w:t>; No. 19 of 2016 s. 163</w:t>
      </w:r>
      <w:r>
        <w:t xml:space="preserve">.] </w:t>
      </w:r>
    </w:p>
    <w:p>
      <w:pPr>
        <w:pStyle w:val="Heading5"/>
        <w:spacing w:before="240"/>
        <w:rPr>
          <w:snapToGrid w:val="0"/>
        </w:rPr>
      </w:pPr>
      <w:bookmarkStart w:id="195" w:name="_Toc522197289"/>
      <w:r>
        <w:rPr>
          <w:rStyle w:val="CharSectno"/>
        </w:rPr>
        <w:t>65</w:t>
      </w:r>
      <w:r>
        <w:rPr>
          <w:snapToGrid w:val="0"/>
        </w:rPr>
        <w:t>.</w:t>
      </w:r>
      <w:r>
        <w:rPr>
          <w:snapToGrid w:val="0"/>
        </w:rPr>
        <w:tab/>
        <w:t>Packaged liquor, conditions relating to sale of for consumption off licensed premises</w:t>
      </w:r>
      <w:bookmarkEnd w:id="195"/>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96" w:name="_Toc522197290"/>
      <w:r>
        <w:rPr>
          <w:rStyle w:val="CharSectno"/>
        </w:rPr>
        <w:t>65A</w:t>
      </w:r>
      <w:r>
        <w:t>.</w:t>
      </w:r>
      <w:r>
        <w:tab/>
        <w:t>Petrol station not to be established on premises from which packaged liquor is sold</w:t>
      </w:r>
      <w:bookmarkEnd w:id="196"/>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97" w:name="_Toc522197291"/>
      <w:r>
        <w:rPr>
          <w:rStyle w:val="CharSectno"/>
        </w:rPr>
        <w:t>65B</w:t>
      </w:r>
      <w:r>
        <w:t>.</w:t>
      </w:r>
      <w:r>
        <w:tab/>
        <w:t>Promoting liquor, regulations may prescribe conditions about</w:t>
      </w:r>
      <w:bookmarkEnd w:id="197"/>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198" w:name="_Toc471906769"/>
      <w:bookmarkStart w:id="199" w:name="_Toc472001686"/>
      <w:bookmarkStart w:id="200" w:name="_Toc472676714"/>
      <w:bookmarkStart w:id="201" w:name="_Toc472682099"/>
      <w:bookmarkStart w:id="202" w:name="_Toc473119240"/>
      <w:bookmarkStart w:id="203" w:name="_Toc522197292"/>
      <w:r>
        <w:rPr>
          <w:rStyle w:val="CharDivNo"/>
        </w:rPr>
        <w:t>Division 7</w:t>
      </w:r>
      <w:r>
        <w:rPr>
          <w:snapToGrid w:val="0"/>
        </w:rPr>
        <w:t> — </w:t>
      </w:r>
      <w:r>
        <w:rPr>
          <w:rStyle w:val="CharDivText"/>
        </w:rPr>
        <w:t>Applications</w:t>
      </w:r>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522197293"/>
      <w:r>
        <w:rPr>
          <w:rStyle w:val="CharSectno"/>
        </w:rPr>
        <w:t>66</w:t>
      </w:r>
      <w:r>
        <w:rPr>
          <w:snapToGrid w:val="0"/>
        </w:rPr>
        <w:t>.</w:t>
      </w:r>
      <w:r>
        <w:rPr>
          <w:snapToGrid w:val="0"/>
        </w:rPr>
        <w:tab/>
        <w:t>Plans and specifications of premises, requirements as to</w:t>
      </w:r>
      <w:bookmarkEnd w:id="204"/>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205" w:name="_Toc522197294"/>
      <w:r>
        <w:rPr>
          <w:rStyle w:val="CharSectno"/>
        </w:rPr>
        <w:t>67</w:t>
      </w:r>
      <w:r>
        <w:rPr>
          <w:snapToGrid w:val="0"/>
        </w:rPr>
        <w:t>.</w:t>
      </w:r>
      <w:r>
        <w:rPr>
          <w:snapToGrid w:val="0"/>
        </w:rPr>
        <w:tab/>
        <w:t>Advertisement of applications</w:t>
      </w:r>
      <w:bookmarkEnd w:id="205"/>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pPr>
      <w:r>
        <w:tab/>
        <w:t>(5)</w:t>
      </w:r>
      <w:r>
        <w:tab/>
        <w:t>If an application is required to be advertised, the Director must cause a copy of the notice of application to be published on the Department’s website.</w:t>
      </w:r>
    </w:p>
    <w:p>
      <w:pPr>
        <w:pStyle w:val="Footnotesection"/>
      </w:pPr>
      <w:r>
        <w:tab/>
        <w:t xml:space="preserve">[Section 67 amended by No. 12 of 1998 s. 47; No. 73 of 2006 s. 48; No. 56 of 2010 s. 45; No. 9 of 2018 s. 37.] </w:t>
      </w:r>
    </w:p>
    <w:p>
      <w:pPr>
        <w:pStyle w:val="Heading5"/>
        <w:rPr>
          <w:snapToGrid w:val="0"/>
        </w:rPr>
      </w:pPr>
      <w:bookmarkStart w:id="206" w:name="_Toc522197295"/>
      <w:r>
        <w:rPr>
          <w:rStyle w:val="CharSectno"/>
        </w:rPr>
        <w:t>68</w:t>
      </w:r>
      <w:r>
        <w:rPr>
          <w:snapToGrid w:val="0"/>
        </w:rPr>
        <w:t>.</w:t>
      </w:r>
      <w:r>
        <w:rPr>
          <w:snapToGrid w:val="0"/>
        </w:rPr>
        <w:tab/>
        <w:t>Form, manner, notice and public inspection of applications</w:t>
      </w:r>
      <w:bookmarkEnd w:id="206"/>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spacing w:before="180"/>
        <w:rPr>
          <w:snapToGrid w:val="0"/>
        </w:rPr>
      </w:pPr>
      <w:bookmarkStart w:id="207" w:name="_Toc522197296"/>
      <w:r>
        <w:rPr>
          <w:rStyle w:val="CharSectno"/>
        </w:rPr>
        <w:t>69</w:t>
      </w:r>
      <w:r>
        <w:rPr>
          <w:snapToGrid w:val="0"/>
        </w:rPr>
        <w:t>.</w:t>
      </w:r>
      <w:r>
        <w:rPr>
          <w:snapToGrid w:val="0"/>
        </w:rPr>
        <w:tab/>
        <w:t>Advertising, referring, investigating and intervening in applications</w:t>
      </w:r>
      <w:bookmarkEnd w:id="207"/>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(Miscellaneous Provisions)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 xml:space="preserve">The Chief Health Officer —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Chief Health Officer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snapToGrid w:val="0"/>
        </w:rPr>
        <w:t>Health (Miscellaneous Provisions)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No. 19 of 2016 s. 101 and 164.] </w:t>
      </w:r>
    </w:p>
    <w:p>
      <w:pPr>
        <w:pStyle w:val="Heading5"/>
        <w:keepNext w:val="0"/>
        <w:keepLines w:val="0"/>
        <w:spacing w:before="180"/>
        <w:rPr>
          <w:snapToGrid w:val="0"/>
        </w:rPr>
      </w:pPr>
      <w:bookmarkStart w:id="208" w:name="_Toc522197297"/>
      <w:r>
        <w:rPr>
          <w:rStyle w:val="CharSectno"/>
        </w:rPr>
        <w:t>70</w:t>
      </w:r>
      <w:r>
        <w:rPr>
          <w:snapToGrid w:val="0"/>
        </w:rPr>
        <w:t>.</w:t>
      </w:r>
      <w:r>
        <w:rPr>
          <w:snapToGrid w:val="0"/>
        </w:rPr>
        <w:tab/>
        <w:t>Club licence applications, intervening in</w:t>
      </w:r>
      <w:bookmarkEnd w:id="208"/>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 xml:space="preserve">The matters in relation to which a person to whom </w:t>
      </w:r>
      <w:r>
        <w:t>this section</w:t>
      </w:r>
      <w:r>
        <w:rPr>
          <w:snapToGrid w:val="0"/>
        </w:rPr>
        <w:t xml:space="preserve">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Footnotesection"/>
      </w:pPr>
      <w:r>
        <w:tab/>
        <w:t>[Section 70 amended by No. 9 of 2018 s. 40.]</w:t>
      </w:r>
    </w:p>
    <w:p>
      <w:pPr>
        <w:pStyle w:val="Ednotesection"/>
        <w:spacing w:before="240"/>
      </w:pPr>
      <w:r>
        <w:t>[</w:t>
      </w:r>
      <w:r>
        <w:rPr>
          <w:b/>
        </w:rPr>
        <w:t>71.</w:t>
      </w:r>
      <w:r>
        <w:tab/>
        <w:t>Deleted by No. 73 of 2006 s. 51.]</w:t>
      </w:r>
    </w:p>
    <w:p>
      <w:pPr>
        <w:pStyle w:val="Heading5"/>
        <w:spacing w:before="240"/>
        <w:rPr>
          <w:snapToGrid w:val="0"/>
        </w:rPr>
      </w:pPr>
      <w:bookmarkStart w:id="209" w:name="_Toc522197298"/>
      <w:r>
        <w:rPr>
          <w:rStyle w:val="CharSectno"/>
        </w:rPr>
        <w:t>72</w:t>
      </w:r>
      <w:r>
        <w:rPr>
          <w:snapToGrid w:val="0"/>
        </w:rPr>
        <w:t>.</w:t>
      </w:r>
      <w:r>
        <w:rPr>
          <w:snapToGrid w:val="0"/>
        </w:rPr>
        <w:tab/>
        <w:t>Owner etc. of premises, when consent of required; right of owner, lessee etc. to object</w:t>
      </w:r>
      <w:bookmarkEnd w:id="209"/>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pPr>
      <w:bookmarkStart w:id="210" w:name="_Toc522197299"/>
      <w:r>
        <w:rPr>
          <w:rStyle w:val="CharSectno"/>
        </w:rPr>
        <w:t>72A</w:t>
      </w:r>
      <w:r>
        <w:t>.</w:t>
      </w:r>
      <w:r>
        <w:tab/>
        <w:t>Submissions generally</w:t>
      </w:r>
      <w:bookmarkEnd w:id="210"/>
    </w:p>
    <w:p>
      <w:pPr>
        <w:pStyle w:val="Subsection"/>
      </w:pPr>
      <w:r>
        <w:tab/>
        <w:t>(1)</w:t>
      </w:r>
      <w:r>
        <w:tab/>
        <w:t xml:space="preserve">In this section — </w:t>
      </w:r>
    </w:p>
    <w:p>
      <w:pPr>
        <w:pStyle w:val="Defstart"/>
      </w:pPr>
      <w:r>
        <w:rPr>
          <w:rStyle w:val="CharDefText"/>
          <w:b w:val="0"/>
          <w:i w:val="0"/>
        </w:rPr>
        <w:tab/>
      </w:r>
      <w:r>
        <w:rPr>
          <w:rStyle w:val="CharDefText"/>
        </w:rPr>
        <w:t>submission</w:t>
      </w:r>
      <w:r>
        <w:t xml:space="preserve"> means — </w:t>
      </w:r>
    </w:p>
    <w:p>
      <w:pPr>
        <w:pStyle w:val="Defpara"/>
      </w:pPr>
      <w:r>
        <w:tab/>
        <w:t>(a)</w:t>
      </w:r>
      <w:r>
        <w:tab/>
        <w:t>a submission made by a person in support of an application; or</w:t>
      </w:r>
    </w:p>
    <w:p>
      <w:pPr>
        <w:pStyle w:val="Defpara"/>
      </w:pPr>
      <w:r>
        <w:tab/>
        <w:t>(b)</w:t>
      </w:r>
      <w:r>
        <w:tab/>
        <w:t>a submission made by a person in opposition to an application, but does not include an objection to an application lodged with the Director under section 73.</w:t>
      </w:r>
    </w:p>
    <w:p>
      <w:pPr>
        <w:pStyle w:val="Subsection"/>
      </w:pPr>
      <w:r>
        <w:tab/>
        <w:t>(2)</w:t>
      </w:r>
      <w:r>
        <w:tab/>
        <w:t>A person who makes a submission to the Director is not a party to proceedings.</w:t>
      </w:r>
    </w:p>
    <w:p>
      <w:pPr>
        <w:pStyle w:val="Subsection"/>
      </w:pPr>
      <w:r>
        <w:tab/>
        <w:t>(3)</w:t>
      </w:r>
      <w:r>
        <w:tab/>
        <w:t>Subsection (2) does not apply to a person who intervenes in proceedings relating to an application.</w:t>
      </w:r>
    </w:p>
    <w:p>
      <w:pPr>
        <w:pStyle w:val="Subsection"/>
      </w:pPr>
      <w:r>
        <w:tab/>
        <w:t>(4)</w:t>
      </w:r>
      <w:r>
        <w:tab/>
        <w:t>The Director may, but need not, acknowledge receipt of a submission.</w:t>
      </w:r>
    </w:p>
    <w:p>
      <w:pPr>
        <w:pStyle w:val="Subsection"/>
      </w:pPr>
      <w:r>
        <w:tab/>
        <w:t>(5)</w:t>
      </w:r>
      <w:r>
        <w:tab/>
        <w:t>Sections 73 and 74 do not apply to a submission made in opposition to an application.</w:t>
      </w:r>
    </w:p>
    <w:p>
      <w:pPr>
        <w:pStyle w:val="Footnotesection"/>
      </w:pPr>
      <w:r>
        <w:tab/>
        <w:t>[Section 72A inserted by No. 9 of 2018 s. 41.]</w:t>
      </w:r>
    </w:p>
    <w:p>
      <w:pPr>
        <w:pStyle w:val="Heading5"/>
        <w:rPr>
          <w:snapToGrid w:val="0"/>
        </w:rPr>
      </w:pPr>
      <w:bookmarkStart w:id="211" w:name="_Toc522197300"/>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211"/>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pPr>
      <w:r>
        <w:tab/>
        <w:t>(4A)</w:t>
      </w:r>
      <w:r>
        <w:tab/>
        <w:t>The Director must serve a copy of a notice lodged under subsection (4) on the applicant, unless section 30(4)(a) applies.</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No. 9 of 2018 s. 42.] </w:t>
      </w:r>
    </w:p>
    <w:p>
      <w:pPr>
        <w:pStyle w:val="Heading5"/>
        <w:rPr>
          <w:snapToGrid w:val="0"/>
        </w:rPr>
      </w:pPr>
      <w:bookmarkStart w:id="212" w:name="_Toc522197301"/>
      <w:r>
        <w:rPr>
          <w:rStyle w:val="CharSectno"/>
        </w:rPr>
        <w:t>74</w:t>
      </w:r>
      <w:r>
        <w:rPr>
          <w:snapToGrid w:val="0"/>
        </w:rPr>
        <w:t>.</w:t>
      </w:r>
      <w:r>
        <w:rPr>
          <w:snapToGrid w:val="0"/>
        </w:rPr>
        <w:tab/>
        <w:t>Objecting to applications, grounds for etc.</w:t>
      </w:r>
      <w:bookmarkEnd w:id="212"/>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Subsection"/>
      </w:pPr>
      <w:r>
        <w:tab/>
        <w:t>(5)</w:t>
      </w:r>
      <w:r>
        <w:tab/>
        <w:t>A determination made by the Director under subsection (4) is not subject to review under section 25.</w:t>
      </w:r>
    </w:p>
    <w:p>
      <w:pPr>
        <w:pStyle w:val="Footnotesection"/>
      </w:pPr>
      <w:r>
        <w:tab/>
        <w:t xml:space="preserve">[Section 74 amended by No. 12 of 1998 s. 10(10) and 52; No. 73 of 2006 s. 54; No. 9 of 2018 s. 43.] </w:t>
      </w:r>
    </w:p>
    <w:p>
      <w:pPr>
        <w:pStyle w:val="Heading5"/>
        <w:spacing w:before="240"/>
        <w:rPr>
          <w:snapToGrid w:val="0"/>
        </w:rPr>
      </w:pPr>
      <w:bookmarkStart w:id="213" w:name="_Toc522197302"/>
      <w:r>
        <w:rPr>
          <w:rStyle w:val="CharSectno"/>
        </w:rPr>
        <w:t>75</w:t>
      </w:r>
      <w:r>
        <w:rPr>
          <w:snapToGrid w:val="0"/>
        </w:rPr>
        <w:t>.</w:t>
      </w:r>
      <w:r>
        <w:rPr>
          <w:snapToGrid w:val="0"/>
        </w:rPr>
        <w:tab/>
        <w:t>Occasional licence, applications for</w:t>
      </w:r>
      <w:bookmarkEnd w:id="213"/>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pPr>
      <w:r>
        <w:tab/>
        <w:t>(b)</w:t>
      </w:r>
      <w:r>
        <w:tab/>
        <w:t>if not required to be advertised 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No. 9 of 2018 s. 44.] </w:t>
      </w:r>
    </w:p>
    <w:p>
      <w:pPr>
        <w:pStyle w:val="Heading5"/>
        <w:keepLines w:val="0"/>
        <w:spacing w:before="240"/>
        <w:rPr>
          <w:snapToGrid w:val="0"/>
        </w:rPr>
      </w:pPr>
      <w:bookmarkStart w:id="214" w:name="_Toc522197303"/>
      <w:r>
        <w:rPr>
          <w:rStyle w:val="CharSectno"/>
        </w:rPr>
        <w:t>76</w:t>
      </w:r>
      <w:r>
        <w:rPr>
          <w:snapToGrid w:val="0"/>
        </w:rPr>
        <w:t>.</w:t>
      </w:r>
      <w:r>
        <w:rPr>
          <w:snapToGrid w:val="0"/>
        </w:rPr>
        <w:tab/>
        <w:t>Extended trading permit, applications for</w:t>
      </w:r>
      <w:bookmarkEnd w:id="214"/>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215" w:name="_Toc522197304"/>
      <w:r>
        <w:rPr>
          <w:rStyle w:val="CharSectno"/>
        </w:rPr>
        <w:t>77</w:t>
      </w:r>
      <w:r>
        <w:rPr>
          <w:snapToGrid w:val="0"/>
        </w:rPr>
        <w:t>.</w:t>
      </w:r>
      <w:r>
        <w:rPr>
          <w:snapToGrid w:val="0"/>
        </w:rPr>
        <w:tab/>
        <w:t>No alteration of licensed premises without approval; application for approvals of alterations or redefinition of premises</w:t>
      </w:r>
      <w:bookmarkEnd w:id="215"/>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216" w:name="_Toc471906781"/>
      <w:bookmarkStart w:id="217" w:name="_Toc472001698"/>
      <w:bookmarkStart w:id="218" w:name="_Toc472676726"/>
      <w:bookmarkStart w:id="219" w:name="_Toc472682111"/>
      <w:bookmarkStart w:id="220" w:name="_Toc473119252"/>
      <w:bookmarkStart w:id="221" w:name="_Toc522197305"/>
      <w:r>
        <w:rPr>
          <w:rStyle w:val="CharDivNo"/>
        </w:rPr>
        <w:t>Division 8</w:t>
      </w:r>
      <w:r>
        <w:rPr>
          <w:snapToGrid w:val="0"/>
        </w:rPr>
        <w:t> — </w:t>
      </w:r>
      <w:r>
        <w:rPr>
          <w:rStyle w:val="CharDivText"/>
        </w:rPr>
        <w:t>Removals</w:t>
      </w:r>
      <w:bookmarkEnd w:id="216"/>
      <w:bookmarkEnd w:id="217"/>
      <w:bookmarkEnd w:id="218"/>
      <w:bookmarkEnd w:id="219"/>
      <w:bookmarkEnd w:id="220"/>
      <w:bookmarkEnd w:id="221"/>
      <w:r>
        <w:rPr>
          <w:rStyle w:val="CharDivText"/>
        </w:rPr>
        <w:t xml:space="preserve"> </w:t>
      </w:r>
    </w:p>
    <w:p>
      <w:pPr>
        <w:pStyle w:val="Heading5"/>
        <w:rPr>
          <w:snapToGrid w:val="0"/>
        </w:rPr>
      </w:pPr>
      <w:bookmarkStart w:id="222" w:name="_Toc522197306"/>
      <w:r>
        <w:rPr>
          <w:rStyle w:val="CharSectno"/>
        </w:rPr>
        <w:t>78</w:t>
      </w:r>
      <w:r>
        <w:rPr>
          <w:snapToGrid w:val="0"/>
        </w:rPr>
        <w:t>.</w:t>
      </w:r>
      <w:r>
        <w:rPr>
          <w:snapToGrid w:val="0"/>
        </w:rPr>
        <w:tab/>
        <w:t>Casino liquor licence not removable without authority</w:t>
      </w:r>
      <w:bookmarkEnd w:id="222"/>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223" w:name="_Toc522197307"/>
      <w:r>
        <w:rPr>
          <w:rStyle w:val="CharSectno"/>
        </w:rPr>
        <w:t>79</w:t>
      </w:r>
      <w:r>
        <w:rPr>
          <w:snapToGrid w:val="0"/>
        </w:rPr>
        <w:t>.</w:t>
      </w:r>
      <w:r>
        <w:rPr>
          <w:snapToGrid w:val="0"/>
        </w:rPr>
        <w:tab/>
        <w:t>Licence relating to transport, when removable</w:t>
      </w:r>
      <w:bookmarkEnd w:id="223"/>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224" w:name="_Toc522197308"/>
      <w:r>
        <w:rPr>
          <w:rStyle w:val="CharSectno"/>
        </w:rPr>
        <w:t>80</w:t>
      </w:r>
      <w:r>
        <w:rPr>
          <w:snapToGrid w:val="0"/>
        </w:rPr>
        <w:t>.</w:t>
      </w:r>
      <w:r>
        <w:rPr>
          <w:snapToGrid w:val="0"/>
        </w:rPr>
        <w:tab/>
        <w:t>Temporary removal or redefinition of licence</w:t>
      </w:r>
      <w:bookmarkEnd w:id="224"/>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225" w:name="_Toc522197309"/>
      <w:r>
        <w:rPr>
          <w:rStyle w:val="CharSectno"/>
        </w:rPr>
        <w:t>81</w:t>
      </w:r>
      <w:r>
        <w:rPr>
          <w:snapToGrid w:val="0"/>
        </w:rPr>
        <w:t>.</w:t>
      </w:r>
      <w:r>
        <w:rPr>
          <w:snapToGrid w:val="0"/>
        </w:rPr>
        <w:tab/>
        <w:t>Applications for removal of licence</w:t>
      </w:r>
      <w:bookmarkEnd w:id="225"/>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spacing w:before="140"/>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rPr>
          <w:snapToGrid w:val="0"/>
        </w:rPr>
      </w:pPr>
      <w:bookmarkStart w:id="226" w:name="_Toc471906786"/>
      <w:bookmarkStart w:id="227" w:name="_Toc472001703"/>
      <w:bookmarkStart w:id="228" w:name="_Toc472676731"/>
      <w:bookmarkStart w:id="229" w:name="_Toc472682116"/>
      <w:bookmarkStart w:id="230" w:name="_Toc473119257"/>
      <w:bookmarkStart w:id="231" w:name="_Toc522197310"/>
      <w:r>
        <w:rPr>
          <w:rStyle w:val="CharDivNo"/>
        </w:rPr>
        <w:t>Division 9</w:t>
      </w:r>
      <w:r>
        <w:rPr>
          <w:snapToGrid w:val="0"/>
        </w:rPr>
        <w:t> — </w:t>
      </w:r>
      <w:r>
        <w:rPr>
          <w:rStyle w:val="CharDivText"/>
        </w:rPr>
        <w:t>Transfers</w:t>
      </w:r>
      <w:bookmarkEnd w:id="226"/>
      <w:bookmarkEnd w:id="227"/>
      <w:bookmarkEnd w:id="228"/>
      <w:bookmarkEnd w:id="229"/>
      <w:bookmarkEnd w:id="230"/>
      <w:bookmarkEnd w:id="231"/>
      <w:r>
        <w:rPr>
          <w:rStyle w:val="CharDivText"/>
        </w:rPr>
        <w:t xml:space="preserve"> </w:t>
      </w:r>
    </w:p>
    <w:p>
      <w:pPr>
        <w:pStyle w:val="Heading5"/>
        <w:rPr>
          <w:snapToGrid w:val="0"/>
        </w:rPr>
      </w:pPr>
      <w:bookmarkStart w:id="232" w:name="_Toc522197311"/>
      <w:r>
        <w:rPr>
          <w:rStyle w:val="CharSectno"/>
        </w:rPr>
        <w:t>82</w:t>
      </w:r>
      <w:r>
        <w:rPr>
          <w:snapToGrid w:val="0"/>
        </w:rPr>
        <w:t>.</w:t>
      </w:r>
      <w:r>
        <w:rPr>
          <w:snapToGrid w:val="0"/>
        </w:rPr>
        <w:tab/>
        <w:t>Applications for transfer of licences</w:t>
      </w:r>
      <w:bookmarkEnd w:id="232"/>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233" w:name="_Toc522197312"/>
      <w:r>
        <w:rPr>
          <w:rStyle w:val="CharSectno"/>
        </w:rPr>
        <w:t>82A</w:t>
      </w:r>
      <w:r>
        <w:rPr>
          <w:snapToGrid w:val="0"/>
        </w:rPr>
        <w:t>.</w:t>
      </w:r>
      <w:r>
        <w:rPr>
          <w:snapToGrid w:val="0"/>
        </w:rPr>
        <w:tab/>
        <w:t>Transfer of licence between licence holders</w:t>
      </w:r>
      <w:bookmarkEnd w:id="233"/>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234" w:name="_Toc522197313"/>
      <w:r>
        <w:rPr>
          <w:rStyle w:val="CharSectno"/>
        </w:rPr>
        <w:t>83</w:t>
      </w:r>
      <w:r>
        <w:rPr>
          <w:snapToGrid w:val="0"/>
        </w:rPr>
        <w:t>.</w:t>
      </w:r>
      <w:r>
        <w:rPr>
          <w:snapToGrid w:val="0"/>
        </w:rPr>
        <w:tab/>
        <w:t>Certain licences not transferable</w:t>
      </w:r>
      <w:bookmarkEnd w:id="234"/>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235" w:name="_Toc522197314"/>
      <w:r>
        <w:rPr>
          <w:rStyle w:val="CharSectno"/>
        </w:rPr>
        <w:t>84</w:t>
      </w:r>
      <w:r>
        <w:rPr>
          <w:snapToGrid w:val="0"/>
        </w:rPr>
        <w:t>.</w:t>
      </w:r>
      <w:r>
        <w:rPr>
          <w:snapToGrid w:val="0"/>
        </w:rPr>
        <w:tab/>
        <w:t>Pre-requisites for transfer of licence</w:t>
      </w:r>
      <w:bookmarkEnd w:id="235"/>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236" w:name="_Toc522197315"/>
      <w:r>
        <w:rPr>
          <w:rStyle w:val="CharSectno"/>
        </w:rPr>
        <w:t>85</w:t>
      </w:r>
      <w:r>
        <w:rPr>
          <w:snapToGrid w:val="0"/>
        </w:rPr>
        <w:t>.</w:t>
      </w:r>
      <w:r>
        <w:rPr>
          <w:snapToGrid w:val="0"/>
        </w:rPr>
        <w:tab/>
        <w:t>Transferee to succeed to certain of transferor’s liabilities and rights</w:t>
      </w:r>
      <w:bookmarkEnd w:id="236"/>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237" w:name="_Toc471906792"/>
      <w:bookmarkStart w:id="238" w:name="_Toc472001709"/>
      <w:bookmarkStart w:id="239" w:name="_Toc472676737"/>
      <w:bookmarkStart w:id="240" w:name="_Toc472682122"/>
      <w:bookmarkStart w:id="241" w:name="_Toc473119263"/>
      <w:bookmarkStart w:id="242" w:name="_Toc522197316"/>
      <w:r>
        <w:rPr>
          <w:rStyle w:val="CharDivNo"/>
        </w:rPr>
        <w:t>Division 10</w:t>
      </w:r>
      <w:r>
        <w:rPr>
          <w:snapToGrid w:val="0"/>
        </w:rPr>
        <w:t> — </w:t>
      </w:r>
      <w:r>
        <w:rPr>
          <w:rStyle w:val="CharDivText"/>
        </w:rPr>
        <w:t>Interim authorisations and protection orders</w:t>
      </w:r>
      <w:bookmarkEnd w:id="237"/>
      <w:bookmarkEnd w:id="238"/>
      <w:bookmarkEnd w:id="239"/>
      <w:bookmarkEnd w:id="240"/>
      <w:bookmarkEnd w:id="241"/>
      <w:bookmarkEnd w:id="242"/>
      <w:r>
        <w:rPr>
          <w:rStyle w:val="CharDivText"/>
        </w:rPr>
        <w:t xml:space="preserve"> </w:t>
      </w:r>
    </w:p>
    <w:p>
      <w:pPr>
        <w:pStyle w:val="Heading5"/>
        <w:rPr>
          <w:snapToGrid w:val="0"/>
        </w:rPr>
      </w:pPr>
      <w:bookmarkStart w:id="243" w:name="_Toc522197317"/>
      <w:r>
        <w:rPr>
          <w:rStyle w:val="CharSectno"/>
        </w:rPr>
        <w:t>86</w:t>
      </w:r>
      <w:r>
        <w:rPr>
          <w:snapToGrid w:val="0"/>
        </w:rPr>
        <w:t>.</w:t>
      </w:r>
      <w:r>
        <w:rPr>
          <w:snapToGrid w:val="0"/>
        </w:rPr>
        <w:tab/>
        <w:t>Interim authorisations to carry on business under licence</w:t>
      </w:r>
      <w:bookmarkEnd w:id="243"/>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244" w:name="_Toc522197318"/>
      <w:r>
        <w:rPr>
          <w:rStyle w:val="CharSectno"/>
        </w:rPr>
        <w:t>87</w:t>
      </w:r>
      <w:r>
        <w:rPr>
          <w:snapToGrid w:val="0"/>
        </w:rPr>
        <w:t>.</w:t>
      </w:r>
      <w:r>
        <w:rPr>
          <w:snapToGrid w:val="0"/>
        </w:rPr>
        <w:tab/>
        <w:t>Protection orders, grant and term of etc.</w:t>
      </w:r>
      <w:bookmarkEnd w:id="24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245" w:name="_Toc522197319"/>
      <w:r>
        <w:rPr>
          <w:rStyle w:val="CharSectno"/>
        </w:rPr>
        <w:t>88</w:t>
      </w:r>
      <w:r>
        <w:rPr>
          <w:snapToGrid w:val="0"/>
        </w:rPr>
        <w:t>.</w:t>
      </w:r>
      <w:r>
        <w:rPr>
          <w:snapToGrid w:val="0"/>
        </w:rPr>
        <w:tab/>
        <w:t>Protection order, effect of</w:t>
      </w:r>
      <w:bookmarkEnd w:id="245"/>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246" w:name="_Toc522197320"/>
      <w:r>
        <w:rPr>
          <w:rStyle w:val="CharSectno"/>
        </w:rPr>
        <w:t>89</w:t>
      </w:r>
      <w:r>
        <w:rPr>
          <w:snapToGrid w:val="0"/>
        </w:rPr>
        <w:t>.</w:t>
      </w:r>
      <w:r>
        <w:rPr>
          <w:snapToGrid w:val="0"/>
        </w:rPr>
        <w:tab/>
        <w:t>Dispute as to terms of lease, Director’s powers in case of</w:t>
      </w:r>
      <w:bookmarkEnd w:id="246"/>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spacing w:before="180"/>
        <w:rPr>
          <w:snapToGrid w:val="0"/>
        </w:rPr>
      </w:pPr>
      <w:bookmarkStart w:id="247" w:name="_Toc471906797"/>
      <w:bookmarkStart w:id="248" w:name="_Toc472001714"/>
      <w:bookmarkStart w:id="249" w:name="_Toc472676742"/>
      <w:bookmarkStart w:id="250" w:name="_Toc472682127"/>
      <w:bookmarkStart w:id="251" w:name="_Toc473119268"/>
      <w:bookmarkStart w:id="252" w:name="_Toc522197321"/>
      <w:r>
        <w:rPr>
          <w:rStyle w:val="CharDivNo"/>
        </w:rPr>
        <w:t>Division 11</w:t>
      </w:r>
      <w:r>
        <w:rPr>
          <w:snapToGrid w:val="0"/>
        </w:rPr>
        <w:t> — </w:t>
      </w:r>
      <w:r>
        <w:rPr>
          <w:rStyle w:val="CharDivText"/>
        </w:rPr>
        <w:t>Suspensions</w:t>
      </w:r>
      <w:bookmarkEnd w:id="247"/>
      <w:bookmarkEnd w:id="248"/>
      <w:bookmarkEnd w:id="249"/>
      <w:bookmarkEnd w:id="250"/>
      <w:bookmarkEnd w:id="251"/>
      <w:bookmarkEnd w:id="252"/>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253" w:name="_Toc522197322"/>
      <w:r>
        <w:rPr>
          <w:rStyle w:val="CharSectno"/>
        </w:rPr>
        <w:t>91</w:t>
      </w:r>
      <w:r>
        <w:rPr>
          <w:snapToGrid w:val="0"/>
        </w:rPr>
        <w:t>.</w:t>
      </w:r>
      <w:r>
        <w:rPr>
          <w:snapToGrid w:val="0"/>
        </w:rPr>
        <w:tab/>
        <w:t>Suspension of licence or permit in the public interest</w:t>
      </w:r>
      <w:bookmarkEnd w:id="253"/>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spacing w:before="240"/>
        <w:rPr>
          <w:snapToGrid w:val="0"/>
        </w:rPr>
      </w:pPr>
      <w:bookmarkStart w:id="254" w:name="_Toc522197323"/>
      <w:r>
        <w:rPr>
          <w:rStyle w:val="CharSectno"/>
        </w:rPr>
        <w:t>92</w:t>
      </w:r>
      <w:r>
        <w:rPr>
          <w:snapToGrid w:val="0"/>
        </w:rPr>
        <w:t>.</w:t>
      </w:r>
      <w:r>
        <w:rPr>
          <w:snapToGrid w:val="0"/>
        </w:rPr>
        <w:tab/>
        <w:t>Suspension because business has ceased etc.</w:t>
      </w:r>
      <w:bookmarkEnd w:id="254"/>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240"/>
        <w:rPr>
          <w:snapToGrid w:val="0"/>
        </w:rPr>
      </w:pPr>
      <w:bookmarkStart w:id="255" w:name="_Toc522197324"/>
      <w:r>
        <w:rPr>
          <w:rStyle w:val="CharSectno"/>
        </w:rPr>
        <w:t>92A</w:t>
      </w:r>
      <w:r>
        <w:rPr>
          <w:snapToGrid w:val="0"/>
        </w:rPr>
        <w:t>.</w:t>
      </w:r>
      <w:r>
        <w:rPr>
          <w:snapToGrid w:val="0"/>
        </w:rPr>
        <w:tab/>
        <w:t>Cancellation of suspension</w:t>
      </w:r>
      <w:bookmarkEnd w:id="255"/>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spacing w:before="240"/>
        <w:rPr>
          <w:snapToGrid w:val="0"/>
        </w:rPr>
      </w:pPr>
      <w:bookmarkStart w:id="256" w:name="_Toc522197325"/>
      <w:r>
        <w:rPr>
          <w:rStyle w:val="CharSectno"/>
        </w:rPr>
        <w:t>93</w:t>
      </w:r>
      <w:r>
        <w:rPr>
          <w:snapToGrid w:val="0"/>
        </w:rPr>
        <w:t>.</w:t>
      </w:r>
      <w:r>
        <w:rPr>
          <w:snapToGrid w:val="0"/>
        </w:rPr>
        <w:tab/>
        <w:t>Cancellation of suspended licences</w:t>
      </w:r>
      <w:bookmarkEnd w:id="256"/>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by No. 12 of 1998 s. 65; No. 73 of 2006 s. 65.] </w:t>
      </w:r>
    </w:p>
    <w:p>
      <w:pPr>
        <w:pStyle w:val="Heading3"/>
        <w:keepLines/>
        <w:spacing w:before="160"/>
        <w:rPr>
          <w:snapToGrid w:val="0"/>
        </w:rPr>
      </w:pPr>
      <w:bookmarkStart w:id="257" w:name="_Toc471906802"/>
      <w:bookmarkStart w:id="258" w:name="_Toc472001719"/>
      <w:bookmarkStart w:id="259" w:name="_Toc472676747"/>
      <w:bookmarkStart w:id="260" w:name="_Toc472682132"/>
      <w:bookmarkStart w:id="261" w:name="_Toc473119273"/>
      <w:bookmarkStart w:id="262" w:name="_Toc522197326"/>
      <w:r>
        <w:rPr>
          <w:rStyle w:val="CharDivNo"/>
        </w:rPr>
        <w:t>Division 12</w:t>
      </w:r>
      <w:r>
        <w:rPr>
          <w:snapToGrid w:val="0"/>
        </w:rPr>
        <w:t> — </w:t>
      </w:r>
      <w:r>
        <w:rPr>
          <w:rStyle w:val="CharDivText"/>
        </w:rPr>
        <w:t>Surrenders</w:t>
      </w:r>
      <w:bookmarkEnd w:id="257"/>
      <w:bookmarkEnd w:id="258"/>
      <w:bookmarkEnd w:id="259"/>
      <w:bookmarkEnd w:id="260"/>
      <w:bookmarkEnd w:id="261"/>
      <w:bookmarkEnd w:id="262"/>
      <w:r>
        <w:rPr>
          <w:rStyle w:val="CharDivText"/>
        </w:rPr>
        <w:t xml:space="preserve"> </w:t>
      </w:r>
    </w:p>
    <w:p>
      <w:pPr>
        <w:pStyle w:val="Heading5"/>
        <w:keepNext w:val="0"/>
        <w:spacing w:before="160"/>
        <w:rPr>
          <w:snapToGrid w:val="0"/>
        </w:rPr>
      </w:pPr>
      <w:bookmarkStart w:id="263" w:name="_Toc522197327"/>
      <w:r>
        <w:rPr>
          <w:rStyle w:val="CharSectno"/>
        </w:rPr>
        <w:t>94</w:t>
      </w:r>
      <w:r>
        <w:rPr>
          <w:snapToGrid w:val="0"/>
        </w:rPr>
        <w:t>.</w:t>
      </w:r>
      <w:r>
        <w:rPr>
          <w:snapToGrid w:val="0"/>
        </w:rPr>
        <w:tab/>
        <w:t>Surrendering licences</w:t>
      </w:r>
      <w:bookmarkEnd w:id="263"/>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64" w:name="_Toc471906804"/>
      <w:bookmarkStart w:id="265" w:name="_Toc472001721"/>
      <w:bookmarkStart w:id="266" w:name="_Toc472676749"/>
      <w:bookmarkStart w:id="267" w:name="_Toc472682134"/>
      <w:bookmarkStart w:id="268" w:name="_Toc473119275"/>
      <w:bookmarkStart w:id="269" w:name="_Toc522197328"/>
      <w:r>
        <w:rPr>
          <w:rStyle w:val="CharDivNo"/>
        </w:rPr>
        <w:t>Division 13</w:t>
      </w:r>
      <w:r>
        <w:rPr>
          <w:snapToGrid w:val="0"/>
        </w:rPr>
        <w:t> — </w:t>
      </w:r>
      <w:r>
        <w:rPr>
          <w:rStyle w:val="CharDivText"/>
        </w:rPr>
        <w:t>Disciplinary matters</w:t>
      </w:r>
      <w:bookmarkEnd w:id="264"/>
      <w:bookmarkEnd w:id="265"/>
      <w:bookmarkEnd w:id="266"/>
      <w:bookmarkEnd w:id="267"/>
      <w:bookmarkEnd w:id="268"/>
      <w:bookmarkEnd w:id="269"/>
      <w:r>
        <w:rPr>
          <w:rStyle w:val="CharDivText"/>
        </w:rPr>
        <w:t xml:space="preserve"> </w:t>
      </w:r>
    </w:p>
    <w:p>
      <w:pPr>
        <w:pStyle w:val="Heading5"/>
        <w:rPr>
          <w:snapToGrid w:val="0"/>
        </w:rPr>
      </w:pPr>
      <w:bookmarkStart w:id="270" w:name="_Toc522197329"/>
      <w:r>
        <w:rPr>
          <w:rStyle w:val="CharSectno"/>
        </w:rPr>
        <w:t>95</w:t>
      </w:r>
      <w:r>
        <w:rPr>
          <w:snapToGrid w:val="0"/>
        </w:rPr>
        <w:t>.</w:t>
      </w:r>
      <w:r>
        <w:rPr>
          <w:snapToGrid w:val="0"/>
        </w:rPr>
        <w:tab/>
        <w:t>Disciplinary action against licensees, grounds and procedure for</w:t>
      </w:r>
      <w:bookmarkEnd w:id="270"/>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(Miscellaneous Provisions)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No. 19 of 2016 s. 101.] </w:t>
      </w:r>
    </w:p>
    <w:p>
      <w:pPr>
        <w:pStyle w:val="Heading5"/>
        <w:spacing w:before="240"/>
        <w:rPr>
          <w:snapToGrid w:val="0"/>
        </w:rPr>
      </w:pPr>
      <w:bookmarkStart w:id="271" w:name="_Toc522197330"/>
      <w:r>
        <w:rPr>
          <w:rStyle w:val="CharSectno"/>
        </w:rPr>
        <w:t>96</w:t>
      </w:r>
      <w:r>
        <w:rPr>
          <w:snapToGrid w:val="0"/>
        </w:rPr>
        <w:t>.</w:t>
      </w:r>
      <w:r>
        <w:rPr>
          <w:snapToGrid w:val="0"/>
        </w:rPr>
        <w:tab/>
        <w:t>Disciplinary action, powers to take</w:t>
      </w:r>
      <w:bookmarkEnd w:id="271"/>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72" w:name="_Toc471906807"/>
      <w:bookmarkStart w:id="273" w:name="_Toc472001724"/>
      <w:bookmarkStart w:id="274" w:name="_Toc472676752"/>
      <w:bookmarkStart w:id="275" w:name="_Toc472682137"/>
      <w:bookmarkStart w:id="276" w:name="_Toc473119278"/>
      <w:bookmarkStart w:id="277" w:name="_Toc522197331"/>
      <w:r>
        <w:rPr>
          <w:rStyle w:val="CharPartNo"/>
        </w:rPr>
        <w:t>Part 4</w:t>
      </w:r>
      <w:r>
        <w:t> — </w:t>
      </w:r>
      <w:r>
        <w:rPr>
          <w:rStyle w:val="CharPartText"/>
        </w:rPr>
        <w:t>The conduct of business</w:t>
      </w:r>
      <w:bookmarkEnd w:id="272"/>
      <w:bookmarkEnd w:id="273"/>
      <w:bookmarkEnd w:id="274"/>
      <w:bookmarkEnd w:id="275"/>
      <w:bookmarkEnd w:id="276"/>
      <w:bookmarkEnd w:id="277"/>
      <w:r>
        <w:rPr>
          <w:rStyle w:val="CharPartText"/>
        </w:rPr>
        <w:t xml:space="preserve"> </w:t>
      </w:r>
    </w:p>
    <w:p>
      <w:pPr>
        <w:pStyle w:val="Heading3"/>
        <w:rPr>
          <w:snapToGrid w:val="0"/>
        </w:rPr>
      </w:pPr>
      <w:bookmarkStart w:id="278" w:name="_Toc471906808"/>
      <w:bookmarkStart w:id="279" w:name="_Toc472001725"/>
      <w:bookmarkStart w:id="280" w:name="_Toc472676753"/>
      <w:bookmarkStart w:id="281" w:name="_Toc472682138"/>
      <w:bookmarkStart w:id="282" w:name="_Toc473119279"/>
      <w:bookmarkStart w:id="283" w:name="_Toc522197332"/>
      <w:r>
        <w:rPr>
          <w:rStyle w:val="CharDivNo"/>
        </w:rPr>
        <w:t>Division 1</w:t>
      </w:r>
      <w:r>
        <w:rPr>
          <w:snapToGrid w:val="0"/>
        </w:rPr>
        <w:t> — </w:t>
      </w:r>
      <w:r>
        <w:rPr>
          <w:rStyle w:val="CharDivText"/>
        </w:rPr>
        <w:t>Hours of trading</w:t>
      </w:r>
      <w:bookmarkEnd w:id="278"/>
      <w:bookmarkEnd w:id="279"/>
      <w:bookmarkEnd w:id="280"/>
      <w:bookmarkEnd w:id="281"/>
      <w:bookmarkEnd w:id="282"/>
      <w:bookmarkEnd w:id="283"/>
      <w:r>
        <w:rPr>
          <w:rStyle w:val="CharDivText"/>
        </w:rPr>
        <w:t xml:space="preserve"> </w:t>
      </w:r>
    </w:p>
    <w:p>
      <w:pPr>
        <w:pStyle w:val="Heading5"/>
        <w:rPr>
          <w:snapToGrid w:val="0"/>
        </w:rPr>
      </w:pPr>
      <w:bookmarkStart w:id="284" w:name="_Toc522197333"/>
      <w:r>
        <w:rPr>
          <w:rStyle w:val="CharSectno"/>
        </w:rPr>
        <w:t>97</w:t>
      </w:r>
      <w:r>
        <w:rPr>
          <w:snapToGrid w:val="0"/>
        </w:rPr>
        <w:t>.</w:t>
      </w:r>
      <w:r>
        <w:rPr>
          <w:snapToGrid w:val="0"/>
        </w:rPr>
        <w:tab/>
        <w:t>Permitted hours generally</w:t>
      </w:r>
      <w:bookmarkEnd w:id="284"/>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85" w:name="_Toc522197334"/>
      <w:r>
        <w:rPr>
          <w:rStyle w:val="CharSectno"/>
        </w:rPr>
        <w:t>98</w:t>
      </w:r>
      <w:r>
        <w:t>.</w:t>
      </w:r>
      <w:r>
        <w:tab/>
        <w:t>Hotel licence, permitted hours under</w:t>
      </w:r>
      <w:bookmarkEnd w:id="285"/>
    </w:p>
    <w:p>
      <w:pPr>
        <w:pStyle w:val="Subsection"/>
      </w:pPr>
      <w:r>
        <w:tab/>
        <w:t>(1)</w:t>
      </w:r>
      <w:r>
        <w:tab/>
        <w:t xml:space="preserve">The permitted hours under a hotel licence are — </w:t>
      </w:r>
    </w:p>
    <w:p>
      <w:pPr>
        <w:pStyle w:val="Indenta"/>
      </w:pPr>
      <w:r>
        <w:tab/>
        <w:t>(a)</w:t>
      </w:r>
      <w:r>
        <w:tab/>
        <w:t>on a day other than a Sunday — from 6 a.m. to 12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 and then in accordance with paragraph (a) or (b), as the case requires;</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by No. 73 of 2006 s. 68; amended by No. 35 of 2015 s. 12; No. 9 of 2018 s. 47.]</w:t>
      </w:r>
    </w:p>
    <w:p>
      <w:pPr>
        <w:pStyle w:val="Heading5"/>
      </w:pPr>
      <w:bookmarkStart w:id="286" w:name="_Toc522197335"/>
      <w:r>
        <w:rPr>
          <w:rStyle w:val="CharSectno"/>
        </w:rPr>
        <w:t>98AA</w:t>
      </w:r>
      <w:r>
        <w:t>.</w:t>
      </w:r>
      <w:r>
        <w:tab/>
        <w:t>Permitted hours under small bar licence</w:t>
      </w:r>
      <w:bookmarkEnd w:id="286"/>
    </w:p>
    <w:p>
      <w:pPr>
        <w:pStyle w:val="Subsection"/>
      </w:pPr>
      <w:r>
        <w:tab/>
      </w:r>
      <w:r>
        <w:tab/>
        <w:t xml:space="preserve">The permitted hours under a small bar licence are — </w:t>
      </w:r>
    </w:p>
    <w:p>
      <w:pPr>
        <w:pStyle w:val="Indenta"/>
      </w:pPr>
      <w:r>
        <w:tab/>
        <w:t>(a)</w:t>
      </w:r>
      <w:r>
        <w:tab/>
        <w:t>on a day other than a Sunday — from 6 am to 12 midnight;</w:t>
      </w:r>
    </w:p>
    <w:p>
      <w:pPr>
        <w:pStyle w:val="Indenta"/>
      </w:pPr>
      <w:r>
        <w:tab/>
        <w:t>(b)</w:t>
      </w:r>
      <w:r>
        <w:tab/>
        <w:t>on a Sunday — from 10 am to 12 midnight;</w:t>
      </w:r>
    </w:p>
    <w:p>
      <w:pPr>
        <w:pStyle w:val="Indenta"/>
      </w:pPr>
      <w:r>
        <w:tab/>
        <w:t>(c)</w:t>
      </w:r>
      <w:r>
        <w:tab/>
        <w:t>on New Year’s Day — from immediately after 12 midnight on New Year’s Eve to 2 am and then in accordance with paragraph (a) or (b), as the case requires;</w:t>
      </w:r>
    </w:p>
    <w:p>
      <w:pPr>
        <w:pStyle w:val="Indenta"/>
      </w:pPr>
      <w:r>
        <w:tab/>
        <w:t>(d)</w:t>
      </w:r>
      <w:r>
        <w:tab/>
        <w:t>on Good Friday or Christmas Day — from 12 noon to 10 pm, but only for liquor sold ancillary to a meal supplied by the licensee;</w:t>
      </w:r>
    </w:p>
    <w:p>
      <w:pPr>
        <w:pStyle w:val="Indenta"/>
      </w:pPr>
      <w:r>
        <w:tab/>
        <w:t>(e)</w:t>
      </w:r>
      <w:r>
        <w:tab/>
        <w:t>on ANZAC Day — from 12 noon to 12 midnight.</w:t>
      </w:r>
    </w:p>
    <w:p>
      <w:pPr>
        <w:pStyle w:val="Footnotesection"/>
        <w:keepLines w:val="0"/>
        <w:ind w:left="890" w:hanging="890"/>
      </w:pPr>
      <w:r>
        <w:tab/>
        <w:t>[Section 98AA inserted by No. 9 of 2018 s. 48.]</w:t>
      </w:r>
    </w:p>
    <w:p>
      <w:pPr>
        <w:pStyle w:val="Heading5"/>
      </w:pPr>
      <w:bookmarkStart w:id="287" w:name="_Toc522197336"/>
      <w:r>
        <w:rPr>
          <w:rStyle w:val="CharSectno"/>
        </w:rPr>
        <w:t>98A</w:t>
      </w:r>
      <w:r>
        <w:t>.</w:t>
      </w:r>
      <w:r>
        <w:tab/>
        <w:t>Nightclub licence, permitted hours under</w:t>
      </w:r>
      <w:bookmarkEnd w:id="287"/>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 No. 9 of 2018 s. 49.]</w:t>
      </w:r>
    </w:p>
    <w:p>
      <w:pPr>
        <w:pStyle w:val="Heading5"/>
      </w:pPr>
      <w:bookmarkStart w:id="288" w:name="_Toc522197337"/>
      <w:r>
        <w:rPr>
          <w:rStyle w:val="CharSectno"/>
        </w:rPr>
        <w:t>98B</w:t>
      </w:r>
      <w:r>
        <w:t>.</w:t>
      </w:r>
      <w:r>
        <w:tab/>
        <w:t>Casino liquor licence, permitted hours under</w:t>
      </w:r>
      <w:bookmarkEnd w:id="288"/>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89" w:name="_Toc522197338"/>
      <w:r>
        <w:rPr>
          <w:rStyle w:val="CharSectno"/>
        </w:rPr>
        <w:t>98C</w:t>
      </w:r>
      <w:r>
        <w:t>.</w:t>
      </w:r>
      <w:r>
        <w:tab/>
        <w:t>Special facility licence, permitted hours under</w:t>
      </w:r>
      <w:bookmarkEnd w:id="289"/>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90" w:name="_Toc522197339"/>
      <w:r>
        <w:rPr>
          <w:rStyle w:val="CharSectno"/>
        </w:rPr>
        <w:t>98D</w:t>
      </w:r>
      <w:r>
        <w:t>.</w:t>
      </w:r>
      <w:r>
        <w:tab/>
        <w:t>Liquor store licence, permitted hours under</w:t>
      </w:r>
      <w:bookmarkEnd w:id="290"/>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91" w:name="_Toc522197340"/>
      <w:r>
        <w:rPr>
          <w:rStyle w:val="CharSectno"/>
        </w:rPr>
        <w:t>98E</w:t>
      </w:r>
      <w:r>
        <w:t>.</w:t>
      </w:r>
      <w:r>
        <w:tab/>
        <w:t>Club licence and club restricted licence, permitted hours under</w:t>
      </w:r>
      <w:bookmarkEnd w:id="291"/>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 and then in accordance with paragraph (a) or (b)(ii), as the case requires.</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 amended by No. 9 of 2018 s. 50.]</w:t>
      </w:r>
    </w:p>
    <w:p>
      <w:pPr>
        <w:pStyle w:val="Heading5"/>
      </w:pPr>
      <w:bookmarkStart w:id="292" w:name="_Toc522197341"/>
      <w:r>
        <w:rPr>
          <w:rStyle w:val="CharSectno"/>
        </w:rPr>
        <w:t>98F</w:t>
      </w:r>
      <w:r>
        <w:t>.</w:t>
      </w:r>
      <w:r>
        <w:tab/>
        <w:t>Restaurant licence, permitted hours under</w:t>
      </w:r>
      <w:bookmarkEnd w:id="292"/>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93" w:name="_Toc522197342"/>
      <w:r>
        <w:rPr>
          <w:rStyle w:val="CharSectno"/>
        </w:rPr>
        <w:t>98G</w:t>
      </w:r>
      <w:r>
        <w:t>.</w:t>
      </w:r>
      <w:r>
        <w:tab/>
        <w:t>Producer’s licence, permitted hours under</w:t>
      </w:r>
      <w:bookmarkEnd w:id="293"/>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 the permitted hours in relation to the sale or supply of beer or spirits on a day other than Good Friday, Christmas Day or ANZAC Day are from 10 am to 10 pm.</w:t>
      </w:r>
    </w:p>
    <w:p>
      <w:pPr>
        <w:pStyle w:val="Footnotesection"/>
      </w:pPr>
      <w:r>
        <w:tab/>
        <w:t>[Section 98G inserted by No. 73 of 2006 s. 68; amended by No. 35 of 2015 s. 14; No. 9 of 2018 s. 51.]</w:t>
      </w:r>
    </w:p>
    <w:p>
      <w:pPr>
        <w:pStyle w:val="Heading5"/>
        <w:spacing w:before="240"/>
      </w:pPr>
      <w:bookmarkStart w:id="294" w:name="_Toc522197343"/>
      <w:r>
        <w:rPr>
          <w:rStyle w:val="CharSectno"/>
        </w:rPr>
        <w:t>98H</w:t>
      </w:r>
      <w:r>
        <w:t>.</w:t>
      </w:r>
      <w:r>
        <w:tab/>
        <w:t>Wholesaler’s licence, permitted hours under</w:t>
      </w:r>
      <w:bookmarkEnd w:id="294"/>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95" w:name="_Toc471906819"/>
      <w:bookmarkStart w:id="296" w:name="_Toc472001736"/>
      <w:bookmarkStart w:id="297" w:name="_Toc472676764"/>
      <w:bookmarkStart w:id="298" w:name="_Toc472682149"/>
      <w:bookmarkStart w:id="299" w:name="_Toc473119290"/>
      <w:bookmarkStart w:id="300" w:name="_Toc522197344"/>
      <w:r>
        <w:rPr>
          <w:rStyle w:val="CharDivNo"/>
        </w:rPr>
        <w:t>Division 2</w:t>
      </w:r>
      <w:r>
        <w:rPr>
          <w:snapToGrid w:val="0"/>
        </w:rPr>
        <w:t> — </w:t>
      </w:r>
      <w:r>
        <w:rPr>
          <w:rStyle w:val="CharDivText"/>
        </w:rPr>
        <w:t>Maintenance of the premises</w:t>
      </w:r>
      <w:bookmarkEnd w:id="295"/>
      <w:bookmarkEnd w:id="296"/>
      <w:bookmarkEnd w:id="297"/>
      <w:bookmarkEnd w:id="298"/>
      <w:bookmarkEnd w:id="299"/>
      <w:bookmarkEnd w:id="300"/>
      <w:r>
        <w:rPr>
          <w:rStyle w:val="CharDivText"/>
        </w:rPr>
        <w:t xml:space="preserve"> </w:t>
      </w:r>
    </w:p>
    <w:p>
      <w:pPr>
        <w:pStyle w:val="Heading5"/>
        <w:spacing w:before="240"/>
        <w:rPr>
          <w:snapToGrid w:val="0"/>
        </w:rPr>
      </w:pPr>
      <w:bookmarkStart w:id="301" w:name="_Toc522197345"/>
      <w:r>
        <w:rPr>
          <w:rStyle w:val="CharSectno"/>
        </w:rPr>
        <w:t>99</w:t>
      </w:r>
      <w:r>
        <w:rPr>
          <w:snapToGrid w:val="0"/>
        </w:rPr>
        <w:t>.</w:t>
      </w:r>
      <w:r>
        <w:rPr>
          <w:snapToGrid w:val="0"/>
        </w:rPr>
        <w:tab/>
        <w:t>Duty to keep premises clean and in good repair; powers to enforce duty and require alterations</w:t>
      </w:r>
      <w:bookmarkEnd w:id="301"/>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spacing w:before="180"/>
        <w:rPr>
          <w:snapToGrid w:val="0"/>
        </w:rPr>
      </w:pPr>
      <w:bookmarkStart w:id="302" w:name="_Toc471906821"/>
      <w:bookmarkStart w:id="303" w:name="_Toc472001738"/>
      <w:bookmarkStart w:id="304" w:name="_Toc472676766"/>
      <w:bookmarkStart w:id="305" w:name="_Toc472682151"/>
      <w:bookmarkStart w:id="306" w:name="_Toc473119292"/>
      <w:bookmarkStart w:id="307" w:name="_Toc522197346"/>
      <w:r>
        <w:rPr>
          <w:rStyle w:val="CharDivNo"/>
        </w:rPr>
        <w:t>Division 3</w:t>
      </w:r>
      <w:r>
        <w:rPr>
          <w:snapToGrid w:val="0"/>
        </w:rPr>
        <w:t> — </w:t>
      </w:r>
      <w:r>
        <w:rPr>
          <w:rStyle w:val="CharDivText"/>
        </w:rPr>
        <w:t>Supervision and management</w:t>
      </w:r>
      <w:bookmarkEnd w:id="302"/>
      <w:bookmarkEnd w:id="303"/>
      <w:bookmarkEnd w:id="304"/>
      <w:bookmarkEnd w:id="305"/>
      <w:bookmarkEnd w:id="306"/>
      <w:bookmarkEnd w:id="307"/>
      <w:r>
        <w:rPr>
          <w:rStyle w:val="CharDivText"/>
        </w:rPr>
        <w:t xml:space="preserve"> </w:t>
      </w:r>
    </w:p>
    <w:p>
      <w:pPr>
        <w:pStyle w:val="Heading4"/>
        <w:keepLines/>
        <w:spacing w:before="180"/>
      </w:pPr>
      <w:bookmarkStart w:id="308" w:name="_Toc471906822"/>
      <w:bookmarkStart w:id="309" w:name="_Toc472001739"/>
      <w:bookmarkStart w:id="310" w:name="_Toc472676767"/>
      <w:bookmarkStart w:id="311" w:name="_Toc472682152"/>
      <w:bookmarkStart w:id="312" w:name="_Toc473119293"/>
      <w:bookmarkStart w:id="313" w:name="_Toc522197347"/>
      <w:r>
        <w:t>Subdivision 1 — Licensed premises to be supervised and managed</w:t>
      </w:r>
      <w:bookmarkEnd w:id="308"/>
      <w:bookmarkEnd w:id="309"/>
      <w:bookmarkEnd w:id="310"/>
      <w:bookmarkEnd w:id="311"/>
      <w:bookmarkEnd w:id="312"/>
      <w:bookmarkEnd w:id="313"/>
    </w:p>
    <w:p>
      <w:pPr>
        <w:pStyle w:val="Footnoteheading"/>
        <w:spacing w:before="100"/>
      </w:pPr>
      <w:r>
        <w:tab/>
        <w:t>[Heading inserted by No. 56 of 2010 s. 14.]</w:t>
      </w:r>
    </w:p>
    <w:p>
      <w:pPr>
        <w:pStyle w:val="Heading5"/>
        <w:spacing w:before="180"/>
        <w:rPr>
          <w:snapToGrid w:val="0"/>
        </w:rPr>
      </w:pPr>
      <w:bookmarkStart w:id="314" w:name="_Toc522197348"/>
      <w:r>
        <w:rPr>
          <w:rStyle w:val="CharSectno"/>
        </w:rPr>
        <w:t>100</w:t>
      </w:r>
      <w:r>
        <w:rPr>
          <w:snapToGrid w:val="0"/>
        </w:rPr>
        <w:t>.</w:t>
      </w:r>
      <w:r>
        <w:rPr>
          <w:snapToGrid w:val="0"/>
        </w:rPr>
        <w:tab/>
        <w:t>Licensee’s duties</w:t>
      </w:r>
      <w:bookmarkEnd w:id="314"/>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xml:space="preserve">, a </w:t>
      </w:r>
      <w:r>
        <w:t>licensee, an approved unrestricted manager or an approved restricted manager</w:t>
      </w:r>
      <w:r>
        <w:rPr>
          <w:snapToGrid w:val="0"/>
        </w:rPr>
        <w:t xml:space="preserv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appointment of </w:t>
      </w:r>
      <w:r>
        <w:rPr>
          <w:snapToGrid w:val="0"/>
        </w:rPr>
        <w:t>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No. 9 of 2018 s. 52.] </w:t>
      </w:r>
    </w:p>
    <w:p>
      <w:pPr>
        <w:pStyle w:val="Heading5"/>
        <w:rPr>
          <w:snapToGrid w:val="0"/>
        </w:rPr>
      </w:pPr>
      <w:bookmarkStart w:id="315" w:name="_Toc522197349"/>
      <w:r>
        <w:rPr>
          <w:rStyle w:val="CharSectno"/>
        </w:rPr>
        <w:t>101</w:t>
      </w:r>
      <w:r>
        <w:rPr>
          <w:snapToGrid w:val="0"/>
        </w:rPr>
        <w:t>.</w:t>
      </w:r>
      <w:r>
        <w:rPr>
          <w:snapToGrid w:val="0"/>
        </w:rPr>
        <w:tab/>
        <w:t>Managers etc., liabilities of</w:t>
      </w:r>
      <w:bookmarkEnd w:id="315"/>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316" w:name="_Toc471906825"/>
      <w:bookmarkStart w:id="317" w:name="_Toc472001742"/>
      <w:bookmarkStart w:id="318" w:name="_Toc472676770"/>
      <w:bookmarkStart w:id="319" w:name="_Toc472682155"/>
      <w:bookmarkStart w:id="320" w:name="_Toc473119296"/>
      <w:bookmarkStart w:id="321" w:name="_Toc522197350"/>
      <w:r>
        <w:t>Subdivision 2 — Approval of managers</w:t>
      </w:r>
      <w:bookmarkEnd w:id="316"/>
      <w:bookmarkEnd w:id="317"/>
      <w:bookmarkEnd w:id="318"/>
      <w:bookmarkEnd w:id="319"/>
      <w:bookmarkEnd w:id="320"/>
      <w:bookmarkEnd w:id="321"/>
    </w:p>
    <w:p>
      <w:pPr>
        <w:pStyle w:val="Footnoteheading"/>
      </w:pPr>
      <w:r>
        <w:tab/>
        <w:t>[Heading inserted by No. 56 of 2010 s. 16.]</w:t>
      </w:r>
    </w:p>
    <w:p>
      <w:pPr>
        <w:pStyle w:val="Heading5"/>
      </w:pPr>
      <w:bookmarkStart w:id="322" w:name="_Toc522197351"/>
      <w:r>
        <w:rPr>
          <w:rStyle w:val="CharSectno"/>
        </w:rPr>
        <w:t>102A</w:t>
      </w:r>
      <w:r>
        <w:t>.</w:t>
      </w:r>
      <w:r>
        <w:tab/>
        <w:t>Terms used</w:t>
      </w:r>
      <w:bookmarkEnd w:id="322"/>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323" w:name="_Toc522197352"/>
      <w:r>
        <w:rPr>
          <w:rStyle w:val="CharSectno"/>
        </w:rPr>
        <w:t>102B</w:t>
      </w:r>
      <w:r>
        <w:t>.</w:t>
      </w:r>
      <w:r>
        <w:tab/>
        <w:t>Applications for and granting approvals</w:t>
      </w:r>
      <w:bookmarkEnd w:id="323"/>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324" w:name="_Toc522197353"/>
      <w:r>
        <w:rPr>
          <w:rStyle w:val="CharSectno"/>
        </w:rPr>
        <w:t>102C</w:t>
      </w:r>
      <w:r>
        <w:t>.</w:t>
      </w:r>
      <w:r>
        <w:tab/>
        <w:t>Conditions on manager’s approval</w:t>
      </w:r>
      <w:bookmarkEnd w:id="324"/>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325" w:name="_Toc522197354"/>
      <w:r>
        <w:rPr>
          <w:rStyle w:val="CharSectno"/>
        </w:rPr>
        <w:t>102D</w:t>
      </w:r>
      <w:r>
        <w:t>.</w:t>
      </w:r>
      <w:r>
        <w:tab/>
        <w:t>Duration of manager’s approval</w:t>
      </w:r>
      <w:bookmarkEnd w:id="325"/>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326" w:name="_Toc522197355"/>
      <w:r>
        <w:rPr>
          <w:rStyle w:val="CharSectno"/>
        </w:rPr>
        <w:t>102E</w:t>
      </w:r>
      <w:r>
        <w:t>.</w:t>
      </w:r>
      <w:r>
        <w:tab/>
        <w:t>Renewal of manager’s approval</w:t>
      </w:r>
      <w:bookmarkEnd w:id="326"/>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spacing w:before="180"/>
      </w:pPr>
      <w:bookmarkStart w:id="327" w:name="_Toc522197356"/>
      <w:r>
        <w:rPr>
          <w:rStyle w:val="CharSectno"/>
        </w:rPr>
        <w:t>102F</w:t>
      </w:r>
      <w:r>
        <w:t>.</w:t>
      </w:r>
      <w:r>
        <w:tab/>
        <w:t>Disciplinary action against approved managers</w:t>
      </w:r>
      <w:bookmarkEnd w:id="327"/>
    </w:p>
    <w:p>
      <w:pPr>
        <w:pStyle w:val="Subsection"/>
        <w:spacing w:before="120"/>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328" w:name="_Toc522197357"/>
      <w:r>
        <w:rPr>
          <w:rStyle w:val="CharSectno"/>
        </w:rPr>
        <w:t>102G</w:t>
      </w:r>
      <w:r>
        <w:t>.</w:t>
      </w:r>
      <w:r>
        <w:tab/>
        <w:t>Approval may be cancelled on request</w:t>
      </w:r>
      <w:bookmarkEnd w:id="328"/>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329" w:name="_Toc471906833"/>
      <w:bookmarkStart w:id="330" w:name="_Toc472001750"/>
      <w:bookmarkStart w:id="331" w:name="_Toc472676778"/>
      <w:bookmarkStart w:id="332" w:name="_Toc472682163"/>
      <w:bookmarkStart w:id="333" w:name="_Toc473119304"/>
      <w:bookmarkStart w:id="334" w:name="_Toc522197358"/>
      <w:r>
        <w:t>Subdivision 3 — General matters</w:t>
      </w:r>
      <w:bookmarkEnd w:id="329"/>
      <w:bookmarkEnd w:id="330"/>
      <w:bookmarkEnd w:id="331"/>
      <w:bookmarkEnd w:id="332"/>
      <w:bookmarkEnd w:id="333"/>
      <w:bookmarkEnd w:id="334"/>
    </w:p>
    <w:p>
      <w:pPr>
        <w:pStyle w:val="Footnoteheading"/>
      </w:pPr>
      <w:r>
        <w:tab/>
        <w:t>[Heading inserted by No. 56 of 2010 s. 17.]</w:t>
      </w:r>
    </w:p>
    <w:p>
      <w:pPr>
        <w:pStyle w:val="Heading5"/>
        <w:rPr>
          <w:snapToGrid w:val="0"/>
        </w:rPr>
      </w:pPr>
      <w:bookmarkStart w:id="335" w:name="_Toc522197359"/>
      <w:r>
        <w:rPr>
          <w:rStyle w:val="CharSectno"/>
        </w:rPr>
        <w:t>102</w:t>
      </w:r>
      <w:r>
        <w:rPr>
          <w:snapToGrid w:val="0"/>
        </w:rPr>
        <w:t>.</w:t>
      </w:r>
      <w:r>
        <w:rPr>
          <w:snapToGrid w:val="0"/>
        </w:rPr>
        <w:tab/>
        <w:t>Management and control of incorporated licensees, approvals required</w:t>
      </w:r>
      <w:bookmarkEnd w:id="335"/>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336" w:name="_Toc522197360"/>
      <w:r>
        <w:rPr>
          <w:rStyle w:val="CharSectno"/>
        </w:rPr>
        <w:t>103</w:t>
      </w:r>
      <w:r>
        <w:rPr>
          <w:snapToGrid w:val="0"/>
        </w:rPr>
        <w:t>.</w:t>
      </w:r>
      <w:r>
        <w:rPr>
          <w:snapToGrid w:val="0"/>
        </w:rPr>
        <w:tab/>
        <w:t>Owners of licensed premises to notify Director of certain matters</w:t>
      </w:r>
      <w:bookmarkEnd w:id="336"/>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Lines/>
        <w:spacing w:before="180"/>
      </w:pPr>
      <w:bookmarkStart w:id="337" w:name="_Toc471906836"/>
      <w:bookmarkStart w:id="338" w:name="_Toc472001753"/>
      <w:bookmarkStart w:id="339" w:name="_Toc472676781"/>
      <w:bookmarkStart w:id="340" w:name="_Toc472682166"/>
      <w:bookmarkStart w:id="341" w:name="_Toc473119307"/>
      <w:bookmarkStart w:id="342" w:name="_Toc522197361"/>
      <w:r>
        <w:rPr>
          <w:rStyle w:val="CharDivNo"/>
        </w:rPr>
        <w:t>Division 3A</w:t>
      </w:r>
      <w:r>
        <w:t> — </w:t>
      </w:r>
      <w:r>
        <w:rPr>
          <w:rStyle w:val="CharDivText"/>
        </w:rPr>
        <w:t>Responsible practices in selling, supplying and serving liquor</w:t>
      </w:r>
      <w:bookmarkEnd w:id="337"/>
      <w:bookmarkEnd w:id="338"/>
      <w:bookmarkEnd w:id="339"/>
      <w:bookmarkEnd w:id="340"/>
      <w:bookmarkEnd w:id="341"/>
      <w:bookmarkEnd w:id="342"/>
    </w:p>
    <w:p>
      <w:pPr>
        <w:pStyle w:val="Footnoteheading"/>
        <w:keepNext/>
        <w:keepLines/>
      </w:pPr>
      <w:r>
        <w:tab/>
        <w:t>[Heading inserted by No. 73 of 2006 s. 71.]</w:t>
      </w:r>
    </w:p>
    <w:p>
      <w:pPr>
        <w:pStyle w:val="Heading5"/>
        <w:spacing w:before="180"/>
      </w:pPr>
      <w:bookmarkStart w:id="343" w:name="_Toc522197362"/>
      <w:r>
        <w:rPr>
          <w:rStyle w:val="CharSectno"/>
        </w:rPr>
        <w:t>103AA</w:t>
      </w:r>
      <w:r>
        <w:t>.</w:t>
      </w:r>
      <w:r>
        <w:tab/>
        <w:t>Register of responsible practices’ training</w:t>
      </w:r>
      <w:bookmarkEnd w:id="343"/>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344" w:name="_Toc522197363"/>
      <w:r>
        <w:rPr>
          <w:rStyle w:val="CharSectno"/>
        </w:rPr>
        <w:t>103A</w:t>
      </w:r>
      <w:r>
        <w:t>.</w:t>
      </w:r>
      <w:r>
        <w:tab/>
        <w:t>Regulations about training people in responsible practices</w:t>
      </w:r>
      <w:bookmarkEnd w:id="344"/>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spacing w:before="180"/>
        <w:rPr>
          <w:snapToGrid w:val="0"/>
        </w:rPr>
      </w:pPr>
      <w:bookmarkStart w:id="345" w:name="_Toc471906839"/>
      <w:bookmarkStart w:id="346" w:name="_Toc472001756"/>
      <w:bookmarkStart w:id="347" w:name="_Toc472676784"/>
      <w:bookmarkStart w:id="348" w:name="_Toc472682169"/>
      <w:bookmarkStart w:id="349" w:name="_Toc473119310"/>
      <w:bookmarkStart w:id="350" w:name="_Toc522197364"/>
      <w:r>
        <w:rPr>
          <w:rStyle w:val="CharDivNo"/>
        </w:rPr>
        <w:t>Division 4</w:t>
      </w:r>
      <w:r>
        <w:rPr>
          <w:snapToGrid w:val="0"/>
        </w:rPr>
        <w:t> — </w:t>
      </w:r>
      <w:r>
        <w:rPr>
          <w:rStyle w:val="CharDivText"/>
        </w:rPr>
        <w:t>Profit sharing</w:t>
      </w:r>
      <w:bookmarkEnd w:id="345"/>
      <w:bookmarkEnd w:id="346"/>
      <w:bookmarkEnd w:id="347"/>
      <w:bookmarkEnd w:id="348"/>
      <w:bookmarkEnd w:id="349"/>
      <w:bookmarkEnd w:id="350"/>
      <w:r>
        <w:rPr>
          <w:rStyle w:val="CharDivText"/>
        </w:rPr>
        <w:t xml:space="preserve"> </w:t>
      </w:r>
    </w:p>
    <w:p>
      <w:pPr>
        <w:pStyle w:val="Heading5"/>
        <w:spacing w:before="180"/>
        <w:rPr>
          <w:snapToGrid w:val="0"/>
        </w:rPr>
      </w:pPr>
      <w:bookmarkStart w:id="351" w:name="_Toc522197365"/>
      <w:r>
        <w:rPr>
          <w:rStyle w:val="CharSectno"/>
        </w:rPr>
        <w:t>104</w:t>
      </w:r>
      <w:r>
        <w:rPr>
          <w:snapToGrid w:val="0"/>
        </w:rPr>
        <w:t>.</w:t>
      </w:r>
      <w:r>
        <w:rPr>
          <w:snapToGrid w:val="0"/>
        </w:rPr>
        <w:tab/>
        <w:t>Profit sharing etc. prohibited without approval</w:t>
      </w:r>
      <w:bookmarkEnd w:id="351"/>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352" w:name="_Toc471906841"/>
      <w:bookmarkStart w:id="353" w:name="_Toc472001758"/>
      <w:bookmarkStart w:id="354" w:name="_Toc472676786"/>
      <w:bookmarkStart w:id="355" w:name="_Toc472682171"/>
      <w:bookmarkStart w:id="356" w:name="_Toc473119312"/>
      <w:bookmarkStart w:id="357" w:name="_Toc522197366"/>
      <w:r>
        <w:rPr>
          <w:rStyle w:val="CharDivNo"/>
        </w:rPr>
        <w:t>Division 5</w:t>
      </w:r>
      <w:r>
        <w:rPr>
          <w:snapToGrid w:val="0"/>
        </w:rPr>
        <w:t> — </w:t>
      </w:r>
      <w:r>
        <w:rPr>
          <w:rStyle w:val="CharDivText"/>
        </w:rPr>
        <w:t>Lodgers</w:t>
      </w:r>
      <w:bookmarkEnd w:id="352"/>
      <w:bookmarkEnd w:id="353"/>
      <w:bookmarkEnd w:id="354"/>
      <w:bookmarkEnd w:id="355"/>
      <w:bookmarkEnd w:id="356"/>
      <w:bookmarkEnd w:id="357"/>
      <w:r>
        <w:rPr>
          <w:rStyle w:val="CharDivText"/>
        </w:rPr>
        <w:t xml:space="preserve"> </w:t>
      </w:r>
    </w:p>
    <w:p>
      <w:pPr>
        <w:pStyle w:val="Heading5"/>
        <w:rPr>
          <w:snapToGrid w:val="0"/>
        </w:rPr>
      </w:pPr>
      <w:bookmarkStart w:id="358" w:name="_Toc522197367"/>
      <w:r>
        <w:rPr>
          <w:rStyle w:val="CharSectno"/>
        </w:rPr>
        <w:t>105</w:t>
      </w:r>
      <w:r>
        <w:rPr>
          <w:snapToGrid w:val="0"/>
        </w:rPr>
        <w:t>.</w:t>
      </w:r>
      <w:r>
        <w:rPr>
          <w:snapToGrid w:val="0"/>
        </w:rPr>
        <w:tab/>
        <w:t>Persons deemed lodgers of licensed premises in some cases</w:t>
      </w:r>
      <w:bookmarkEnd w:id="358"/>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359" w:name="_Toc522197368"/>
      <w:r>
        <w:rPr>
          <w:rStyle w:val="CharSectno"/>
        </w:rPr>
        <w:t>106</w:t>
      </w:r>
      <w:r>
        <w:rPr>
          <w:snapToGrid w:val="0"/>
        </w:rPr>
        <w:t>.</w:t>
      </w:r>
      <w:r>
        <w:rPr>
          <w:snapToGrid w:val="0"/>
        </w:rPr>
        <w:tab/>
        <w:t>Liquor supplied to lodgers etc., conditions applying to</w:t>
      </w:r>
      <w:bookmarkEnd w:id="359"/>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360" w:name="_Toc522197369"/>
      <w:r>
        <w:rPr>
          <w:rStyle w:val="CharSectno"/>
        </w:rPr>
        <w:t>107</w:t>
      </w:r>
      <w:r>
        <w:rPr>
          <w:snapToGrid w:val="0"/>
        </w:rPr>
        <w:t>.</w:t>
      </w:r>
      <w:r>
        <w:rPr>
          <w:snapToGrid w:val="0"/>
        </w:rPr>
        <w:tab/>
        <w:t>Loss of lodger’s property, licensee’s liability for</w:t>
      </w:r>
      <w:bookmarkEnd w:id="360"/>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361" w:name="_Toc471906845"/>
      <w:bookmarkStart w:id="362" w:name="_Toc472001762"/>
      <w:bookmarkStart w:id="363" w:name="_Toc472676790"/>
      <w:bookmarkStart w:id="364" w:name="_Toc472682175"/>
      <w:bookmarkStart w:id="365" w:name="_Toc473119316"/>
      <w:bookmarkStart w:id="366" w:name="_Toc522197370"/>
      <w:r>
        <w:rPr>
          <w:rStyle w:val="CharDivNo"/>
        </w:rPr>
        <w:t>Division 6</w:t>
      </w:r>
      <w:r>
        <w:rPr>
          <w:snapToGrid w:val="0"/>
        </w:rPr>
        <w:t> — </w:t>
      </w:r>
      <w:r>
        <w:rPr>
          <w:rStyle w:val="CharDivText"/>
        </w:rPr>
        <w:t>The sale and consumption of liquor, etc.</w:t>
      </w:r>
      <w:bookmarkEnd w:id="361"/>
      <w:bookmarkEnd w:id="362"/>
      <w:bookmarkEnd w:id="363"/>
      <w:bookmarkEnd w:id="364"/>
      <w:bookmarkEnd w:id="365"/>
      <w:bookmarkEnd w:id="366"/>
      <w:r>
        <w:rPr>
          <w:rStyle w:val="CharDivText"/>
        </w:rPr>
        <w:t xml:space="preserve"> </w:t>
      </w:r>
    </w:p>
    <w:p>
      <w:pPr>
        <w:pStyle w:val="Heading5"/>
      </w:pPr>
      <w:bookmarkStart w:id="367" w:name="_Toc522197371"/>
      <w:r>
        <w:rPr>
          <w:rStyle w:val="CharSectno"/>
        </w:rPr>
        <w:t>108</w:t>
      </w:r>
      <w:r>
        <w:t>.</w:t>
      </w:r>
      <w:r>
        <w:tab/>
        <w:t>Certain licensees to exhibit charges for meals and liquor</w:t>
      </w:r>
      <w:bookmarkEnd w:id="367"/>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by No. 73 of 2006 s. 75; amended by No. 56 of 2010 s. 69.]</w:t>
      </w:r>
    </w:p>
    <w:p>
      <w:pPr>
        <w:pStyle w:val="Heading5"/>
        <w:spacing w:before="240"/>
        <w:rPr>
          <w:snapToGrid w:val="0"/>
        </w:rPr>
      </w:pPr>
      <w:bookmarkStart w:id="368" w:name="_Toc522197372"/>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368"/>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spacing w:before="240"/>
        <w:rPr>
          <w:snapToGrid w:val="0"/>
        </w:rPr>
      </w:pPr>
      <w:bookmarkStart w:id="369" w:name="_Toc522197373"/>
      <w:r>
        <w:rPr>
          <w:rStyle w:val="CharSectno"/>
        </w:rPr>
        <w:t>110</w:t>
      </w:r>
      <w:r>
        <w:rPr>
          <w:snapToGrid w:val="0"/>
        </w:rPr>
        <w:t>.</w:t>
      </w:r>
      <w:r>
        <w:rPr>
          <w:snapToGrid w:val="0"/>
        </w:rPr>
        <w:tab/>
        <w:t>Licensed premises and sports arenas, offences as to</w:t>
      </w:r>
      <w:bookmarkEnd w:id="369"/>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pPr>
      <w:r>
        <w:tab/>
        <w:t>(6A)</w:t>
      </w:r>
      <w:r>
        <w:tab/>
        <w:t xml:space="preserve">If, under a licence, wine is sold to a person (the </w:t>
      </w:r>
      <w:r>
        <w:rPr>
          <w:rStyle w:val="CharDefText"/>
        </w:rPr>
        <w:t>purchaser</w:t>
      </w:r>
      <w:r>
        <w:t>) for consumption on the licensed premises ancillary to a meal provided by the licensee, then, despite any other provision of this Act, it is lawful for the purchaser subsequently to take from the licensed premises any opened container of the wine if its contents have been partially consumed.</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No. 9 of 2018 s. 54.] </w:t>
      </w:r>
    </w:p>
    <w:p>
      <w:pPr>
        <w:pStyle w:val="Heading5"/>
        <w:rPr>
          <w:snapToGrid w:val="0"/>
        </w:rPr>
      </w:pPr>
      <w:bookmarkStart w:id="370" w:name="_Toc522197374"/>
      <w:r>
        <w:rPr>
          <w:rStyle w:val="CharSectno"/>
        </w:rPr>
        <w:t>111</w:t>
      </w:r>
      <w:r>
        <w:rPr>
          <w:snapToGrid w:val="0"/>
        </w:rPr>
        <w:t>.</w:t>
      </w:r>
      <w:r>
        <w:rPr>
          <w:snapToGrid w:val="0"/>
        </w:rPr>
        <w:tab/>
        <w:t>Trading outside permitted hours, offences as to</w:t>
      </w:r>
      <w:bookmarkEnd w:id="370"/>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371" w:name="_Toc522197375"/>
      <w:r>
        <w:rPr>
          <w:rStyle w:val="CharSectno"/>
        </w:rPr>
        <w:t>112</w:t>
      </w:r>
      <w:r>
        <w:rPr>
          <w:snapToGrid w:val="0"/>
        </w:rPr>
        <w:t>.</w:t>
      </w:r>
      <w:r>
        <w:rPr>
          <w:snapToGrid w:val="0"/>
        </w:rPr>
        <w:tab/>
        <w:t>Exceptions to s. 109, 110 and 111</w:t>
      </w:r>
      <w:bookmarkEnd w:id="371"/>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 xml:space="preserve">during the first </w:t>
      </w:r>
      <w:r>
        <w:t>30</w:t>
      </w:r>
      <w:r>
        <w:rPr>
          <w:snapToGrid w:val="0"/>
        </w:rPr>
        <w:t xml:space="preserve">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No. 9 of 2018 s. 55.] </w:t>
      </w:r>
    </w:p>
    <w:p>
      <w:pPr>
        <w:pStyle w:val="Heading5"/>
        <w:keepNext w:val="0"/>
        <w:keepLines w:val="0"/>
        <w:rPr>
          <w:snapToGrid w:val="0"/>
        </w:rPr>
      </w:pPr>
      <w:bookmarkStart w:id="372" w:name="_Toc522197376"/>
      <w:r>
        <w:rPr>
          <w:rStyle w:val="CharSectno"/>
        </w:rPr>
        <w:t>113</w:t>
      </w:r>
      <w:r>
        <w:rPr>
          <w:snapToGrid w:val="0"/>
        </w:rPr>
        <w:t>.</w:t>
      </w:r>
      <w:r>
        <w:rPr>
          <w:snapToGrid w:val="0"/>
        </w:rPr>
        <w:tab/>
        <w:t>Offence under s. 109, 110 or 111, finding as to unlawful dealing in liquor; forfeiture of liquor</w:t>
      </w:r>
      <w:bookmarkEnd w:id="372"/>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373" w:name="_Toc522197377"/>
      <w:r>
        <w:rPr>
          <w:rStyle w:val="CharSectno"/>
        </w:rPr>
        <w:t>113A</w:t>
      </w:r>
      <w:r>
        <w:t>.</w:t>
      </w:r>
      <w:r>
        <w:tab/>
        <w:t>Websites of some licensees, information to be displayed on</w:t>
      </w:r>
      <w:bookmarkEnd w:id="373"/>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374" w:name="_Toc522197378"/>
      <w:r>
        <w:rPr>
          <w:rStyle w:val="CharSectno"/>
        </w:rPr>
        <w:t>114</w:t>
      </w:r>
      <w:r>
        <w:rPr>
          <w:snapToGrid w:val="0"/>
        </w:rPr>
        <w:t>.</w:t>
      </w:r>
      <w:r>
        <w:rPr>
          <w:snapToGrid w:val="0"/>
        </w:rPr>
        <w:tab/>
        <w:t>Closure of licensed premises, police powers as to</w:t>
      </w:r>
      <w:bookmarkEnd w:id="374"/>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375" w:name="_Toc522197379"/>
      <w:r>
        <w:rPr>
          <w:rStyle w:val="CharSectno"/>
        </w:rPr>
        <w:t>115</w:t>
      </w:r>
      <w:r>
        <w:rPr>
          <w:snapToGrid w:val="0"/>
        </w:rPr>
        <w:t>.</w:t>
      </w:r>
      <w:r>
        <w:rPr>
          <w:snapToGrid w:val="0"/>
        </w:rPr>
        <w:tab/>
        <w:t>Drunk etc. people, offences as to, refusal of entry to etc.</w:t>
      </w:r>
      <w:bookmarkEnd w:id="375"/>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 xml:space="preserve">Penalty: </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76" w:name="_Toc522197380"/>
      <w:r>
        <w:rPr>
          <w:rStyle w:val="CharSectno"/>
        </w:rPr>
        <w:t>115AA</w:t>
      </w:r>
      <w:r>
        <w:t>.</w:t>
      </w:r>
      <w:r>
        <w:tab/>
        <w:t>Banning people from licensed premises, Commissioner of Police’s power for</w:t>
      </w:r>
      <w:bookmarkEnd w:id="376"/>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or in the vicinity of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(7B)</w:t>
      </w:r>
      <w:r>
        <w:tab/>
        <w:t>The reference in subsection (7A) to performing duties relating to the person’s work does not include attending a function associated with the person’s work that is held on the premises.</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 amended by No. 9 of 2018 s. 57.]</w:t>
      </w:r>
    </w:p>
    <w:p>
      <w:pPr>
        <w:pStyle w:val="Heading5"/>
      </w:pPr>
      <w:bookmarkStart w:id="377" w:name="_Toc522197381"/>
      <w:r>
        <w:rPr>
          <w:rStyle w:val="CharSectno"/>
        </w:rPr>
        <w:t>115AB</w:t>
      </w:r>
      <w:r>
        <w:t>.</w:t>
      </w:r>
      <w:r>
        <w:tab/>
        <w:t>Delegation by Commissioner of Police</w:t>
      </w:r>
      <w:bookmarkEnd w:id="377"/>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78" w:name="_Toc522197382"/>
      <w:r>
        <w:rPr>
          <w:rStyle w:val="CharSectno"/>
        </w:rPr>
        <w:t>115AC</w:t>
      </w:r>
      <w:r>
        <w:t>.</w:t>
      </w:r>
      <w:r>
        <w:tab/>
        <w:t>Publication of details of people banned under s. 115AA</w:t>
      </w:r>
      <w:bookmarkEnd w:id="378"/>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and date of birth of the person;</w:t>
      </w:r>
    </w:p>
    <w:p>
      <w:pPr>
        <w:pStyle w:val="Indenta"/>
      </w:pPr>
      <w:r>
        <w:tab/>
        <w:t>(b)</w:t>
      </w:r>
      <w:r>
        <w:tab/>
        <w:t>a photograph of the person (if any is in the possession of the Commissioner);</w:t>
      </w:r>
    </w:p>
    <w:p>
      <w:pPr>
        <w:pStyle w:val="Indenta"/>
      </w:pPr>
      <w:r>
        <w:tab/>
        <w:t>(c)</w:t>
      </w:r>
      <w:r>
        <w:tab/>
        <w:t>the address of the person;</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 amended by No. 9 of 2018 s. 58.]</w:t>
      </w:r>
    </w:p>
    <w:p>
      <w:pPr>
        <w:pStyle w:val="Heading5"/>
      </w:pPr>
      <w:bookmarkStart w:id="379" w:name="_Toc522197383"/>
      <w:r>
        <w:rPr>
          <w:rStyle w:val="CharSectno"/>
        </w:rPr>
        <w:t>115AD</w:t>
      </w:r>
      <w:r>
        <w:t>.</w:t>
      </w:r>
      <w:r>
        <w:tab/>
        <w:t>Review of s. 115AA notices</w:t>
      </w:r>
      <w:bookmarkEnd w:id="379"/>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spacing w:before="180"/>
      </w:pPr>
      <w:bookmarkStart w:id="380" w:name="_Toc522197384"/>
      <w:r>
        <w:rPr>
          <w:rStyle w:val="CharSectno"/>
        </w:rPr>
        <w:t>115AE</w:t>
      </w:r>
      <w:r>
        <w:t>.</w:t>
      </w:r>
      <w:r>
        <w:tab/>
        <w:t>Permitting entry to premises contrary to s. 115AA notice</w:t>
      </w:r>
      <w:bookmarkEnd w:id="380"/>
    </w:p>
    <w:p>
      <w:pPr>
        <w:pStyle w:val="Subsection"/>
        <w:spacing w:before="120"/>
      </w:pPr>
      <w:r>
        <w:tab/>
        <w:t>(1)</w:t>
      </w:r>
      <w:r>
        <w:tab/>
        <w:t xml:space="preserve">Subject to subsection (2), 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for this subsection: a fine of $10 000.</w:t>
      </w:r>
    </w:p>
    <w:p>
      <w:pPr>
        <w:pStyle w:val="Subsection"/>
      </w:pPr>
      <w:r>
        <w:tab/>
        <w:t>(2)</w:t>
      </w:r>
      <w:r>
        <w:tab/>
        <w:t>A responsible person in relation to licensed premises does not commit an offence under subsection (1) if the responsible person permits the person to enter or remain on the premises solely for the purpose of performing duties relating to the person’s work.</w:t>
      </w:r>
    </w:p>
    <w:p>
      <w:pPr>
        <w:pStyle w:val="Subsection"/>
      </w:pPr>
      <w:r>
        <w:tab/>
        <w:t>(3)</w:t>
      </w:r>
      <w:r>
        <w:tab/>
        <w:t>The reference in subsection (2) to performing duties relating to the person’s work does not include attending a function associated with the person’s work that is held on the premises.</w:t>
      </w:r>
    </w:p>
    <w:p>
      <w:pPr>
        <w:pStyle w:val="Footnotesection"/>
        <w:spacing w:before="80"/>
        <w:ind w:left="890" w:hanging="890"/>
      </w:pPr>
      <w:r>
        <w:tab/>
        <w:t>[Section 115AE inserted by No. 56 of 2010 s. 30; amended by No. 9 of 2018 s. 59.]</w:t>
      </w:r>
    </w:p>
    <w:p>
      <w:pPr>
        <w:pStyle w:val="Heading5"/>
        <w:spacing w:before="180"/>
      </w:pPr>
      <w:bookmarkStart w:id="381" w:name="_Toc522197385"/>
      <w:r>
        <w:rPr>
          <w:rStyle w:val="CharSectno"/>
        </w:rPr>
        <w:t>115A</w:t>
      </w:r>
      <w:r>
        <w:t>.</w:t>
      </w:r>
      <w:r>
        <w:tab/>
        <w:t>Drinking water to be provided free at certain licensed premises</w:t>
      </w:r>
      <w:bookmarkEnd w:id="381"/>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 by No. 73 of 2006 s. 81; amended by No. 56 of 2010 s. 57.]</w:t>
      </w:r>
    </w:p>
    <w:p>
      <w:pPr>
        <w:pStyle w:val="Heading5"/>
        <w:keepNext w:val="0"/>
        <w:keepLines w:val="0"/>
        <w:spacing w:before="180"/>
        <w:rPr>
          <w:snapToGrid w:val="0"/>
        </w:rPr>
      </w:pPr>
      <w:bookmarkStart w:id="382" w:name="_Toc522197386"/>
      <w:r>
        <w:rPr>
          <w:rStyle w:val="CharSectno"/>
        </w:rPr>
        <w:t>116</w:t>
      </w:r>
      <w:r>
        <w:rPr>
          <w:snapToGrid w:val="0"/>
        </w:rPr>
        <w:t>.</w:t>
      </w:r>
      <w:r>
        <w:rPr>
          <w:snapToGrid w:val="0"/>
        </w:rPr>
        <w:tab/>
        <w:t>Documents to be displayed etc. at premises and produced</w:t>
      </w:r>
      <w:bookmarkEnd w:id="382"/>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383" w:name="_Toc522197387"/>
      <w:r>
        <w:rPr>
          <w:rStyle w:val="CharSectno"/>
        </w:rPr>
        <w:t>116A</w:t>
      </w:r>
      <w:r>
        <w:t>.</w:t>
      </w:r>
      <w:r>
        <w:tab/>
        <w:t>Register of incidents at licensed premises to be maintained</w:t>
      </w:r>
      <w:bookmarkEnd w:id="383"/>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384" w:name="_Toc471906863"/>
      <w:bookmarkStart w:id="385" w:name="_Toc472001780"/>
      <w:bookmarkStart w:id="386" w:name="_Toc472676808"/>
      <w:bookmarkStart w:id="387" w:name="_Toc472682193"/>
      <w:bookmarkStart w:id="388" w:name="_Toc473119334"/>
      <w:bookmarkStart w:id="389" w:name="_Toc522197388"/>
      <w:r>
        <w:rPr>
          <w:rStyle w:val="CharDivNo"/>
        </w:rPr>
        <w:t>Division 7</w:t>
      </w:r>
      <w:r>
        <w:t> — </w:t>
      </w:r>
      <w:r>
        <w:rPr>
          <w:rStyle w:val="CharDivText"/>
        </w:rPr>
        <w:t>Complaints to Director</w:t>
      </w:r>
      <w:bookmarkEnd w:id="384"/>
      <w:bookmarkEnd w:id="385"/>
      <w:bookmarkEnd w:id="386"/>
      <w:bookmarkEnd w:id="387"/>
      <w:bookmarkEnd w:id="388"/>
      <w:bookmarkEnd w:id="389"/>
    </w:p>
    <w:p>
      <w:pPr>
        <w:pStyle w:val="Footnoteheading"/>
        <w:rPr>
          <w:snapToGrid w:val="0"/>
        </w:rPr>
      </w:pPr>
      <w:r>
        <w:tab/>
        <w:t>[Heading inserted by No. 73 of 2006 s. 84.]</w:t>
      </w:r>
    </w:p>
    <w:p>
      <w:pPr>
        <w:pStyle w:val="Heading5"/>
        <w:spacing w:before="240"/>
        <w:rPr>
          <w:snapToGrid w:val="0"/>
        </w:rPr>
      </w:pPr>
      <w:bookmarkStart w:id="390" w:name="_Toc522197389"/>
      <w:r>
        <w:rPr>
          <w:rStyle w:val="CharSectno"/>
        </w:rPr>
        <w:t>117</w:t>
      </w:r>
      <w:r>
        <w:rPr>
          <w:snapToGrid w:val="0"/>
        </w:rPr>
        <w:t>.</w:t>
      </w:r>
      <w:r>
        <w:rPr>
          <w:snapToGrid w:val="0"/>
        </w:rPr>
        <w:tab/>
        <w:t>Noise or behaviour related to licensed premises, complaints about</w:t>
      </w:r>
      <w:bookmarkEnd w:id="390"/>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keepNext w:val="0"/>
        <w:rPr>
          <w:snapToGrid w:val="0"/>
        </w:rPr>
      </w:pPr>
      <w:bookmarkStart w:id="391" w:name="_Toc471906865"/>
      <w:bookmarkStart w:id="392" w:name="_Toc472001782"/>
      <w:bookmarkStart w:id="393" w:name="_Toc472676810"/>
      <w:bookmarkStart w:id="394" w:name="_Toc472682195"/>
      <w:bookmarkStart w:id="395" w:name="_Toc473119336"/>
      <w:bookmarkStart w:id="396" w:name="_Toc522197390"/>
      <w:r>
        <w:rPr>
          <w:rStyle w:val="CharDivNo"/>
        </w:rPr>
        <w:t>Division 8</w:t>
      </w:r>
      <w:r>
        <w:rPr>
          <w:snapToGrid w:val="0"/>
        </w:rPr>
        <w:t> — </w:t>
      </w:r>
      <w:r>
        <w:rPr>
          <w:rStyle w:val="CharDivText"/>
        </w:rPr>
        <w:t>Liquor on unlicensed premises</w:t>
      </w:r>
      <w:bookmarkEnd w:id="391"/>
      <w:bookmarkEnd w:id="392"/>
      <w:bookmarkEnd w:id="393"/>
      <w:bookmarkEnd w:id="394"/>
      <w:bookmarkEnd w:id="395"/>
      <w:bookmarkEnd w:id="396"/>
      <w:r>
        <w:rPr>
          <w:rStyle w:val="CharDivText"/>
        </w:rPr>
        <w:t xml:space="preserve"> </w:t>
      </w:r>
    </w:p>
    <w:p>
      <w:pPr>
        <w:pStyle w:val="Heading5"/>
        <w:spacing w:before="180"/>
        <w:rPr>
          <w:snapToGrid w:val="0"/>
        </w:rPr>
      </w:pPr>
      <w:bookmarkStart w:id="397" w:name="_Toc522197391"/>
      <w:r>
        <w:rPr>
          <w:rStyle w:val="CharSectno"/>
        </w:rPr>
        <w:t>118</w:t>
      </w:r>
      <w:r>
        <w:rPr>
          <w:snapToGrid w:val="0"/>
        </w:rPr>
        <w:t>.</w:t>
      </w:r>
      <w:r>
        <w:rPr>
          <w:snapToGrid w:val="0"/>
        </w:rPr>
        <w:tab/>
        <w:t>Persons purporting to be licensee</w:t>
      </w:r>
      <w:bookmarkEnd w:id="397"/>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spacing w:before="240"/>
        <w:rPr>
          <w:snapToGrid w:val="0"/>
        </w:rPr>
      </w:pPr>
      <w:bookmarkStart w:id="398" w:name="_Toc522197392"/>
      <w:r>
        <w:rPr>
          <w:rStyle w:val="CharSectno"/>
        </w:rPr>
        <w:t>119</w:t>
      </w:r>
      <w:r>
        <w:rPr>
          <w:snapToGrid w:val="0"/>
        </w:rPr>
        <w:t>.</w:t>
      </w:r>
      <w:r>
        <w:rPr>
          <w:snapToGrid w:val="0"/>
        </w:rPr>
        <w:tab/>
        <w:t>Unlicensed premises etc., offences as to</w:t>
      </w:r>
      <w:bookmarkEnd w:id="398"/>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spacing w:before="180"/>
      </w:pPr>
      <w:bookmarkStart w:id="399" w:name="_Toc471906868"/>
      <w:bookmarkStart w:id="400" w:name="_Toc472001785"/>
      <w:bookmarkStart w:id="401" w:name="_Toc472676813"/>
      <w:bookmarkStart w:id="402" w:name="_Toc472682198"/>
      <w:bookmarkStart w:id="403" w:name="_Toc473119339"/>
      <w:bookmarkStart w:id="404" w:name="_Toc522197393"/>
      <w:r>
        <w:rPr>
          <w:rStyle w:val="CharDivNo"/>
        </w:rPr>
        <w:t>Division 8A</w:t>
      </w:r>
      <w:r>
        <w:t> — </w:t>
      </w:r>
      <w:r>
        <w:rPr>
          <w:rStyle w:val="CharDivText"/>
        </w:rPr>
        <w:t>Conduct of unapproved businesses on or from licensed premises</w:t>
      </w:r>
      <w:bookmarkEnd w:id="399"/>
      <w:bookmarkEnd w:id="400"/>
      <w:bookmarkEnd w:id="401"/>
      <w:bookmarkEnd w:id="402"/>
      <w:bookmarkEnd w:id="403"/>
      <w:bookmarkEnd w:id="404"/>
    </w:p>
    <w:p>
      <w:pPr>
        <w:pStyle w:val="Footnoteheading"/>
      </w:pPr>
      <w:r>
        <w:tab/>
        <w:t>[Heading inserted by No. 73 of 2006 s. 87.]</w:t>
      </w:r>
    </w:p>
    <w:p>
      <w:pPr>
        <w:pStyle w:val="Heading5"/>
        <w:spacing w:before="180"/>
      </w:pPr>
      <w:bookmarkStart w:id="405" w:name="_Toc522197394"/>
      <w:r>
        <w:rPr>
          <w:rStyle w:val="CharSectno"/>
        </w:rPr>
        <w:t>119A</w:t>
      </w:r>
      <w:r>
        <w:t>.</w:t>
      </w:r>
      <w:r>
        <w:tab/>
        <w:t>Non-liquor businesses on licensed premises, conduct of requires approval</w:t>
      </w:r>
      <w:bookmarkEnd w:id="405"/>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406" w:name="_Toc471906870"/>
      <w:bookmarkStart w:id="407" w:name="_Toc472001787"/>
      <w:bookmarkStart w:id="408" w:name="_Toc472676815"/>
      <w:bookmarkStart w:id="409" w:name="_Toc472682200"/>
      <w:bookmarkStart w:id="410" w:name="_Toc473119341"/>
      <w:bookmarkStart w:id="411" w:name="_Toc522197395"/>
      <w:r>
        <w:rPr>
          <w:rStyle w:val="CharDivNo"/>
        </w:rPr>
        <w:t>Division 9</w:t>
      </w:r>
      <w:r>
        <w:rPr>
          <w:snapToGrid w:val="0"/>
        </w:rPr>
        <w:t> — </w:t>
      </w:r>
      <w:r>
        <w:rPr>
          <w:rStyle w:val="CharDivText"/>
        </w:rPr>
        <w:t>Juveniles</w:t>
      </w:r>
      <w:bookmarkEnd w:id="406"/>
      <w:bookmarkEnd w:id="407"/>
      <w:bookmarkEnd w:id="408"/>
      <w:bookmarkEnd w:id="409"/>
      <w:bookmarkEnd w:id="410"/>
      <w:bookmarkEnd w:id="411"/>
      <w:r>
        <w:rPr>
          <w:rStyle w:val="CharDivText"/>
        </w:rPr>
        <w:t xml:space="preserve"> </w:t>
      </w:r>
    </w:p>
    <w:p>
      <w:pPr>
        <w:pStyle w:val="Heading5"/>
        <w:rPr>
          <w:snapToGrid w:val="0"/>
        </w:rPr>
      </w:pPr>
      <w:bookmarkStart w:id="412" w:name="_Toc522197396"/>
      <w:r>
        <w:rPr>
          <w:rStyle w:val="CharSectno"/>
        </w:rPr>
        <w:t>120</w:t>
      </w:r>
      <w:r>
        <w:rPr>
          <w:snapToGrid w:val="0"/>
        </w:rPr>
        <w:t>.</w:t>
      </w:r>
      <w:r>
        <w:rPr>
          <w:snapToGrid w:val="0"/>
        </w:rPr>
        <w:tab/>
        <w:t>When juveniles permitted on licensed premises</w:t>
      </w:r>
      <w:bookmarkEnd w:id="412"/>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413" w:name="_Toc522197397"/>
      <w:r>
        <w:rPr>
          <w:rStyle w:val="CharSectno"/>
        </w:rPr>
        <w:t>121</w:t>
      </w:r>
      <w:r>
        <w:rPr>
          <w:snapToGrid w:val="0"/>
        </w:rPr>
        <w:t>.</w:t>
      </w:r>
      <w:r>
        <w:rPr>
          <w:snapToGrid w:val="0"/>
        </w:rPr>
        <w:tab/>
        <w:t>Licensed premises, offences as to juveniles</w:t>
      </w:r>
      <w:bookmarkEnd w:id="413"/>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spacing w:before="240"/>
      </w:pPr>
      <w:bookmarkStart w:id="414" w:name="_Toc522197398"/>
      <w:r>
        <w:rPr>
          <w:rStyle w:val="CharSectno"/>
        </w:rPr>
        <w:t>122A</w:t>
      </w:r>
      <w:r>
        <w:t>.</w:t>
      </w:r>
      <w:r>
        <w:tab/>
        <w:t>Supplying juveniles with alcohol on unlicensed premises</w:t>
      </w:r>
      <w:bookmarkEnd w:id="414"/>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415" w:name="_Toc522197399"/>
      <w:r>
        <w:rPr>
          <w:rStyle w:val="CharSectno"/>
        </w:rPr>
        <w:t>122</w:t>
      </w:r>
      <w:r>
        <w:rPr>
          <w:snapToGrid w:val="0"/>
        </w:rPr>
        <w:t>.</w:t>
      </w:r>
      <w:r>
        <w:rPr>
          <w:snapToGrid w:val="0"/>
        </w:rPr>
        <w:tab/>
        <w:t>Regulated premises, offences as to juveniles</w:t>
      </w:r>
      <w:bookmarkEnd w:id="415"/>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 xml:space="preserve">[Section 122 amended by No. 12 of 1998 s. 35(5); No. 73 of 2006 s. 89 and 110; No. 56 of 2010 s. 63 and 69.] </w:t>
      </w:r>
    </w:p>
    <w:p>
      <w:pPr>
        <w:pStyle w:val="Heading5"/>
        <w:spacing w:before="240"/>
        <w:rPr>
          <w:snapToGrid w:val="0"/>
        </w:rPr>
      </w:pPr>
      <w:bookmarkStart w:id="416" w:name="_Toc522197400"/>
      <w:r>
        <w:rPr>
          <w:rStyle w:val="CharSectno"/>
        </w:rPr>
        <w:t>123</w:t>
      </w:r>
      <w:r>
        <w:rPr>
          <w:snapToGrid w:val="0"/>
        </w:rPr>
        <w:t>.</w:t>
      </w:r>
      <w:r>
        <w:rPr>
          <w:snapToGrid w:val="0"/>
        </w:rPr>
        <w:tab/>
        <w:t>Possession etc. of liquor, offences by juveniles</w:t>
      </w:r>
      <w:bookmarkEnd w:id="416"/>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keepNext w:val="0"/>
        <w:keepLines w:val="0"/>
        <w:spacing w:before="160"/>
        <w:rPr>
          <w:snapToGrid w:val="0"/>
        </w:rPr>
      </w:pPr>
      <w:bookmarkStart w:id="417" w:name="_Toc522197401"/>
      <w:r>
        <w:rPr>
          <w:rStyle w:val="CharSectno"/>
        </w:rPr>
        <w:t>124</w:t>
      </w:r>
      <w:r>
        <w:rPr>
          <w:snapToGrid w:val="0"/>
        </w:rPr>
        <w:t>.</w:t>
      </w:r>
      <w:r>
        <w:rPr>
          <w:snapToGrid w:val="0"/>
        </w:rPr>
        <w:tab/>
        <w:t>Sending juveniles to obtain liquor, offence</w:t>
      </w:r>
      <w:bookmarkEnd w:id="417"/>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by No. 73 of 2006 s. 110; No. 56 of 2010 s. 69.]</w:t>
      </w:r>
    </w:p>
    <w:p>
      <w:pPr>
        <w:pStyle w:val="Heading5"/>
        <w:spacing w:before="180"/>
        <w:rPr>
          <w:snapToGrid w:val="0"/>
        </w:rPr>
      </w:pPr>
      <w:bookmarkStart w:id="418" w:name="_Toc522197402"/>
      <w:r>
        <w:rPr>
          <w:rStyle w:val="CharSectno"/>
        </w:rPr>
        <w:t>125</w:t>
      </w:r>
      <w:r>
        <w:rPr>
          <w:snapToGrid w:val="0"/>
        </w:rPr>
        <w:t>.</w:t>
      </w:r>
      <w:r>
        <w:rPr>
          <w:snapToGrid w:val="0"/>
        </w:rPr>
        <w:tab/>
        <w:t>Defences to offences under this Division</w:t>
      </w:r>
      <w:bookmarkEnd w:id="418"/>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419" w:name="_Toc522197403"/>
      <w:r>
        <w:rPr>
          <w:rStyle w:val="CharSectno"/>
        </w:rPr>
        <w:t>126</w:t>
      </w:r>
      <w:r>
        <w:rPr>
          <w:snapToGrid w:val="0"/>
        </w:rPr>
        <w:t>.</w:t>
      </w:r>
      <w:r>
        <w:rPr>
          <w:snapToGrid w:val="0"/>
        </w:rPr>
        <w:tab/>
        <w:t>Suspected juveniles, authorised persons’ powers as to, offences by</w:t>
      </w:r>
      <w:bookmarkEnd w:id="419"/>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spacing w:before="240"/>
      </w:pPr>
      <w:bookmarkStart w:id="420" w:name="_Toc522197404"/>
      <w:r>
        <w:rPr>
          <w:rStyle w:val="CharSectno"/>
        </w:rPr>
        <w:t>126A</w:t>
      </w:r>
      <w:r>
        <w:t>.</w:t>
      </w:r>
      <w:r>
        <w:tab/>
        <w:t>Entertainment for juveniles on licensed premises, application for approval of</w:t>
      </w:r>
      <w:bookmarkEnd w:id="420"/>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by No. 73 of 2006 s. 92(1).]</w:t>
      </w:r>
    </w:p>
    <w:p>
      <w:pPr>
        <w:pStyle w:val="Heading5"/>
      </w:pPr>
      <w:bookmarkStart w:id="421" w:name="_Toc522197405"/>
      <w:r>
        <w:rPr>
          <w:rStyle w:val="CharSectno"/>
        </w:rPr>
        <w:t>126B</w:t>
      </w:r>
      <w:r>
        <w:t>.</w:t>
      </w:r>
      <w:r>
        <w:tab/>
        <w:t>Entertainment for juveniles on licensed premises, approval of</w:t>
      </w:r>
      <w:bookmarkEnd w:id="421"/>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422" w:name="_Toc471906881"/>
      <w:bookmarkStart w:id="423" w:name="_Toc472001798"/>
      <w:bookmarkStart w:id="424" w:name="_Toc472676826"/>
      <w:bookmarkStart w:id="425" w:name="_Toc472682211"/>
      <w:bookmarkStart w:id="426" w:name="_Toc473119352"/>
      <w:bookmarkStart w:id="427" w:name="_Toc522197406"/>
      <w:r>
        <w:rPr>
          <w:rStyle w:val="CharDivNo"/>
        </w:rPr>
        <w:t>Division 10</w:t>
      </w:r>
      <w:r>
        <w:t> — </w:t>
      </w:r>
      <w:r>
        <w:rPr>
          <w:rStyle w:val="CharDivText"/>
        </w:rPr>
        <w:t>Miscellaneous</w:t>
      </w:r>
      <w:bookmarkEnd w:id="422"/>
      <w:bookmarkEnd w:id="423"/>
      <w:bookmarkEnd w:id="424"/>
      <w:bookmarkEnd w:id="425"/>
      <w:bookmarkEnd w:id="426"/>
      <w:bookmarkEnd w:id="427"/>
    </w:p>
    <w:p>
      <w:pPr>
        <w:pStyle w:val="Footnoteheading"/>
      </w:pPr>
      <w:r>
        <w:tab/>
        <w:t>[Heading inserted by No. 73 of 2006 s. 93.]</w:t>
      </w:r>
    </w:p>
    <w:p>
      <w:pPr>
        <w:pStyle w:val="Heading5"/>
        <w:spacing w:before="240"/>
      </w:pPr>
      <w:bookmarkStart w:id="428" w:name="_Toc522197407"/>
      <w:r>
        <w:rPr>
          <w:rStyle w:val="CharSectno"/>
        </w:rPr>
        <w:t>126C</w:t>
      </w:r>
      <w:r>
        <w:t>.</w:t>
      </w:r>
      <w:r>
        <w:tab/>
        <w:t>Crowd controllers to be authorised when exercising powers of removal</w:t>
      </w:r>
      <w:bookmarkEnd w:id="428"/>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keepNext w:val="0"/>
        <w:keepLines w:val="0"/>
        <w:spacing w:before="180"/>
      </w:pPr>
      <w:bookmarkStart w:id="429" w:name="_Toc522197408"/>
      <w:r>
        <w:rPr>
          <w:rStyle w:val="CharSectno"/>
        </w:rPr>
        <w:t>126D</w:t>
      </w:r>
      <w:r>
        <w:t>.</w:t>
      </w:r>
      <w:r>
        <w:tab/>
        <w:t>Undesirable liquor products, declaration of and offence as to</w:t>
      </w:r>
      <w:bookmarkEnd w:id="429"/>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 by No. 73 of 2006 s. 93; amended by No. 56 of 2010 s. 64.]</w:t>
      </w:r>
    </w:p>
    <w:p>
      <w:pPr>
        <w:pStyle w:val="Heading5"/>
      </w:pPr>
      <w:bookmarkStart w:id="430" w:name="_Toc522197409"/>
      <w:r>
        <w:rPr>
          <w:rStyle w:val="CharSectno"/>
        </w:rPr>
        <w:t>126E</w:t>
      </w:r>
      <w:r>
        <w:t>.</w:t>
      </w:r>
      <w:r>
        <w:tab/>
        <w:t>Special events, operation of Act may be modified for</w:t>
      </w:r>
      <w:bookmarkEnd w:id="430"/>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431" w:name="_Toc471906885"/>
      <w:bookmarkStart w:id="432" w:name="_Toc472001802"/>
      <w:bookmarkStart w:id="433" w:name="_Toc472676830"/>
      <w:bookmarkStart w:id="434" w:name="_Toc472682215"/>
      <w:bookmarkStart w:id="435" w:name="_Toc473119356"/>
      <w:bookmarkStart w:id="436" w:name="_Toc522197410"/>
      <w:r>
        <w:rPr>
          <w:rStyle w:val="CharPartNo"/>
        </w:rPr>
        <w:t>Part 5</w:t>
      </w:r>
      <w:r>
        <w:t> — </w:t>
      </w:r>
      <w:r>
        <w:rPr>
          <w:rStyle w:val="CharPartText"/>
        </w:rPr>
        <w:t>Financial provisions</w:t>
      </w:r>
      <w:bookmarkEnd w:id="431"/>
      <w:bookmarkEnd w:id="432"/>
      <w:bookmarkEnd w:id="433"/>
      <w:bookmarkEnd w:id="434"/>
      <w:bookmarkEnd w:id="435"/>
      <w:bookmarkEnd w:id="436"/>
      <w:r>
        <w:rPr>
          <w:rStyle w:val="CharPartText"/>
        </w:rPr>
        <w:t xml:space="preserve"> </w:t>
      </w:r>
    </w:p>
    <w:p>
      <w:pPr>
        <w:pStyle w:val="Heading3"/>
        <w:spacing w:before="220"/>
        <w:rPr>
          <w:snapToGrid w:val="0"/>
        </w:rPr>
      </w:pPr>
      <w:bookmarkStart w:id="437" w:name="_Toc471906886"/>
      <w:bookmarkStart w:id="438" w:name="_Toc472001803"/>
      <w:bookmarkStart w:id="439" w:name="_Toc472676831"/>
      <w:bookmarkStart w:id="440" w:name="_Toc472682216"/>
      <w:bookmarkStart w:id="441" w:name="_Toc473119357"/>
      <w:bookmarkStart w:id="442" w:name="_Toc522197411"/>
      <w:r>
        <w:rPr>
          <w:rStyle w:val="CharDivNo"/>
        </w:rPr>
        <w:t>Division 1</w:t>
      </w:r>
      <w:r>
        <w:rPr>
          <w:snapToGrid w:val="0"/>
        </w:rPr>
        <w:t> — </w:t>
      </w:r>
      <w:r>
        <w:rPr>
          <w:rStyle w:val="CharDivText"/>
        </w:rPr>
        <w:t>Licence fees</w:t>
      </w:r>
      <w:bookmarkEnd w:id="437"/>
      <w:bookmarkEnd w:id="438"/>
      <w:bookmarkEnd w:id="439"/>
      <w:bookmarkEnd w:id="440"/>
      <w:bookmarkEnd w:id="441"/>
      <w:bookmarkEnd w:id="442"/>
      <w:r>
        <w:rPr>
          <w:rStyle w:val="CharDivText"/>
        </w:rPr>
        <w:t xml:space="preserve"> </w:t>
      </w:r>
    </w:p>
    <w:p>
      <w:pPr>
        <w:pStyle w:val="Heading5"/>
        <w:rPr>
          <w:snapToGrid w:val="0"/>
        </w:rPr>
      </w:pPr>
      <w:bookmarkStart w:id="443" w:name="_Toc522197412"/>
      <w:r>
        <w:rPr>
          <w:rStyle w:val="CharSectno"/>
        </w:rPr>
        <w:t>127</w:t>
      </w:r>
      <w:r>
        <w:rPr>
          <w:snapToGrid w:val="0"/>
        </w:rPr>
        <w:t>.</w:t>
      </w:r>
      <w:r>
        <w:rPr>
          <w:snapToGrid w:val="0"/>
        </w:rPr>
        <w:tab/>
        <w:t>Payment of licence fees</w:t>
      </w:r>
      <w:bookmarkEnd w:id="443"/>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444" w:name="_Toc522197413"/>
      <w:r>
        <w:rPr>
          <w:rStyle w:val="CharSectno"/>
        </w:rPr>
        <w:t>128</w:t>
      </w:r>
      <w:r>
        <w:rPr>
          <w:snapToGrid w:val="0"/>
        </w:rPr>
        <w:t>.</w:t>
      </w:r>
      <w:r>
        <w:rPr>
          <w:snapToGrid w:val="0"/>
        </w:rPr>
        <w:tab/>
        <w:t>Regulations about licence fees</w:t>
      </w:r>
      <w:bookmarkEnd w:id="444"/>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spacing w:before="180"/>
        <w:rPr>
          <w:snapToGrid w:val="0"/>
        </w:rPr>
      </w:pPr>
      <w:bookmarkStart w:id="445" w:name="_Toc471906889"/>
      <w:bookmarkStart w:id="446" w:name="_Toc472001806"/>
      <w:bookmarkStart w:id="447" w:name="_Toc472676834"/>
      <w:bookmarkStart w:id="448" w:name="_Toc472682219"/>
      <w:bookmarkStart w:id="449" w:name="_Toc473119360"/>
      <w:bookmarkStart w:id="450" w:name="_Toc522197414"/>
      <w:r>
        <w:rPr>
          <w:rStyle w:val="CharDivNo"/>
        </w:rPr>
        <w:t>Division 2</w:t>
      </w:r>
      <w:r>
        <w:rPr>
          <w:snapToGrid w:val="0"/>
        </w:rPr>
        <w:t> — </w:t>
      </w:r>
      <w:r>
        <w:rPr>
          <w:rStyle w:val="CharDivText"/>
        </w:rPr>
        <w:t>Subsidies</w:t>
      </w:r>
      <w:bookmarkEnd w:id="445"/>
      <w:bookmarkEnd w:id="446"/>
      <w:bookmarkEnd w:id="447"/>
      <w:bookmarkEnd w:id="448"/>
      <w:bookmarkEnd w:id="449"/>
      <w:bookmarkEnd w:id="450"/>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spacing w:before="180"/>
        <w:rPr>
          <w:snapToGrid w:val="0"/>
        </w:rPr>
      </w:pPr>
      <w:bookmarkStart w:id="451" w:name="_Toc522197415"/>
      <w:r>
        <w:rPr>
          <w:rStyle w:val="CharSectno"/>
        </w:rPr>
        <w:t>129</w:t>
      </w:r>
      <w:r>
        <w:rPr>
          <w:snapToGrid w:val="0"/>
        </w:rPr>
        <w:t>.</w:t>
      </w:r>
      <w:r>
        <w:rPr>
          <w:snapToGrid w:val="0"/>
        </w:rPr>
        <w:tab/>
        <w:t>Terms used</w:t>
      </w:r>
      <w:bookmarkEnd w:id="45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452" w:name="_Toc522197416"/>
      <w:r>
        <w:rPr>
          <w:rStyle w:val="CharSectno"/>
        </w:rPr>
        <w:t>130</w:t>
      </w:r>
      <w:r>
        <w:rPr>
          <w:snapToGrid w:val="0"/>
        </w:rPr>
        <w:t>.</w:t>
      </w:r>
      <w:r>
        <w:rPr>
          <w:snapToGrid w:val="0"/>
        </w:rPr>
        <w:tab/>
        <w:t>Subsidies for wholesalers and producers</w:t>
      </w:r>
      <w:bookmarkEnd w:id="452"/>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453" w:name="_Toc522197417"/>
      <w:r>
        <w:rPr>
          <w:rStyle w:val="CharSectno"/>
        </w:rPr>
        <w:t>131</w:t>
      </w:r>
      <w:r>
        <w:rPr>
          <w:snapToGrid w:val="0"/>
        </w:rPr>
        <w:t>.</w:t>
      </w:r>
      <w:r>
        <w:rPr>
          <w:snapToGrid w:val="0"/>
        </w:rPr>
        <w:tab/>
        <w:t>Application for subsidy</w:t>
      </w:r>
      <w:bookmarkEnd w:id="453"/>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spacing w:before="180"/>
        <w:rPr>
          <w:snapToGrid w:val="0"/>
        </w:rPr>
      </w:pPr>
      <w:bookmarkStart w:id="454" w:name="_Toc522197418"/>
      <w:r>
        <w:rPr>
          <w:rStyle w:val="CharSectno"/>
        </w:rPr>
        <w:t>132</w:t>
      </w:r>
      <w:r>
        <w:rPr>
          <w:snapToGrid w:val="0"/>
        </w:rPr>
        <w:t>.</w:t>
      </w:r>
      <w:r>
        <w:rPr>
          <w:snapToGrid w:val="0"/>
        </w:rPr>
        <w:tab/>
        <w:t>Director to pay subsidies</w:t>
      </w:r>
      <w:bookmarkEnd w:id="454"/>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spacing w:before="180"/>
        <w:rPr>
          <w:snapToGrid w:val="0"/>
        </w:rPr>
      </w:pPr>
      <w:bookmarkStart w:id="455" w:name="_Toc522197419"/>
      <w:r>
        <w:rPr>
          <w:rStyle w:val="CharSectno"/>
        </w:rPr>
        <w:t>133</w:t>
      </w:r>
      <w:r>
        <w:rPr>
          <w:snapToGrid w:val="0"/>
        </w:rPr>
        <w:t>.</w:t>
      </w:r>
      <w:r>
        <w:rPr>
          <w:snapToGrid w:val="0"/>
        </w:rPr>
        <w:tab/>
        <w:t>Consolidated Account appropriated</w:t>
      </w:r>
      <w:bookmarkEnd w:id="455"/>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by No. 56 of 1997 s. 36; amended by No. 77 of 2006 s. 4.]</w:t>
      </w:r>
    </w:p>
    <w:p>
      <w:pPr>
        <w:pStyle w:val="Heading5"/>
        <w:rPr>
          <w:snapToGrid w:val="0"/>
        </w:rPr>
      </w:pPr>
      <w:bookmarkStart w:id="456" w:name="_Toc522197420"/>
      <w:r>
        <w:rPr>
          <w:rStyle w:val="CharSectno"/>
        </w:rPr>
        <w:t>134</w:t>
      </w:r>
      <w:r>
        <w:rPr>
          <w:snapToGrid w:val="0"/>
        </w:rPr>
        <w:t>.</w:t>
      </w:r>
      <w:r>
        <w:rPr>
          <w:snapToGrid w:val="0"/>
        </w:rPr>
        <w:tab/>
        <w:t>Correcting incorrect subsidy payments</w:t>
      </w:r>
      <w:bookmarkEnd w:id="456"/>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457" w:name="_Toc522197421"/>
      <w:r>
        <w:rPr>
          <w:rStyle w:val="CharSectno"/>
        </w:rPr>
        <w:t>135</w:t>
      </w:r>
      <w:r>
        <w:rPr>
          <w:snapToGrid w:val="0"/>
        </w:rPr>
        <w:t>.</w:t>
      </w:r>
      <w:r>
        <w:rPr>
          <w:snapToGrid w:val="0"/>
        </w:rPr>
        <w:tab/>
        <w:t>Failure to correct incorrect subsidy application</w:t>
      </w:r>
      <w:bookmarkEnd w:id="457"/>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180"/>
        <w:rPr>
          <w:snapToGrid w:val="0"/>
        </w:rPr>
      </w:pPr>
      <w:bookmarkStart w:id="458" w:name="_Toc522197422"/>
      <w:r>
        <w:rPr>
          <w:rStyle w:val="CharSectno"/>
        </w:rPr>
        <w:t>136</w:t>
      </w:r>
      <w:r>
        <w:rPr>
          <w:snapToGrid w:val="0"/>
        </w:rPr>
        <w:t>.</w:t>
      </w:r>
      <w:r>
        <w:rPr>
          <w:snapToGrid w:val="0"/>
        </w:rPr>
        <w:tab/>
        <w:t>Minister may order subsidies to cease</w:t>
      </w:r>
      <w:bookmarkEnd w:id="458"/>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459" w:name="_Toc471906898"/>
      <w:bookmarkStart w:id="460" w:name="_Toc472001815"/>
      <w:bookmarkStart w:id="461" w:name="_Toc472676843"/>
      <w:bookmarkStart w:id="462" w:name="_Toc472682228"/>
      <w:bookmarkStart w:id="463" w:name="_Toc473119369"/>
      <w:bookmarkStart w:id="464" w:name="_Toc522197423"/>
      <w:r>
        <w:rPr>
          <w:rStyle w:val="CharDivNo"/>
        </w:rPr>
        <w:t>Division 3</w:t>
      </w:r>
      <w:r>
        <w:rPr>
          <w:snapToGrid w:val="0"/>
        </w:rPr>
        <w:t> — </w:t>
      </w:r>
      <w:r>
        <w:rPr>
          <w:rStyle w:val="CharDivText"/>
        </w:rPr>
        <w:t>Power of Commission with respect to moneys due</w:t>
      </w:r>
      <w:bookmarkEnd w:id="459"/>
      <w:bookmarkEnd w:id="460"/>
      <w:bookmarkEnd w:id="461"/>
      <w:bookmarkEnd w:id="462"/>
      <w:bookmarkEnd w:id="463"/>
      <w:bookmarkEnd w:id="464"/>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465" w:name="_Toc522197424"/>
      <w:r>
        <w:rPr>
          <w:rStyle w:val="CharSectno"/>
        </w:rPr>
        <w:t>143</w:t>
      </w:r>
      <w:r>
        <w:rPr>
          <w:snapToGrid w:val="0"/>
        </w:rPr>
        <w:t>.</w:t>
      </w:r>
      <w:r>
        <w:rPr>
          <w:snapToGrid w:val="0"/>
        </w:rPr>
        <w:tab/>
        <w:t>Order for payment of money</w:t>
      </w:r>
      <w:bookmarkEnd w:id="465"/>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466" w:name="_Toc471906900"/>
      <w:bookmarkStart w:id="467" w:name="_Toc472001817"/>
      <w:bookmarkStart w:id="468" w:name="_Toc472676845"/>
      <w:bookmarkStart w:id="469" w:name="_Toc472682230"/>
      <w:bookmarkStart w:id="470" w:name="_Toc473119371"/>
      <w:bookmarkStart w:id="471" w:name="_Toc522197425"/>
      <w:r>
        <w:rPr>
          <w:rStyle w:val="CharDivNo"/>
        </w:rPr>
        <w:t>Division 4</w:t>
      </w:r>
      <w:r>
        <w:rPr>
          <w:snapToGrid w:val="0"/>
        </w:rPr>
        <w:t> — </w:t>
      </w:r>
      <w:r>
        <w:rPr>
          <w:rStyle w:val="CharDivText"/>
        </w:rPr>
        <w:t>Records and returns</w:t>
      </w:r>
      <w:bookmarkEnd w:id="466"/>
      <w:bookmarkEnd w:id="467"/>
      <w:bookmarkEnd w:id="468"/>
      <w:bookmarkEnd w:id="469"/>
      <w:bookmarkEnd w:id="470"/>
      <w:bookmarkEnd w:id="471"/>
      <w:r>
        <w:rPr>
          <w:rStyle w:val="CharDivText"/>
        </w:rPr>
        <w:t xml:space="preserve"> </w:t>
      </w:r>
    </w:p>
    <w:p>
      <w:pPr>
        <w:pStyle w:val="Heading5"/>
        <w:keepNext w:val="0"/>
        <w:spacing w:before="160"/>
        <w:rPr>
          <w:snapToGrid w:val="0"/>
        </w:rPr>
      </w:pPr>
      <w:bookmarkStart w:id="472" w:name="_Toc522197426"/>
      <w:r>
        <w:rPr>
          <w:rStyle w:val="CharSectno"/>
        </w:rPr>
        <w:t>145</w:t>
      </w:r>
      <w:r>
        <w:rPr>
          <w:snapToGrid w:val="0"/>
        </w:rPr>
        <w:t>.</w:t>
      </w:r>
      <w:r>
        <w:rPr>
          <w:snapToGrid w:val="0"/>
        </w:rPr>
        <w:tab/>
        <w:t>Records of liquor transactions to be kept by licensees etc.</w:t>
      </w:r>
      <w:bookmarkEnd w:id="472"/>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473" w:name="_Toc522197427"/>
      <w:r>
        <w:rPr>
          <w:rStyle w:val="CharSectno"/>
        </w:rPr>
        <w:t>146</w:t>
      </w:r>
      <w:r>
        <w:rPr>
          <w:snapToGrid w:val="0"/>
        </w:rPr>
        <w:t>.</w:t>
      </w:r>
      <w:r>
        <w:rPr>
          <w:snapToGrid w:val="0"/>
        </w:rPr>
        <w:tab/>
        <w:t>Information to be given to Director in returns</w:t>
      </w:r>
      <w:bookmarkEnd w:id="473"/>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474" w:name="_Toc471906903"/>
      <w:bookmarkStart w:id="475" w:name="_Toc472001820"/>
      <w:bookmarkStart w:id="476" w:name="_Toc472676848"/>
      <w:bookmarkStart w:id="477" w:name="_Toc472682233"/>
      <w:bookmarkStart w:id="478" w:name="_Toc473119374"/>
      <w:bookmarkStart w:id="479" w:name="_Toc522197428"/>
      <w:r>
        <w:rPr>
          <w:rStyle w:val="CharDivNo"/>
        </w:rPr>
        <w:t>Division 5</w:t>
      </w:r>
      <w:r>
        <w:rPr>
          <w:snapToGrid w:val="0"/>
        </w:rPr>
        <w:t> — </w:t>
      </w:r>
      <w:r>
        <w:rPr>
          <w:rStyle w:val="CharDivText"/>
        </w:rPr>
        <w:t>Recovery of illegal gains</w:t>
      </w:r>
      <w:bookmarkEnd w:id="474"/>
      <w:bookmarkEnd w:id="475"/>
      <w:bookmarkEnd w:id="476"/>
      <w:bookmarkEnd w:id="477"/>
      <w:bookmarkEnd w:id="478"/>
      <w:bookmarkEnd w:id="479"/>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480" w:name="_Toc522197429"/>
      <w:r>
        <w:rPr>
          <w:rStyle w:val="CharSectno"/>
        </w:rPr>
        <w:t>147</w:t>
      </w:r>
      <w:r>
        <w:rPr>
          <w:snapToGrid w:val="0"/>
        </w:rPr>
        <w:t>.</w:t>
      </w:r>
      <w:r>
        <w:rPr>
          <w:snapToGrid w:val="0"/>
        </w:rPr>
        <w:tab/>
        <w:t>Illegal gains, estimation and recovery of</w:t>
      </w:r>
      <w:bookmarkEnd w:id="480"/>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pageBreakBefore/>
        <w:spacing w:before="0"/>
        <w:rPr>
          <w:snapToGrid w:val="0"/>
        </w:rPr>
      </w:pPr>
      <w:bookmarkStart w:id="481" w:name="_Toc471906905"/>
      <w:bookmarkStart w:id="482" w:name="_Toc472001822"/>
      <w:bookmarkStart w:id="483" w:name="_Toc472676850"/>
      <w:bookmarkStart w:id="484" w:name="_Toc472682235"/>
      <w:bookmarkStart w:id="485" w:name="_Toc473119376"/>
      <w:bookmarkStart w:id="486" w:name="_Toc522197430"/>
      <w:r>
        <w:rPr>
          <w:rStyle w:val="CharDivNo"/>
        </w:rPr>
        <w:t>Division 6</w:t>
      </w:r>
      <w:r>
        <w:rPr>
          <w:snapToGrid w:val="0"/>
        </w:rPr>
        <w:t> — </w:t>
      </w:r>
      <w:r>
        <w:rPr>
          <w:rStyle w:val="CharDivText"/>
        </w:rPr>
        <w:t>Information</w:t>
      </w:r>
      <w:bookmarkEnd w:id="481"/>
      <w:bookmarkEnd w:id="482"/>
      <w:bookmarkEnd w:id="483"/>
      <w:bookmarkEnd w:id="484"/>
      <w:bookmarkEnd w:id="485"/>
      <w:bookmarkEnd w:id="486"/>
      <w:r>
        <w:rPr>
          <w:rStyle w:val="CharDivText"/>
        </w:rPr>
        <w:t xml:space="preserve"> </w:t>
      </w:r>
    </w:p>
    <w:p>
      <w:pPr>
        <w:pStyle w:val="Heading5"/>
        <w:rPr>
          <w:snapToGrid w:val="0"/>
        </w:rPr>
      </w:pPr>
      <w:bookmarkStart w:id="487" w:name="_Toc522197431"/>
      <w:r>
        <w:rPr>
          <w:rStyle w:val="CharSectno"/>
        </w:rPr>
        <w:t>148</w:t>
      </w:r>
      <w:r>
        <w:rPr>
          <w:snapToGrid w:val="0"/>
        </w:rPr>
        <w:t>.</w:t>
      </w:r>
      <w:r>
        <w:rPr>
          <w:snapToGrid w:val="0"/>
        </w:rPr>
        <w:tab/>
        <w:t>Information etc., Director’s powers to obtain</w:t>
      </w:r>
      <w:bookmarkEnd w:id="487"/>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488" w:name="_Toc522197432"/>
      <w:r>
        <w:rPr>
          <w:rStyle w:val="CharSectno"/>
        </w:rPr>
        <w:t>149</w:t>
      </w:r>
      <w:r>
        <w:rPr>
          <w:snapToGrid w:val="0"/>
        </w:rPr>
        <w:t>.</w:t>
      </w:r>
      <w:r>
        <w:rPr>
          <w:snapToGrid w:val="0"/>
        </w:rPr>
        <w:tab/>
        <w:t>Use of information, Director’s powers as to</w:t>
      </w:r>
      <w:bookmarkEnd w:id="488"/>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489" w:name="_Toc522197433"/>
      <w:r>
        <w:rPr>
          <w:rStyle w:val="CharSectno"/>
        </w:rPr>
        <w:t>150</w:t>
      </w:r>
      <w:r>
        <w:rPr>
          <w:snapToGrid w:val="0"/>
        </w:rPr>
        <w:t>.</w:t>
      </w:r>
      <w:r>
        <w:rPr>
          <w:snapToGrid w:val="0"/>
        </w:rPr>
        <w:tab/>
        <w:t>Premises and records, Director’s right of access to etc.</w:t>
      </w:r>
      <w:bookmarkEnd w:id="489"/>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490" w:name="_Toc522197434"/>
      <w:r>
        <w:rPr>
          <w:rStyle w:val="CharSectno"/>
        </w:rPr>
        <w:t>151</w:t>
      </w:r>
      <w:r>
        <w:rPr>
          <w:snapToGrid w:val="0"/>
        </w:rPr>
        <w:t>.</w:t>
      </w:r>
      <w:r>
        <w:rPr>
          <w:snapToGrid w:val="0"/>
        </w:rPr>
        <w:tab/>
        <w:t>Licensing authority may assist other authorities</w:t>
      </w:r>
      <w:bookmarkEnd w:id="490"/>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491" w:name="_Toc522197435"/>
      <w:r>
        <w:rPr>
          <w:rStyle w:val="CharSectno"/>
        </w:rPr>
        <w:t>152</w:t>
      </w:r>
      <w:r>
        <w:rPr>
          <w:snapToGrid w:val="0"/>
        </w:rPr>
        <w:t>.</w:t>
      </w:r>
      <w:r>
        <w:rPr>
          <w:snapToGrid w:val="0"/>
        </w:rPr>
        <w:tab/>
        <w:t>Disclosure of information by officials</w:t>
      </w:r>
      <w:bookmarkEnd w:id="491"/>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492" w:name="_Toc471906911"/>
      <w:bookmarkStart w:id="493" w:name="_Toc472001828"/>
      <w:bookmarkStart w:id="494" w:name="_Toc472676856"/>
      <w:bookmarkStart w:id="495" w:name="_Toc472682241"/>
      <w:bookmarkStart w:id="496" w:name="_Toc473119382"/>
      <w:bookmarkStart w:id="497" w:name="_Toc522197436"/>
      <w:r>
        <w:rPr>
          <w:rStyle w:val="CharPartNo"/>
        </w:rPr>
        <w:t>Part 5A</w:t>
      </w:r>
      <w:r>
        <w:rPr>
          <w:rStyle w:val="CharDivNo"/>
        </w:rPr>
        <w:t> </w:t>
      </w:r>
      <w:r>
        <w:t>—</w:t>
      </w:r>
      <w:r>
        <w:rPr>
          <w:rStyle w:val="CharDivText"/>
        </w:rPr>
        <w:t> </w:t>
      </w:r>
      <w:r>
        <w:rPr>
          <w:rStyle w:val="CharPartText"/>
        </w:rPr>
        <w:t>Prohibition orders</w:t>
      </w:r>
      <w:bookmarkEnd w:id="492"/>
      <w:bookmarkEnd w:id="493"/>
      <w:bookmarkEnd w:id="494"/>
      <w:bookmarkEnd w:id="495"/>
      <w:bookmarkEnd w:id="496"/>
      <w:bookmarkEnd w:id="497"/>
    </w:p>
    <w:p>
      <w:pPr>
        <w:pStyle w:val="Footnoteheading"/>
      </w:pPr>
      <w:r>
        <w:tab/>
        <w:t>[Heading inserted by No. 73 of 2006 s. 97.]</w:t>
      </w:r>
    </w:p>
    <w:p>
      <w:pPr>
        <w:pStyle w:val="Heading5"/>
        <w:spacing w:before="240"/>
      </w:pPr>
      <w:bookmarkStart w:id="498" w:name="_Toc522197437"/>
      <w:r>
        <w:rPr>
          <w:rStyle w:val="CharSectno"/>
        </w:rPr>
        <w:t>152A</w:t>
      </w:r>
      <w:r>
        <w:t>.</w:t>
      </w:r>
      <w:r>
        <w:tab/>
        <w:t>Terms used</w:t>
      </w:r>
      <w:bookmarkEnd w:id="498"/>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499" w:name="_Toc522197438"/>
      <w:r>
        <w:rPr>
          <w:rStyle w:val="CharSectno"/>
        </w:rPr>
        <w:t>152B</w:t>
      </w:r>
      <w:r>
        <w:t>.</w:t>
      </w:r>
      <w:r>
        <w:tab/>
        <w:t>Commissioner of Police may apply for prohibition orders</w:t>
      </w:r>
      <w:bookmarkEnd w:id="499"/>
    </w:p>
    <w:p>
      <w:pPr>
        <w:pStyle w:val="Subsection"/>
        <w:spacing w:before="180"/>
      </w:pPr>
      <w:r>
        <w:tab/>
        <w:t>(1)</w:t>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Subsection"/>
      </w:pPr>
      <w:r>
        <w:tab/>
        <w:t>(2)</w:t>
      </w:r>
      <w:r>
        <w:tab/>
        <w:t>The Commissioner of Police must serve a copy of the application on the relevant person.</w:t>
      </w:r>
    </w:p>
    <w:p>
      <w:pPr>
        <w:pStyle w:val="Footnotesection"/>
      </w:pPr>
      <w:r>
        <w:tab/>
        <w:t>[Section 152B inserted by No. 73 of 2006 s. 97; amended by No. 9 of 2018 s. 61.]</w:t>
      </w:r>
    </w:p>
    <w:p>
      <w:pPr>
        <w:pStyle w:val="Heading5"/>
        <w:keepNext w:val="0"/>
        <w:keepLines w:val="0"/>
        <w:pageBreakBefore/>
        <w:spacing w:before="0"/>
      </w:pPr>
      <w:bookmarkStart w:id="500" w:name="_Toc522197439"/>
      <w:r>
        <w:rPr>
          <w:rStyle w:val="CharSectno"/>
        </w:rPr>
        <w:t>152C</w:t>
      </w:r>
      <w:r>
        <w:t>.</w:t>
      </w:r>
      <w:r>
        <w:tab/>
        <w:t>Evidence in support of s. 152B application</w:t>
      </w:r>
      <w:bookmarkEnd w:id="500"/>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501" w:name="_Toc522197440"/>
      <w:r>
        <w:rPr>
          <w:rStyle w:val="CharSectno"/>
        </w:rPr>
        <w:t>152D</w:t>
      </w:r>
      <w:r>
        <w:t>.</w:t>
      </w:r>
      <w:r>
        <w:tab/>
        <w:t>Notice of s. 152B application etc. to be given to relevant person</w:t>
      </w:r>
      <w:bookmarkEnd w:id="501"/>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502" w:name="_Toc522197441"/>
      <w:r>
        <w:rPr>
          <w:rStyle w:val="CharSectno"/>
        </w:rPr>
        <w:t>152E</w:t>
      </w:r>
      <w:r>
        <w:t>.</w:t>
      </w:r>
      <w:r>
        <w:tab/>
        <w:t>Director may make prohibition orders</w:t>
      </w:r>
      <w:bookmarkEnd w:id="502"/>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spacing w:before="180"/>
      </w:pPr>
      <w:bookmarkStart w:id="503" w:name="_Toc522197442"/>
      <w:r>
        <w:rPr>
          <w:rStyle w:val="CharSectno"/>
        </w:rPr>
        <w:t>152F</w:t>
      </w:r>
      <w:r>
        <w:t>.</w:t>
      </w:r>
      <w:r>
        <w:tab/>
        <w:t>Term of prohibition orders</w:t>
      </w:r>
      <w:bookmarkEnd w:id="503"/>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504" w:name="_Toc522197443"/>
      <w:r>
        <w:rPr>
          <w:rStyle w:val="CharSectno"/>
        </w:rPr>
        <w:t>152G</w:t>
      </w:r>
      <w:r>
        <w:t>.</w:t>
      </w:r>
      <w:r>
        <w:tab/>
        <w:t>Applications to vary or revoke prohibition orders</w:t>
      </w:r>
      <w:bookmarkEnd w:id="504"/>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505" w:name="_Toc522197444"/>
      <w:r>
        <w:rPr>
          <w:rStyle w:val="CharSectno"/>
        </w:rPr>
        <w:t>152H</w:t>
      </w:r>
      <w:r>
        <w:t>.</w:t>
      </w:r>
      <w:r>
        <w:tab/>
        <w:t>Evidence in support of s. 152G application</w:t>
      </w:r>
      <w:bookmarkEnd w:id="505"/>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506" w:name="_Toc522197445"/>
      <w:r>
        <w:rPr>
          <w:rStyle w:val="CharSectno"/>
        </w:rPr>
        <w:t>152I</w:t>
      </w:r>
      <w:r>
        <w:t>.</w:t>
      </w:r>
      <w:r>
        <w:tab/>
        <w:t>Notice of s. 152G application etc. to be given to respondent</w:t>
      </w:r>
      <w:bookmarkEnd w:id="506"/>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507" w:name="_Toc522197446"/>
      <w:r>
        <w:rPr>
          <w:rStyle w:val="CharSectno"/>
        </w:rPr>
        <w:t>152J</w:t>
      </w:r>
      <w:r>
        <w:t>.</w:t>
      </w:r>
      <w:r>
        <w:tab/>
        <w:t>Director may vary or revoke prohibition orders</w:t>
      </w:r>
      <w:bookmarkEnd w:id="507"/>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508" w:name="_Toc522197447"/>
      <w:r>
        <w:rPr>
          <w:rStyle w:val="CharSectno"/>
        </w:rPr>
        <w:t>152K</w:t>
      </w:r>
      <w:r>
        <w:t>.</w:t>
      </w:r>
      <w:r>
        <w:tab/>
        <w:t>Service and publication of prohibition orders</w:t>
      </w:r>
      <w:bookmarkEnd w:id="508"/>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509" w:name="_Toc522197448"/>
      <w:r>
        <w:rPr>
          <w:rStyle w:val="CharSectno"/>
        </w:rPr>
        <w:t>152L</w:t>
      </w:r>
      <w:r>
        <w:t>.</w:t>
      </w:r>
      <w:r>
        <w:tab/>
        <w:t>Failing to comply with prohibition orders</w:t>
      </w:r>
      <w:bookmarkEnd w:id="509"/>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510" w:name="_Toc522197449"/>
      <w:r>
        <w:rPr>
          <w:rStyle w:val="CharSectno"/>
        </w:rPr>
        <w:t>152M</w:t>
      </w:r>
      <w:r>
        <w:t>.</w:t>
      </w:r>
      <w:r>
        <w:tab/>
        <w:t>Permitting entry to premises contrary to prohibition order</w:t>
      </w:r>
      <w:bookmarkEnd w:id="510"/>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511" w:name="_Toc522197450"/>
      <w:r>
        <w:rPr>
          <w:rStyle w:val="CharSectno"/>
        </w:rPr>
        <w:t>152NA</w:t>
      </w:r>
      <w:r>
        <w:t>.</w:t>
      </w:r>
      <w:r>
        <w:tab/>
        <w:t xml:space="preserve">Relationship with </w:t>
      </w:r>
      <w:r>
        <w:rPr>
          <w:i/>
        </w:rPr>
        <w:t>Criminal Organisations Control Act 2012</w:t>
      </w:r>
      <w:bookmarkEnd w:id="511"/>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512" w:name="_Toc471906926"/>
      <w:bookmarkStart w:id="513" w:name="_Toc472001843"/>
      <w:bookmarkStart w:id="514" w:name="_Toc472676871"/>
      <w:bookmarkStart w:id="515" w:name="_Toc472682256"/>
      <w:bookmarkStart w:id="516" w:name="_Toc473119397"/>
      <w:bookmarkStart w:id="517" w:name="_Toc522197451"/>
      <w:r>
        <w:rPr>
          <w:rStyle w:val="CharPartNo"/>
        </w:rPr>
        <w:t>Part 5B</w:t>
      </w:r>
      <w:r>
        <w:rPr>
          <w:rStyle w:val="CharDivNo"/>
        </w:rPr>
        <w:t> </w:t>
      </w:r>
      <w:r>
        <w:t>—</w:t>
      </w:r>
      <w:r>
        <w:rPr>
          <w:rStyle w:val="CharDivText"/>
        </w:rPr>
        <w:t> </w:t>
      </w:r>
      <w:r>
        <w:rPr>
          <w:rStyle w:val="CharPartText"/>
        </w:rPr>
        <w:t>Liquor restricted premises</w:t>
      </w:r>
      <w:bookmarkEnd w:id="512"/>
      <w:bookmarkEnd w:id="513"/>
      <w:bookmarkEnd w:id="514"/>
      <w:bookmarkEnd w:id="515"/>
      <w:bookmarkEnd w:id="516"/>
      <w:bookmarkEnd w:id="517"/>
    </w:p>
    <w:p>
      <w:pPr>
        <w:pStyle w:val="Footnoteheading"/>
      </w:pPr>
      <w:r>
        <w:tab/>
        <w:t>[Heading inserted by No. 56 of 2010 s. 26.]</w:t>
      </w:r>
    </w:p>
    <w:p>
      <w:pPr>
        <w:pStyle w:val="Heading5"/>
      </w:pPr>
      <w:bookmarkStart w:id="518" w:name="_Toc522197452"/>
      <w:r>
        <w:rPr>
          <w:rStyle w:val="CharSectno"/>
        </w:rPr>
        <w:t>152N</w:t>
      </w:r>
      <w:r>
        <w:t>.</w:t>
      </w:r>
      <w:r>
        <w:tab/>
        <w:t>Terms used</w:t>
      </w:r>
      <w:bookmarkEnd w:id="518"/>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519" w:name="_Toc522197453"/>
      <w:r>
        <w:rPr>
          <w:rStyle w:val="CharSectno"/>
        </w:rPr>
        <w:t>152O</w:t>
      </w:r>
      <w:r>
        <w:t>.</w:t>
      </w:r>
      <w:r>
        <w:tab/>
        <w:t>Liquor on liquor restricted premises, offences as to</w:t>
      </w:r>
      <w:bookmarkEnd w:id="519"/>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520" w:name="_Toc522197454"/>
      <w:r>
        <w:rPr>
          <w:rStyle w:val="CharSectno"/>
        </w:rPr>
        <w:t>152P</w:t>
      </w:r>
      <w:r>
        <w:t>.</w:t>
      </w:r>
      <w:r>
        <w:tab/>
        <w:t>Declaration of liquor restricted premises</w:t>
      </w:r>
      <w:bookmarkEnd w:id="520"/>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240"/>
      </w:pPr>
      <w:bookmarkStart w:id="521" w:name="_Toc522197455"/>
      <w:r>
        <w:rPr>
          <w:rStyle w:val="CharSectno"/>
        </w:rPr>
        <w:t>152Q</w:t>
      </w:r>
      <w:r>
        <w:t>.</w:t>
      </w:r>
      <w:r>
        <w:tab/>
        <w:t>Liquor restriction declarations, power to make</w:t>
      </w:r>
      <w:bookmarkEnd w:id="521"/>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522" w:name="_Toc522197456"/>
      <w:r>
        <w:rPr>
          <w:rStyle w:val="CharSectno"/>
        </w:rPr>
        <w:t>152R</w:t>
      </w:r>
      <w:r>
        <w:t>.</w:t>
      </w:r>
      <w:r>
        <w:tab/>
        <w:t>Service etc. of liquor restriction declarations</w:t>
      </w:r>
      <w:bookmarkEnd w:id="522"/>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523" w:name="_Toc522197457"/>
      <w:r>
        <w:rPr>
          <w:rStyle w:val="CharSectno"/>
        </w:rPr>
        <w:t>152S</w:t>
      </w:r>
      <w:r>
        <w:t>.</w:t>
      </w:r>
      <w:r>
        <w:tab/>
        <w:t>Notice of liquor restriction declaration to be displayed at premises</w:t>
      </w:r>
      <w:bookmarkEnd w:id="523"/>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spacing w:before="180"/>
      </w:pPr>
      <w:bookmarkStart w:id="524" w:name="_Toc522197458"/>
      <w:r>
        <w:rPr>
          <w:rStyle w:val="CharSectno"/>
        </w:rPr>
        <w:t>152T</w:t>
      </w:r>
      <w:r>
        <w:t>.</w:t>
      </w:r>
      <w:r>
        <w:tab/>
        <w:t>Duration of liquor restriction declarations</w:t>
      </w:r>
      <w:bookmarkEnd w:id="524"/>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525" w:name="_Toc522197459"/>
      <w:r>
        <w:rPr>
          <w:rStyle w:val="CharSectno"/>
        </w:rPr>
        <w:t>152U</w:t>
      </w:r>
      <w:r>
        <w:t>.</w:t>
      </w:r>
      <w:r>
        <w:tab/>
        <w:t>Varying liquor restriction declarations</w:t>
      </w:r>
      <w:bookmarkEnd w:id="525"/>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526" w:name="_Toc522197460"/>
      <w:r>
        <w:rPr>
          <w:rStyle w:val="CharSectno"/>
        </w:rPr>
        <w:t>152V</w:t>
      </w:r>
      <w:r>
        <w:t>.</w:t>
      </w:r>
      <w:r>
        <w:tab/>
        <w:t>Revoking liquor restriction declarations</w:t>
      </w:r>
      <w:bookmarkEnd w:id="526"/>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527" w:name="_Toc522197461"/>
      <w:r>
        <w:rPr>
          <w:rStyle w:val="CharSectno"/>
        </w:rPr>
        <w:t>152W</w:t>
      </w:r>
      <w:r>
        <w:t>.</w:t>
      </w:r>
      <w:r>
        <w:tab/>
        <w:t>Applications generally</w:t>
      </w:r>
      <w:bookmarkEnd w:id="527"/>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528" w:name="_Toc522197462"/>
      <w:r>
        <w:rPr>
          <w:rStyle w:val="CharSectno"/>
        </w:rPr>
        <w:t>152X</w:t>
      </w:r>
      <w:r>
        <w:t>.</w:t>
      </w:r>
      <w:r>
        <w:tab/>
        <w:t>Decisions under Part 5B not subject to review under s. 25</w:t>
      </w:r>
      <w:bookmarkEnd w:id="528"/>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529" w:name="_Toc471906938"/>
      <w:bookmarkStart w:id="530" w:name="_Toc472001855"/>
      <w:bookmarkStart w:id="531" w:name="_Toc472676883"/>
      <w:bookmarkStart w:id="532" w:name="_Toc472682268"/>
      <w:bookmarkStart w:id="533" w:name="_Toc473119409"/>
      <w:bookmarkStart w:id="534" w:name="_Toc522197463"/>
      <w:r>
        <w:rPr>
          <w:rStyle w:val="CharPartNo"/>
        </w:rPr>
        <w:t>Part 6</w:t>
      </w:r>
      <w:r>
        <w:rPr>
          <w:rStyle w:val="CharDivNo"/>
        </w:rPr>
        <w:t> </w:t>
      </w:r>
      <w:r>
        <w:t>—</w:t>
      </w:r>
      <w:r>
        <w:rPr>
          <w:rStyle w:val="CharDivText"/>
        </w:rPr>
        <w:t> </w:t>
      </w:r>
      <w:r>
        <w:rPr>
          <w:rStyle w:val="CharPartText"/>
        </w:rPr>
        <w:t>Enforcement</w:t>
      </w:r>
      <w:bookmarkEnd w:id="529"/>
      <w:bookmarkEnd w:id="530"/>
      <w:bookmarkEnd w:id="531"/>
      <w:bookmarkEnd w:id="532"/>
      <w:bookmarkEnd w:id="533"/>
      <w:bookmarkEnd w:id="534"/>
      <w:r>
        <w:rPr>
          <w:rStyle w:val="CharPartText"/>
        </w:rPr>
        <w:t xml:space="preserve"> </w:t>
      </w:r>
    </w:p>
    <w:p>
      <w:pPr>
        <w:pStyle w:val="Heading5"/>
        <w:rPr>
          <w:snapToGrid w:val="0"/>
        </w:rPr>
      </w:pPr>
      <w:bookmarkStart w:id="535" w:name="_Toc522197464"/>
      <w:r>
        <w:rPr>
          <w:rStyle w:val="CharSectno"/>
        </w:rPr>
        <w:t>153</w:t>
      </w:r>
      <w:r>
        <w:rPr>
          <w:snapToGrid w:val="0"/>
        </w:rPr>
        <w:t>.</w:t>
      </w:r>
      <w:r>
        <w:rPr>
          <w:snapToGrid w:val="0"/>
        </w:rPr>
        <w:tab/>
        <w:t>Authorised officers etc., functions and reports of</w:t>
      </w:r>
      <w:bookmarkEnd w:id="535"/>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536" w:name="_Toc522197465"/>
      <w:r>
        <w:rPr>
          <w:rStyle w:val="CharSectno"/>
        </w:rPr>
        <w:t>154</w:t>
      </w:r>
      <w:r>
        <w:rPr>
          <w:snapToGrid w:val="0"/>
        </w:rPr>
        <w:t>.</w:t>
      </w:r>
      <w:r>
        <w:rPr>
          <w:snapToGrid w:val="0"/>
        </w:rPr>
        <w:tab/>
        <w:t>Authorised officers, powers of entry etc., offences as to</w:t>
      </w:r>
      <w:bookmarkEnd w:id="536"/>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537" w:name="_Toc522197466"/>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537"/>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538" w:name="_Toc522197467"/>
      <w:r>
        <w:rPr>
          <w:rStyle w:val="CharSectno"/>
        </w:rPr>
        <w:t>156</w:t>
      </w:r>
      <w:r>
        <w:rPr>
          <w:snapToGrid w:val="0"/>
        </w:rPr>
        <w:t>.</w:t>
      </w:r>
      <w:r>
        <w:rPr>
          <w:snapToGrid w:val="0"/>
        </w:rPr>
        <w:tab/>
        <w:t>Local governments, functions of</w:t>
      </w:r>
      <w:bookmarkEnd w:id="538"/>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539" w:name="_Toc522197468"/>
      <w:r>
        <w:rPr>
          <w:rStyle w:val="CharSectno"/>
        </w:rPr>
        <w:t>157</w:t>
      </w:r>
      <w:r>
        <w:rPr>
          <w:snapToGrid w:val="0"/>
        </w:rPr>
        <w:t>.</w:t>
      </w:r>
      <w:r>
        <w:rPr>
          <w:snapToGrid w:val="0"/>
        </w:rPr>
        <w:tab/>
        <w:t>Evasion of fees due etc., offence</w:t>
      </w:r>
      <w:bookmarkEnd w:id="539"/>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540" w:name="_Toc522197469"/>
      <w:r>
        <w:rPr>
          <w:rStyle w:val="CharSectno"/>
        </w:rPr>
        <w:t>158</w:t>
      </w:r>
      <w:r>
        <w:rPr>
          <w:snapToGrid w:val="0"/>
        </w:rPr>
        <w:t>.</w:t>
      </w:r>
      <w:r>
        <w:rPr>
          <w:snapToGrid w:val="0"/>
        </w:rPr>
        <w:tab/>
        <w:t>Failing to comply with licensing authority’s requirements etc., offence</w:t>
      </w:r>
      <w:bookmarkEnd w:id="54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541" w:name="_Toc522197470"/>
      <w:r>
        <w:rPr>
          <w:rStyle w:val="CharSectno"/>
        </w:rPr>
        <w:t>159</w:t>
      </w:r>
      <w:r>
        <w:rPr>
          <w:snapToGrid w:val="0"/>
        </w:rPr>
        <w:t>.</w:t>
      </w:r>
      <w:r>
        <w:rPr>
          <w:snapToGrid w:val="0"/>
        </w:rPr>
        <w:tab/>
        <w:t>False or misleading statements and records, offence</w:t>
      </w:r>
      <w:bookmarkEnd w:id="541"/>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542" w:name="_Toc522197471"/>
      <w:r>
        <w:rPr>
          <w:rStyle w:val="CharSectno"/>
        </w:rPr>
        <w:t>160</w:t>
      </w:r>
      <w:r>
        <w:rPr>
          <w:snapToGrid w:val="0"/>
        </w:rPr>
        <w:t>.</w:t>
      </w:r>
      <w:r>
        <w:rPr>
          <w:snapToGrid w:val="0"/>
        </w:rPr>
        <w:tab/>
        <w:t>Information about offences, power to obtain</w:t>
      </w:r>
      <w:bookmarkEnd w:id="542"/>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543" w:name="_Toc522197472"/>
      <w:r>
        <w:rPr>
          <w:rStyle w:val="CharSectno"/>
        </w:rPr>
        <w:t>161</w:t>
      </w:r>
      <w:r>
        <w:rPr>
          <w:snapToGrid w:val="0"/>
        </w:rPr>
        <w:t>.</w:t>
      </w:r>
      <w:r>
        <w:rPr>
          <w:snapToGrid w:val="0"/>
        </w:rPr>
        <w:tab/>
        <w:t>Search warrants, issue and execution of</w:t>
      </w:r>
      <w:bookmarkEnd w:id="543"/>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544" w:name="_Toc522197473"/>
      <w:r>
        <w:rPr>
          <w:rStyle w:val="CharSectno"/>
        </w:rPr>
        <w:t>162</w:t>
      </w:r>
      <w:r>
        <w:rPr>
          <w:snapToGrid w:val="0"/>
        </w:rPr>
        <w:t>.</w:t>
      </w:r>
      <w:r>
        <w:rPr>
          <w:snapToGrid w:val="0"/>
        </w:rPr>
        <w:tab/>
        <w:t>Separate offences and continuing offences</w:t>
      </w:r>
      <w:bookmarkEnd w:id="544"/>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545" w:name="_Toc522197474"/>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545"/>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546" w:name="_Toc522197475"/>
      <w:r>
        <w:rPr>
          <w:rStyle w:val="CharSectno"/>
        </w:rPr>
        <w:t>164</w:t>
      </w:r>
      <w:r>
        <w:rPr>
          <w:snapToGrid w:val="0"/>
        </w:rPr>
        <w:t>.</w:t>
      </w:r>
      <w:r>
        <w:rPr>
          <w:snapToGrid w:val="0"/>
        </w:rPr>
        <w:tab/>
        <w:t>Bodies corporate and partnerships, offences by</w:t>
      </w:r>
      <w:bookmarkEnd w:id="546"/>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547" w:name="_Toc522197476"/>
      <w:r>
        <w:rPr>
          <w:rStyle w:val="CharSectno"/>
        </w:rPr>
        <w:t>165</w:t>
      </w:r>
      <w:r>
        <w:rPr>
          <w:snapToGrid w:val="0"/>
        </w:rPr>
        <w:t>.</w:t>
      </w:r>
      <w:r>
        <w:rPr>
          <w:snapToGrid w:val="0"/>
        </w:rPr>
        <w:tab/>
        <w:t>Licensee liable for act of employee etc.</w:t>
      </w:r>
      <w:bookmarkEnd w:id="547"/>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548" w:name="_Toc522197477"/>
      <w:r>
        <w:rPr>
          <w:rStyle w:val="CharSectno"/>
        </w:rPr>
        <w:t>166</w:t>
      </w:r>
      <w:r>
        <w:rPr>
          <w:snapToGrid w:val="0"/>
        </w:rPr>
        <w:t>.</w:t>
      </w:r>
      <w:r>
        <w:rPr>
          <w:snapToGrid w:val="0"/>
        </w:rPr>
        <w:tab/>
        <w:t>General penalty</w:t>
      </w:r>
      <w:bookmarkEnd w:id="548"/>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549" w:name="_Toc522197478"/>
      <w:r>
        <w:rPr>
          <w:rStyle w:val="CharSectno"/>
        </w:rPr>
        <w:t>167</w:t>
      </w:r>
      <w:r>
        <w:rPr>
          <w:snapToGrid w:val="0"/>
        </w:rPr>
        <w:t>.</w:t>
      </w:r>
      <w:r>
        <w:rPr>
          <w:snapToGrid w:val="0"/>
        </w:rPr>
        <w:tab/>
        <w:t>Infringement notices</w:t>
      </w:r>
      <w:bookmarkEnd w:id="54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550" w:name="_Toc522197479"/>
      <w:r>
        <w:rPr>
          <w:rStyle w:val="CharSectno"/>
        </w:rPr>
        <w:t>168</w:t>
      </w:r>
      <w:r>
        <w:rPr>
          <w:snapToGrid w:val="0"/>
        </w:rPr>
        <w:t>.</w:t>
      </w:r>
      <w:r>
        <w:rPr>
          <w:snapToGrid w:val="0"/>
        </w:rPr>
        <w:tab/>
        <w:t>Prosecutions, institution of</w:t>
      </w:r>
      <w:bookmarkEnd w:id="550"/>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551" w:name="_Toc522197480"/>
      <w:r>
        <w:rPr>
          <w:rStyle w:val="CharSectno"/>
        </w:rPr>
        <w:t>169</w:t>
      </w:r>
      <w:r>
        <w:rPr>
          <w:snapToGrid w:val="0"/>
        </w:rPr>
        <w:t>.</w:t>
      </w:r>
      <w:r>
        <w:rPr>
          <w:snapToGrid w:val="0"/>
        </w:rPr>
        <w:tab/>
        <w:t>Prosecutions, hearing of and limitation periods for</w:t>
      </w:r>
      <w:bookmarkEnd w:id="551"/>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552" w:name="_Toc522197481"/>
      <w:r>
        <w:rPr>
          <w:rStyle w:val="CharSectno"/>
        </w:rPr>
        <w:t>170</w:t>
      </w:r>
      <w:r>
        <w:rPr>
          <w:snapToGrid w:val="0"/>
        </w:rPr>
        <w:t>.</w:t>
      </w:r>
      <w:r>
        <w:rPr>
          <w:snapToGrid w:val="0"/>
        </w:rPr>
        <w:tab/>
        <w:t>Evidentiary provisions as to proof of certain facts</w:t>
      </w:r>
      <w:bookmarkEnd w:id="552"/>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 xml:space="preserve">where the offence alleged is a contravention of section 100(2)(c), </w:t>
      </w:r>
      <w:r>
        <w:t xml:space="preserve">a person is taken not to have been appointed </w:t>
      </w:r>
      <w:r>
        <w:rPr>
          <w:snapToGrid w:val="0"/>
        </w:rPr>
        <w:t>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No. 9 of 2018 s. 64.] </w:t>
      </w:r>
    </w:p>
    <w:p>
      <w:pPr>
        <w:pStyle w:val="Heading5"/>
        <w:rPr>
          <w:snapToGrid w:val="0"/>
        </w:rPr>
      </w:pPr>
      <w:bookmarkStart w:id="553" w:name="_Toc522197482"/>
      <w:r>
        <w:rPr>
          <w:rStyle w:val="CharSectno"/>
        </w:rPr>
        <w:t>171</w:t>
      </w:r>
      <w:r>
        <w:rPr>
          <w:snapToGrid w:val="0"/>
        </w:rPr>
        <w:t>.</w:t>
      </w:r>
      <w:r>
        <w:rPr>
          <w:snapToGrid w:val="0"/>
        </w:rPr>
        <w:tab/>
        <w:t>Accomplices, who are not, evidence of</w:t>
      </w:r>
      <w:bookmarkEnd w:id="553"/>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554" w:name="_Toc522197483"/>
      <w:r>
        <w:rPr>
          <w:rStyle w:val="CharSectno"/>
        </w:rPr>
        <w:t>172</w:t>
      </w:r>
      <w:r>
        <w:rPr>
          <w:snapToGrid w:val="0"/>
        </w:rPr>
        <w:t>.</w:t>
      </w:r>
      <w:r>
        <w:rPr>
          <w:snapToGrid w:val="0"/>
        </w:rPr>
        <w:tab/>
        <w:t>Averments in charges, proof of certain documents and facts</w:t>
      </w:r>
      <w:bookmarkEnd w:id="554"/>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555" w:name="_Toc522197484"/>
      <w:r>
        <w:rPr>
          <w:rStyle w:val="CharSectno"/>
        </w:rPr>
        <w:t>172A</w:t>
      </w:r>
      <w:r>
        <w:t>.</w:t>
      </w:r>
      <w:r>
        <w:tab/>
        <w:t>Forfeiture of liquor etc. on conviction or payment of modified penalty</w:t>
      </w:r>
      <w:bookmarkEnd w:id="555"/>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556" w:name="_Toc471906960"/>
      <w:bookmarkStart w:id="557" w:name="_Toc472001877"/>
      <w:bookmarkStart w:id="558" w:name="_Toc472676905"/>
      <w:bookmarkStart w:id="559" w:name="_Toc472682290"/>
      <w:bookmarkStart w:id="560" w:name="_Toc473119431"/>
      <w:bookmarkStart w:id="561" w:name="_Toc522197485"/>
      <w:r>
        <w:rPr>
          <w:rStyle w:val="CharPartNo"/>
        </w:rPr>
        <w:t>Part 7</w:t>
      </w:r>
      <w:r>
        <w:rPr>
          <w:rStyle w:val="CharDivNo"/>
        </w:rPr>
        <w:t> </w:t>
      </w:r>
      <w:r>
        <w:t>—</w:t>
      </w:r>
      <w:r>
        <w:rPr>
          <w:rStyle w:val="CharDivText"/>
        </w:rPr>
        <w:t> </w:t>
      </w:r>
      <w:r>
        <w:rPr>
          <w:rStyle w:val="CharPartText"/>
        </w:rPr>
        <w:t>General</w:t>
      </w:r>
      <w:bookmarkEnd w:id="556"/>
      <w:bookmarkEnd w:id="557"/>
      <w:bookmarkEnd w:id="558"/>
      <w:bookmarkEnd w:id="559"/>
      <w:bookmarkEnd w:id="560"/>
      <w:bookmarkEnd w:id="561"/>
      <w:r>
        <w:rPr>
          <w:rStyle w:val="CharPartText"/>
        </w:rPr>
        <w:t xml:space="preserve"> </w:t>
      </w:r>
    </w:p>
    <w:p>
      <w:pPr>
        <w:pStyle w:val="Heading5"/>
        <w:rPr>
          <w:snapToGrid w:val="0"/>
        </w:rPr>
      </w:pPr>
      <w:bookmarkStart w:id="562" w:name="_Toc522197486"/>
      <w:r>
        <w:rPr>
          <w:rStyle w:val="CharSectno"/>
        </w:rPr>
        <w:t>173</w:t>
      </w:r>
      <w:r>
        <w:rPr>
          <w:snapToGrid w:val="0"/>
        </w:rPr>
        <w:t>.</w:t>
      </w:r>
      <w:r>
        <w:rPr>
          <w:snapToGrid w:val="0"/>
        </w:rPr>
        <w:tab/>
        <w:t>Pending review etc. not to affect liability</w:t>
      </w:r>
      <w:bookmarkEnd w:id="562"/>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563" w:name="_Toc522197487"/>
      <w:r>
        <w:rPr>
          <w:rStyle w:val="CharSectno"/>
        </w:rPr>
        <w:t>174</w:t>
      </w:r>
      <w:r>
        <w:rPr>
          <w:snapToGrid w:val="0"/>
        </w:rPr>
        <w:t>.</w:t>
      </w:r>
      <w:r>
        <w:rPr>
          <w:snapToGrid w:val="0"/>
        </w:rPr>
        <w:tab/>
        <w:t>Service of documents</w:t>
      </w:r>
      <w:bookmarkEnd w:id="563"/>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564" w:name="_Toc522197488"/>
      <w:r>
        <w:rPr>
          <w:rStyle w:val="CharSectno"/>
        </w:rPr>
        <w:t>174A</w:t>
      </w:r>
      <w:r>
        <w:t>.</w:t>
      </w:r>
      <w:r>
        <w:tab/>
      </w:r>
      <w:r>
        <w:rPr>
          <w:i/>
          <w:iCs/>
        </w:rPr>
        <w:t>Criminal and Found Property Disposal Act 2006</w:t>
      </w:r>
      <w:r>
        <w:rPr>
          <w:iCs/>
        </w:rPr>
        <w:t xml:space="preserve">, </w:t>
      </w:r>
      <w:r>
        <w:t>application of</w:t>
      </w:r>
      <w:bookmarkEnd w:id="564"/>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is a prescribed agency.</w:t>
      </w:r>
    </w:p>
    <w:p>
      <w:pPr>
        <w:pStyle w:val="Footnotesection"/>
      </w:pPr>
      <w:r>
        <w:tab/>
        <w:t>[Section 174A inserted by No. 59 of 2006 s. 57; amended by No. 56 of 2010 s. 68; No. 9 of 2018 s. 65.]</w:t>
      </w:r>
    </w:p>
    <w:p>
      <w:pPr>
        <w:pStyle w:val="Heading5"/>
      </w:pPr>
      <w:bookmarkStart w:id="565" w:name="_Toc522197489"/>
      <w:r>
        <w:rPr>
          <w:rStyle w:val="CharSectno"/>
        </w:rPr>
        <w:t>174B</w:t>
      </w:r>
      <w:r>
        <w:t>.</w:t>
      </w:r>
      <w:r>
        <w:tab/>
        <w:t xml:space="preserve">Liquor accords: authorisation for purposes of </w:t>
      </w:r>
      <w:r>
        <w:rPr>
          <w:i/>
        </w:rPr>
        <w:t>Competition and Consumer Act 2010</w:t>
      </w:r>
      <w:r>
        <w:t xml:space="preserve"> and Competition Code</w:t>
      </w:r>
      <w:bookmarkEnd w:id="565"/>
    </w:p>
    <w:p>
      <w:pPr>
        <w:pStyle w:val="Subsection"/>
      </w:pPr>
      <w:r>
        <w:tab/>
        <w:t>(1)</w:t>
      </w:r>
      <w:r>
        <w:tab/>
        <w:t xml:space="preserve">In this section — </w:t>
      </w:r>
    </w:p>
    <w:p>
      <w:pPr>
        <w:pStyle w:val="Defstart"/>
      </w:pPr>
      <w:r>
        <w:tab/>
      </w:r>
      <w:r>
        <w:rPr>
          <w:rStyle w:val="CharDefText"/>
        </w:rPr>
        <w:t>liquor accord</w:t>
      </w:r>
      <w:r>
        <w:t xml:space="preserve"> has the meaning given in section 64(1b).</w:t>
      </w:r>
    </w:p>
    <w:p>
      <w:pPr>
        <w:pStyle w:val="Subsection"/>
      </w:pPr>
      <w:r>
        <w:tab/>
        <w:t>(2)</w:t>
      </w:r>
      <w:r>
        <w:tab/>
        <w:t xml:space="preserve">For the purposes of the </w:t>
      </w:r>
      <w:r>
        <w:rPr>
          <w:i/>
        </w:rPr>
        <w:t>Competition and Consumer Act 2010</w:t>
      </w:r>
      <w:r>
        <w:t xml:space="preserve"> (Commonwealth) and the Competition Code, the following conduct is authorised by this Act, to the extent that it would otherwise contravene that Act or that Code — </w:t>
      </w:r>
    </w:p>
    <w:p>
      <w:pPr>
        <w:pStyle w:val="Indenta"/>
      </w:pPr>
      <w:r>
        <w:tab/>
        <w:t>(a)</w:t>
      </w:r>
      <w:r>
        <w:tab/>
        <w:t>the entry by any person into a liquor accord;</w:t>
      </w:r>
    </w:p>
    <w:p>
      <w:pPr>
        <w:pStyle w:val="Indenta"/>
      </w:pPr>
      <w:r>
        <w:tab/>
        <w:t>(b)</w:t>
      </w:r>
      <w:r>
        <w:tab/>
        <w:t>conduct engaged in by any person for the purpose of promoting or giving effect to the terms of a liquor accord.</w:t>
      </w:r>
    </w:p>
    <w:p>
      <w:pPr>
        <w:pStyle w:val="Footnotesection"/>
      </w:pPr>
      <w:r>
        <w:tab/>
        <w:t>[Section 174B inserted by No. 9 of 2018 s. 66.]</w:t>
      </w:r>
    </w:p>
    <w:p>
      <w:pPr>
        <w:pStyle w:val="Heading5"/>
        <w:spacing w:before="180"/>
        <w:rPr>
          <w:snapToGrid w:val="0"/>
        </w:rPr>
      </w:pPr>
      <w:bookmarkStart w:id="566" w:name="_Toc522197490"/>
      <w:r>
        <w:rPr>
          <w:rStyle w:val="CharSectno"/>
        </w:rPr>
        <w:t>175</w:t>
      </w:r>
      <w:r>
        <w:rPr>
          <w:snapToGrid w:val="0"/>
        </w:rPr>
        <w:t>.</w:t>
      </w:r>
      <w:r>
        <w:rPr>
          <w:snapToGrid w:val="0"/>
        </w:rPr>
        <w:tab/>
        <w:t>Regulations</w:t>
      </w:r>
      <w:bookmarkEnd w:id="566"/>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pPr>
      <w:r>
        <w:tab/>
        <w:t>(d)</w:t>
      </w:r>
      <w:r>
        <w:tab/>
        <w:t>advertising, websites maintained by licensees, and the content of notices; and</w:t>
      </w:r>
    </w:p>
    <w:p>
      <w:pPr>
        <w:pStyle w:val="Indenta"/>
      </w:pPr>
      <w:r>
        <w:tab/>
        <w:t>(e)</w:t>
      </w:r>
      <w:r>
        <w:tab/>
        <w:t>the endorsement, production and display of licences;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No. 9 of 2018 s. 67.] </w:t>
      </w:r>
    </w:p>
    <w:p>
      <w:pPr>
        <w:pStyle w:val="Ednotesection"/>
      </w:pPr>
      <w:r>
        <w:t>[</w:t>
      </w:r>
      <w:r>
        <w:rPr>
          <w:b/>
          <w:bCs/>
        </w:rPr>
        <w:t>176.</w:t>
      </w:r>
      <w:r>
        <w:tab/>
        <w:t>Omitted under the Reprints Act 1984 s. 7(4)(f).]</w:t>
      </w:r>
    </w:p>
    <w:p>
      <w:pPr>
        <w:pStyle w:val="Heading5"/>
        <w:rPr>
          <w:snapToGrid w:val="0"/>
        </w:rPr>
      </w:pPr>
      <w:bookmarkStart w:id="567" w:name="_Toc522197491"/>
      <w:r>
        <w:rPr>
          <w:rStyle w:val="CharSectno"/>
        </w:rPr>
        <w:t>177</w:t>
      </w:r>
      <w:r>
        <w:rPr>
          <w:snapToGrid w:val="0"/>
        </w:rPr>
        <w:t>.</w:t>
      </w:r>
      <w:r>
        <w:rPr>
          <w:snapToGrid w:val="0"/>
        </w:rPr>
        <w:tab/>
        <w:t>Transitional provisions (Sch. 1)</w:t>
      </w:r>
      <w:bookmarkEnd w:id="567"/>
    </w:p>
    <w:p>
      <w:pPr>
        <w:pStyle w:val="Subsection"/>
        <w:rPr>
          <w:snapToGrid w:val="0"/>
        </w:rPr>
      </w:pPr>
      <w:r>
        <w:rPr>
          <w:snapToGrid w:val="0"/>
        </w:rPr>
        <w:tab/>
      </w:r>
      <w:r>
        <w:rPr>
          <w:snapToGrid w:val="0"/>
        </w:rPr>
        <w:tab/>
        <w:t>Schedule 1, which contains transitional provisions, has effect.</w:t>
      </w:r>
    </w:p>
    <w:p>
      <w:pPr>
        <w:pStyle w:val="Heading5"/>
      </w:pPr>
      <w:bookmarkStart w:id="568" w:name="_Toc522197492"/>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568"/>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569" w:name="_Toc522197493"/>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569"/>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pPr>
      <w:bookmarkStart w:id="570" w:name="_Toc522197494"/>
      <w:r>
        <w:rPr>
          <w:rStyle w:val="CharSectno"/>
        </w:rPr>
        <w:t>177C</w:t>
      </w:r>
      <w:r>
        <w:t>.</w:t>
      </w:r>
      <w:r>
        <w:tab/>
        <w:t xml:space="preserve">Transitional provisions for </w:t>
      </w:r>
      <w:r>
        <w:rPr>
          <w:i/>
        </w:rPr>
        <w:t>Liquor Control Amendment Act 2018</w:t>
      </w:r>
      <w:r>
        <w:t xml:space="preserve"> (Sch. 1C)</w:t>
      </w:r>
      <w:bookmarkEnd w:id="570"/>
    </w:p>
    <w:p>
      <w:pPr>
        <w:pStyle w:val="Subsection"/>
      </w:pPr>
      <w:r>
        <w:tab/>
      </w:r>
      <w:r>
        <w:tab/>
        <w:t xml:space="preserve">Schedule 1C sets out transitional provisions relating to amendments made to this Act by the </w:t>
      </w:r>
      <w:r>
        <w:rPr>
          <w:i/>
        </w:rPr>
        <w:t>Liquor Control Amendment Act 2018</w:t>
      </w:r>
      <w:r>
        <w:t>.</w:t>
      </w:r>
    </w:p>
    <w:p>
      <w:pPr>
        <w:pStyle w:val="Footnotesection"/>
      </w:pPr>
      <w:r>
        <w:tab/>
        <w:t xml:space="preserve">[Section 177C inserted by No. 9 of 2018 s. 68.] </w:t>
      </w:r>
    </w:p>
    <w:p>
      <w:pPr>
        <w:pStyle w:val="Heading5"/>
        <w:rPr>
          <w:snapToGrid w:val="0"/>
        </w:rPr>
      </w:pPr>
      <w:bookmarkStart w:id="571" w:name="_Toc522197495"/>
      <w:r>
        <w:rPr>
          <w:rStyle w:val="CharSectno"/>
        </w:rPr>
        <w:t>178</w:t>
      </w:r>
      <w:r>
        <w:rPr>
          <w:snapToGrid w:val="0"/>
        </w:rPr>
        <w:t>.</w:t>
      </w:r>
      <w:r>
        <w:rPr>
          <w:snapToGrid w:val="0"/>
        </w:rPr>
        <w:tab/>
        <w:t>Review of Act</w:t>
      </w:r>
      <w:bookmarkEnd w:id="57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w:t>
      </w:r>
      <w:r>
        <w:t xml:space="preserve">the </w:t>
      </w:r>
      <w:r>
        <w:rPr>
          <w:i/>
        </w:rPr>
        <w:t>Liquor Control Amendment Act 2018</w:t>
      </w:r>
      <w:r>
        <w:t xml:space="preserve"> section 68, </w:t>
      </w:r>
      <w:r>
        <w:rPr>
          <w:snapToGrid w:val="0"/>
        </w:rPr>
        <w:t>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by No. 12 of 1998 s. 95; No. 9 of 2018 s. 69.]</w:t>
      </w:r>
    </w:p>
    <w:p>
      <w:pPr>
        <w:pStyle w:val="Footnotesection"/>
      </w:pPr>
    </w:p>
    <w:p>
      <w:pPr>
        <w:pStyle w:val="Footnotesection"/>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573" w:name="_Toc471906969"/>
      <w:bookmarkStart w:id="574" w:name="_Toc472001886"/>
      <w:bookmarkStart w:id="575" w:name="_Toc472676914"/>
      <w:bookmarkStart w:id="576" w:name="_Toc472682299"/>
      <w:bookmarkStart w:id="577" w:name="_Toc473119440"/>
      <w:bookmarkStart w:id="578" w:name="_Toc522197496"/>
      <w:r>
        <w:rPr>
          <w:rStyle w:val="CharSchNo"/>
        </w:rPr>
        <w:t>Schedule 1</w:t>
      </w:r>
      <w:r>
        <w:rPr>
          <w:rStyle w:val="CharSDivNo"/>
        </w:rPr>
        <w:t> </w:t>
      </w:r>
      <w:r>
        <w:t>—</w:t>
      </w:r>
      <w:r>
        <w:rPr>
          <w:rStyle w:val="CharSDivText"/>
        </w:rPr>
        <w:t> </w:t>
      </w:r>
      <w:r>
        <w:rPr>
          <w:rStyle w:val="CharSchText"/>
        </w:rPr>
        <w:t>Transitional provisions</w:t>
      </w:r>
      <w:bookmarkEnd w:id="573"/>
      <w:bookmarkEnd w:id="574"/>
      <w:bookmarkEnd w:id="575"/>
      <w:bookmarkEnd w:id="576"/>
      <w:bookmarkEnd w:id="577"/>
      <w:bookmarkEnd w:id="578"/>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579" w:name="_Toc522197497"/>
      <w:r>
        <w:rPr>
          <w:rStyle w:val="CharSClsNo"/>
        </w:rPr>
        <w:t>1</w:t>
      </w:r>
      <w:r>
        <w:rPr>
          <w:snapToGrid w:val="0"/>
        </w:rPr>
        <w:t>.</w:t>
      </w:r>
      <w:r>
        <w:rPr>
          <w:snapToGrid w:val="0"/>
        </w:rPr>
        <w:tab/>
        <w:t>Terms used</w:t>
      </w:r>
      <w:bookmarkEnd w:id="579"/>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580" w:name="_Toc522197498"/>
      <w:r>
        <w:rPr>
          <w:rStyle w:val="CharSClsNo"/>
        </w:rPr>
        <w:t>2</w:t>
      </w:r>
      <w:r>
        <w:rPr>
          <w:snapToGrid w:val="0"/>
        </w:rPr>
        <w:t>.</w:t>
      </w:r>
      <w:r>
        <w:rPr>
          <w:snapToGrid w:val="0"/>
        </w:rPr>
        <w:tab/>
        <w:t>Continuing effect of convictions, forfeitures etc.</w:t>
      </w:r>
      <w:bookmarkEnd w:id="580"/>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581" w:name="_Toc522197499"/>
      <w:r>
        <w:rPr>
          <w:rStyle w:val="CharSClsNo"/>
        </w:rPr>
        <w:t>3</w:t>
      </w:r>
      <w:r>
        <w:rPr>
          <w:snapToGrid w:val="0"/>
        </w:rPr>
        <w:t>.</w:t>
      </w:r>
      <w:r>
        <w:rPr>
          <w:snapToGrid w:val="0"/>
        </w:rPr>
        <w:tab/>
        <w:t>Proceedings part heard, rules of court, and appointments under repealed Act</w:t>
      </w:r>
      <w:bookmarkEnd w:id="581"/>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582" w:name="_Toc522197500"/>
      <w:r>
        <w:rPr>
          <w:rStyle w:val="CharSClsNo"/>
        </w:rPr>
        <w:t>4</w:t>
      </w:r>
      <w:r>
        <w:rPr>
          <w:snapToGrid w:val="0"/>
        </w:rPr>
        <w:t>.</w:t>
      </w:r>
      <w:r>
        <w:rPr>
          <w:snapToGrid w:val="0"/>
        </w:rPr>
        <w:tab/>
        <w:t>Fees</w:t>
      </w:r>
      <w:bookmarkEnd w:id="582"/>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583" w:name="_Toc522197501"/>
      <w:r>
        <w:rPr>
          <w:rStyle w:val="CharSClsNo"/>
        </w:rPr>
        <w:t>5</w:t>
      </w:r>
      <w:r>
        <w:rPr>
          <w:snapToGrid w:val="0"/>
        </w:rPr>
        <w:t>.</w:t>
      </w:r>
      <w:r>
        <w:rPr>
          <w:snapToGrid w:val="0"/>
        </w:rPr>
        <w:tab/>
        <w:t>Continuing effect of conditions, delineated or designated areas, approvals etc.</w:t>
      </w:r>
      <w:bookmarkEnd w:id="583"/>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584" w:name="_Toc522197502"/>
      <w:r>
        <w:rPr>
          <w:rStyle w:val="CharSClsNo"/>
        </w:rPr>
        <w:t>6</w:t>
      </w:r>
      <w:r>
        <w:rPr>
          <w:snapToGrid w:val="0"/>
        </w:rPr>
        <w:t>.</w:t>
      </w:r>
      <w:r>
        <w:rPr>
          <w:snapToGrid w:val="0"/>
        </w:rPr>
        <w:tab/>
        <w:t>Conversion of licences generally</w:t>
      </w:r>
      <w:bookmarkEnd w:id="584"/>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585" w:name="_Toc522197503"/>
      <w:r>
        <w:rPr>
          <w:rStyle w:val="CharSClsNo"/>
        </w:rPr>
        <w:t>7</w:t>
      </w:r>
      <w:r>
        <w:rPr>
          <w:snapToGrid w:val="0"/>
        </w:rPr>
        <w:t>.</w:t>
      </w:r>
      <w:r>
        <w:rPr>
          <w:snapToGrid w:val="0"/>
        </w:rPr>
        <w:tab/>
        <w:t>Hotel licences</w:t>
      </w:r>
      <w:bookmarkEnd w:id="585"/>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586" w:name="_Toc522197504"/>
      <w:r>
        <w:rPr>
          <w:rStyle w:val="CharSClsNo"/>
        </w:rPr>
        <w:t>8</w:t>
      </w:r>
      <w:r>
        <w:rPr>
          <w:snapToGrid w:val="0"/>
        </w:rPr>
        <w:t>.</w:t>
      </w:r>
      <w:r>
        <w:rPr>
          <w:snapToGrid w:val="0"/>
        </w:rPr>
        <w:tab/>
        <w:t>Limited hotel licences</w:t>
      </w:r>
      <w:bookmarkEnd w:id="586"/>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587" w:name="_Toc522197505"/>
      <w:r>
        <w:rPr>
          <w:rStyle w:val="CharSClsNo"/>
        </w:rPr>
        <w:t>9</w:t>
      </w:r>
      <w:r>
        <w:rPr>
          <w:snapToGrid w:val="0"/>
        </w:rPr>
        <w:t>.</w:t>
      </w:r>
      <w:r>
        <w:rPr>
          <w:snapToGrid w:val="0"/>
        </w:rPr>
        <w:tab/>
        <w:t>Tavern licences</w:t>
      </w:r>
      <w:bookmarkEnd w:id="587"/>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588" w:name="_Toc522197506"/>
      <w:r>
        <w:rPr>
          <w:rStyle w:val="CharSClsNo"/>
        </w:rPr>
        <w:t>10</w:t>
      </w:r>
      <w:r>
        <w:rPr>
          <w:snapToGrid w:val="0"/>
        </w:rPr>
        <w:t>.</w:t>
      </w:r>
      <w:r>
        <w:rPr>
          <w:snapToGrid w:val="0"/>
        </w:rPr>
        <w:tab/>
        <w:t>Obligatory trading hours relating to hotel licences</w:t>
      </w:r>
      <w:bookmarkEnd w:id="588"/>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589" w:name="_Toc522197507"/>
      <w:r>
        <w:rPr>
          <w:rStyle w:val="CharSClsNo"/>
        </w:rPr>
        <w:t>11</w:t>
      </w:r>
      <w:r>
        <w:rPr>
          <w:snapToGrid w:val="0"/>
        </w:rPr>
        <w:t>.</w:t>
      </w:r>
      <w:r>
        <w:rPr>
          <w:snapToGrid w:val="0"/>
        </w:rPr>
        <w:tab/>
        <w:t>Winehouse licences and Australian wine licences</w:t>
      </w:r>
      <w:bookmarkEnd w:id="589"/>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590" w:name="_Toc522197508"/>
      <w:r>
        <w:rPr>
          <w:rStyle w:val="CharSClsNo"/>
        </w:rPr>
        <w:t>12</w:t>
      </w:r>
      <w:r>
        <w:rPr>
          <w:snapToGrid w:val="0"/>
        </w:rPr>
        <w:t>.</w:t>
      </w:r>
      <w:r>
        <w:rPr>
          <w:snapToGrid w:val="0"/>
        </w:rPr>
        <w:tab/>
        <w:t>Casino liquor licences</w:t>
      </w:r>
      <w:bookmarkEnd w:id="590"/>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591" w:name="_Toc522197509"/>
      <w:r>
        <w:rPr>
          <w:rStyle w:val="CharSClsNo"/>
        </w:rPr>
        <w:t>13</w:t>
      </w:r>
      <w:r>
        <w:rPr>
          <w:snapToGrid w:val="0"/>
        </w:rPr>
        <w:t>.</w:t>
      </w:r>
      <w:r>
        <w:rPr>
          <w:snapToGrid w:val="0"/>
        </w:rPr>
        <w:tab/>
        <w:t>Cabaret licences</w:t>
      </w:r>
      <w:bookmarkEnd w:id="591"/>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592" w:name="_Toc522197510"/>
      <w:r>
        <w:rPr>
          <w:rStyle w:val="CharSClsNo"/>
        </w:rPr>
        <w:t>14</w:t>
      </w:r>
      <w:r>
        <w:rPr>
          <w:snapToGrid w:val="0"/>
        </w:rPr>
        <w:t>.</w:t>
      </w:r>
      <w:r>
        <w:rPr>
          <w:snapToGrid w:val="0"/>
        </w:rPr>
        <w:tab/>
        <w:t>Restaurant licences</w:t>
      </w:r>
      <w:bookmarkEnd w:id="592"/>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593" w:name="_Toc522197511"/>
      <w:r>
        <w:rPr>
          <w:rStyle w:val="CharSClsNo"/>
        </w:rPr>
        <w:t>15</w:t>
      </w:r>
      <w:r>
        <w:rPr>
          <w:snapToGrid w:val="0"/>
        </w:rPr>
        <w:t>.</w:t>
      </w:r>
      <w:r>
        <w:rPr>
          <w:snapToGrid w:val="0"/>
        </w:rPr>
        <w:tab/>
        <w:t>Restaurant facilities on premises formerly licensed as a hotel, tavern, limited hotel, or winehouse</w:t>
      </w:r>
      <w:bookmarkEnd w:id="593"/>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594" w:name="_Toc522197512"/>
      <w:r>
        <w:rPr>
          <w:rStyle w:val="CharSClsNo"/>
        </w:rPr>
        <w:t>16</w:t>
      </w:r>
      <w:r>
        <w:rPr>
          <w:snapToGrid w:val="0"/>
        </w:rPr>
        <w:t>.</w:t>
      </w:r>
      <w:r>
        <w:rPr>
          <w:snapToGrid w:val="0"/>
        </w:rPr>
        <w:tab/>
        <w:t>Store licences</w:t>
      </w:r>
      <w:bookmarkEnd w:id="594"/>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595" w:name="_Toc522197513"/>
      <w:r>
        <w:rPr>
          <w:rStyle w:val="CharSClsNo"/>
        </w:rPr>
        <w:t>17</w:t>
      </w:r>
      <w:r>
        <w:rPr>
          <w:snapToGrid w:val="0"/>
        </w:rPr>
        <w:t>.</w:t>
      </w:r>
      <w:r>
        <w:rPr>
          <w:snapToGrid w:val="0"/>
        </w:rPr>
        <w:tab/>
        <w:t>Vigneron’s licences and brewer’s licences</w:t>
      </w:r>
      <w:bookmarkEnd w:id="595"/>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596" w:name="_Toc522197514"/>
      <w:r>
        <w:rPr>
          <w:rStyle w:val="CharSClsNo"/>
        </w:rPr>
        <w:t>18</w:t>
      </w:r>
      <w:r>
        <w:rPr>
          <w:snapToGrid w:val="0"/>
        </w:rPr>
        <w:t>.</w:t>
      </w:r>
      <w:r>
        <w:rPr>
          <w:snapToGrid w:val="0"/>
        </w:rPr>
        <w:tab/>
        <w:t>Wholesale licences</w:t>
      </w:r>
      <w:bookmarkEnd w:id="596"/>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597" w:name="_Toc522197515"/>
      <w:r>
        <w:rPr>
          <w:rStyle w:val="CharSClsNo"/>
        </w:rPr>
        <w:t>19</w:t>
      </w:r>
      <w:r>
        <w:rPr>
          <w:snapToGrid w:val="0"/>
        </w:rPr>
        <w:t>.</w:t>
      </w:r>
      <w:r>
        <w:rPr>
          <w:snapToGrid w:val="0"/>
        </w:rPr>
        <w:tab/>
        <w:t>Club licences and unlicensed club permits</w:t>
      </w:r>
      <w:bookmarkEnd w:id="597"/>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598" w:name="_Toc522197516"/>
      <w:r>
        <w:rPr>
          <w:rStyle w:val="CharSClsNo"/>
        </w:rPr>
        <w:t>20</w:t>
      </w:r>
      <w:r>
        <w:rPr>
          <w:snapToGrid w:val="0"/>
        </w:rPr>
        <w:t>.</w:t>
      </w:r>
      <w:r>
        <w:rPr>
          <w:snapToGrid w:val="0"/>
        </w:rPr>
        <w:tab/>
        <w:t>Certain licences to become special facility licences</w:t>
      </w:r>
      <w:bookmarkEnd w:id="598"/>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599" w:name="_Toc522197517"/>
      <w:r>
        <w:rPr>
          <w:rStyle w:val="CharSClsNo"/>
        </w:rPr>
        <w:t>21</w:t>
      </w:r>
      <w:r>
        <w:rPr>
          <w:snapToGrid w:val="0"/>
        </w:rPr>
        <w:t>.</w:t>
      </w:r>
      <w:r>
        <w:rPr>
          <w:snapToGrid w:val="0"/>
        </w:rPr>
        <w:tab/>
        <w:t>Caterer’s permit</w:t>
      </w:r>
      <w:bookmarkEnd w:id="599"/>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600" w:name="_Toc522197518"/>
      <w:r>
        <w:rPr>
          <w:rStyle w:val="CharSClsNo"/>
        </w:rPr>
        <w:t>22</w:t>
      </w:r>
      <w:r>
        <w:rPr>
          <w:snapToGrid w:val="0"/>
        </w:rPr>
        <w:t>.</w:t>
      </w:r>
      <w:r>
        <w:rPr>
          <w:snapToGrid w:val="0"/>
        </w:rPr>
        <w:tab/>
        <w:t>Exempted producers etc.</w:t>
      </w:r>
      <w:bookmarkEnd w:id="600"/>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601" w:name="_Toc522197519"/>
      <w:r>
        <w:rPr>
          <w:rStyle w:val="CharSClsNo"/>
        </w:rPr>
        <w:t>23</w:t>
      </w:r>
      <w:r>
        <w:rPr>
          <w:snapToGrid w:val="0"/>
        </w:rPr>
        <w:t>.</w:t>
      </w:r>
      <w:r>
        <w:rPr>
          <w:snapToGrid w:val="0"/>
        </w:rPr>
        <w:tab/>
        <w:t>Certain licences may become special facility licences</w:t>
      </w:r>
      <w:bookmarkEnd w:id="601"/>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602" w:name="_Toc522197520"/>
      <w:r>
        <w:rPr>
          <w:rStyle w:val="CharSClsNo"/>
        </w:rPr>
        <w:t>24</w:t>
      </w:r>
      <w:r>
        <w:rPr>
          <w:snapToGrid w:val="0"/>
        </w:rPr>
        <w:t>.</w:t>
      </w:r>
      <w:r>
        <w:rPr>
          <w:snapToGrid w:val="0"/>
        </w:rPr>
        <w:tab/>
        <w:t>References in other written laws</w:t>
      </w:r>
      <w:bookmarkEnd w:id="602"/>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603" w:name="_Toc471906994"/>
      <w:bookmarkStart w:id="604" w:name="_Toc472001911"/>
      <w:bookmarkStart w:id="605" w:name="_Toc472676939"/>
      <w:bookmarkStart w:id="606" w:name="_Toc472682324"/>
      <w:bookmarkStart w:id="607" w:name="_Toc473119465"/>
      <w:bookmarkStart w:id="608" w:name="_Toc522197521"/>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603"/>
      <w:bookmarkEnd w:id="604"/>
      <w:bookmarkEnd w:id="605"/>
      <w:bookmarkEnd w:id="606"/>
      <w:bookmarkEnd w:id="607"/>
      <w:bookmarkEnd w:id="608"/>
    </w:p>
    <w:p>
      <w:pPr>
        <w:pStyle w:val="yShoulderClause"/>
      </w:pPr>
      <w:r>
        <w:t>[s. 177A]</w:t>
      </w:r>
    </w:p>
    <w:p>
      <w:pPr>
        <w:pStyle w:val="yFootnoteheading"/>
      </w:pPr>
      <w:r>
        <w:tab/>
        <w:t>[Heading inserted by No. 73 of 2006 s. 104.]</w:t>
      </w:r>
    </w:p>
    <w:p>
      <w:pPr>
        <w:pStyle w:val="yHeading5"/>
        <w:outlineLvl w:val="5"/>
      </w:pPr>
      <w:bookmarkStart w:id="609" w:name="_Toc522197522"/>
      <w:r>
        <w:rPr>
          <w:rStyle w:val="CharSClsNo"/>
        </w:rPr>
        <w:t>1</w:t>
      </w:r>
      <w:r>
        <w:t>.</w:t>
      </w:r>
      <w:r>
        <w:rPr>
          <w:b w:val="0"/>
        </w:rPr>
        <w:tab/>
      </w:r>
      <w:r>
        <w:t>Terms used</w:t>
      </w:r>
      <w:bookmarkEnd w:id="609"/>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610" w:name="_Toc522197523"/>
      <w:r>
        <w:rPr>
          <w:rStyle w:val="CharSClsNo"/>
        </w:rPr>
        <w:t>2</w:t>
      </w:r>
      <w:r>
        <w:t>.</w:t>
      </w:r>
      <w:r>
        <w:rPr>
          <w:b w:val="0"/>
        </w:rPr>
        <w:tab/>
      </w:r>
      <w:r>
        <w:t>Liquor Licensing Court</w:t>
      </w:r>
      <w:bookmarkEnd w:id="610"/>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611" w:name="_Toc522197524"/>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611"/>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612" w:name="_Toc522197525"/>
      <w:r>
        <w:rPr>
          <w:rStyle w:val="CharSClsNo"/>
        </w:rPr>
        <w:t>4</w:t>
      </w:r>
      <w:r>
        <w:t>.</w:t>
      </w:r>
      <w:r>
        <w:rPr>
          <w:b w:val="0"/>
        </w:rPr>
        <w:tab/>
      </w:r>
      <w:r>
        <w:t>Pending cases stated and appeals to Supreme Court</w:t>
      </w:r>
      <w:bookmarkEnd w:id="612"/>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613" w:name="_Toc522197526"/>
      <w:r>
        <w:rPr>
          <w:rStyle w:val="CharSClsNo"/>
        </w:rPr>
        <w:t>5</w:t>
      </w:r>
      <w:r>
        <w:t>.</w:t>
      </w:r>
      <w:r>
        <w:rPr>
          <w:b w:val="0"/>
        </w:rPr>
        <w:tab/>
      </w:r>
      <w:r>
        <w:t>Pending applications and matters</w:t>
      </w:r>
      <w:bookmarkEnd w:id="613"/>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614" w:name="_Toc522197527"/>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614"/>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spacing w:before="180"/>
        <w:outlineLvl w:val="5"/>
      </w:pPr>
      <w:bookmarkStart w:id="615" w:name="_Toc522197528"/>
      <w:r>
        <w:rPr>
          <w:rStyle w:val="CharSClsNo"/>
        </w:rPr>
        <w:t>7</w:t>
      </w:r>
      <w:r>
        <w:t>.</w:t>
      </w:r>
      <w:r>
        <w:rPr>
          <w:b w:val="0"/>
        </w:rPr>
        <w:tab/>
      </w:r>
      <w:r>
        <w:t>Cabaret licences</w:t>
      </w:r>
      <w:bookmarkEnd w:id="615"/>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spacing w:before="180"/>
        <w:outlineLvl w:val="5"/>
      </w:pPr>
      <w:bookmarkStart w:id="616" w:name="_Toc522197529"/>
      <w:r>
        <w:rPr>
          <w:rStyle w:val="CharSClsNo"/>
        </w:rPr>
        <w:t>8</w:t>
      </w:r>
      <w:r>
        <w:t>.</w:t>
      </w:r>
      <w:r>
        <w:rPr>
          <w:b w:val="0"/>
        </w:rPr>
        <w:tab/>
      </w:r>
      <w:r>
        <w:t>Courses of training and assessments</w:t>
      </w:r>
      <w:bookmarkEnd w:id="616"/>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617" w:name="_Toc522197530"/>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617"/>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618" w:name="_Toc522197531"/>
      <w:r>
        <w:rPr>
          <w:rStyle w:val="CharSClsNo"/>
        </w:rPr>
        <w:t>10</w:t>
      </w:r>
      <w:r>
        <w:t>.</w:t>
      </w:r>
      <w:r>
        <w:rPr>
          <w:b w:val="0"/>
        </w:rPr>
        <w:tab/>
      </w:r>
      <w:r>
        <w:t>Transitional regulations</w:t>
      </w:r>
      <w:bookmarkEnd w:id="618"/>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619" w:name="_Toc471907005"/>
      <w:bookmarkStart w:id="620" w:name="_Toc472001922"/>
      <w:bookmarkStart w:id="621" w:name="_Toc472676950"/>
      <w:bookmarkStart w:id="622" w:name="_Toc472682335"/>
      <w:bookmarkStart w:id="623" w:name="_Toc473119476"/>
      <w:bookmarkStart w:id="624" w:name="_Toc522197532"/>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619"/>
      <w:bookmarkEnd w:id="620"/>
      <w:bookmarkEnd w:id="621"/>
      <w:bookmarkEnd w:id="622"/>
      <w:bookmarkEnd w:id="623"/>
      <w:bookmarkEnd w:id="624"/>
    </w:p>
    <w:p>
      <w:pPr>
        <w:pStyle w:val="yShoulderClause"/>
      </w:pPr>
      <w:r>
        <w:t>[s. 177B]</w:t>
      </w:r>
    </w:p>
    <w:p>
      <w:pPr>
        <w:pStyle w:val="yFootnoteheading"/>
      </w:pPr>
      <w:r>
        <w:tab/>
        <w:t>[Heading inserted by No. 56 of 2010 s. 24.]</w:t>
      </w:r>
    </w:p>
    <w:p>
      <w:pPr>
        <w:pStyle w:val="yHeading5"/>
      </w:pPr>
      <w:bookmarkStart w:id="625" w:name="_Toc522197533"/>
      <w:r>
        <w:rPr>
          <w:rStyle w:val="CharSClsNo"/>
        </w:rPr>
        <w:t>1</w:t>
      </w:r>
      <w:r>
        <w:t>.</w:t>
      </w:r>
      <w:r>
        <w:tab/>
        <w:t>Terms used</w:t>
      </w:r>
      <w:bookmarkEnd w:id="625"/>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626" w:name="_Toc522197534"/>
      <w:r>
        <w:rPr>
          <w:rStyle w:val="CharSClsNo"/>
        </w:rPr>
        <w:t>2</w:t>
      </w:r>
      <w:r>
        <w:t>.</w:t>
      </w:r>
      <w:r>
        <w:tab/>
        <w:t>Current managers taken to be licensed</w:t>
      </w:r>
      <w:bookmarkEnd w:id="626"/>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627" w:name="_Toc522197535"/>
      <w:r>
        <w:t>3.</w:t>
      </w:r>
      <w:r>
        <w:rPr>
          <w:b w:val="0"/>
        </w:rPr>
        <w:tab/>
      </w:r>
      <w:r>
        <w:t>Duration of transitioned approvals</w:t>
      </w:r>
      <w:bookmarkEnd w:id="627"/>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628" w:name="_Toc522197536"/>
      <w:r>
        <w:rPr>
          <w:rStyle w:val="CharSClsNo"/>
        </w:rPr>
        <w:t>4</w:t>
      </w:r>
      <w:r>
        <w:t>.</w:t>
      </w:r>
      <w:r>
        <w:tab/>
        <w:t>Current applications</w:t>
      </w:r>
      <w:bookmarkEnd w:id="628"/>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629" w:name="_Toc522197537"/>
      <w:bookmarkStart w:id="630" w:name="_Toc471907010"/>
      <w:bookmarkStart w:id="631" w:name="_Toc472001927"/>
      <w:bookmarkStart w:id="632" w:name="_Toc472676955"/>
      <w:bookmarkStart w:id="633" w:name="_Toc472682340"/>
      <w:bookmarkStart w:id="634" w:name="_Toc473119481"/>
      <w:r>
        <w:rPr>
          <w:rStyle w:val="CharSchNo"/>
        </w:rPr>
        <w:t>Schedule 1C</w:t>
      </w:r>
      <w:r>
        <w:rPr>
          <w:rStyle w:val="CharDivNo"/>
        </w:rPr>
        <w:t> </w:t>
      </w:r>
      <w:r>
        <w:t>—</w:t>
      </w:r>
      <w:r>
        <w:rPr>
          <w:rStyle w:val="CharSDivText"/>
        </w:rPr>
        <w:t> </w:t>
      </w:r>
      <w:r>
        <w:rPr>
          <w:rStyle w:val="CharSchText"/>
        </w:rPr>
        <w:t xml:space="preserve">Transitional provisions relating to the </w:t>
      </w:r>
      <w:r>
        <w:rPr>
          <w:rStyle w:val="CharSchText"/>
          <w:i/>
        </w:rPr>
        <w:t>Liquor Control Amendment Act 2018</w:t>
      </w:r>
      <w:bookmarkEnd w:id="629"/>
    </w:p>
    <w:p>
      <w:pPr>
        <w:pStyle w:val="yShoulderClause"/>
      </w:pPr>
      <w:r>
        <w:t>[s. 177C]</w:t>
      </w:r>
    </w:p>
    <w:p>
      <w:pPr>
        <w:pStyle w:val="yFootnoteheading"/>
      </w:pPr>
      <w:r>
        <w:tab/>
        <w:t>[Heading inserted by No. 9 of 2018 s. 70.]</w:t>
      </w:r>
    </w:p>
    <w:p>
      <w:pPr>
        <w:pStyle w:val="yHeading5"/>
      </w:pPr>
      <w:bookmarkStart w:id="635" w:name="_Toc522197538"/>
      <w:r>
        <w:rPr>
          <w:rStyle w:val="CharSClsNo"/>
        </w:rPr>
        <w:t>1</w:t>
      </w:r>
      <w:r>
        <w:t>.</w:t>
      </w:r>
      <w:r>
        <w:tab/>
        <w:t>Application of s. 36B to existing applications for grant or removal of licence</w:t>
      </w:r>
      <w:bookmarkEnd w:id="635"/>
    </w:p>
    <w:p>
      <w:pPr>
        <w:pStyle w:val="ySubsection"/>
      </w:pPr>
      <w:r>
        <w:tab/>
      </w:r>
      <w:r>
        <w:tab/>
        <w:t xml:space="preserve">Section 36B applies to an application for the grant or removal of a licence referred to in section 36B(2) that was made, but not determined by the licensing authority, before the day on which the </w:t>
      </w:r>
      <w:r>
        <w:rPr>
          <w:i/>
        </w:rPr>
        <w:t xml:space="preserve">Liquor Control Amendment Act 2018 </w:t>
      </w:r>
      <w:r>
        <w:t>section 18 comes into operation.</w:t>
      </w:r>
    </w:p>
    <w:p>
      <w:pPr>
        <w:pStyle w:val="yFootnotesection"/>
      </w:pPr>
      <w:r>
        <w:tab/>
        <w:t>[Clause 1 inserted by No. 9 of 2018 s. 70.]</w:t>
      </w:r>
    </w:p>
    <w:p>
      <w:pPr>
        <w:pStyle w:val="yHeading5"/>
      </w:pPr>
      <w:bookmarkStart w:id="636" w:name="_Toc522197539"/>
      <w:r>
        <w:rPr>
          <w:rStyle w:val="CharSClsNo"/>
        </w:rPr>
        <w:t>2</w:t>
      </w:r>
      <w:r>
        <w:t>.</w:t>
      </w:r>
      <w:r>
        <w:tab/>
        <w:t>Small bar licences</w:t>
      </w:r>
      <w:bookmarkEnd w:id="636"/>
    </w:p>
    <w:p>
      <w:pPr>
        <w:pStyle w:val="ySubsection"/>
      </w:pPr>
      <w:r>
        <w:tab/>
        <w:t>(1)</w:t>
      </w:r>
      <w:r>
        <w:tab/>
        <w:t>In this clause —</w:t>
      </w:r>
    </w:p>
    <w:p>
      <w:pPr>
        <w:pStyle w:val="yDefstart"/>
      </w:pPr>
      <w:r>
        <w:tab/>
      </w:r>
      <w:r>
        <w:rPr>
          <w:rStyle w:val="CharDefText"/>
        </w:rPr>
        <w:t>commencement day</w:t>
      </w:r>
      <w:r>
        <w:t xml:space="preserve"> means the day on which the </w:t>
      </w:r>
      <w:r>
        <w:rPr>
          <w:i/>
        </w:rPr>
        <w:t xml:space="preserve">Liquor Control Amendment Act 2018 </w:t>
      </w:r>
      <w:r>
        <w:t>section 21 comes into operation;</w:t>
      </w:r>
    </w:p>
    <w:p>
      <w:pPr>
        <w:pStyle w:val="yDefstart"/>
      </w:pPr>
      <w:r>
        <w:tab/>
      </w:r>
      <w:r>
        <w:rPr>
          <w:rStyle w:val="CharDefText"/>
        </w:rPr>
        <w:t xml:space="preserve">old licence </w:t>
      </w:r>
      <w:r>
        <w:t>means a hotel licence of the kind referred to in section 41(1aa) as in force immediately before commencement day.</w:t>
      </w:r>
    </w:p>
    <w:p>
      <w:pPr>
        <w:pStyle w:val="ySubsection"/>
      </w:pPr>
      <w:r>
        <w:tab/>
        <w:t>(2)</w:t>
      </w:r>
      <w:r>
        <w:tab/>
        <w:t>An old licence that was in effect immediately before commencement day is taken to be a small bar licence under section 41A, subject to the conditions that applied to the old licence immediately before commencement day.</w:t>
      </w:r>
    </w:p>
    <w:p>
      <w:pPr>
        <w:pStyle w:val="ySubsection"/>
        <w:rPr>
          <w:b/>
        </w:rPr>
      </w:pPr>
      <w:r>
        <w:tab/>
        <w:t>(3)</w:t>
      </w:r>
      <w:r>
        <w:tab/>
        <w:t>An application for an old licence that was made, but not determined by the licensing authority, before commencement day is taken to be an application for a small bar licence under section 41A.</w:t>
      </w:r>
    </w:p>
    <w:p>
      <w:pPr>
        <w:pStyle w:val="yFootnotesection"/>
      </w:pPr>
      <w:r>
        <w:tab/>
        <w:t>[Clause 2 inserted by No. 9 of 2018 s. 70.]</w:t>
      </w:r>
    </w:p>
    <w:p>
      <w:pPr>
        <w:pStyle w:val="yHeading5"/>
      </w:pPr>
      <w:bookmarkStart w:id="637" w:name="_Toc522197540"/>
      <w:r>
        <w:rPr>
          <w:rStyle w:val="CharSClsNo"/>
        </w:rPr>
        <w:t>3</w:t>
      </w:r>
      <w:r>
        <w:t>.</w:t>
      </w:r>
      <w:r>
        <w:tab/>
        <w:t>Certain restaurant licences: no fee for application for extended trading permit under section 60(4)(ca)</w:t>
      </w:r>
      <w:bookmarkEnd w:id="637"/>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 xml:space="preserve">Liquor Control Amendment Act 2018 </w:t>
      </w:r>
      <w:r>
        <w:t>section 27 comes into operation;</w:t>
      </w:r>
    </w:p>
    <w:p>
      <w:pPr>
        <w:pStyle w:val="yDefstart"/>
      </w:pPr>
      <w:r>
        <w:tab/>
      </w:r>
      <w:r>
        <w:rPr>
          <w:rStyle w:val="CharDefText"/>
        </w:rPr>
        <w:t>small restaurant licence</w:t>
      </w:r>
      <w:r>
        <w:t xml:space="preserve"> means a restaurant licence that, immediately before commencement day, was subject to a condition limiting the maximum number of persons (excluding responsible persons and authorised officers) who may be on the licensed premises to 120.</w:t>
      </w:r>
    </w:p>
    <w:p>
      <w:pPr>
        <w:pStyle w:val="ySubsection"/>
      </w:pPr>
      <w:r>
        <w:tab/>
        <w:t>(2)</w:t>
      </w:r>
      <w:r>
        <w:tab/>
        <w:t>If, in the period of 12 months beginning on commencement day, the licensee of a small restaurant licence makes an application for an extended trading permit under section 60(4)(ca), then, despite section 68(1)(b), the notice of application is not required to be accompanied by any prescribed fee.</w:t>
      </w:r>
    </w:p>
    <w:p>
      <w:pPr>
        <w:pStyle w:val="yFootnotesection"/>
      </w:pPr>
      <w:r>
        <w:tab/>
        <w:t>[Clause 3 inserted by No. 9 of 2018 s. 70.]</w:t>
      </w:r>
    </w:p>
    <w:p>
      <w:pPr>
        <w:pStyle w:val="yHeading5"/>
      </w:pPr>
      <w:bookmarkStart w:id="638" w:name="_Toc522197541"/>
      <w:r>
        <w:rPr>
          <w:rStyle w:val="CharSClsNo"/>
        </w:rPr>
        <w:t>4</w:t>
      </w:r>
      <w:r>
        <w:t>.</w:t>
      </w:r>
      <w:r>
        <w:tab/>
        <w:t>Application of s. 77A to existing applications for alteration or redefinition of licensed premises</w:t>
      </w:r>
      <w:bookmarkEnd w:id="638"/>
    </w:p>
    <w:p>
      <w:pPr>
        <w:pStyle w:val="ySubsection"/>
      </w:pPr>
      <w:r>
        <w:tab/>
      </w:r>
      <w:r>
        <w:tab/>
        <w:t xml:space="preserve">Section 77A applies to an application under section 77(4) that was made, but not determined by the licensing authority, before the day on which the </w:t>
      </w:r>
      <w:r>
        <w:rPr>
          <w:i/>
        </w:rPr>
        <w:t xml:space="preserve">Liquor Control Amendment Act 2018 </w:t>
      </w:r>
      <w:r>
        <w:t>section 45 comes into operation.</w:t>
      </w:r>
    </w:p>
    <w:p>
      <w:pPr>
        <w:pStyle w:val="yFootnotesection"/>
      </w:pPr>
      <w:r>
        <w:tab/>
        <w:t>[Clause 4 inserted by No. 9 of 2018 s. 70.]</w:t>
      </w:r>
    </w:p>
    <w:p>
      <w:pPr>
        <w:pStyle w:val="yScheduleHeading"/>
      </w:pPr>
      <w:bookmarkStart w:id="639" w:name="_Toc522197542"/>
      <w:r>
        <w:rPr>
          <w:rStyle w:val="CharSchNo"/>
        </w:rPr>
        <w:t>Schedule 2</w:t>
      </w:r>
      <w:r>
        <w:t> — </w:t>
      </w:r>
      <w:r>
        <w:rPr>
          <w:rStyle w:val="CharSchText"/>
        </w:rPr>
        <w:t>Unincorporated clubs</w:t>
      </w:r>
      <w:bookmarkEnd w:id="630"/>
      <w:bookmarkEnd w:id="631"/>
      <w:bookmarkEnd w:id="632"/>
      <w:bookmarkEnd w:id="633"/>
      <w:bookmarkEnd w:id="634"/>
      <w:bookmarkEnd w:id="639"/>
    </w:p>
    <w:p>
      <w:pPr>
        <w:pStyle w:val="yShoulderClause"/>
        <w:rPr>
          <w:snapToGrid w:val="0"/>
        </w:rPr>
      </w:pPr>
      <w:r>
        <w:rPr>
          <w:snapToGrid w:val="0"/>
        </w:rPr>
        <w:t>[s. 49(1)(a)]</w:t>
      </w:r>
    </w:p>
    <w:p>
      <w:pPr>
        <w:pStyle w:val="yFootnoteheading"/>
      </w:pPr>
      <w:r>
        <w:tab/>
        <w:t>[Heading amended by No. 19 of 2010 s. 4.]</w:t>
      </w:r>
    </w:p>
    <w:p>
      <w:pPr>
        <w:pStyle w:val="yHeading3"/>
      </w:pPr>
      <w:bookmarkStart w:id="640" w:name="_Toc471907011"/>
      <w:bookmarkStart w:id="641" w:name="_Toc472001928"/>
      <w:bookmarkStart w:id="642" w:name="_Toc472676956"/>
      <w:bookmarkStart w:id="643" w:name="_Toc472682341"/>
      <w:bookmarkStart w:id="644" w:name="_Toc473119482"/>
      <w:bookmarkStart w:id="645" w:name="_Toc522197543"/>
      <w:r>
        <w:rPr>
          <w:rStyle w:val="CharSDivNo"/>
        </w:rPr>
        <w:t>Division 1</w:t>
      </w:r>
      <w:r>
        <w:rPr>
          <w:snapToGrid w:val="0"/>
        </w:rPr>
        <w:t> — </w:t>
      </w:r>
      <w:r>
        <w:rPr>
          <w:rStyle w:val="CharSDivText"/>
        </w:rPr>
        <w:t>The Anzac Club</w:t>
      </w:r>
      <w:bookmarkEnd w:id="640"/>
      <w:bookmarkEnd w:id="641"/>
      <w:bookmarkEnd w:id="642"/>
      <w:bookmarkEnd w:id="643"/>
      <w:bookmarkEnd w:id="644"/>
      <w:bookmarkEnd w:id="645"/>
      <w:r>
        <w:rPr>
          <w:snapToGrid w:val="0"/>
        </w:rPr>
        <w:t xml:space="preserve"> </w:t>
      </w:r>
    </w:p>
    <w:p>
      <w:pPr>
        <w:pStyle w:val="yHeading5"/>
        <w:outlineLvl w:val="5"/>
        <w:rPr>
          <w:snapToGrid w:val="0"/>
        </w:rPr>
      </w:pPr>
      <w:bookmarkStart w:id="646" w:name="_Toc522197544"/>
      <w:r>
        <w:rPr>
          <w:rStyle w:val="CharSClsNo"/>
        </w:rPr>
        <w:t>1</w:t>
      </w:r>
      <w:r>
        <w:rPr>
          <w:snapToGrid w:val="0"/>
        </w:rPr>
        <w:t>.</w:t>
      </w:r>
      <w:r>
        <w:rPr>
          <w:snapToGrid w:val="0"/>
        </w:rPr>
        <w:tab/>
        <w:t>Terms used</w:t>
      </w:r>
      <w:bookmarkEnd w:id="646"/>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 No. 30 of 2015 s. 232.]</w:t>
      </w:r>
    </w:p>
    <w:p>
      <w:pPr>
        <w:pStyle w:val="yHeading5"/>
        <w:outlineLvl w:val="5"/>
        <w:rPr>
          <w:snapToGrid w:val="0"/>
        </w:rPr>
      </w:pPr>
      <w:bookmarkStart w:id="647" w:name="_Toc522197545"/>
      <w:r>
        <w:rPr>
          <w:rStyle w:val="CharSClsNo"/>
        </w:rPr>
        <w:t>2</w:t>
      </w:r>
      <w:r>
        <w:rPr>
          <w:snapToGrid w:val="0"/>
        </w:rPr>
        <w:t>.</w:t>
      </w:r>
      <w:r>
        <w:rPr>
          <w:snapToGrid w:val="0"/>
        </w:rPr>
        <w:tab/>
        <w:t>Anzac Club</w:t>
      </w:r>
      <w:bookmarkEnd w:id="647"/>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648" w:name="_Toc471907014"/>
      <w:bookmarkStart w:id="649" w:name="_Toc472001931"/>
      <w:bookmarkStart w:id="650" w:name="_Toc472676959"/>
      <w:bookmarkStart w:id="651" w:name="_Toc472682344"/>
      <w:bookmarkStart w:id="652" w:name="_Toc473119485"/>
      <w:bookmarkStart w:id="653" w:name="_Toc522197546"/>
      <w:r>
        <w:rPr>
          <w:rStyle w:val="CharSDivNo"/>
        </w:rPr>
        <w:t>Division 2</w:t>
      </w:r>
      <w:r>
        <w:rPr>
          <w:snapToGrid w:val="0"/>
        </w:rPr>
        <w:t> — </w:t>
      </w:r>
      <w:r>
        <w:rPr>
          <w:rStyle w:val="CharSDivText"/>
        </w:rPr>
        <w:t>The Air Force Association Club</w:t>
      </w:r>
      <w:bookmarkEnd w:id="648"/>
      <w:bookmarkEnd w:id="649"/>
      <w:bookmarkEnd w:id="650"/>
      <w:bookmarkEnd w:id="651"/>
      <w:bookmarkEnd w:id="652"/>
      <w:bookmarkEnd w:id="653"/>
      <w:r>
        <w:rPr>
          <w:snapToGrid w:val="0"/>
        </w:rPr>
        <w:t xml:space="preserve"> </w:t>
      </w:r>
    </w:p>
    <w:p>
      <w:pPr>
        <w:pStyle w:val="yHeading5"/>
        <w:outlineLvl w:val="5"/>
        <w:rPr>
          <w:snapToGrid w:val="0"/>
        </w:rPr>
      </w:pPr>
      <w:bookmarkStart w:id="654" w:name="_Toc522197547"/>
      <w:r>
        <w:rPr>
          <w:rStyle w:val="CharSClsNo"/>
        </w:rPr>
        <w:t>1</w:t>
      </w:r>
      <w:r>
        <w:rPr>
          <w:snapToGrid w:val="0"/>
        </w:rPr>
        <w:t>.</w:t>
      </w:r>
      <w:r>
        <w:rPr>
          <w:snapToGrid w:val="0"/>
        </w:rPr>
        <w:tab/>
        <w:t>Terms used</w:t>
      </w:r>
      <w:bookmarkEnd w:id="654"/>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by No. 30 of 2015 s. 232.]</w:t>
      </w:r>
    </w:p>
    <w:p>
      <w:pPr>
        <w:pStyle w:val="yHeading5"/>
        <w:outlineLvl w:val="5"/>
        <w:rPr>
          <w:snapToGrid w:val="0"/>
        </w:rPr>
      </w:pPr>
      <w:bookmarkStart w:id="655" w:name="_Toc522197548"/>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655"/>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656" w:name="_Toc471907017"/>
      <w:bookmarkStart w:id="657" w:name="_Toc472001934"/>
      <w:bookmarkStart w:id="658" w:name="_Toc472676962"/>
      <w:bookmarkStart w:id="659" w:name="_Toc472682347"/>
      <w:bookmarkStart w:id="660" w:name="_Toc473119488"/>
      <w:bookmarkStart w:id="661" w:name="_Toc522197549"/>
      <w:bookmarkStart w:id="662" w:name="_Toc473119491"/>
      <w:r>
        <w:t>Notes</w:t>
      </w:r>
      <w:bookmarkEnd w:id="656"/>
      <w:bookmarkEnd w:id="657"/>
      <w:bookmarkEnd w:id="658"/>
      <w:bookmarkEnd w:id="659"/>
      <w:bookmarkEnd w:id="660"/>
      <w:bookmarkEnd w:id="661"/>
    </w:p>
    <w:p>
      <w:pPr>
        <w:pStyle w:val="nSubsection"/>
      </w:pPr>
      <w:r>
        <w:rPr>
          <w:vertAlign w:val="superscript"/>
        </w:rPr>
        <w:t>1</w:t>
      </w:r>
      <w:r>
        <w:tab/>
        <w:t xml:space="preserve">This is a compilation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663" w:name="_Toc522197550"/>
      <w:r>
        <w:rPr>
          <w:snapToGrid w:val="0"/>
        </w:rPr>
        <w:t>Compilation table</w:t>
      </w:r>
      <w:bookmarkEnd w:id="663"/>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8"/>
        <w:gridCol w:w="14"/>
        <w:gridCol w:w="12"/>
        <w:gridCol w:w="2529"/>
        <w:gridCol w:w="16"/>
        <w:gridCol w:w="15"/>
      </w:tblGrid>
      <w:tr>
        <w:trPr>
          <w:gridAfter w:val="2"/>
          <w:wAfter w:w="26"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6"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5"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6"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5" w:type="dxa"/>
            <w:gridSpan w:val="3"/>
          </w:tcPr>
          <w:p>
            <w:pPr>
              <w:pStyle w:val="nTable"/>
              <w:spacing w:after="40"/>
            </w:pPr>
            <w:r>
              <w:t>1 Jul 1993 (see s. 2(1))</w:t>
            </w:r>
          </w:p>
        </w:tc>
      </w:tr>
      <w:tr>
        <w:trPr>
          <w:gridAfter w:val="2"/>
          <w:wAfter w:w="26"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5" w:type="dxa"/>
            <w:gridSpan w:val="3"/>
          </w:tcPr>
          <w:p>
            <w:pPr>
              <w:pStyle w:val="nTable"/>
              <w:spacing w:after="40"/>
            </w:pPr>
            <w:r>
              <w:t xml:space="preserve">1 Oct 1994 (see s. 2 and </w:t>
            </w:r>
            <w:r>
              <w:rPr>
                <w:i/>
              </w:rPr>
              <w:t>Gazette</w:t>
            </w:r>
            <w:r>
              <w:t xml:space="preserve"> 30 Sep 1994 p. 4948)</w:t>
            </w:r>
          </w:p>
        </w:tc>
      </w:tr>
      <w:tr>
        <w:trPr>
          <w:gridAfter w:val="2"/>
          <w:wAfter w:w="26"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5" w:type="dxa"/>
            <w:gridSpan w:val="3"/>
          </w:tcPr>
          <w:p>
            <w:pPr>
              <w:pStyle w:val="nTable"/>
              <w:spacing w:after="40"/>
            </w:pPr>
            <w:r>
              <w:t>9 Dec 1994 (see s. 2)</w:t>
            </w:r>
          </w:p>
        </w:tc>
      </w:tr>
      <w:tr>
        <w:trPr>
          <w:gridAfter w:val="2"/>
          <w:wAfter w:w="26"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5" w:type="dxa"/>
            <w:gridSpan w:val="3"/>
          </w:tcPr>
          <w:p>
            <w:pPr>
              <w:pStyle w:val="nTable"/>
              <w:spacing w:after="40"/>
            </w:pPr>
            <w:r>
              <w:t xml:space="preserve">1 Jan 1995 (see s. 2(1) and </w:t>
            </w:r>
            <w:r>
              <w:rPr>
                <w:i/>
              </w:rPr>
              <w:t>Gazette</w:t>
            </w:r>
            <w:r>
              <w:t xml:space="preserve"> 30 Dec 1994 p. 7211)</w:t>
            </w:r>
          </w:p>
        </w:tc>
      </w:tr>
      <w:tr>
        <w:trPr>
          <w:gridAfter w:val="2"/>
          <w:wAfter w:w="26"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5" w:type="dxa"/>
            <w:gridSpan w:val="3"/>
          </w:tcPr>
          <w:p>
            <w:pPr>
              <w:pStyle w:val="nTable"/>
              <w:spacing w:after="40"/>
            </w:pPr>
            <w:r>
              <w:t xml:space="preserve">4 Nov 1996 (see s. 2 and </w:t>
            </w:r>
            <w:r>
              <w:rPr>
                <w:i/>
              </w:rPr>
              <w:t xml:space="preserve">Gazette </w:t>
            </w:r>
            <w:r>
              <w:t>25 Oct 1996 p. 5632)</w:t>
            </w:r>
          </w:p>
        </w:tc>
      </w:tr>
      <w:tr>
        <w:trPr>
          <w:gridAfter w:val="2"/>
          <w:wAfter w:w="26"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5" w:type="dxa"/>
            <w:gridSpan w:val="3"/>
          </w:tcPr>
          <w:p>
            <w:pPr>
              <w:pStyle w:val="nTable"/>
              <w:keepNext/>
              <w:keepLines/>
              <w:spacing w:after="40"/>
            </w:pPr>
            <w:r>
              <w:t>1 Jul 1996 (see s. 2)</w:t>
            </w:r>
          </w:p>
        </w:tc>
      </w:tr>
      <w:tr>
        <w:trPr>
          <w:gridAfter w:val="2"/>
          <w:wAfter w:w="26"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5" w:type="dxa"/>
            <w:gridSpan w:val="3"/>
          </w:tcPr>
          <w:p>
            <w:pPr>
              <w:pStyle w:val="nTable"/>
              <w:spacing w:after="40"/>
            </w:pPr>
            <w:r>
              <w:t>25 Oct 1996 (see s. 2(1))</w:t>
            </w:r>
          </w:p>
        </w:tc>
      </w:tr>
      <w:tr>
        <w:trPr>
          <w:gridAfter w:val="2"/>
          <w:wAfter w:w="26"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5" w:type="dxa"/>
            <w:gridSpan w:val="3"/>
          </w:tcPr>
          <w:p>
            <w:pPr>
              <w:pStyle w:val="nTable"/>
              <w:spacing w:after="40"/>
            </w:pPr>
            <w:r>
              <w:t xml:space="preserve">31 Jan 1998 (see s. 2 and </w:t>
            </w:r>
            <w:r>
              <w:rPr>
                <w:i/>
              </w:rPr>
              <w:t>Gazette</w:t>
            </w:r>
            <w:r>
              <w:t xml:space="preserve"> 30 Jan 1998 p. 577)</w:t>
            </w:r>
          </w:p>
        </w:tc>
      </w:tr>
      <w:tr>
        <w:trPr>
          <w:gridAfter w:val="2"/>
          <w:wAfter w:w="26"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5"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6"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6"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5"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6"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5" w:type="dxa"/>
            <w:gridSpan w:val="3"/>
          </w:tcPr>
          <w:p>
            <w:pPr>
              <w:pStyle w:val="nTable"/>
              <w:spacing w:after="40"/>
            </w:pPr>
            <w:r>
              <w:t>6 Jul 2000 (see s. 2(1))</w:t>
            </w:r>
          </w:p>
        </w:tc>
      </w:tr>
      <w:tr>
        <w:trPr>
          <w:gridAfter w:val="2"/>
          <w:wAfter w:w="26" w:type="dxa"/>
          <w:cantSplit/>
        </w:trPr>
        <w:tc>
          <w:tcPr>
            <w:tcW w:w="7093"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6"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5"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6"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5"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6"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5" w:type="dxa"/>
            <w:gridSpan w:val="3"/>
          </w:tcPr>
          <w:p>
            <w:pPr>
              <w:pStyle w:val="nTable"/>
              <w:spacing w:after="40"/>
            </w:pPr>
            <w:r>
              <w:t xml:space="preserve">28 Sep 2002 (see s. 2 and </w:t>
            </w:r>
            <w:r>
              <w:rPr>
                <w:i/>
              </w:rPr>
              <w:t>Gazette</w:t>
            </w:r>
            <w:r>
              <w:t xml:space="preserve"> 27 Sep 2002 p. 4877)</w:t>
            </w:r>
          </w:p>
        </w:tc>
      </w:tr>
      <w:tr>
        <w:trPr>
          <w:gridAfter w:val="2"/>
          <w:wAfter w:w="26"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5" w:type="dxa"/>
            <w:gridSpan w:val="3"/>
          </w:tcPr>
          <w:p>
            <w:pPr>
              <w:pStyle w:val="nTable"/>
              <w:spacing w:after="40"/>
            </w:pPr>
            <w:r>
              <w:t xml:space="preserve">1 Jul 2003 (see s. 2 and </w:t>
            </w:r>
            <w:r>
              <w:rPr>
                <w:i/>
              </w:rPr>
              <w:t xml:space="preserve">Gazette </w:t>
            </w:r>
            <w:r>
              <w:t>30 Jun 2003 p. 2579)</w:t>
            </w:r>
          </w:p>
        </w:tc>
      </w:tr>
      <w:tr>
        <w:trPr>
          <w:gridAfter w:val="2"/>
          <w:wAfter w:w="26"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5" w:type="dxa"/>
            <w:gridSpan w:val="3"/>
          </w:tcPr>
          <w:p>
            <w:pPr>
              <w:pStyle w:val="nTable"/>
              <w:spacing w:after="40"/>
            </w:pPr>
            <w:r>
              <w:t xml:space="preserve">1 Jul 2003 (see s. 2(1) and </w:t>
            </w:r>
            <w:r>
              <w:rPr>
                <w:i/>
              </w:rPr>
              <w:t xml:space="preserve">Gazette </w:t>
            </w:r>
            <w:r>
              <w:t>27 Jun 2003 p. 2384)</w:t>
            </w:r>
          </w:p>
        </w:tc>
      </w:tr>
      <w:tr>
        <w:trPr>
          <w:gridAfter w:val="2"/>
          <w:wAfter w:w="26"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5"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6"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5" w:type="dxa"/>
            <w:gridSpan w:val="3"/>
          </w:tcPr>
          <w:p>
            <w:pPr>
              <w:pStyle w:val="nTable"/>
              <w:spacing w:after="40"/>
            </w:pPr>
            <w:r>
              <w:rPr>
                <w:spacing w:val="-2"/>
              </w:rPr>
              <w:t>15 Dec 2003 (see s. 2)</w:t>
            </w:r>
          </w:p>
        </w:tc>
      </w:tr>
      <w:tr>
        <w:trPr>
          <w:gridAfter w:val="2"/>
          <w:wAfter w:w="26" w:type="dxa"/>
          <w:cantSplit/>
        </w:trPr>
        <w:tc>
          <w:tcPr>
            <w:tcW w:w="7093"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6"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5"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6"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5"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6"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5"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6"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5"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6"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5"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6" w:type="dxa"/>
          <w:cantSplit/>
        </w:trPr>
        <w:tc>
          <w:tcPr>
            <w:tcW w:w="7093"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6"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5"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6"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5"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6"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5"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6" w:type="dxa"/>
          <w:cantSplit/>
        </w:trPr>
        <w:tc>
          <w:tcPr>
            <w:tcW w:w="7093"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6"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5"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6"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5"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6"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5" w:type="dxa"/>
            <w:gridSpan w:val="3"/>
          </w:tcPr>
          <w:p>
            <w:pPr>
              <w:pStyle w:val="nTable"/>
              <w:spacing w:after="40"/>
            </w:pPr>
            <w:r>
              <w:t>17 Sep 2009 (see s. 2(b))</w:t>
            </w:r>
          </w:p>
        </w:tc>
      </w:tr>
      <w:tr>
        <w:trPr>
          <w:gridAfter w:val="2"/>
          <w:wAfter w:w="26" w:type="dxa"/>
          <w:cantSplit/>
        </w:trPr>
        <w:tc>
          <w:tcPr>
            <w:tcW w:w="7093"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14"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7"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14"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7"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14"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7"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14"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7"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14"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7"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7"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7" w:type="dxa"/>
            <w:gridSpan w:val="3"/>
            <w:shd w:val="clear" w:color="auto" w:fill="auto"/>
          </w:tcPr>
          <w:p>
            <w:pPr>
              <w:pStyle w:val="nTable"/>
              <w:spacing w:after="40"/>
              <w:rPr>
                <w:snapToGrid w:val="0"/>
              </w:rPr>
            </w:pPr>
            <w:r>
              <w:rPr>
                <w:snapToGrid w:val="0"/>
              </w:rPr>
              <w:t>26 Oct 2011 (see s. 2(b))</w:t>
            </w:r>
          </w:p>
        </w:tc>
      </w:tr>
      <w:tr>
        <w:trPr>
          <w:gridBefore w:val="1"/>
          <w:gridAfter w:val="1"/>
          <w:wBefore w:w="14" w:type="dxa"/>
          <w:wAfter w:w="10" w:type="dxa"/>
          <w:cantSplit/>
        </w:trPr>
        <w:tc>
          <w:tcPr>
            <w:tcW w:w="7095"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8"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5"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7"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14"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7"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14" w:type="dxa"/>
          <w:wAfter w:w="10"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14"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7"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14" w:type="dxa"/>
          <w:wAfter w:w="10" w:type="dxa"/>
          <w:cantSplit/>
        </w:trPr>
        <w:tc>
          <w:tcPr>
            <w:tcW w:w="7095" w:type="dxa"/>
            <w:gridSpan w:val="12"/>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14" w:type="dxa"/>
          <w:wAfter w:w="10" w:type="dxa"/>
          <w:cantSplit/>
        </w:trPr>
        <w:tc>
          <w:tcPr>
            <w:tcW w:w="2282" w:type="dxa"/>
            <w:gridSpan w:val="4"/>
            <w:shd w:val="clear" w:color="auto" w:fill="auto"/>
          </w:tcPr>
          <w:p>
            <w:pPr>
              <w:pStyle w:val="nTable"/>
              <w:spacing w:after="40"/>
              <w:rPr>
                <w:i/>
                <w:snapToGrid w:val="0"/>
                <w:szCs w:val="19"/>
              </w:rPr>
            </w:pPr>
            <w:r>
              <w:rPr>
                <w:i/>
                <w:snapToGrid w:val="0"/>
                <w:szCs w:val="19"/>
              </w:rPr>
              <w:t>Public Health (Consequential Provisions) Act 2016</w:t>
            </w:r>
            <w:r>
              <w:rPr>
                <w:snapToGrid w:val="0"/>
                <w:szCs w:val="19"/>
              </w:rPr>
              <w:t xml:space="preserve"> s. 101 and Pt. 3 Div. 17</w:t>
            </w:r>
          </w:p>
        </w:tc>
        <w:tc>
          <w:tcPr>
            <w:tcW w:w="1134" w:type="dxa"/>
            <w:gridSpan w:val="3"/>
            <w:shd w:val="clear" w:color="auto" w:fill="auto"/>
          </w:tcPr>
          <w:p>
            <w:pPr>
              <w:pStyle w:val="nTable"/>
              <w:spacing w:after="40"/>
            </w:pPr>
            <w:r>
              <w:t>19 of 2016</w:t>
            </w:r>
          </w:p>
        </w:tc>
        <w:tc>
          <w:tcPr>
            <w:tcW w:w="1134" w:type="dxa"/>
            <w:gridSpan w:val="3"/>
            <w:shd w:val="clear" w:color="auto" w:fill="auto"/>
          </w:tcPr>
          <w:p>
            <w:pPr>
              <w:pStyle w:val="nTable"/>
              <w:spacing w:after="40"/>
            </w:pPr>
            <w:r>
              <w:t>25 Jul 2016</w:t>
            </w:r>
          </w:p>
        </w:tc>
        <w:tc>
          <w:tcPr>
            <w:tcW w:w="2545" w:type="dxa"/>
            <w:gridSpan w:val="2"/>
            <w:shd w:val="clear" w:color="auto" w:fill="auto"/>
          </w:tcPr>
          <w:p>
            <w:pPr>
              <w:pStyle w:val="nTable"/>
              <w:spacing w:after="40"/>
              <w:rPr>
                <w:snapToGrid w:val="0"/>
              </w:rPr>
            </w:pPr>
            <w:r>
              <w:rPr>
                <w:snapToGrid w:val="0"/>
              </w:rPr>
              <w:t>24 Jan 2017 (see s. 2(1)(c) and Gazette 10 Jan 2017 p. 165)</w:t>
            </w:r>
          </w:p>
        </w:tc>
      </w:tr>
      <w:tr>
        <w:trPr>
          <w:gridBefore w:val="1"/>
          <w:gridAfter w:val="1"/>
          <w:wBefore w:w="14" w:type="dxa"/>
          <w:wAfter w:w="10" w:type="dxa"/>
          <w:cantSplit/>
        </w:trPr>
        <w:tc>
          <w:tcPr>
            <w:tcW w:w="2282" w:type="dxa"/>
            <w:gridSpan w:val="4"/>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20</w:t>
            </w:r>
          </w:p>
        </w:tc>
        <w:tc>
          <w:tcPr>
            <w:tcW w:w="1134" w:type="dxa"/>
            <w:gridSpan w:val="3"/>
            <w:shd w:val="clear" w:color="auto" w:fill="auto"/>
          </w:tcPr>
          <w:p>
            <w:pPr>
              <w:pStyle w:val="nTable"/>
              <w:spacing w:after="40"/>
              <w:rPr>
                <w:b/>
                <w:snapToGrid w:val="0"/>
              </w:rPr>
            </w:pPr>
            <w:r>
              <w:t>26 of 2016</w:t>
            </w:r>
          </w:p>
        </w:tc>
        <w:tc>
          <w:tcPr>
            <w:tcW w:w="1134" w:type="dxa"/>
            <w:gridSpan w:val="3"/>
            <w:shd w:val="clear" w:color="auto" w:fill="auto"/>
          </w:tcPr>
          <w:p>
            <w:pPr>
              <w:pStyle w:val="nTable"/>
              <w:spacing w:after="40"/>
              <w:rPr>
                <w:b/>
                <w:snapToGrid w:val="0"/>
              </w:rPr>
            </w:pPr>
            <w:r>
              <w:t>21 Sep 2016</w:t>
            </w:r>
          </w:p>
        </w:tc>
        <w:tc>
          <w:tcPr>
            <w:tcW w:w="2545" w:type="dxa"/>
            <w:gridSpan w:val="2"/>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1" w:type="dxa"/>
        </w:trPr>
        <w:tc>
          <w:tcPr>
            <w:tcW w:w="2296" w:type="dxa"/>
            <w:gridSpan w:val="5"/>
            <w:tcBorders>
              <w:top w:val="nil"/>
              <w:bottom w:val="single" w:sz="4" w:space="0" w:color="auto"/>
            </w:tcBorders>
          </w:tcPr>
          <w:p>
            <w:pPr>
              <w:pStyle w:val="nTable"/>
              <w:spacing w:after="40"/>
            </w:pPr>
            <w:r>
              <w:rPr>
                <w:i/>
              </w:rPr>
              <w:t>Liquor Control Amendment Act 2018</w:t>
            </w:r>
            <w:r>
              <w:t xml:space="preserve"> (other than s. 5, 8, 10, 12, 17, 18, 20</w:t>
            </w:r>
            <w:r>
              <w:noBreakHyphen/>
              <w:t>22, 25, 26, 32, 35, 36, 38, 39, 45, 46, 53, 56, 60, 62 and 63)</w:t>
            </w:r>
          </w:p>
        </w:tc>
        <w:tc>
          <w:tcPr>
            <w:tcW w:w="1134" w:type="dxa"/>
            <w:gridSpan w:val="3"/>
            <w:tcBorders>
              <w:top w:val="nil"/>
              <w:bottom w:val="single" w:sz="4" w:space="0" w:color="auto"/>
            </w:tcBorders>
          </w:tcPr>
          <w:p>
            <w:pPr>
              <w:pStyle w:val="nTable"/>
              <w:spacing w:after="40"/>
            </w:pPr>
            <w:r>
              <w:t>9 of 2018</w:t>
            </w:r>
          </w:p>
        </w:tc>
        <w:tc>
          <w:tcPr>
            <w:tcW w:w="1134" w:type="dxa"/>
            <w:gridSpan w:val="3"/>
            <w:tcBorders>
              <w:top w:val="nil"/>
              <w:bottom w:val="single" w:sz="4" w:space="0" w:color="auto"/>
            </w:tcBorders>
          </w:tcPr>
          <w:p>
            <w:pPr>
              <w:pStyle w:val="nTable"/>
              <w:spacing w:after="40"/>
            </w:pPr>
            <w:r>
              <w:t>13 Jul 2018</w:t>
            </w:r>
          </w:p>
        </w:tc>
        <w:tc>
          <w:tcPr>
            <w:tcW w:w="2524" w:type="dxa"/>
            <w:tcBorders>
              <w:top w:val="nil"/>
              <w:bottom w:val="single" w:sz="4" w:space="0" w:color="auto"/>
            </w:tcBorders>
          </w:tcPr>
          <w:p>
            <w:pPr>
              <w:pStyle w:val="nTable"/>
              <w:spacing w:after="40"/>
            </w:pPr>
            <w:r>
              <w:rPr>
                <w:snapToGrid w:val="0"/>
              </w:rPr>
              <w:t>s. 1 and 2: 13 Jul 2018 (see s. 2(a));</w:t>
            </w:r>
            <w:r>
              <w:rPr>
                <w:snapToGrid w:val="0"/>
              </w:rPr>
              <w:br/>
            </w:r>
            <w:r>
              <w:t>s. 3, 4, 6, 7, 9, 11, 13</w:t>
            </w:r>
            <w:r>
              <w:noBreakHyphen/>
              <w:t>16, 19, 23, 24, 27</w:t>
            </w:r>
            <w:r>
              <w:noBreakHyphen/>
              <w:t>31, 33, 34, 37, 40</w:t>
            </w:r>
            <w:r>
              <w:noBreakHyphen/>
              <w:t>44, 47</w:t>
            </w:r>
            <w:r>
              <w:noBreakHyphen/>
              <w:t>52, 54, 55, 57</w:t>
            </w:r>
            <w:r>
              <w:noBreakHyphen/>
              <w:t>59, 61 and 64</w:t>
            </w:r>
            <w:r>
              <w:noBreakHyphen/>
              <w:t xml:space="preserve">70: 18 Aug 2018 (see s. 2(b) and </w:t>
            </w:r>
            <w:r>
              <w:rPr>
                <w:i/>
              </w:rPr>
              <w:t>Gazette</w:t>
            </w:r>
            <w:r>
              <w:t xml:space="preserve"> 17 Aug 2018 p. 2893)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664" w:name="_Toc522197551"/>
      <w:r>
        <w:rPr>
          <w:snapToGrid w:val="0"/>
        </w:rPr>
        <w:t>Provisions that have not come into operation</w:t>
      </w:r>
      <w:bookmarkEnd w:id="664"/>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cantSplit/>
          <w:tblHeader/>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nil"/>
            </w:tcBorders>
          </w:tcPr>
          <w:p>
            <w:pPr>
              <w:pStyle w:val="nTable"/>
              <w:spacing w:after="40"/>
              <w:rPr>
                <w:noProof/>
                <w:snapToGrid w:val="0"/>
              </w:rPr>
            </w:pPr>
            <w:r>
              <w:rPr>
                <w:i/>
              </w:rPr>
              <w:t>Public Health (Consequential Provisions) Act 2016</w:t>
            </w:r>
            <w:r>
              <w:t xml:space="preserve"> Pt. 5 Div. 12</w:t>
            </w:r>
            <w:r>
              <w:rPr>
                <w:vertAlign w:val="superscript"/>
              </w:rPr>
              <w:t> 14</w:t>
            </w:r>
          </w:p>
        </w:tc>
        <w:tc>
          <w:tcPr>
            <w:tcW w:w="1134" w:type="dxa"/>
            <w:tcBorders>
              <w:top w:val="nil"/>
              <w:bottom w:val="nil"/>
            </w:tcBorders>
          </w:tcPr>
          <w:p>
            <w:pPr>
              <w:pStyle w:val="nTable"/>
              <w:spacing w:after="40"/>
            </w:pPr>
            <w:r>
              <w:t>19 of 2016</w:t>
            </w:r>
          </w:p>
        </w:tc>
        <w:tc>
          <w:tcPr>
            <w:tcW w:w="1134" w:type="dxa"/>
            <w:tcBorders>
              <w:top w:val="nil"/>
              <w:bottom w:val="nil"/>
            </w:tcBorders>
          </w:tcPr>
          <w:p>
            <w:pPr>
              <w:pStyle w:val="nTable"/>
              <w:spacing w:after="40"/>
            </w:pPr>
            <w:r>
              <w:t>25 Jul 2016</w:t>
            </w:r>
          </w:p>
        </w:tc>
        <w:tc>
          <w:tcPr>
            <w:tcW w:w="2524" w:type="dxa"/>
            <w:tcBorders>
              <w:top w:val="nil"/>
              <w:bottom w:val="nil"/>
            </w:tcBorders>
          </w:tcPr>
          <w:p>
            <w:pPr>
              <w:pStyle w:val="nTable"/>
              <w:spacing w:after="40"/>
              <w:rPr>
                <w:snapToGrid w:val="0"/>
              </w:rPr>
            </w:pPr>
            <w:r>
              <w:t>T</w:t>
            </w:r>
            <w:r>
              <w:rPr>
                <w:snapToGrid w:val="0"/>
              </w:rPr>
              <w: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pPr>
            <w:r>
              <w:rPr>
                <w:i/>
              </w:rPr>
              <w:t>Liquor Control Amendment Act 2018</w:t>
            </w:r>
            <w:r>
              <w:t xml:space="preserve"> s. 5, 8, 10, 12, 17, 18, 20</w:t>
            </w:r>
            <w:r>
              <w:noBreakHyphen/>
              <w:t>22, 25, 26, 32, 35, 36, 38, 39, 45, 46, 53, 56, 60, 62 and 63</w:t>
            </w:r>
            <w:r>
              <w:rPr>
                <w:vertAlign w:val="superscript"/>
              </w:rPr>
              <w:t> 15</w:t>
            </w:r>
          </w:p>
        </w:tc>
        <w:tc>
          <w:tcPr>
            <w:tcW w:w="1134" w:type="dxa"/>
            <w:tcBorders>
              <w:top w:val="nil"/>
              <w:bottom w:val="single" w:sz="4" w:space="0" w:color="auto"/>
            </w:tcBorders>
          </w:tcPr>
          <w:p>
            <w:pPr>
              <w:pStyle w:val="nTable"/>
              <w:spacing w:after="40"/>
            </w:pPr>
            <w:r>
              <w:t>9 of 2018</w:t>
            </w:r>
          </w:p>
        </w:tc>
        <w:tc>
          <w:tcPr>
            <w:tcW w:w="1134" w:type="dxa"/>
            <w:tcBorders>
              <w:top w:val="nil"/>
              <w:bottom w:val="single" w:sz="4" w:space="0" w:color="auto"/>
            </w:tcBorders>
          </w:tcPr>
          <w:p>
            <w:pPr>
              <w:pStyle w:val="nTable"/>
              <w:spacing w:after="40"/>
            </w:pPr>
            <w:r>
              <w:t>13 Jul 2018</w:t>
            </w:r>
          </w:p>
        </w:tc>
        <w:tc>
          <w:tcPr>
            <w:tcW w:w="2524" w:type="dxa"/>
            <w:tcBorders>
              <w:top w:val="nil"/>
              <w:bottom w:val="single" w:sz="4" w:space="0" w:color="auto"/>
            </w:tcBorders>
          </w:tcPr>
          <w:p>
            <w:pPr>
              <w:pStyle w:val="nTable"/>
              <w:spacing w:after="40"/>
            </w:pPr>
            <w: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Footnote no longer applicable.</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rPr>
        <w:tab/>
        <w:t>Footnote no longer applicable.</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Pt. 5 Div. 12 </w:t>
      </w:r>
      <w:r>
        <w:rPr>
          <w:snapToGrid w:val="0"/>
        </w:rPr>
        <w:t>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12</w:t>
      </w:r>
      <w:r>
        <w:t> — </w:t>
      </w:r>
      <w:r>
        <w:rPr>
          <w:rStyle w:val="CharDivText"/>
          <w:i/>
        </w:rPr>
        <w:t>Liquor Control Act 1988</w:t>
      </w:r>
      <w:r>
        <w:rPr>
          <w:rStyle w:val="CharDivText"/>
        </w:rPr>
        <w:t xml:space="preserve"> amended</w:t>
      </w:r>
    </w:p>
    <w:p>
      <w:pPr>
        <w:pStyle w:val="nzHeading5"/>
      </w:pPr>
      <w:r>
        <w:rPr>
          <w:rStyle w:val="CharSectno"/>
        </w:rPr>
        <w:t>300</w:t>
      </w:r>
      <w:r>
        <w:t>.</w:t>
      </w:r>
      <w:r>
        <w:tab/>
        <w:t xml:space="preserve">Act </w:t>
      </w:r>
      <w:r>
        <w:rPr>
          <w:iCs/>
        </w:rPr>
        <w:t>amended</w:t>
      </w:r>
    </w:p>
    <w:p>
      <w:pPr>
        <w:pStyle w:val="nzSubsection"/>
      </w:pPr>
      <w:r>
        <w:tab/>
      </w:r>
      <w:r>
        <w:tab/>
        <w:t xml:space="preserve">This Division amends the </w:t>
      </w:r>
      <w:r>
        <w:rPr>
          <w:i/>
        </w:rPr>
        <w:t>Liquor Control Act 1988</w:t>
      </w:r>
      <w:r>
        <w:t>.</w:t>
      </w:r>
    </w:p>
    <w:p>
      <w:pPr>
        <w:pStyle w:val="nzHeading5"/>
      </w:pPr>
      <w:r>
        <w:rPr>
          <w:rStyle w:val="CharSectno"/>
        </w:rPr>
        <w:t>301</w:t>
      </w:r>
      <w:r>
        <w:t>.</w:t>
      </w:r>
      <w:r>
        <w:tab/>
        <w:t>Section 39 amended</w:t>
      </w:r>
    </w:p>
    <w:p>
      <w:pPr>
        <w:pStyle w:val="nzSubsection"/>
      </w:pPr>
      <w:r>
        <w:tab/>
      </w:r>
      <w:r>
        <w:tab/>
        <w:t>In section 39(2)(a)(i) delete “</w:t>
      </w:r>
      <w:r>
        <w:rPr>
          <w:i/>
          <w:iCs/>
        </w:rPr>
        <w:t>Health (Miscellaneous Provisions) Act 1911</w:t>
      </w:r>
      <w:r>
        <w:t>; and” and insert:</w:t>
      </w:r>
    </w:p>
    <w:p>
      <w:pPr>
        <w:pStyle w:val="BlankOpen"/>
      </w:pPr>
    </w:p>
    <w:p>
      <w:pPr>
        <w:pStyle w:val="nzSubsection"/>
      </w:pPr>
      <w:r>
        <w:tab/>
      </w:r>
      <w:r>
        <w:tab/>
      </w:r>
      <w:r>
        <w:rPr>
          <w:i/>
          <w:iCs/>
        </w:rPr>
        <w:t>Public Health Act 2016</w:t>
      </w:r>
      <w:r>
        <w:t>; and</w:t>
      </w:r>
    </w:p>
    <w:p>
      <w:pPr>
        <w:pStyle w:val="BlankClose"/>
      </w:pPr>
    </w:p>
    <w:p>
      <w:pPr>
        <w:pStyle w:val="nzHeading5"/>
      </w:pPr>
      <w:r>
        <w:rPr>
          <w:rStyle w:val="CharSectno"/>
        </w:rPr>
        <w:t>302</w:t>
      </w:r>
      <w:r>
        <w:t>.</w:t>
      </w:r>
      <w:r>
        <w:tab/>
        <w:t>Section 69 amended</w:t>
      </w:r>
    </w:p>
    <w:p>
      <w:pPr>
        <w:pStyle w:val="nzSubsection"/>
      </w:pPr>
      <w:r>
        <w:tab/>
        <w:t>(1)</w:t>
      </w:r>
      <w:r>
        <w:tab/>
        <w:t>In section 69(8)(a) delete “</w:t>
      </w:r>
      <w:r>
        <w:rPr>
          <w:i/>
        </w:rPr>
        <w:t>Health (Miscellaneous Provisions) Act 1911</w:t>
      </w:r>
      <w:r>
        <w:t>; or” and insert:</w:t>
      </w:r>
    </w:p>
    <w:p>
      <w:pPr>
        <w:pStyle w:val="BlankOpen"/>
      </w:pPr>
    </w:p>
    <w:p>
      <w:pPr>
        <w:pStyle w:val="nzSubsection"/>
      </w:pPr>
      <w:r>
        <w:tab/>
      </w:r>
      <w:r>
        <w:tab/>
      </w:r>
      <w:r>
        <w:rPr>
          <w:i/>
          <w:iCs/>
        </w:rPr>
        <w:t>Public Health Act 2016</w:t>
      </w:r>
      <w:r>
        <w:t>; or</w:t>
      </w:r>
    </w:p>
    <w:p>
      <w:pPr>
        <w:pStyle w:val="BlankClose"/>
      </w:pPr>
    </w:p>
    <w:p>
      <w:pPr>
        <w:pStyle w:val="nzSubsection"/>
      </w:pPr>
      <w:r>
        <w:tab/>
        <w:t>(2)</w:t>
      </w:r>
      <w:r>
        <w:tab/>
        <w:t>In section 69(9A)(b) delete “</w:t>
      </w:r>
      <w:r>
        <w:rPr>
          <w:i/>
        </w:rPr>
        <w:t>Health (Miscellaneous Provisions) Act 1911</w:t>
      </w:r>
      <w:r>
        <w:t>.” and insert:</w:t>
      </w:r>
    </w:p>
    <w:p>
      <w:pPr>
        <w:pStyle w:val="BlankOpen"/>
      </w:pPr>
    </w:p>
    <w:p>
      <w:pPr>
        <w:pStyle w:val="nzSubsection"/>
      </w:pPr>
      <w:r>
        <w:tab/>
      </w:r>
      <w:r>
        <w:tab/>
      </w:r>
      <w:r>
        <w:rPr>
          <w:i/>
        </w:rPr>
        <w:t>Public Health Act 2016</w:t>
      </w:r>
      <w:r>
        <w:t>.</w:t>
      </w:r>
    </w:p>
    <w:p>
      <w:pPr>
        <w:pStyle w:val="BlankClose"/>
      </w:pPr>
    </w:p>
    <w:p>
      <w:pPr>
        <w:pStyle w:val="nzHeading5"/>
      </w:pPr>
      <w:r>
        <w:rPr>
          <w:rStyle w:val="CharSectno"/>
        </w:rPr>
        <w:t>303</w:t>
      </w:r>
      <w:r>
        <w:t>.</w:t>
      </w:r>
      <w:r>
        <w:tab/>
        <w:t>Section 95 amended</w:t>
      </w:r>
    </w:p>
    <w:p>
      <w:pPr>
        <w:pStyle w:val="nzSubsection"/>
      </w:pPr>
      <w:r>
        <w:tab/>
      </w:r>
      <w:r>
        <w:tab/>
        <w:t>In section 95(4)(f)(iii) after “</w:t>
      </w:r>
      <w:r>
        <w:rPr>
          <w:i/>
          <w:iCs/>
        </w:rPr>
        <w:t>Health (Miscellaneous Provisions) Act 1911</w:t>
      </w:r>
      <w:r>
        <w:t>” insert:</w:t>
      </w:r>
    </w:p>
    <w:p>
      <w:pPr>
        <w:pStyle w:val="BlankOpen"/>
      </w:pPr>
    </w:p>
    <w:p>
      <w:pPr>
        <w:pStyle w:val="nzSubsection"/>
      </w:pPr>
      <w:r>
        <w:tab/>
      </w:r>
      <w:r>
        <w:tab/>
        <w:t xml:space="preserve">or the </w:t>
      </w:r>
      <w:r>
        <w:rPr>
          <w:i/>
          <w:iCs/>
        </w:rPr>
        <w:t>Public Health Act 2016</w:t>
      </w:r>
    </w:p>
    <w:p>
      <w:pPr>
        <w:pStyle w:val="BlankClose"/>
      </w:pPr>
    </w:p>
    <w:p>
      <w:pPr>
        <w:pStyle w:val="nSubsection"/>
        <w:rPr>
          <w:snapToGrid w:val="0"/>
        </w:rPr>
      </w:pPr>
      <w:r>
        <w:rPr>
          <w:snapToGrid w:val="0"/>
          <w:vertAlign w:val="superscript"/>
        </w:rPr>
        <w:t>15</w:t>
      </w:r>
      <w:r>
        <w:rPr>
          <w:snapToGrid w:val="0"/>
        </w:rPr>
        <w:tab/>
        <w:t xml:space="preserve">On the date as at which this compilation was prepared, the </w:t>
      </w:r>
      <w:r>
        <w:rPr>
          <w:i/>
        </w:rPr>
        <w:t>Liquor Control Amendment Act 2018</w:t>
      </w:r>
      <w:r>
        <w:t xml:space="preserve"> s. 5, 8, 10, 12, 17, 18, 20</w:t>
      </w:r>
      <w:r>
        <w:noBreakHyphen/>
        <w:t xml:space="preserve">22, 25, 26, 32, 35, 36, 38, 39, 45, 46, 53, 56, 60, 62 and 63 </w:t>
      </w:r>
      <w:r>
        <w:rPr>
          <w:snapToGrid w:val="0"/>
        </w:rPr>
        <w:t>had not come into operation.  They read as follows:</w:t>
      </w:r>
    </w:p>
    <w:p>
      <w:pPr>
        <w:pStyle w:val="BlankOpen"/>
      </w:pPr>
    </w:p>
    <w:p>
      <w:pPr>
        <w:pStyle w:val="nzHeading5"/>
      </w:pPr>
      <w:bookmarkStart w:id="665" w:name="_Toc518626495"/>
      <w:bookmarkStart w:id="666" w:name="_Toc519495306"/>
      <w:r>
        <w:rPr>
          <w:rStyle w:val="CharSectno"/>
        </w:rPr>
        <w:t>5</w:t>
      </w:r>
      <w:r>
        <w:t>.</w:t>
      </w:r>
      <w:r>
        <w:tab/>
        <w:t>Section 4 amended</w:t>
      </w:r>
      <w:bookmarkEnd w:id="665"/>
      <w:bookmarkEnd w:id="666"/>
    </w:p>
    <w:p>
      <w:pPr>
        <w:pStyle w:val="nzSubsection"/>
      </w:pPr>
      <w:r>
        <w:tab/>
      </w:r>
      <w:r>
        <w:tab/>
        <w:t>In section 4(6) delete “licensee,” and insert:</w:t>
      </w:r>
    </w:p>
    <w:p>
      <w:pPr>
        <w:pStyle w:val="BlankOpen"/>
      </w:pPr>
    </w:p>
    <w:p>
      <w:pPr>
        <w:pStyle w:val="nzSubsection"/>
      </w:pPr>
      <w:r>
        <w:tab/>
      </w:r>
      <w:r>
        <w:tab/>
        <w:t>licensee of a producer’s licence, a wholesaler’s licence or a special facility licence of a prescribed type,</w:t>
      </w:r>
    </w:p>
    <w:p>
      <w:pPr>
        <w:pStyle w:val="BlankClose"/>
      </w:pPr>
    </w:p>
    <w:p>
      <w:pPr>
        <w:pStyle w:val="nzHeading5"/>
      </w:pPr>
      <w:bookmarkStart w:id="667" w:name="_Toc518626498"/>
      <w:bookmarkStart w:id="668" w:name="_Toc519495309"/>
      <w:r>
        <w:rPr>
          <w:rStyle w:val="CharSectno"/>
        </w:rPr>
        <w:t>8</w:t>
      </w:r>
      <w:r>
        <w:t>.</w:t>
      </w:r>
      <w:r>
        <w:tab/>
        <w:t>Section 16 amended</w:t>
      </w:r>
      <w:bookmarkEnd w:id="667"/>
      <w:bookmarkEnd w:id="668"/>
    </w:p>
    <w:p>
      <w:pPr>
        <w:pStyle w:val="nzSubsection"/>
      </w:pPr>
      <w:r>
        <w:tab/>
        <w:t>(1)</w:t>
      </w:r>
      <w:r>
        <w:tab/>
        <w:t>Delete section 16(8) and insert:</w:t>
      </w:r>
    </w:p>
    <w:p>
      <w:pPr>
        <w:pStyle w:val="BlankOpen"/>
        <w:widowControl w:val="0"/>
      </w:pPr>
    </w:p>
    <w:p>
      <w:pPr>
        <w:pStyle w:val="nzSubsection"/>
      </w:pPr>
      <w:r>
        <w:tab/>
        <w:t>(8)</w:t>
      </w:r>
      <w:r>
        <w:tab/>
        <w:t>The hearing of a proceeding before the Commission must be in public unless the Commission considers that, in the circumstances of the case, the hearing should be in private.</w:t>
      </w:r>
    </w:p>
    <w:p>
      <w:pPr>
        <w:pStyle w:val="BlankClose"/>
        <w:keepNext/>
        <w:widowControl w:val="0"/>
      </w:pPr>
    </w:p>
    <w:p>
      <w:pPr>
        <w:pStyle w:val="nzSubsection"/>
      </w:pPr>
      <w:r>
        <w:tab/>
        <w:t>(2)</w:t>
      </w:r>
      <w:r>
        <w:tab/>
        <w:t>In section 16(9) delete “Commission is in private, the Commission,” and insert:</w:t>
      </w:r>
    </w:p>
    <w:p>
      <w:pPr>
        <w:pStyle w:val="BlankOpen"/>
      </w:pPr>
    </w:p>
    <w:p>
      <w:pPr>
        <w:pStyle w:val="nzSubsection"/>
      </w:pPr>
      <w:r>
        <w:tab/>
      </w:r>
      <w:r>
        <w:tab/>
        <w:t>licensing authority, however constituted, is in private, the licensing authority,</w:t>
      </w:r>
    </w:p>
    <w:p>
      <w:pPr>
        <w:pStyle w:val="BlankClose"/>
      </w:pPr>
    </w:p>
    <w:p>
      <w:pPr>
        <w:pStyle w:val="nzSubsection"/>
      </w:pPr>
      <w:r>
        <w:tab/>
        <w:t>(3)</w:t>
      </w:r>
      <w:r>
        <w:tab/>
        <w:t>Delete section 16(11) and insert:</w:t>
      </w:r>
    </w:p>
    <w:p>
      <w:pPr>
        <w:pStyle w:val="BlankOpen"/>
      </w:pPr>
    </w:p>
    <w:p>
      <w:pPr>
        <w:pStyle w:val="nzSubsection"/>
      </w:pPr>
      <w:r>
        <w:tab/>
        <w:t>(11)</w:t>
      </w:r>
      <w:r>
        <w:tab/>
        <w:t xml:space="preserve">Subject to subsections (8) and (9) and section 30, the licensing authority must ensure that each party to proceedings is given a reasonable opportunity to — </w:t>
      </w:r>
    </w:p>
    <w:p>
      <w:pPr>
        <w:pStyle w:val="nzIndenta"/>
      </w:pPr>
      <w:r>
        <w:tab/>
        <w:t>(a)</w:t>
      </w:r>
      <w:r>
        <w:tab/>
        <w:t>present its case to the licensing authority; and</w:t>
      </w:r>
    </w:p>
    <w:p>
      <w:pPr>
        <w:pStyle w:val="nzIndenta"/>
      </w:pPr>
      <w:r>
        <w:tab/>
        <w:t>(b)</w:t>
      </w:r>
      <w:r>
        <w:tab/>
        <w:t xml:space="preserve">inspect any documents — </w:t>
      </w:r>
    </w:p>
    <w:p>
      <w:pPr>
        <w:pStyle w:val="nzIndenti"/>
      </w:pPr>
      <w:r>
        <w:tab/>
        <w:t>(i)</w:t>
      </w:r>
      <w:r>
        <w:tab/>
        <w:t>to which the licensing authority proposes to have regard in making a determination in the proceedings; and</w:t>
      </w:r>
    </w:p>
    <w:p>
      <w:pPr>
        <w:pStyle w:val="nzIndenti"/>
      </w:pPr>
      <w:r>
        <w:tab/>
        <w:t>(ii)</w:t>
      </w:r>
      <w:r>
        <w:tab/>
        <w:t>that are relevant to the party’s case;</w:t>
      </w:r>
    </w:p>
    <w:p>
      <w:pPr>
        <w:pStyle w:val="nzIndenta"/>
      </w:pPr>
      <w:r>
        <w:tab/>
      </w:r>
      <w:r>
        <w:tab/>
        <w:t>and</w:t>
      </w:r>
    </w:p>
    <w:p>
      <w:pPr>
        <w:pStyle w:val="nzIndenta"/>
      </w:pPr>
      <w:r>
        <w:tab/>
        <w:t>(c)</w:t>
      </w:r>
      <w:r>
        <w:tab/>
        <w:t>make submissions in relation to any documents inspected under paragraph (b).</w:t>
      </w:r>
    </w:p>
    <w:p>
      <w:pPr>
        <w:pStyle w:val="BlankClose"/>
      </w:pPr>
    </w:p>
    <w:p>
      <w:pPr>
        <w:pStyle w:val="nzHeading5"/>
      </w:pPr>
      <w:bookmarkStart w:id="669" w:name="_Toc518626501"/>
      <w:bookmarkStart w:id="670" w:name="_Toc519495312"/>
      <w:r>
        <w:rPr>
          <w:rStyle w:val="CharSectno"/>
        </w:rPr>
        <w:t>10</w:t>
      </w:r>
      <w:r>
        <w:t>.</w:t>
      </w:r>
      <w:r>
        <w:tab/>
        <w:t>Section 22 amended</w:t>
      </w:r>
      <w:bookmarkEnd w:id="669"/>
      <w:bookmarkEnd w:id="670"/>
    </w:p>
    <w:p>
      <w:pPr>
        <w:pStyle w:val="nzSubsection"/>
      </w:pPr>
      <w:r>
        <w:tab/>
      </w:r>
      <w:r>
        <w:tab/>
        <w:t>In section 22 delete “Commission,” and insert:</w:t>
      </w:r>
    </w:p>
    <w:p>
      <w:pPr>
        <w:pStyle w:val="BlankOpen"/>
      </w:pPr>
    </w:p>
    <w:p>
      <w:pPr>
        <w:pStyle w:val="nzSubsection"/>
      </w:pPr>
      <w:r>
        <w:tab/>
      </w:r>
      <w:r>
        <w:tab/>
        <w:t>Commission constituted by the chairperson and 2 other members,</w:t>
      </w:r>
    </w:p>
    <w:p>
      <w:pPr>
        <w:pStyle w:val="BlankClose"/>
      </w:pPr>
    </w:p>
    <w:p>
      <w:pPr>
        <w:pStyle w:val="nzHeading5"/>
      </w:pPr>
      <w:bookmarkStart w:id="671" w:name="_Toc518626503"/>
      <w:bookmarkStart w:id="672" w:name="_Toc519495314"/>
      <w:r>
        <w:rPr>
          <w:rStyle w:val="CharSectno"/>
        </w:rPr>
        <w:t>12</w:t>
      </w:r>
      <w:r>
        <w:t>.</w:t>
      </w:r>
      <w:r>
        <w:tab/>
        <w:t>Section 25A inserted</w:t>
      </w:r>
      <w:bookmarkEnd w:id="671"/>
      <w:bookmarkEnd w:id="672"/>
    </w:p>
    <w:p>
      <w:pPr>
        <w:pStyle w:val="nzSubsection"/>
      </w:pPr>
      <w:r>
        <w:tab/>
      </w:r>
      <w:r>
        <w:tab/>
        <w:t>After section 25 insert:</w:t>
      </w:r>
    </w:p>
    <w:p>
      <w:pPr>
        <w:pStyle w:val="BlankOpen"/>
      </w:pPr>
    </w:p>
    <w:p>
      <w:pPr>
        <w:pStyle w:val="nzHeading5"/>
      </w:pPr>
      <w:bookmarkStart w:id="673" w:name="_Toc518626504"/>
      <w:bookmarkStart w:id="674" w:name="_Toc519495315"/>
      <w:r>
        <w:t>25A.</w:t>
      </w:r>
      <w:r>
        <w:tab/>
        <w:t>Commission may refer application for review to State Administrative Tribunal</w:t>
      </w:r>
      <w:bookmarkEnd w:id="673"/>
      <w:bookmarkEnd w:id="674"/>
    </w:p>
    <w:p>
      <w:pPr>
        <w:pStyle w:val="nzSubsection"/>
      </w:pPr>
      <w:r>
        <w:tab/>
        <w:t>(1)</w:t>
      </w:r>
      <w:r>
        <w:tab/>
        <w:t xml:space="preserve">If an application is made to the Commission under section 25(1) for a review of a decision, the Commission may, instead of conducting the review, refer the application to the State Administrative Tribunal (the </w:t>
      </w:r>
      <w:r>
        <w:rPr>
          <w:rStyle w:val="CharDefText"/>
        </w:rPr>
        <w:t>Tribunal</w:t>
      </w:r>
      <w:r>
        <w:t>) for a review of the decision.</w:t>
      </w:r>
    </w:p>
    <w:p>
      <w:pPr>
        <w:pStyle w:val="nzSubsection"/>
      </w:pPr>
      <w:r>
        <w:tab/>
        <w:t>(2)</w:t>
      </w:r>
      <w:r>
        <w:tab/>
        <w:t>An application cannot be referred under subsection (1) unless the President of the Tribunal agrees to the referral.</w:t>
      </w:r>
    </w:p>
    <w:p>
      <w:pPr>
        <w:pStyle w:val="nzSubsection"/>
      </w:pPr>
      <w:r>
        <w:tab/>
        <w:t>(3)</w:t>
      </w:r>
      <w:r>
        <w:tab/>
        <w:t xml:space="preserve">If an application is referred under subsection (1), the person who made the application is to be regarded as the applicant for the purposes of the exercise of the Tribunal’s review jurisdiction under the </w:t>
      </w:r>
      <w:r>
        <w:rPr>
          <w:i/>
        </w:rPr>
        <w:t>State Administrative Tribunal Act 2004</w:t>
      </w:r>
      <w:r>
        <w:t>.</w:t>
      </w:r>
    </w:p>
    <w:p>
      <w:pPr>
        <w:pStyle w:val="nzSubsection"/>
      </w:pPr>
      <w:r>
        <w:tab/>
        <w:t>(4)</w:t>
      </w:r>
      <w:r>
        <w:tab/>
        <w:t>When conducting a review under this section, the Tribunal may have regard only to the material that was before the Director when making the decision.</w:t>
      </w:r>
    </w:p>
    <w:p>
      <w:pPr>
        <w:pStyle w:val="nzSubsection"/>
      </w:pPr>
      <w:r>
        <w:tab/>
        <w:t>(5)</w:t>
      </w:r>
      <w:r>
        <w:tab/>
        <w:t>When conducting a review under this section involving a question of law or giving directions as to any question of law reviewed, the Tribunal is to be constituted by, or is to include, a lawyer.</w:t>
      </w:r>
    </w:p>
    <w:p>
      <w:pPr>
        <w:pStyle w:val="nzSubsection"/>
      </w:pPr>
      <w:r>
        <w:tab/>
        <w:t>(6)</w:t>
      </w:r>
      <w:r>
        <w:tab/>
        <w:t>Section 25(3) applies to a review under this section as if it were a review under section 25.</w:t>
      </w:r>
    </w:p>
    <w:p>
      <w:pPr>
        <w:pStyle w:val="nzSubsection"/>
      </w:pPr>
      <w:r>
        <w:tab/>
        <w:t>(7)</w:t>
      </w:r>
      <w:r>
        <w:tab/>
        <w:t>On a review under this section, the Tribunal has the powers conferred on the Commission under section 25(4).</w:t>
      </w:r>
    </w:p>
    <w:p>
      <w:pPr>
        <w:pStyle w:val="BlankClose"/>
      </w:pPr>
    </w:p>
    <w:p>
      <w:pPr>
        <w:pStyle w:val="nzHeading5"/>
      </w:pPr>
      <w:bookmarkStart w:id="675" w:name="_Toc518626509"/>
      <w:bookmarkStart w:id="676" w:name="_Toc519495320"/>
      <w:r>
        <w:rPr>
          <w:rStyle w:val="CharSectno"/>
        </w:rPr>
        <w:t>17</w:t>
      </w:r>
      <w:r>
        <w:t>.</w:t>
      </w:r>
      <w:r>
        <w:tab/>
        <w:t>Section 36A amended</w:t>
      </w:r>
      <w:bookmarkEnd w:id="675"/>
      <w:bookmarkEnd w:id="676"/>
    </w:p>
    <w:p>
      <w:pPr>
        <w:pStyle w:val="nzSubsection"/>
      </w:pPr>
      <w:r>
        <w:tab/>
      </w:r>
      <w:r>
        <w:tab/>
        <w:t>In section 36A(2) delete “shall not approve” and insert:</w:t>
      </w:r>
    </w:p>
    <w:p>
      <w:pPr>
        <w:pStyle w:val="BlankOpen"/>
      </w:pPr>
    </w:p>
    <w:p>
      <w:pPr>
        <w:pStyle w:val="nzSubsection"/>
      </w:pPr>
      <w:r>
        <w:tab/>
      </w:r>
      <w:r>
        <w:tab/>
        <w:t xml:space="preserve">must not grant an application for </w:t>
      </w:r>
    </w:p>
    <w:p>
      <w:pPr>
        <w:pStyle w:val="BlankClose"/>
      </w:pPr>
    </w:p>
    <w:p>
      <w:pPr>
        <w:pStyle w:val="nzHeading5"/>
      </w:pPr>
      <w:bookmarkStart w:id="677" w:name="_Toc518626510"/>
      <w:bookmarkStart w:id="678" w:name="_Toc519495321"/>
      <w:r>
        <w:rPr>
          <w:rStyle w:val="CharSectno"/>
        </w:rPr>
        <w:t>18</w:t>
      </w:r>
      <w:r>
        <w:t>.</w:t>
      </w:r>
      <w:r>
        <w:tab/>
        <w:t>Section 36B inserted</w:t>
      </w:r>
      <w:bookmarkEnd w:id="677"/>
      <w:bookmarkEnd w:id="678"/>
    </w:p>
    <w:p>
      <w:pPr>
        <w:pStyle w:val="nzSubsection"/>
      </w:pPr>
      <w:r>
        <w:tab/>
      </w:r>
      <w:r>
        <w:tab/>
        <w:t>After section 36A insert:</w:t>
      </w:r>
    </w:p>
    <w:p>
      <w:pPr>
        <w:pStyle w:val="BlankOpen"/>
      </w:pPr>
    </w:p>
    <w:p>
      <w:pPr>
        <w:pStyle w:val="nzHeading5"/>
      </w:pPr>
      <w:bookmarkStart w:id="679" w:name="_Toc518626511"/>
      <w:bookmarkStart w:id="680" w:name="_Toc519495322"/>
      <w:r>
        <w:t>36B.</w:t>
      </w:r>
      <w:r>
        <w:tab/>
        <w:t>Restrictions on grant or removal of certain licences authorising sale of packaged liquor</w:t>
      </w:r>
      <w:bookmarkEnd w:id="679"/>
      <w:bookmarkEnd w:id="680"/>
    </w:p>
    <w:p>
      <w:pPr>
        <w:pStyle w:val="nzSubsection"/>
      </w:pPr>
      <w:r>
        <w:tab/>
        <w:t>(1)</w:t>
      </w:r>
      <w:r>
        <w:tab/>
        <w:t xml:space="preserve">In this section — </w:t>
      </w:r>
    </w:p>
    <w:p>
      <w:pPr>
        <w:pStyle w:val="nzDefstart"/>
      </w:pPr>
      <w:r>
        <w:tab/>
      </w:r>
      <w:r>
        <w:rPr>
          <w:rStyle w:val="CharDefText"/>
        </w:rPr>
        <w:t>local packaged liquor requirements</w:t>
      </w:r>
      <w:r>
        <w:t>, in relation to an application to which this section applies, means the requirements of consumers for packaged liquor in the locality in which the proposed licensed premises are, or are to be, situated;</w:t>
      </w:r>
    </w:p>
    <w:p>
      <w:pPr>
        <w:pStyle w:val="nzDefstart"/>
      </w:pPr>
      <w:r>
        <w:tab/>
      </w:r>
      <w:r>
        <w:rPr>
          <w:rStyle w:val="CharDefText"/>
        </w:rPr>
        <w:t>packaged liquor premises</w:t>
      </w:r>
      <w:r>
        <w:t xml:space="preserve"> means premises to which a licence referred to in subsection (2) relates;</w:t>
      </w:r>
    </w:p>
    <w:p>
      <w:pPr>
        <w:pStyle w:val="nzDefstart"/>
      </w:pPr>
      <w:r>
        <w:tab/>
      </w:r>
      <w:r>
        <w:rPr>
          <w:rStyle w:val="CharDefText"/>
        </w:rPr>
        <w:t>prescribed area</w:t>
      </w:r>
      <w:r>
        <w:t xml:space="preserve"> means the area prescribed for the purposes of this section;</w:t>
      </w:r>
    </w:p>
    <w:p>
      <w:pPr>
        <w:pStyle w:val="nzDefstart"/>
      </w:pPr>
      <w:r>
        <w:tab/>
      </w:r>
      <w:r>
        <w:rPr>
          <w:rStyle w:val="CharDefText"/>
        </w:rPr>
        <w:t xml:space="preserve">prescribed distance </w:t>
      </w:r>
      <w:r>
        <w:t>means the distance prescribed for the purposes of this section;</w:t>
      </w:r>
    </w:p>
    <w:p>
      <w:pPr>
        <w:pStyle w:val="nzDefstart"/>
      </w:pPr>
      <w:r>
        <w:tab/>
      </w:r>
      <w:r>
        <w:rPr>
          <w:rStyle w:val="CharDefText"/>
        </w:rPr>
        <w:t>proposed licensed premises</w:t>
      </w:r>
      <w:r>
        <w:t xml:space="preserve">, in relation to an application to which this section applies, means — </w:t>
      </w:r>
    </w:p>
    <w:p>
      <w:pPr>
        <w:pStyle w:val="nzDefpara"/>
      </w:pPr>
      <w:r>
        <w:tab/>
        <w:t>(a)</w:t>
      </w:r>
      <w:r>
        <w:tab/>
        <w:t>if the application is for the grant of a licence — the premises to which the application relates; or</w:t>
      </w:r>
    </w:p>
    <w:p>
      <w:pPr>
        <w:pStyle w:val="nzDefpara"/>
      </w:pPr>
      <w:r>
        <w:tab/>
        <w:t>(b)</w:t>
      </w:r>
      <w:r>
        <w:tab/>
        <w:t>if the application is for the removal of a licence — the premises to which the licence is sought to be removed;</w:t>
      </w:r>
    </w:p>
    <w:p>
      <w:pPr>
        <w:pStyle w:val="nzDefstart"/>
        <w:rPr>
          <w:rStyle w:val="CharDefText"/>
          <w:b w:val="0"/>
          <w:i w:val="0"/>
        </w:rPr>
      </w:pPr>
      <w:r>
        <w:tab/>
      </w:r>
      <w:r>
        <w:rPr>
          <w:rStyle w:val="CharDefText"/>
        </w:rPr>
        <w:t xml:space="preserve">retail section — </w:t>
      </w:r>
    </w:p>
    <w:p>
      <w:pPr>
        <w:pStyle w:val="nzDefpara"/>
      </w:pPr>
      <w:r>
        <w:tab/>
        <w:t>(a)</w:t>
      </w:r>
      <w:r>
        <w:tab/>
        <w:t>in relation to packaged liquor premises — means the part or parts of the premises on which packaged liquor is displayed for the purposes of sale or sold; and</w:t>
      </w:r>
    </w:p>
    <w:p>
      <w:pPr>
        <w:pStyle w:val="nzDefpara"/>
      </w:pPr>
      <w:r>
        <w:tab/>
        <w:t>(b)</w:t>
      </w:r>
      <w:r>
        <w:tab/>
        <w:t>in relation to proposed licensed premises — means the part or parts of the premises on which packaged liquor is to be displayed for the purposes of sale or sold.</w:t>
      </w:r>
    </w:p>
    <w:p>
      <w:pPr>
        <w:pStyle w:val="nzSubsection"/>
      </w:pPr>
      <w:r>
        <w:tab/>
        <w:t>(2)</w:t>
      </w:r>
      <w:r>
        <w:tab/>
        <w:t xml:space="preserve">This section applies to an application for the grant or removal of any of the following licences — </w:t>
      </w:r>
    </w:p>
    <w:p>
      <w:pPr>
        <w:pStyle w:val="nzIndenta"/>
      </w:pPr>
      <w:r>
        <w:tab/>
        <w:t>(a)</w:t>
      </w:r>
      <w:r>
        <w:tab/>
        <w:t>a hotel licence without restriction;</w:t>
      </w:r>
    </w:p>
    <w:p>
      <w:pPr>
        <w:pStyle w:val="nzIndenta"/>
      </w:pPr>
      <w:r>
        <w:tab/>
        <w:t>(b)</w:t>
      </w:r>
      <w:r>
        <w:tab/>
        <w:t>a tavern licence;</w:t>
      </w:r>
    </w:p>
    <w:p>
      <w:pPr>
        <w:pStyle w:val="nzIndenta"/>
      </w:pPr>
      <w:r>
        <w:tab/>
        <w:t>(c)</w:t>
      </w:r>
      <w:r>
        <w:tab/>
        <w:t>a liquor store licence;</w:t>
      </w:r>
    </w:p>
    <w:p>
      <w:pPr>
        <w:pStyle w:val="nzIndenta"/>
      </w:pPr>
      <w:r>
        <w:tab/>
        <w:t>(d)</w:t>
      </w:r>
      <w:r>
        <w:tab/>
        <w:t>a special facility licence of a prescribed type.</w:t>
      </w:r>
    </w:p>
    <w:p>
      <w:pPr>
        <w:pStyle w:val="nzSubsection"/>
      </w:pPr>
      <w:r>
        <w:tab/>
        <w:t>(3)</w:t>
      </w:r>
      <w:r>
        <w:tab/>
        <w:t xml:space="preserve">The licensing authority must not hear or determine an application to which this section applies if — </w:t>
      </w:r>
    </w:p>
    <w:p>
      <w:pPr>
        <w:pStyle w:val="nzIndenta"/>
      </w:pPr>
      <w:r>
        <w:tab/>
        <w:t>(a)</w:t>
      </w:r>
      <w:r>
        <w:tab/>
        <w:t>packaged liquor premises are situated less than the prescribed distance from the proposed licensed premises; and</w:t>
      </w:r>
    </w:p>
    <w:p>
      <w:pPr>
        <w:pStyle w:val="nzIndenta"/>
      </w:pPr>
      <w:r>
        <w:tab/>
        <w:t>(b)</w:t>
      </w:r>
      <w:r>
        <w:tab/>
        <w:t>the area of the retail section of those packaged liquor premises exceeds the prescribed area; and</w:t>
      </w:r>
    </w:p>
    <w:p>
      <w:pPr>
        <w:pStyle w:val="nzIndenta"/>
      </w:pPr>
      <w:r>
        <w:tab/>
        <w:t>(c)</w:t>
      </w:r>
      <w:r>
        <w:tab/>
        <w:t>the area of the retail section of the proposed licensed premises exceeds the prescribed area.</w:t>
      </w:r>
    </w:p>
    <w:p>
      <w:pPr>
        <w:pStyle w:val="nzSubsection"/>
      </w:pPr>
      <w:r>
        <w:tab/>
        <w:t>(4)</w:t>
      </w:r>
      <w:r>
        <w:tab/>
        <w:t>The licensing authority must not grant an application to which this section applies unless satisfied that local packaged liquor requirements cannot reasonably be met by existing packaged liquor premises in the locality in which the proposed licensed premises are, or are to be, situated.</w:t>
      </w:r>
    </w:p>
    <w:p>
      <w:pPr>
        <w:pStyle w:val="nzSubsection"/>
      </w:pPr>
      <w:r>
        <w:tab/>
        <w:t>(5)</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nzHeading5"/>
      </w:pPr>
      <w:bookmarkStart w:id="681" w:name="_Toc518626514"/>
      <w:bookmarkStart w:id="682" w:name="_Toc519495325"/>
      <w:r>
        <w:rPr>
          <w:rStyle w:val="CharSectno"/>
        </w:rPr>
        <w:t>20</w:t>
      </w:r>
      <w:r>
        <w:t>.</w:t>
      </w:r>
      <w:r>
        <w:tab/>
        <w:t>Section 38 amended</w:t>
      </w:r>
      <w:bookmarkEnd w:id="681"/>
      <w:bookmarkEnd w:id="682"/>
    </w:p>
    <w:p>
      <w:pPr>
        <w:pStyle w:val="nzSubsection"/>
      </w:pPr>
      <w:r>
        <w:tab/>
        <w:t>(1)</w:t>
      </w:r>
      <w:r>
        <w:tab/>
        <w:t>In section 38(1)(a) delete “licence; or” and insert:</w:t>
      </w:r>
    </w:p>
    <w:p>
      <w:pPr>
        <w:pStyle w:val="BlankOpen"/>
      </w:pPr>
    </w:p>
    <w:p>
      <w:pPr>
        <w:pStyle w:val="nzSubsection"/>
      </w:pPr>
      <w:r>
        <w:tab/>
      </w:r>
      <w:r>
        <w:tab/>
        <w:t>licence of a kind prescribed; or</w:t>
      </w:r>
    </w:p>
    <w:p>
      <w:pPr>
        <w:pStyle w:val="BlankClose"/>
      </w:pPr>
    </w:p>
    <w:p>
      <w:pPr>
        <w:pStyle w:val="nzSubsection"/>
      </w:pPr>
      <w:r>
        <w:tab/>
        <w:t>(2)</w:t>
      </w:r>
      <w:r>
        <w:tab/>
        <w:t>In section 38(4):</w:t>
      </w:r>
    </w:p>
    <w:p>
      <w:pPr>
        <w:pStyle w:val="nzIndenta"/>
      </w:pPr>
      <w:r>
        <w:tab/>
        <w:t>(a)</w:t>
      </w:r>
      <w:r>
        <w:tab/>
        <w:t>delete paragraph (b) and insert:</w:t>
      </w:r>
    </w:p>
    <w:p>
      <w:pPr>
        <w:pStyle w:val="BlankOpen"/>
      </w:pPr>
    </w:p>
    <w:p>
      <w:pPr>
        <w:pStyle w:val="nzIndenta"/>
      </w:pPr>
      <w:r>
        <w:tab/>
        <w:t>(b)</w:t>
      </w:r>
      <w:r>
        <w:tab/>
        <w:t>whether the amenity, quiet or good order of the locality in which the licensed premises or proposed licensed premises are, or are to be, situated might in some manner be lessened; and</w:t>
      </w:r>
    </w:p>
    <w:p>
      <w:pPr>
        <w:pStyle w:val="BlankClose"/>
      </w:pPr>
    </w:p>
    <w:p>
      <w:pPr>
        <w:pStyle w:val="nzIndenta"/>
      </w:pPr>
      <w:r>
        <w:tab/>
        <w:t>(b)</w:t>
      </w:r>
      <w:r>
        <w:tab/>
        <w:t>after paragraph (c) insert:</w:t>
      </w:r>
    </w:p>
    <w:p>
      <w:pPr>
        <w:pStyle w:val="BlankOpen"/>
      </w:pPr>
    </w:p>
    <w:p>
      <w:pPr>
        <w:pStyle w:val="nzIndenta"/>
      </w:pPr>
      <w:r>
        <w:tab/>
        <w:t>(ca)</w:t>
      </w:r>
      <w:r>
        <w:tab/>
        <w:t>any effect the granting of the application might have in relation to tourism, or community or cultural matters; and</w:t>
      </w:r>
    </w:p>
    <w:p>
      <w:pPr>
        <w:pStyle w:val="BlankClose"/>
      </w:pPr>
    </w:p>
    <w:p>
      <w:pPr>
        <w:pStyle w:val="nzSubsection"/>
      </w:pPr>
      <w:r>
        <w:tab/>
        <w:t>(3)</w:t>
      </w:r>
      <w:r>
        <w:tab/>
        <w:t>After section 38(6) insert:</w:t>
      </w:r>
    </w:p>
    <w:p>
      <w:pPr>
        <w:pStyle w:val="BlankOpen"/>
      </w:pPr>
    </w:p>
    <w:p>
      <w:pPr>
        <w:pStyle w:val="nzSubsection"/>
      </w:pPr>
      <w:r>
        <w:tab/>
        <w:t>(7)</w:t>
      </w:r>
      <w:r>
        <w:tab/>
        <w:t xml:space="preserve">If subsection (2) applies to an application, the Director may publish the following on the Department’s website — </w:t>
      </w:r>
    </w:p>
    <w:p>
      <w:pPr>
        <w:pStyle w:val="nzIndenta"/>
      </w:pPr>
      <w:r>
        <w:tab/>
        <w:t>(a)</w:t>
      </w:r>
      <w:r>
        <w:tab/>
        <w:t>the application;</w:t>
      </w:r>
    </w:p>
    <w:p>
      <w:pPr>
        <w:pStyle w:val="nzIndenta"/>
      </w:pPr>
      <w:r>
        <w:tab/>
        <w:t>(b)</w:t>
      </w:r>
      <w:r>
        <w:tab/>
        <w:t>any document or information provided under subsection (3) in relation to the application.</w:t>
      </w:r>
    </w:p>
    <w:p>
      <w:pPr>
        <w:pStyle w:val="BlankClose"/>
      </w:pPr>
    </w:p>
    <w:p>
      <w:pPr>
        <w:pStyle w:val="nzHeading5"/>
      </w:pPr>
      <w:bookmarkStart w:id="683" w:name="_Toc518626515"/>
      <w:bookmarkStart w:id="684" w:name="_Toc519495326"/>
      <w:r>
        <w:rPr>
          <w:rStyle w:val="CharSectno"/>
        </w:rPr>
        <w:t>21</w:t>
      </w:r>
      <w:r>
        <w:t>.</w:t>
      </w:r>
      <w:r>
        <w:tab/>
        <w:t>Section 41 amended</w:t>
      </w:r>
      <w:bookmarkEnd w:id="683"/>
      <w:bookmarkEnd w:id="684"/>
    </w:p>
    <w:p>
      <w:pPr>
        <w:pStyle w:val="nzSubsection"/>
      </w:pPr>
      <w:r>
        <w:tab/>
        <w:t>(1)</w:t>
      </w:r>
      <w:r>
        <w:tab/>
        <w:t>Delete section 41(1aa).</w:t>
      </w:r>
    </w:p>
    <w:p>
      <w:pPr>
        <w:pStyle w:val="nzSubsection"/>
      </w:pPr>
      <w:r>
        <w:tab/>
        <w:t>(2)</w:t>
      </w:r>
      <w:r>
        <w:tab/>
        <w:t>In section 41(1)(a) delete “and is not a small bar licence”.</w:t>
      </w:r>
    </w:p>
    <w:p>
      <w:pPr>
        <w:pStyle w:val="nzSubsection"/>
      </w:pPr>
      <w:r>
        <w:tab/>
        <w:t>(3)</w:t>
      </w:r>
      <w:r>
        <w:tab/>
        <w:t>In section 41(2)(b) delete “small bar licence or a hotel restricted licence,” and insert:</w:t>
      </w:r>
    </w:p>
    <w:p>
      <w:pPr>
        <w:pStyle w:val="BlankOpen"/>
      </w:pPr>
    </w:p>
    <w:p>
      <w:pPr>
        <w:pStyle w:val="nzSubsection"/>
      </w:pPr>
      <w:r>
        <w:tab/>
      </w:r>
      <w:r>
        <w:tab/>
        <w:t>hotel restricted licence or a tavern restricted licence,</w:t>
      </w:r>
    </w:p>
    <w:p>
      <w:pPr>
        <w:pStyle w:val="BlankClose"/>
      </w:pPr>
    </w:p>
    <w:p>
      <w:pPr>
        <w:pStyle w:val="nzSubsection"/>
      </w:pPr>
      <w:r>
        <w:tab/>
        <w:t>(4)</w:t>
      </w:r>
      <w:r>
        <w:tab/>
        <w:t>In section 41(4) delete “small bar licence or a”.</w:t>
      </w:r>
    </w:p>
    <w:p>
      <w:pPr>
        <w:pStyle w:val="nzHeading5"/>
      </w:pPr>
      <w:bookmarkStart w:id="685" w:name="_Toc518626516"/>
      <w:bookmarkStart w:id="686" w:name="_Toc519495327"/>
      <w:r>
        <w:rPr>
          <w:rStyle w:val="CharSectno"/>
        </w:rPr>
        <w:t>22</w:t>
      </w:r>
      <w:r>
        <w:t>.</w:t>
      </w:r>
      <w:r>
        <w:tab/>
        <w:t>Sections 41A and 41B inserted</w:t>
      </w:r>
      <w:bookmarkEnd w:id="685"/>
      <w:bookmarkEnd w:id="686"/>
    </w:p>
    <w:p>
      <w:pPr>
        <w:pStyle w:val="nzSubsection"/>
      </w:pPr>
      <w:r>
        <w:tab/>
      </w:r>
      <w:r>
        <w:tab/>
        <w:t>After section 41 insert:</w:t>
      </w:r>
    </w:p>
    <w:p>
      <w:pPr>
        <w:pStyle w:val="BlankOpen"/>
      </w:pPr>
    </w:p>
    <w:p>
      <w:pPr>
        <w:pStyle w:val="nzHeading5"/>
      </w:pPr>
      <w:bookmarkStart w:id="687" w:name="_Toc518626517"/>
      <w:bookmarkStart w:id="688" w:name="_Toc519495328"/>
      <w:r>
        <w:t>41A.</w:t>
      </w:r>
      <w:r>
        <w:tab/>
        <w:t>Effect and conditions of small bar licence</w:t>
      </w:r>
      <w:bookmarkEnd w:id="687"/>
      <w:bookmarkEnd w:id="688"/>
    </w:p>
    <w:p>
      <w:pPr>
        <w:pStyle w:val="nzSubsection"/>
      </w:pPr>
      <w:r>
        <w:tab/>
        <w:t>(1)</w:t>
      </w:r>
      <w:r>
        <w:tab/>
        <w:t>Subject to this Act, the licensee of a small bar licence is, during permitted hours, authorised to sell liquor for consumption on the licensed premises.</w:t>
      </w:r>
    </w:p>
    <w:p>
      <w:pPr>
        <w:pStyle w:val="nzSubsection"/>
      </w:pPr>
      <w:r>
        <w:tab/>
        <w:t>(2)</w:t>
      </w:r>
      <w:r>
        <w:tab/>
        <w:t xml:space="preserve">A small bar licence is subject to — </w:t>
      </w:r>
    </w:p>
    <w:p>
      <w:pPr>
        <w:pStyle w:val="nzIndenta"/>
      </w:pPr>
      <w:r>
        <w:tab/>
        <w:t>(a)</w:t>
      </w:r>
      <w:r>
        <w:tab/>
        <w:t>a condition prohibiting the sale of packaged liquor; and</w:t>
      </w:r>
    </w:p>
    <w:p>
      <w:pPr>
        <w:pStyle w:val="nzIndenta"/>
      </w:pPr>
      <w:r>
        <w:tab/>
        <w:t>(b)</w:t>
      </w:r>
      <w:r>
        <w:tab/>
        <w:t>a condition limiting the maximum number of persons (excluding responsible persons and authorised officers) who may be on the licensed premises to 120.</w:t>
      </w:r>
    </w:p>
    <w:p>
      <w:pPr>
        <w:pStyle w:val="nzHeading5"/>
      </w:pPr>
      <w:bookmarkStart w:id="689" w:name="_Toc518626518"/>
      <w:bookmarkStart w:id="690" w:name="_Toc519495329"/>
      <w:r>
        <w:t>41B.</w:t>
      </w:r>
      <w:r>
        <w:tab/>
        <w:t>Small bar licence may be granted as alternative to tavern restricted licence</w:t>
      </w:r>
      <w:bookmarkEnd w:id="689"/>
      <w:bookmarkEnd w:id="690"/>
    </w:p>
    <w:p>
      <w:pPr>
        <w:pStyle w:val="nzSubsection"/>
      </w:pPr>
      <w:r>
        <w:tab/>
        <w:t>(1)</w:t>
      </w:r>
      <w:r>
        <w:tab/>
        <w:t>If the licensing authority considers it appropriate, the licensing authority may, with the agreement of the applicant, treat an application for a tavern restricted licence as an application for a small bar licence.</w:t>
      </w:r>
    </w:p>
    <w:p>
      <w:pPr>
        <w:pStyle w:val="nzSubsection"/>
      </w:pPr>
      <w:r>
        <w:tab/>
        <w:t>(2)</w:t>
      </w:r>
      <w:r>
        <w:tab/>
        <w:t xml:space="preserve">Subsection (3) applies to a tavern restricted licence if — </w:t>
      </w:r>
    </w:p>
    <w:p>
      <w:pPr>
        <w:pStyle w:val="nzIndenta"/>
      </w:pPr>
      <w:r>
        <w:tab/>
        <w:t>(a)</w:t>
      </w:r>
      <w:r>
        <w:tab/>
        <w:t>it is subject to a condition limiting the maximum number of persons (excluding responsible persons and authorised officers) who may be on the licensed premises to 120; and</w:t>
      </w:r>
    </w:p>
    <w:p>
      <w:pPr>
        <w:pStyle w:val="nzIndenta"/>
      </w:pPr>
      <w:r>
        <w:tab/>
        <w:t>(b)</w:t>
      </w:r>
      <w:r>
        <w:tab/>
        <w:t>the capacity of the licensed premises is not more than 120 persons.</w:t>
      </w:r>
    </w:p>
    <w:p>
      <w:pPr>
        <w:pStyle w:val="nzSubsection"/>
      </w:pPr>
      <w:r>
        <w:tab/>
        <w:t>(3)</w:t>
      </w:r>
      <w:r>
        <w:tab/>
        <w:t xml:space="preserve">The licensing authority may, of its own motion or on the application of the licensee of the licence — </w:t>
      </w:r>
    </w:p>
    <w:p>
      <w:pPr>
        <w:pStyle w:val="nzIndenta"/>
      </w:pPr>
      <w:r>
        <w:tab/>
        <w:t>(a)</w:t>
      </w:r>
      <w:r>
        <w:tab/>
        <w:t>cancel a tavern restricted licence to which this subsection applies; and</w:t>
      </w:r>
    </w:p>
    <w:p>
      <w:pPr>
        <w:pStyle w:val="nzIndenta"/>
      </w:pPr>
      <w:r>
        <w:tab/>
        <w:t>(b)</w:t>
      </w:r>
      <w:r>
        <w:tab/>
        <w:t>grant to the person who was the licensee of the licence a small bar licence in respect of the premises to which the licence related.</w:t>
      </w:r>
    </w:p>
    <w:p>
      <w:pPr>
        <w:pStyle w:val="nzSubsection"/>
      </w:pPr>
      <w:r>
        <w:tab/>
        <w:t>(4)</w:t>
      </w:r>
      <w:r>
        <w:tab/>
        <w:t xml:space="preserve">If the licensing authority proposes of its own motion to cancel a tavern restricted licence and grant a small bar licence under subsection (3), the licensing authority must give the licensee of the tavern restricted licence — </w:t>
      </w:r>
    </w:p>
    <w:p>
      <w:pPr>
        <w:pStyle w:val="nzIndenta"/>
      </w:pPr>
      <w:r>
        <w:tab/>
        <w:t>(a)</w:t>
      </w:r>
      <w:r>
        <w:tab/>
        <w:t>a notice that sets out the proposal and the reasons for it; and</w:t>
      </w:r>
    </w:p>
    <w:p>
      <w:pPr>
        <w:pStyle w:val="nzIndenta"/>
      </w:pPr>
      <w:r>
        <w:tab/>
        <w:t>(b)</w:t>
      </w:r>
      <w:r>
        <w:tab/>
        <w:t>a reasonable opportunity to make submissions or to be heard in relation to the proposal.</w:t>
      </w:r>
    </w:p>
    <w:p>
      <w:pPr>
        <w:pStyle w:val="BlankClose"/>
      </w:pPr>
    </w:p>
    <w:p>
      <w:pPr>
        <w:pStyle w:val="nzHeading5"/>
      </w:pPr>
      <w:bookmarkStart w:id="691" w:name="_Toc518626521"/>
      <w:bookmarkStart w:id="692" w:name="_Toc519495332"/>
      <w:r>
        <w:rPr>
          <w:rStyle w:val="CharSectno"/>
        </w:rPr>
        <w:t>25</w:t>
      </w:r>
      <w:r>
        <w:t>.</w:t>
      </w:r>
      <w:r>
        <w:tab/>
        <w:t>Section 48 amended</w:t>
      </w:r>
      <w:bookmarkEnd w:id="691"/>
      <w:bookmarkEnd w:id="692"/>
    </w:p>
    <w:p>
      <w:pPr>
        <w:pStyle w:val="nzSubsection"/>
      </w:pPr>
      <w:r>
        <w:tab/>
        <w:t>(1)</w:t>
      </w:r>
      <w:r>
        <w:tab/>
        <w:t>In section 48(2):</w:t>
      </w:r>
    </w:p>
    <w:p>
      <w:pPr>
        <w:pStyle w:val="nzIndenta"/>
      </w:pPr>
      <w:r>
        <w:tab/>
        <w:t>(a)</w:t>
      </w:r>
      <w:r>
        <w:tab/>
        <w:t>in paragraph (a)(ii) delete “rules approved by the Director;” and insert:</w:t>
      </w:r>
    </w:p>
    <w:p>
      <w:pPr>
        <w:pStyle w:val="BlankOpen"/>
      </w:pPr>
    </w:p>
    <w:p>
      <w:pPr>
        <w:pStyle w:val="nzIndenta"/>
      </w:pPr>
      <w:r>
        <w:tab/>
      </w:r>
      <w:r>
        <w:tab/>
        <w:t>the rules of the club;</w:t>
      </w:r>
    </w:p>
    <w:p>
      <w:pPr>
        <w:pStyle w:val="BlankClose"/>
      </w:pPr>
    </w:p>
    <w:p>
      <w:pPr>
        <w:pStyle w:val="nzIndenta"/>
      </w:pPr>
      <w:r>
        <w:tab/>
        <w:t>(b)</w:t>
      </w:r>
      <w:r>
        <w:tab/>
        <w:t>in paragraph (b) delete “rules approved by the Director; or” and insert:</w:t>
      </w:r>
    </w:p>
    <w:p>
      <w:pPr>
        <w:pStyle w:val="BlankOpen"/>
      </w:pPr>
    </w:p>
    <w:p>
      <w:pPr>
        <w:pStyle w:val="nzIndenta"/>
      </w:pPr>
      <w:r>
        <w:tab/>
      </w:r>
      <w:r>
        <w:tab/>
        <w:t>the rules of the club; or</w:t>
      </w:r>
    </w:p>
    <w:p>
      <w:pPr>
        <w:pStyle w:val="BlankClose"/>
      </w:pPr>
    </w:p>
    <w:p>
      <w:pPr>
        <w:pStyle w:val="nzIndenta"/>
      </w:pPr>
      <w:r>
        <w:tab/>
        <w:t>(c)</w:t>
      </w:r>
      <w:r>
        <w:tab/>
        <w:t>delete “constitution and rules of the club, as approved by the Director,” and insert:</w:t>
      </w:r>
    </w:p>
    <w:p>
      <w:pPr>
        <w:pStyle w:val="BlankOpen"/>
      </w:pPr>
    </w:p>
    <w:p>
      <w:pPr>
        <w:pStyle w:val="nzIndenta"/>
      </w:pPr>
      <w:r>
        <w:tab/>
      </w:r>
      <w:r>
        <w:tab/>
        <w:t>rules of the club</w:t>
      </w:r>
    </w:p>
    <w:p>
      <w:pPr>
        <w:pStyle w:val="BlankClose"/>
      </w:pPr>
    </w:p>
    <w:p>
      <w:pPr>
        <w:pStyle w:val="nzSubsection"/>
      </w:pPr>
      <w:r>
        <w:tab/>
        <w:t>(2)</w:t>
      </w:r>
      <w:r>
        <w:tab/>
        <w:t>After section 48(2) insert:</w:t>
      </w:r>
    </w:p>
    <w:p>
      <w:pPr>
        <w:pStyle w:val="BlankOpen"/>
      </w:pPr>
    </w:p>
    <w:p>
      <w:pPr>
        <w:pStyle w:val="nzSubsection"/>
      </w:pPr>
      <w:r>
        <w:tab/>
        <w:t>(2A)</w:t>
      </w:r>
      <w:r>
        <w:tab/>
        <w:t>Subject to this Act, a club licence authorises the sale, during permitted hours, of liquor to a visitor for consumption on the licensed premises if the sale does not contravene the rules of the club.</w:t>
      </w:r>
    </w:p>
    <w:p>
      <w:pPr>
        <w:pStyle w:val="nzSubsection"/>
      </w:pPr>
      <w:r>
        <w:tab/>
        <w:t>(2B)</w:t>
      </w:r>
      <w:r>
        <w:tab/>
        <w:t xml:space="preserve">In subsection (2A) — </w:t>
      </w:r>
    </w:p>
    <w:p>
      <w:pPr>
        <w:pStyle w:val="nzDefstart"/>
      </w:pPr>
      <w:r>
        <w:tab/>
      </w:r>
      <w:r>
        <w:rPr>
          <w:rStyle w:val="CharDefText"/>
        </w:rPr>
        <w:t>visitor</w:t>
      </w:r>
      <w:r>
        <w:t xml:space="preserve"> means a person, other than a member, a guest of a member or a person referred to in subsection (5), who — </w:t>
      </w:r>
    </w:p>
    <w:p>
      <w:pPr>
        <w:pStyle w:val="nzDefpara"/>
      </w:pPr>
      <w:r>
        <w:tab/>
        <w:t>(a)</w:t>
      </w:r>
      <w:r>
        <w:tab/>
        <w:t>is at least 40 km or, if a greater distance is prescribed for the purposes of this paragraph, at least that distance from their usual place of residence; and</w:t>
      </w:r>
    </w:p>
    <w:p>
      <w:pPr>
        <w:pStyle w:val="nzDefpara"/>
      </w:pPr>
      <w:r>
        <w:tab/>
        <w:t>(b)</w:t>
      </w:r>
      <w:r>
        <w:tab/>
        <w:t>is visiting the club while travelling in the course of a holiday or travelling for leisure or business; and</w:t>
      </w:r>
    </w:p>
    <w:p>
      <w:pPr>
        <w:pStyle w:val="nzDefpara"/>
      </w:pPr>
      <w:r>
        <w:tab/>
        <w:t>(c)</w:t>
      </w:r>
      <w:r>
        <w:tab/>
        <w:t>is required, at the time of their visit, to pay a fee to the club for the use of its facilities.</w:t>
      </w:r>
    </w:p>
    <w:p>
      <w:pPr>
        <w:pStyle w:val="BlankClose"/>
      </w:pPr>
    </w:p>
    <w:p>
      <w:pPr>
        <w:pStyle w:val="nzSubsection"/>
      </w:pPr>
      <w:r>
        <w:tab/>
        <w:t>(3)</w:t>
      </w:r>
      <w:r>
        <w:tab/>
        <w:t>In section 48(4):</w:t>
      </w:r>
    </w:p>
    <w:p>
      <w:pPr>
        <w:pStyle w:val="nzIndenta"/>
      </w:pPr>
      <w:r>
        <w:tab/>
        <w:t>(a)</w:t>
      </w:r>
      <w:r>
        <w:tab/>
        <w:t>in paragraph (b) delete “rules approved by the Director,” and insert:</w:t>
      </w:r>
    </w:p>
    <w:p>
      <w:pPr>
        <w:pStyle w:val="BlankOpen"/>
      </w:pPr>
    </w:p>
    <w:p>
      <w:pPr>
        <w:pStyle w:val="nzIndenta"/>
      </w:pPr>
      <w:r>
        <w:tab/>
      </w:r>
      <w:r>
        <w:tab/>
        <w:t>the rules of the club,</w:t>
      </w:r>
    </w:p>
    <w:p>
      <w:pPr>
        <w:pStyle w:val="BlankClose"/>
      </w:pPr>
    </w:p>
    <w:p>
      <w:pPr>
        <w:pStyle w:val="nzIndenta"/>
      </w:pPr>
      <w:r>
        <w:tab/>
        <w:t>(b)</w:t>
      </w:r>
      <w:r>
        <w:tab/>
        <w:t>in paragraph (d) delete the passage that begins with “change —” and ends with “the Secretary” and insert:</w:t>
      </w:r>
    </w:p>
    <w:p>
      <w:pPr>
        <w:pStyle w:val="BlankOpen"/>
      </w:pPr>
    </w:p>
    <w:p>
      <w:pPr>
        <w:pStyle w:val="nzIndenta"/>
      </w:pPr>
      <w:r>
        <w:tab/>
      </w:r>
      <w:r>
        <w:tab/>
        <w:t>change in the appointment of a person as trustee to hold the licence for the club, the Secretary</w:t>
      </w:r>
    </w:p>
    <w:p>
      <w:pPr>
        <w:pStyle w:val="BlankClose"/>
      </w:pPr>
    </w:p>
    <w:p>
      <w:pPr>
        <w:pStyle w:val="nzIndenta"/>
      </w:pPr>
      <w:r>
        <w:tab/>
        <w:t>(c)</w:t>
      </w:r>
      <w:r>
        <w:tab/>
        <w:t>after paragraph (e) insert:</w:t>
      </w:r>
    </w:p>
    <w:p>
      <w:pPr>
        <w:pStyle w:val="BlankOpen"/>
      </w:pPr>
    </w:p>
    <w:p>
      <w:pPr>
        <w:pStyle w:val="nzIndenta"/>
      </w:pPr>
      <w:r>
        <w:tab/>
        <w:t>(ea)</w:t>
      </w:r>
      <w:r>
        <w:tab/>
        <w:t>an up-to-date register of visitors (as defined in subsection (2B)) be continually available for inspection at the club premises; and</w:t>
      </w:r>
    </w:p>
    <w:p>
      <w:pPr>
        <w:pStyle w:val="BlankClose"/>
      </w:pPr>
    </w:p>
    <w:p>
      <w:pPr>
        <w:pStyle w:val="nzIndenta"/>
      </w:pPr>
      <w:r>
        <w:tab/>
        <w:t>(d)</w:t>
      </w:r>
      <w:r>
        <w:tab/>
        <w:t>in paragraph (f) delete “constitution and rules, as approved by the Director,” and insert:</w:t>
      </w:r>
    </w:p>
    <w:p>
      <w:pPr>
        <w:pStyle w:val="BlankOpen"/>
      </w:pPr>
    </w:p>
    <w:p>
      <w:pPr>
        <w:pStyle w:val="nzIndenta"/>
      </w:pPr>
      <w:r>
        <w:tab/>
      </w:r>
      <w:r>
        <w:tab/>
        <w:t>rules</w:t>
      </w:r>
    </w:p>
    <w:p>
      <w:pPr>
        <w:pStyle w:val="BlankClose"/>
      </w:pPr>
    </w:p>
    <w:p>
      <w:pPr>
        <w:pStyle w:val="nzSubsection"/>
      </w:pPr>
      <w:r>
        <w:tab/>
        <w:t>(4)</w:t>
      </w:r>
      <w:r>
        <w:tab/>
        <w:t>In section 48(5):</w:t>
      </w:r>
    </w:p>
    <w:p>
      <w:pPr>
        <w:pStyle w:val="nzIndenta"/>
      </w:pPr>
      <w:r>
        <w:tab/>
        <w:t>(a)</w:t>
      </w:r>
      <w:r>
        <w:tab/>
        <w:t>delete “club —” and insert:</w:t>
      </w:r>
    </w:p>
    <w:p>
      <w:pPr>
        <w:pStyle w:val="BlankOpen"/>
      </w:pPr>
    </w:p>
    <w:p>
      <w:pPr>
        <w:pStyle w:val="nzIndenta"/>
      </w:pPr>
      <w:r>
        <w:tab/>
      </w:r>
      <w:r>
        <w:tab/>
        <w:t xml:space="preserve">club or a team, or a person assisting a member or an official of another club or a team — </w:t>
      </w:r>
    </w:p>
    <w:p>
      <w:pPr>
        <w:pStyle w:val="BlankClose"/>
      </w:pPr>
    </w:p>
    <w:p>
      <w:pPr>
        <w:pStyle w:val="nzIndenta"/>
      </w:pPr>
      <w:r>
        <w:tab/>
        <w:t>(b)</w:t>
      </w:r>
      <w:r>
        <w:tab/>
        <w:t>delete “day in accordance with rules approved by the Director.” and insert:</w:t>
      </w:r>
    </w:p>
    <w:p>
      <w:pPr>
        <w:pStyle w:val="BlankOpen"/>
      </w:pPr>
    </w:p>
    <w:p>
      <w:pPr>
        <w:pStyle w:val="nzIndenta"/>
      </w:pPr>
      <w:r>
        <w:tab/>
      </w:r>
      <w:r>
        <w:tab/>
        <w:t>day, in accordance with the rules of the club.</w:t>
      </w:r>
    </w:p>
    <w:p>
      <w:pPr>
        <w:pStyle w:val="BlankClose"/>
      </w:pPr>
    </w:p>
    <w:p>
      <w:pPr>
        <w:pStyle w:val="nzSubsection"/>
      </w:pPr>
      <w:r>
        <w:tab/>
        <w:t>(5)</w:t>
      </w:r>
      <w:r>
        <w:tab/>
        <w:t>In section 48(7) delete “constitution or rules as approved by the Director” and insert:</w:t>
      </w:r>
    </w:p>
    <w:p>
      <w:pPr>
        <w:pStyle w:val="BlankOpen"/>
      </w:pPr>
    </w:p>
    <w:p>
      <w:pPr>
        <w:pStyle w:val="nzSubsection"/>
      </w:pPr>
      <w:r>
        <w:tab/>
      </w:r>
      <w:r>
        <w:tab/>
        <w:t>rules,</w:t>
      </w:r>
    </w:p>
    <w:p>
      <w:pPr>
        <w:pStyle w:val="BlankClose"/>
      </w:pPr>
    </w:p>
    <w:p>
      <w:pPr>
        <w:pStyle w:val="nzHeading5"/>
      </w:pPr>
      <w:bookmarkStart w:id="693" w:name="_Toc518626522"/>
      <w:bookmarkStart w:id="694" w:name="_Toc519495333"/>
      <w:r>
        <w:rPr>
          <w:rStyle w:val="CharSectno"/>
        </w:rPr>
        <w:t>26</w:t>
      </w:r>
      <w:r>
        <w:t>.</w:t>
      </w:r>
      <w:r>
        <w:tab/>
        <w:t>Section 49 amended</w:t>
      </w:r>
      <w:bookmarkEnd w:id="693"/>
      <w:bookmarkEnd w:id="694"/>
    </w:p>
    <w:p>
      <w:pPr>
        <w:pStyle w:val="nzSubsection"/>
      </w:pPr>
      <w:r>
        <w:tab/>
        <w:t>(1)</w:t>
      </w:r>
      <w:r>
        <w:tab/>
        <w:t>In section 49(1):</w:t>
      </w:r>
    </w:p>
    <w:p>
      <w:pPr>
        <w:pStyle w:val="nzIndenta"/>
      </w:pPr>
      <w:r>
        <w:tab/>
        <w:t>(a)</w:t>
      </w:r>
      <w:r>
        <w:tab/>
        <w:t>in paragraph (c) delete “unless subsection (4) applies, that the constitution and” and insert:</w:t>
      </w:r>
    </w:p>
    <w:p>
      <w:pPr>
        <w:pStyle w:val="BlankOpen"/>
      </w:pPr>
    </w:p>
    <w:p>
      <w:pPr>
        <w:pStyle w:val="nzIndenta"/>
      </w:pPr>
      <w:r>
        <w:tab/>
      </w:r>
      <w:r>
        <w:tab/>
        <w:t>that the</w:t>
      </w:r>
    </w:p>
    <w:p>
      <w:pPr>
        <w:pStyle w:val="BlankClose"/>
      </w:pPr>
    </w:p>
    <w:p>
      <w:pPr>
        <w:pStyle w:val="nzIndenta"/>
      </w:pPr>
      <w:r>
        <w:tab/>
        <w:t>(b)</w:t>
      </w:r>
      <w:r>
        <w:tab/>
        <w:t>in paragraph (c) delete “sought,” and insert:</w:t>
      </w:r>
    </w:p>
    <w:p>
      <w:pPr>
        <w:pStyle w:val="BlankOpen"/>
      </w:pPr>
    </w:p>
    <w:p>
      <w:pPr>
        <w:pStyle w:val="nzIndenta"/>
      </w:pPr>
      <w:r>
        <w:tab/>
      </w:r>
      <w:r>
        <w:tab/>
        <w:t>sought.</w:t>
      </w:r>
    </w:p>
    <w:p>
      <w:pPr>
        <w:pStyle w:val="BlankClose"/>
      </w:pPr>
    </w:p>
    <w:p>
      <w:pPr>
        <w:pStyle w:val="nzIndenta"/>
      </w:pPr>
      <w:r>
        <w:tab/>
        <w:t>(c)</w:t>
      </w:r>
      <w:r>
        <w:tab/>
        <w:t>delete “and the content of that constitution and those rules is approved by the Director.”.</w:t>
      </w:r>
    </w:p>
    <w:p>
      <w:pPr>
        <w:pStyle w:val="nzSubsection"/>
      </w:pPr>
      <w:r>
        <w:tab/>
        <w:t>(2)</w:t>
      </w:r>
      <w:r>
        <w:tab/>
        <w:t>In section 49(2) delete “constitution or” (each occurrence).</w:t>
      </w:r>
    </w:p>
    <w:p>
      <w:pPr>
        <w:pStyle w:val="nzSubsection"/>
      </w:pPr>
      <w:r>
        <w:tab/>
        <w:t>(3)</w:t>
      </w:r>
      <w:r>
        <w:tab/>
        <w:t>Delete section 49(3) and (4).</w:t>
      </w:r>
    </w:p>
    <w:p>
      <w:pPr>
        <w:pStyle w:val="nzHeading5"/>
      </w:pPr>
      <w:bookmarkStart w:id="695" w:name="_Toc518626530"/>
      <w:bookmarkStart w:id="696" w:name="_Toc519495341"/>
      <w:r>
        <w:rPr>
          <w:rStyle w:val="CharSectno"/>
        </w:rPr>
        <w:t>32</w:t>
      </w:r>
      <w:r>
        <w:t>.</w:t>
      </w:r>
      <w:r>
        <w:tab/>
        <w:t>Section 60 amended</w:t>
      </w:r>
      <w:bookmarkEnd w:id="695"/>
      <w:bookmarkEnd w:id="696"/>
    </w:p>
    <w:p>
      <w:pPr>
        <w:pStyle w:val="nzSubsection"/>
      </w:pPr>
      <w:r>
        <w:tab/>
        <w:t>(1)</w:t>
      </w:r>
      <w:r>
        <w:tab/>
        <w:t>In section 60(3a) delete “subsection (4)(ca) or (g)” and insert:</w:t>
      </w:r>
    </w:p>
    <w:p>
      <w:pPr>
        <w:pStyle w:val="BlankOpen"/>
      </w:pPr>
    </w:p>
    <w:p>
      <w:pPr>
        <w:pStyle w:val="nzSubsection"/>
      </w:pPr>
      <w:r>
        <w:tab/>
      </w:r>
      <w:r>
        <w:tab/>
        <w:t>subsection (4)(ca), (g) or (h)</w:t>
      </w:r>
    </w:p>
    <w:p>
      <w:pPr>
        <w:pStyle w:val="BlankClose"/>
      </w:pPr>
    </w:p>
    <w:p>
      <w:pPr>
        <w:pStyle w:val="nzSubsection"/>
      </w:pPr>
      <w:r>
        <w:tab/>
        <w:t>(2)</w:t>
      </w:r>
      <w:r>
        <w:tab/>
        <w:t>In section 60(4):</w:t>
      </w:r>
    </w:p>
    <w:p>
      <w:pPr>
        <w:pStyle w:val="nzIndenta"/>
      </w:pPr>
      <w:r>
        <w:tab/>
        <w:t>(a)</w:t>
      </w:r>
      <w:r>
        <w:tab/>
        <w:t>in paragraph (a) after “liquor” insert:</w:t>
      </w:r>
    </w:p>
    <w:p>
      <w:pPr>
        <w:pStyle w:val="BlankOpen"/>
      </w:pPr>
    </w:p>
    <w:p>
      <w:pPr>
        <w:pStyle w:val="nzIndenta"/>
      </w:pPr>
      <w:r>
        <w:tab/>
      </w:r>
      <w:r>
        <w:tab/>
        <w:t>as a caterer</w:t>
      </w:r>
    </w:p>
    <w:p>
      <w:pPr>
        <w:pStyle w:val="BlankClose"/>
      </w:pPr>
    </w:p>
    <w:p>
      <w:pPr>
        <w:pStyle w:val="nzIndenta"/>
      </w:pPr>
      <w:r>
        <w:tab/>
        <w:t>(b)</w:t>
      </w:r>
      <w:r>
        <w:tab/>
        <w:t>in paragraph (a) delete “as a caterer on specified premises,”;</w:t>
      </w:r>
    </w:p>
    <w:p>
      <w:pPr>
        <w:pStyle w:val="nzIndenta"/>
      </w:pPr>
      <w:r>
        <w:tab/>
        <w:t>(c)</w:t>
      </w:r>
      <w:r>
        <w:tab/>
        <w:t>in paragraph (e) delete “a Sunday,”;</w:t>
      </w:r>
    </w:p>
    <w:p>
      <w:pPr>
        <w:pStyle w:val="nzIndenta"/>
      </w:pPr>
      <w:r>
        <w:tab/>
        <w:t>(d)</w:t>
      </w:r>
      <w:r>
        <w:tab/>
        <w:t>in paragraph (e)(ii) delete “constitution and rules of the association, if that constitution or those rules were required to be approved by the Director, are observed;” and insert:</w:t>
      </w:r>
    </w:p>
    <w:p>
      <w:pPr>
        <w:pStyle w:val="BlankOpen"/>
      </w:pPr>
    </w:p>
    <w:p>
      <w:pPr>
        <w:pStyle w:val="nzIndenta"/>
      </w:pPr>
      <w:r>
        <w:tab/>
      </w:r>
      <w:r>
        <w:tab/>
        <w:t>rules of the association are observed;</w:t>
      </w:r>
    </w:p>
    <w:p>
      <w:pPr>
        <w:pStyle w:val="BlankClose"/>
      </w:pPr>
    </w:p>
    <w:p>
      <w:pPr>
        <w:pStyle w:val="nzIndenta"/>
      </w:pPr>
      <w:r>
        <w:tab/>
        <w:t>(e)</w:t>
      </w:r>
      <w:r>
        <w:tab/>
        <w:t>in paragraph (g) delete “5” and insert:</w:t>
      </w:r>
    </w:p>
    <w:p>
      <w:pPr>
        <w:pStyle w:val="BlankOpen"/>
      </w:pPr>
    </w:p>
    <w:p>
      <w:pPr>
        <w:pStyle w:val="nzIndenta"/>
      </w:pPr>
      <w:r>
        <w:tab/>
      </w:r>
      <w:r>
        <w:tab/>
        <w:t>10</w:t>
      </w:r>
    </w:p>
    <w:p>
      <w:pPr>
        <w:pStyle w:val="BlankClose"/>
      </w:pPr>
    </w:p>
    <w:p>
      <w:pPr>
        <w:pStyle w:val="nzIndenta"/>
      </w:pPr>
      <w:r>
        <w:tab/>
        <w:t>(f)</w:t>
      </w:r>
      <w:r>
        <w:tab/>
        <w:t>in paragraph (h) delete the passage that begins with “on such days” and ends with “otherwise be authorised,” and insert:</w:t>
      </w:r>
    </w:p>
    <w:p>
      <w:pPr>
        <w:pStyle w:val="BlankOpen"/>
      </w:pPr>
    </w:p>
    <w:p>
      <w:pPr>
        <w:pStyle w:val="nzIndenta"/>
      </w:pPr>
      <w:r>
        <w:tab/>
      </w:r>
      <w:r>
        <w:tab/>
        <w:t>under the licence on specified premises or in a specified area that would not otherwise be authorised, on such days and between such hours on those days as may be specified,</w:t>
      </w:r>
    </w:p>
    <w:p>
      <w:pPr>
        <w:pStyle w:val="BlankClose"/>
      </w:pPr>
    </w:p>
    <w:p>
      <w:pPr>
        <w:pStyle w:val="nzIndenta"/>
      </w:pPr>
      <w:r>
        <w:tab/>
        <w:t>(g)</w:t>
      </w:r>
      <w:r>
        <w:tab/>
        <w:t>in paragraph (ia) delete “wine or beer” (1</w:t>
      </w:r>
      <w:r>
        <w:rPr>
          <w:vertAlign w:val="superscript"/>
        </w:rPr>
        <w:t>st</w:t>
      </w:r>
      <w:r>
        <w:t xml:space="preserve"> occurrence) and insert:</w:t>
      </w:r>
    </w:p>
    <w:p>
      <w:pPr>
        <w:pStyle w:val="BlankOpen"/>
      </w:pPr>
    </w:p>
    <w:p>
      <w:pPr>
        <w:pStyle w:val="nzIndenta"/>
      </w:pPr>
      <w:r>
        <w:tab/>
      </w:r>
      <w:r>
        <w:tab/>
        <w:t>liquor</w:t>
      </w:r>
    </w:p>
    <w:p>
      <w:pPr>
        <w:pStyle w:val="BlankClose"/>
        <w:keepNext/>
      </w:pPr>
    </w:p>
    <w:p>
      <w:pPr>
        <w:pStyle w:val="nzIndenta"/>
      </w:pPr>
      <w:r>
        <w:tab/>
        <w:t>(h)</w:t>
      </w:r>
      <w:r>
        <w:tab/>
        <w:t>in paragraph (ia) delete “wine or beer,” and insert:</w:t>
      </w:r>
    </w:p>
    <w:p>
      <w:pPr>
        <w:pStyle w:val="BlankOpen"/>
      </w:pPr>
    </w:p>
    <w:p>
      <w:pPr>
        <w:pStyle w:val="nzIndenta"/>
      </w:pPr>
      <w:r>
        <w:tab/>
      </w:r>
      <w:r>
        <w:tab/>
        <w:t>liquor,</w:t>
      </w:r>
    </w:p>
    <w:p>
      <w:pPr>
        <w:pStyle w:val="BlankClose"/>
      </w:pPr>
    </w:p>
    <w:p>
      <w:pPr>
        <w:pStyle w:val="nzHeading5"/>
      </w:pPr>
      <w:bookmarkStart w:id="697" w:name="_Toc518626533"/>
      <w:bookmarkStart w:id="698" w:name="_Toc519495344"/>
      <w:r>
        <w:rPr>
          <w:rStyle w:val="CharSectno"/>
        </w:rPr>
        <w:t>35</w:t>
      </w:r>
      <w:r>
        <w:t>.</w:t>
      </w:r>
      <w:r>
        <w:tab/>
        <w:t>Section 64 amended</w:t>
      </w:r>
      <w:bookmarkEnd w:id="697"/>
      <w:bookmarkEnd w:id="698"/>
    </w:p>
    <w:p>
      <w:pPr>
        <w:pStyle w:val="nzSubsection"/>
      </w:pPr>
      <w:r>
        <w:tab/>
      </w:r>
      <w:r>
        <w:tab/>
        <w:t>After section 64(1b) insert:</w:t>
      </w:r>
    </w:p>
    <w:p>
      <w:pPr>
        <w:pStyle w:val="BlankOpen"/>
      </w:pPr>
    </w:p>
    <w:p>
      <w:pPr>
        <w:pStyle w:val="nzSubsection"/>
      </w:pPr>
      <w:r>
        <w:tab/>
        <w:t>(1BA)</w:t>
      </w:r>
      <w:r>
        <w:tab/>
        <w:t>An application under subsection (1a)(b) to vary a condition must be made not later than the prescribed number of days before the variation is proposed to take effect, unless the Director otherwise approves.</w:t>
      </w:r>
    </w:p>
    <w:p>
      <w:pPr>
        <w:pStyle w:val="BlankClose"/>
      </w:pPr>
    </w:p>
    <w:p>
      <w:pPr>
        <w:pStyle w:val="nzHeading5"/>
      </w:pPr>
      <w:bookmarkStart w:id="699" w:name="_Toc518626534"/>
      <w:bookmarkStart w:id="700" w:name="_Toc519495345"/>
      <w:r>
        <w:rPr>
          <w:rStyle w:val="CharSectno"/>
        </w:rPr>
        <w:t>36</w:t>
      </w:r>
      <w:r>
        <w:t>.</w:t>
      </w:r>
      <w:r>
        <w:tab/>
        <w:t>Section 65 amended</w:t>
      </w:r>
      <w:bookmarkEnd w:id="699"/>
      <w:bookmarkEnd w:id="700"/>
    </w:p>
    <w:p>
      <w:pPr>
        <w:pStyle w:val="nzSubsection"/>
      </w:pPr>
      <w:r>
        <w:tab/>
      </w:r>
      <w:r>
        <w:tab/>
        <w:t>Delete section 65(1) and insert:</w:t>
      </w:r>
    </w:p>
    <w:p>
      <w:pPr>
        <w:pStyle w:val="BlankOpen"/>
      </w:pPr>
    </w:p>
    <w:p>
      <w:pPr>
        <w:pStyle w:val="nzSubsection"/>
      </w:pPr>
      <w:r>
        <w:tab/>
        <w:t>(1)</w:t>
      </w:r>
      <w:r>
        <w:tab/>
        <w:t xml:space="preserve">Subject to subsection (3), a licence or permit that authorises the sale of packaged liquor or of liquor for consumption off the licensed premises is subject to the following conditions — </w:t>
      </w:r>
    </w:p>
    <w:p>
      <w:pPr>
        <w:pStyle w:val="nzIndenta"/>
      </w:pPr>
      <w:r>
        <w:tab/>
        <w:t>(a)</w:t>
      </w:r>
      <w:r>
        <w:tab/>
        <w:t xml:space="preserve">that the liquor sold — </w:t>
      </w:r>
    </w:p>
    <w:p>
      <w:pPr>
        <w:pStyle w:val="nzIndenti"/>
      </w:pPr>
      <w:r>
        <w:tab/>
        <w:t>(i)</w:t>
      </w:r>
      <w:r>
        <w:tab/>
        <w:t>must be consigned to the purchaser at, and delivered on or from, the licensed premises, unless the Director otherwise approves; and</w:t>
      </w:r>
    </w:p>
    <w:p>
      <w:pPr>
        <w:pStyle w:val="nzIndenti"/>
        <w:rPr>
          <w:szCs w:val="24"/>
        </w:rPr>
      </w:pPr>
      <w:r>
        <w:tab/>
        <w:t>(ii)</w:t>
      </w:r>
      <w:r>
        <w:tab/>
        <w:t>must be delivered in sealed containers; and</w:t>
      </w:r>
    </w:p>
    <w:p>
      <w:pPr>
        <w:pStyle w:val="nzIndenti"/>
      </w:pPr>
      <w:r>
        <w:tab/>
        <w:t>(iii)</w:t>
      </w:r>
      <w:r>
        <w:tab/>
        <w:t>must not, unless an extended trading permit or a special facility licence so authorises, be or be permitted to be consumed on or, except in the case of liquor sold under section 55, in the immediate proximity of the licensed premises;</w:t>
      </w:r>
    </w:p>
    <w:p>
      <w:pPr>
        <w:pStyle w:val="nzIndenta"/>
      </w:pPr>
      <w:r>
        <w:tab/>
        <w:t>(b)</w:t>
      </w:r>
      <w:r>
        <w:tab/>
        <w:t>that the prescribed requirements relating to sale and delivery must be complied with.</w:t>
      </w:r>
    </w:p>
    <w:p>
      <w:pPr>
        <w:pStyle w:val="nzSubsection"/>
      </w:pPr>
      <w:r>
        <w:tab/>
        <w:t>(1A)</w:t>
      </w:r>
      <w:r>
        <w:tab/>
        <w:t>A person who contravenes a condition referred to in subsection (1) commits an offence.</w:t>
      </w:r>
    </w:p>
    <w:p>
      <w:pPr>
        <w:pStyle w:val="nzPenstart"/>
      </w:pPr>
      <w:r>
        <w:tab/>
        <w:t>Penalty for this subsection: a fine of $2 000.</w:t>
      </w:r>
    </w:p>
    <w:p>
      <w:pPr>
        <w:pStyle w:val="BlankClose"/>
      </w:pPr>
    </w:p>
    <w:p>
      <w:pPr>
        <w:pStyle w:val="nzSectAltNote"/>
      </w:pPr>
      <w:r>
        <w:tab/>
        <w:t>Note:</w:t>
      </w:r>
      <w:r>
        <w:tab/>
        <w:t>The heading to amended section 65 is to read:</w:t>
      </w:r>
    </w:p>
    <w:p>
      <w:pPr>
        <w:pStyle w:val="nzSectAltHeading"/>
      </w:pPr>
      <w:r>
        <w:rPr>
          <w:b w:val="0"/>
        </w:rPr>
        <w:tab/>
      </w:r>
      <w:r>
        <w:rPr>
          <w:b w:val="0"/>
        </w:rPr>
        <w:tab/>
      </w:r>
      <w:r>
        <w:t>Conditions relating to sale and delivery of packaged liquor or liquor for consumption off licensed premises</w:t>
      </w:r>
    </w:p>
    <w:p>
      <w:pPr>
        <w:pStyle w:val="nzHeading5"/>
      </w:pPr>
      <w:bookmarkStart w:id="701" w:name="_Toc518626536"/>
      <w:bookmarkStart w:id="702" w:name="_Toc519495347"/>
      <w:r>
        <w:rPr>
          <w:rStyle w:val="CharSectno"/>
        </w:rPr>
        <w:t>38</w:t>
      </w:r>
      <w:r>
        <w:t>.</w:t>
      </w:r>
      <w:r>
        <w:tab/>
        <w:t>Section 68 amended</w:t>
      </w:r>
      <w:bookmarkEnd w:id="701"/>
      <w:bookmarkEnd w:id="702"/>
    </w:p>
    <w:p>
      <w:pPr>
        <w:pStyle w:val="nzSubsection"/>
      </w:pPr>
      <w:r>
        <w:tab/>
        <w:t>(1)</w:t>
      </w:r>
      <w:r>
        <w:tab/>
        <w:t>In section 68(1):</w:t>
      </w:r>
    </w:p>
    <w:p>
      <w:pPr>
        <w:pStyle w:val="nzIndenta"/>
      </w:pPr>
      <w:r>
        <w:tab/>
        <w:t>(a)</w:t>
      </w:r>
      <w:r>
        <w:tab/>
        <w:t>in paragraph (b)(iv) delete “section 72; and” and insert:</w:t>
      </w:r>
    </w:p>
    <w:p>
      <w:pPr>
        <w:pStyle w:val="BlankOpen"/>
      </w:pPr>
    </w:p>
    <w:p>
      <w:pPr>
        <w:pStyle w:val="nzIndenta"/>
      </w:pPr>
      <w:r>
        <w:tab/>
      </w:r>
      <w:r>
        <w:tab/>
        <w:t>section 72;</w:t>
      </w:r>
    </w:p>
    <w:p>
      <w:pPr>
        <w:pStyle w:val="BlankClose"/>
      </w:pPr>
    </w:p>
    <w:p>
      <w:pPr>
        <w:pStyle w:val="nzIndenta"/>
      </w:pPr>
      <w:r>
        <w:tab/>
        <w:t>(b)</w:t>
      </w:r>
      <w:r>
        <w:tab/>
        <w:t>delete paragraph (b)(v).</w:t>
      </w:r>
    </w:p>
    <w:p>
      <w:pPr>
        <w:pStyle w:val="nzSubsection"/>
      </w:pPr>
      <w:r>
        <w:tab/>
        <w:t>(2)</w:t>
      </w:r>
      <w:r>
        <w:tab/>
        <w:t>In section 68(2) delete “(1)(b)(iii), (iv) and (v)” and insert:</w:t>
      </w:r>
    </w:p>
    <w:p>
      <w:pPr>
        <w:pStyle w:val="BlankOpen"/>
      </w:pPr>
    </w:p>
    <w:p>
      <w:pPr>
        <w:pStyle w:val="nzSubsection"/>
      </w:pPr>
      <w:r>
        <w:tab/>
      </w:r>
      <w:r>
        <w:tab/>
        <w:t>(1)(b)(iii) and (iv)</w:t>
      </w:r>
    </w:p>
    <w:p>
      <w:pPr>
        <w:pStyle w:val="BlankClose"/>
      </w:pPr>
    </w:p>
    <w:p>
      <w:pPr>
        <w:pStyle w:val="nzHeading5"/>
      </w:pPr>
      <w:bookmarkStart w:id="703" w:name="_Toc518626537"/>
      <w:bookmarkStart w:id="704" w:name="_Toc519495348"/>
      <w:r>
        <w:rPr>
          <w:rStyle w:val="CharSectno"/>
        </w:rPr>
        <w:t>39</w:t>
      </w:r>
      <w:r>
        <w:t>.</w:t>
      </w:r>
      <w:r>
        <w:tab/>
        <w:t>Section 69 amended</w:t>
      </w:r>
      <w:bookmarkEnd w:id="703"/>
      <w:bookmarkEnd w:id="704"/>
    </w:p>
    <w:p>
      <w:pPr>
        <w:pStyle w:val="nzSubsection"/>
      </w:pPr>
      <w:r>
        <w:tab/>
        <w:t>(1)</w:t>
      </w:r>
      <w:r>
        <w:tab/>
        <w:t>In section 69(3) delete “67(5)(a)” and insert:</w:t>
      </w:r>
    </w:p>
    <w:p>
      <w:pPr>
        <w:pStyle w:val="BlankOpen"/>
      </w:pPr>
    </w:p>
    <w:p>
      <w:pPr>
        <w:pStyle w:val="nzSubsection"/>
      </w:pPr>
      <w:r>
        <w:tab/>
      </w:r>
      <w:r>
        <w:tab/>
        <w:t>67(5)</w:t>
      </w:r>
    </w:p>
    <w:p>
      <w:pPr>
        <w:pStyle w:val="BlankClose"/>
      </w:pPr>
    </w:p>
    <w:p>
      <w:pPr>
        <w:pStyle w:val="nzSubsection"/>
      </w:pPr>
      <w:r>
        <w:tab/>
        <w:t>(2)</w:t>
      </w:r>
      <w:r>
        <w:tab/>
        <w:t>Delete section 69(5).</w:t>
      </w:r>
    </w:p>
    <w:p>
      <w:pPr>
        <w:pStyle w:val="nzSubsection"/>
      </w:pPr>
      <w:r>
        <w:tab/>
        <w:t>(3)</w:t>
      </w:r>
      <w:r>
        <w:tab/>
        <w:t>In section 69(6)(c)(iv) before “any” insert:</w:t>
      </w:r>
    </w:p>
    <w:p>
      <w:pPr>
        <w:pStyle w:val="BlankOpen"/>
      </w:pPr>
    </w:p>
    <w:p>
      <w:pPr>
        <w:pStyle w:val="nzSubsection"/>
      </w:pPr>
      <w:r>
        <w:tab/>
      </w:r>
      <w:r>
        <w:tab/>
        <w:t>as to</w:t>
      </w:r>
    </w:p>
    <w:p>
      <w:pPr>
        <w:pStyle w:val="BlankClose"/>
      </w:pPr>
    </w:p>
    <w:p>
      <w:pPr>
        <w:pStyle w:val="nzSubsection"/>
      </w:pPr>
      <w:r>
        <w:tab/>
        <w:t>(4)</w:t>
      </w:r>
      <w:r>
        <w:tab/>
        <w:t>After section 69(8) insert:</w:t>
      </w:r>
    </w:p>
    <w:p>
      <w:pPr>
        <w:pStyle w:val="BlankOpen"/>
      </w:pPr>
    </w:p>
    <w:p>
      <w:pPr>
        <w:pStyle w:val="nzSubsection"/>
      </w:pPr>
      <w:r>
        <w:tab/>
        <w:t>(8AA)</w:t>
      </w:r>
      <w:r>
        <w:tab/>
        <w:t xml:space="preserve">The chief executive officer appointed under the </w:t>
      </w:r>
      <w:r>
        <w:rPr>
          <w:i/>
        </w:rPr>
        <w:t>Western Australian Tourism Commission Act 1983</w:t>
      </w:r>
      <w:r>
        <w:t xml:space="preserve"> section 17 may intervene in proceedings before the licensing authority for the purpose of introducing evidence or making representations — </w:t>
      </w:r>
    </w:p>
    <w:p>
      <w:pPr>
        <w:pStyle w:val="nzIndenta"/>
      </w:pPr>
      <w:r>
        <w:tab/>
        <w:t>(a)</w:t>
      </w:r>
      <w:r>
        <w:tab/>
        <w:t>as to whether any tourism benefits might result if a particular application is granted; and</w:t>
      </w:r>
    </w:p>
    <w:p>
      <w:pPr>
        <w:pStyle w:val="nzIndenta"/>
      </w:pPr>
      <w:r>
        <w:tab/>
        <w:t>(b)</w:t>
      </w:r>
      <w:r>
        <w:tab/>
        <w:t>as to any other matter relevant to the proper development of the tourism industry in the State.</w:t>
      </w:r>
    </w:p>
    <w:p>
      <w:pPr>
        <w:pStyle w:val="BlankClose"/>
      </w:pPr>
    </w:p>
    <w:p>
      <w:pPr>
        <w:pStyle w:val="nzHeading5"/>
      </w:pPr>
      <w:bookmarkStart w:id="705" w:name="_Toc518626544"/>
      <w:bookmarkStart w:id="706" w:name="_Toc519495355"/>
      <w:r>
        <w:rPr>
          <w:rStyle w:val="CharSectno"/>
        </w:rPr>
        <w:t>45</w:t>
      </w:r>
      <w:r>
        <w:t>.</w:t>
      </w:r>
      <w:r>
        <w:tab/>
        <w:t>Section 77A inserted</w:t>
      </w:r>
      <w:bookmarkEnd w:id="705"/>
      <w:bookmarkEnd w:id="706"/>
    </w:p>
    <w:p>
      <w:pPr>
        <w:pStyle w:val="nzSubsection"/>
      </w:pPr>
      <w:r>
        <w:tab/>
      </w:r>
      <w:r>
        <w:tab/>
        <w:t>At the end of Part 3 Division 7 insert:</w:t>
      </w:r>
    </w:p>
    <w:p>
      <w:pPr>
        <w:pStyle w:val="BlankOpen"/>
      </w:pPr>
    </w:p>
    <w:p>
      <w:pPr>
        <w:pStyle w:val="nzHeading5"/>
      </w:pPr>
      <w:bookmarkStart w:id="707" w:name="_Toc518626545"/>
      <w:bookmarkStart w:id="708" w:name="_Toc519495356"/>
      <w:r>
        <w:t>77A.</w:t>
      </w:r>
      <w:r>
        <w:tab/>
        <w:t>Restrictions on alteration or redefinition of certain packaged liquor premises</w:t>
      </w:r>
      <w:bookmarkEnd w:id="707"/>
      <w:bookmarkEnd w:id="708"/>
    </w:p>
    <w:p>
      <w:pPr>
        <w:pStyle w:val="nzSubsection"/>
      </w:pPr>
      <w:r>
        <w:tab/>
        <w:t>(1)</w:t>
      </w:r>
      <w:r>
        <w:tab/>
        <w:t xml:space="preserve">In this section — </w:t>
      </w:r>
    </w:p>
    <w:p>
      <w:pPr>
        <w:pStyle w:val="nzDefstart"/>
      </w:pPr>
      <w:r>
        <w:tab/>
      </w:r>
      <w:r>
        <w:rPr>
          <w:rStyle w:val="CharDefText"/>
        </w:rPr>
        <w:t>packaged liquor premises</w:t>
      </w:r>
      <w:r>
        <w:t xml:space="preserve"> has the meaning given in section 36B(1);</w:t>
      </w:r>
    </w:p>
    <w:p>
      <w:pPr>
        <w:pStyle w:val="nzDefstart"/>
      </w:pPr>
      <w:r>
        <w:tab/>
      </w:r>
      <w:r>
        <w:rPr>
          <w:rStyle w:val="CharDefText"/>
        </w:rPr>
        <w:t>prescribed area</w:t>
      </w:r>
      <w:r>
        <w:t xml:space="preserve"> means the area prescribed for the purposes of this section;</w:t>
      </w:r>
    </w:p>
    <w:p>
      <w:pPr>
        <w:pStyle w:val="nzDefstart"/>
      </w:pPr>
      <w:r>
        <w:tab/>
      </w:r>
      <w:r>
        <w:rPr>
          <w:rStyle w:val="CharDefText"/>
        </w:rPr>
        <w:t>prescribed distance</w:t>
      </w:r>
      <w:r>
        <w:t xml:space="preserve"> means the distance prescribed for the purposes of this section;</w:t>
      </w:r>
    </w:p>
    <w:p>
      <w:pPr>
        <w:pStyle w:val="nzDefstart"/>
      </w:pPr>
      <w:r>
        <w:tab/>
      </w:r>
      <w:r>
        <w:rPr>
          <w:rStyle w:val="CharDefText"/>
        </w:rPr>
        <w:t>retail section</w:t>
      </w:r>
      <w:r>
        <w:t>, in relation to packaged liquor premises, means the part or parts of the premises on which packaged liquor is displayed for the purposes of sale or sold.</w:t>
      </w:r>
    </w:p>
    <w:p>
      <w:pPr>
        <w:pStyle w:val="nzSubsection"/>
      </w:pPr>
      <w:r>
        <w:tab/>
        <w:t>(2)</w:t>
      </w:r>
      <w:r>
        <w:tab/>
        <w:t xml:space="preserve">Subsection (3) applies to packaged liquor premises if — </w:t>
      </w:r>
    </w:p>
    <w:p>
      <w:pPr>
        <w:pStyle w:val="nzIndenta"/>
      </w:pPr>
      <w:r>
        <w:tab/>
        <w:t>(a)</w:t>
      </w:r>
      <w:r>
        <w:tab/>
        <w:t>the premises are situated less than the prescribed distance from other packaged liquor premises; and</w:t>
      </w:r>
    </w:p>
    <w:p>
      <w:pPr>
        <w:pStyle w:val="nzIndenta"/>
      </w:pPr>
      <w:r>
        <w:tab/>
        <w:t>(b)</w:t>
      </w:r>
      <w:r>
        <w:tab/>
        <w:t>the area of the retail section of the other packaged liquor premises exceeds the prescribed area.</w:t>
      </w:r>
    </w:p>
    <w:p>
      <w:pPr>
        <w:pStyle w:val="nzSubsection"/>
      </w:pPr>
      <w:r>
        <w:tab/>
        <w:t>(3)</w:t>
      </w:r>
      <w:r>
        <w:tab/>
        <w:t xml:space="preserve">The licensing authority must not hear or determine an application made under section 77(4) in respect of packaged liquor premises to which this subsection applies — </w:t>
      </w:r>
    </w:p>
    <w:p>
      <w:pPr>
        <w:pStyle w:val="nzIndenta"/>
      </w:pPr>
      <w:r>
        <w:tab/>
        <w:t>(a)</w:t>
      </w:r>
      <w:r>
        <w:tab/>
        <w:t xml:space="preserve">if — </w:t>
      </w:r>
    </w:p>
    <w:p>
      <w:pPr>
        <w:pStyle w:val="nzIndenti"/>
      </w:pPr>
      <w:r>
        <w:tab/>
        <w:t>(i)</w:t>
      </w:r>
      <w:r>
        <w:tab/>
        <w:t>the area of the retail section of the premises does not exceed the prescribed area; and</w:t>
      </w:r>
    </w:p>
    <w:p>
      <w:pPr>
        <w:pStyle w:val="nzIndenti"/>
      </w:pPr>
      <w:r>
        <w:tab/>
        <w:t>(ii)</w:t>
      </w:r>
      <w:r>
        <w:tab/>
        <w:t>the proposed alteration or redefinition of the premises would increase the area of the retail section of the premises so that it exceeds the prescribed area;</w:t>
      </w:r>
    </w:p>
    <w:p>
      <w:pPr>
        <w:pStyle w:val="nzIndenta"/>
      </w:pPr>
      <w:r>
        <w:tab/>
      </w:r>
      <w:r>
        <w:tab/>
        <w:t>or</w:t>
      </w:r>
    </w:p>
    <w:p>
      <w:pPr>
        <w:pStyle w:val="nzIndenta"/>
      </w:pPr>
      <w:r>
        <w:tab/>
        <w:t>(b)</w:t>
      </w:r>
      <w:r>
        <w:tab/>
        <w:t xml:space="preserve">if — </w:t>
      </w:r>
    </w:p>
    <w:p>
      <w:pPr>
        <w:pStyle w:val="nzIndenti"/>
      </w:pPr>
      <w:r>
        <w:tab/>
        <w:t>(i)</w:t>
      </w:r>
      <w:r>
        <w:tab/>
        <w:t>the area of the retail section of the premises exceeds the prescribed area; and</w:t>
      </w:r>
    </w:p>
    <w:p>
      <w:pPr>
        <w:pStyle w:val="nzIndenti"/>
      </w:pPr>
      <w:r>
        <w:tab/>
        <w:t>(ii)</w:t>
      </w:r>
      <w:r>
        <w:tab/>
        <w:t>the proposed alteration or redefinition of the premises would increase the area of the retail section of the premises.</w:t>
      </w:r>
    </w:p>
    <w:p>
      <w:pPr>
        <w:pStyle w:val="nzSubsection"/>
      </w:pPr>
      <w:r>
        <w:tab/>
        <w:t>(4)</w:t>
      </w:r>
      <w:r>
        <w:tab/>
        <w:t xml:space="preserve">Regulations made for the purposes of the definition of </w:t>
      </w:r>
      <w:r>
        <w:rPr>
          <w:b/>
          <w:i/>
        </w:rPr>
        <w:t>prescribed distance</w:t>
      </w:r>
      <w:r>
        <w:t xml:space="preserve"> in subsection (1) may prescribe different distances in relation to packaged liquor premises in different areas of the State.</w:t>
      </w:r>
    </w:p>
    <w:p>
      <w:pPr>
        <w:pStyle w:val="BlankClose"/>
      </w:pPr>
    </w:p>
    <w:p>
      <w:pPr>
        <w:pStyle w:val="nzHeading5"/>
      </w:pPr>
      <w:bookmarkStart w:id="709" w:name="_Toc518626546"/>
      <w:bookmarkStart w:id="710" w:name="_Toc519495357"/>
      <w:r>
        <w:rPr>
          <w:rStyle w:val="CharSectno"/>
        </w:rPr>
        <w:t>46</w:t>
      </w:r>
      <w:r>
        <w:t>.</w:t>
      </w:r>
      <w:r>
        <w:tab/>
        <w:t>Section 95 amended</w:t>
      </w:r>
      <w:bookmarkEnd w:id="709"/>
      <w:bookmarkEnd w:id="710"/>
    </w:p>
    <w:p>
      <w:pPr>
        <w:pStyle w:val="nzSubsection"/>
      </w:pPr>
      <w:r>
        <w:tab/>
        <w:t>(1)</w:t>
      </w:r>
      <w:r>
        <w:tab/>
        <w:t>Before section 95(1) insert:</w:t>
      </w:r>
    </w:p>
    <w:p>
      <w:pPr>
        <w:pStyle w:val="BlankOpen"/>
      </w:pPr>
    </w:p>
    <w:p>
      <w:pPr>
        <w:pStyle w:val="nzSubsection"/>
      </w:pPr>
      <w:r>
        <w:tab/>
        <w:t>(1A)</w:t>
      </w:r>
      <w:r>
        <w:tab/>
        <w:t xml:space="preserve">In this section — </w:t>
      </w:r>
    </w:p>
    <w:p>
      <w:pPr>
        <w:pStyle w:val="nzDefstart"/>
      </w:pPr>
      <w:r>
        <w:tab/>
      </w:r>
      <w:r>
        <w:rPr>
          <w:rStyle w:val="CharDefText"/>
        </w:rPr>
        <w:t>employee</w:t>
      </w:r>
      <w:r>
        <w:t xml:space="preserve">, of the licensee, includes — </w:t>
      </w:r>
    </w:p>
    <w:p>
      <w:pPr>
        <w:pStyle w:val="nzDefpara"/>
      </w:pPr>
      <w:r>
        <w:tab/>
        <w:t>(a)</w:t>
      </w:r>
      <w:r>
        <w:tab/>
        <w:t>a person engaged under a contract for services by the licensee; and</w:t>
      </w:r>
    </w:p>
    <w:p>
      <w:pPr>
        <w:pStyle w:val="nzDefpara"/>
      </w:pPr>
      <w:r>
        <w:tab/>
        <w:t>(b)</w:t>
      </w:r>
      <w:r>
        <w:tab/>
        <w:t xml:space="preserve">a person who — </w:t>
      </w:r>
    </w:p>
    <w:p>
      <w:pPr>
        <w:pStyle w:val="nzDefsubpara"/>
      </w:pPr>
      <w:r>
        <w:tab/>
        <w:t>(i)</w:t>
      </w:r>
      <w:r>
        <w:tab/>
        <w:t>holds a crowd controller’s licence; and</w:t>
      </w:r>
    </w:p>
    <w:p>
      <w:pPr>
        <w:pStyle w:val="nzDefsubpara"/>
      </w:pPr>
      <w:r>
        <w:tab/>
        <w:t>(ii)</w:t>
      </w:r>
      <w:r>
        <w:tab/>
        <w:t>is employed by a crowd control agent engaged under a contract for services by the licensee or occupier or a manager of the licensed premises to supply the services of crowd controllers at those premises.</w:t>
      </w:r>
    </w:p>
    <w:p>
      <w:pPr>
        <w:pStyle w:val="BlankClose"/>
      </w:pPr>
    </w:p>
    <w:p>
      <w:pPr>
        <w:pStyle w:val="nzSubsection"/>
      </w:pPr>
      <w:r>
        <w:tab/>
        <w:t>(2)</w:t>
      </w:r>
      <w:r>
        <w:tab/>
        <w:t>In section 95(4)(k) delete “of the licensee; or” and insert:</w:t>
      </w:r>
    </w:p>
    <w:p>
      <w:pPr>
        <w:pStyle w:val="BlankOpen"/>
      </w:pPr>
    </w:p>
    <w:p>
      <w:pPr>
        <w:pStyle w:val="nzSubsection"/>
      </w:pPr>
      <w:r>
        <w:tab/>
      </w:r>
      <w:r>
        <w:tab/>
        <w:t xml:space="preserve">of — </w:t>
      </w:r>
    </w:p>
    <w:p>
      <w:pPr>
        <w:pStyle w:val="nzIndenta"/>
      </w:pPr>
      <w:r>
        <w:tab/>
        <w:t>(i)</w:t>
      </w:r>
      <w:r>
        <w:tab/>
        <w:t>the licensee; or</w:t>
      </w:r>
    </w:p>
    <w:p>
      <w:pPr>
        <w:pStyle w:val="nzIndenta"/>
      </w:pPr>
      <w:r>
        <w:tab/>
        <w:t>(ii)</w:t>
      </w:r>
      <w:r>
        <w:tab/>
        <w:t>an employee or agent of the licensee; or</w:t>
      </w:r>
    </w:p>
    <w:p>
      <w:pPr>
        <w:pStyle w:val="nzIndenta"/>
      </w:pPr>
      <w:r>
        <w:tab/>
        <w:t>(iii)</w:t>
      </w:r>
      <w:r>
        <w:tab/>
        <w:t>a person acting, or purporting to act, on behalf of the licensee;</w:t>
      </w:r>
    </w:p>
    <w:p>
      <w:pPr>
        <w:pStyle w:val="nzSubsection"/>
      </w:pPr>
      <w:r>
        <w:tab/>
      </w:r>
      <w:r>
        <w:tab/>
        <w:t>or</w:t>
      </w:r>
    </w:p>
    <w:p>
      <w:pPr>
        <w:pStyle w:val="nzSubsection"/>
      </w:pPr>
      <w:r>
        <w:tab/>
        <w:t>(3)</w:t>
      </w:r>
      <w:r>
        <w:tab/>
        <w:t>After section 95(11) insert:</w:t>
      </w:r>
    </w:p>
    <w:p>
      <w:pPr>
        <w:pStyle w:val="BlankOpen"/>
      </w:pPr>
    </w:p>
    <w:p>
      <w:pPr>
        <w:pStyle w:val="nzSubsection"/>
      </w:pPr>
      <w:r>
        <w:tab/>
        <w:t>(12)</w:t>
      </w:r>
      <w:r>
        <w:tab/>
        <w:t>The hearing of a complaint lodged under this section must be in public unless the Commission considers that, in the circumstances of the case, the hearing should be in private.</w:t>
      </w:r>
    </w:p>
    <w:p>
      <w:pPr>
        <w:pStyle w:val="BlankClose"/>
      </w:pPr>
    </w:p>
    <w:p>
      <w:pPr>
        <w:pStyle w:val="nzHeading5"/>
      </w:pPr>
      <w:bookmarkStart w:id="711" w:name="_Toc518626554"/>
      <w:bookmarkStart w:id="712" w:name="_Toc519495365"/>
      <w:r>
        <w:rPr>
          <w:rStyle w:val="CharSectno"/>
        </w:rPr>
        <w:t>53</w:t>
      </w:r>
      <w:r>
        <w:t>.</w:t>
      </w:r>
      <w:r>
        <w:tab/>
        <w:t>Section 109A inserted</w:t>
      </w:r>
      <w:bookmarkEnd w:id="711"/>
      <w:bookmarkEnd w:id="712"/>
    </w:p>
    <w:p>
      <w:pPr>
        <w:pStyle w:val="nzSubsection"/>
      </w:pPr>
      <w:r>
        <w:tab/>
      </w:r>
      <w:r>
        <w:tab/>
        <w:t>After section 109 insert:</w:t>
      </w:r>
    </w:p>
    <w:p>
      <w:pPr>
        <w:pStyle w:val="BlankOpen"/>
      </w:pPr>
    </w:p>
    <w:p>
      <w:pPr>
        <w:pStyle w:val="nzHeading5"/>
      </w:pPr>
      <w:bookmarkStart w:id="713" w:name="_Toc518626555"/>
      <w:bookmarkStart w:id="714" w:name="_Toc519495366"/>
      <w:r>
        <w:t>109A.</w:t>
      </w:r>
      <w:r>
        <w:tab/>
        <w:t>Offence to carry liquor in excess of prescribed quantity in prescribed area of State</w:t>
      </w:r>
      <w:bookmarkEnd w:id="713"/>
      <w:bookmarkEnd w:id="714"/>
    </w:p>
    <w:p>
      <w:pPr>
        <w:pStyle w:val="nzSubsection"/>
      </w:pPr>
      <w:r>
        <w:tab/>
        <w:t>(1)</w:t>
      </w:r>
      <w:r>
        <w:tab/>
        <w:t xml:space="preserve">In this section — </w:t>
      </w:r>
    </w:p>
    <w:p>
      <w:pPr>
        <w:pStyle w:val="nzDefstart"/>
      </w:pPr>
      <w:r>
        <w:tab/>
      </w:r>
      <w:r>
        <w:rPr>
          <w:rStyle w:val="CharDefText"/>
        </w:rPr>
        <w:t>driver</w:t>
      </w:r>
      <w:r>
        <w:t>, in relation to a vehicle, means a person who has control over the steering, movement or propulsion of the vehicle;</w:t>
      </w:r>
    </w:p>
    <w:p>
      <w:pPr>
        <w:pStyle w:val="nzDefstart"/>
      </w:pPr>
      <w:r>
        <w:tab/>
      </w:r>
      <w:r>
        <w:rPr>
          <w:rStyle w:val="CharDefText"/>
        </w:rPr>
        <w:t>vehicle</w:t>
      </w:r>
      <w:r>
        <w:t>, without limiting the definition of that term in section 3(1), includes a trailer, semi</w:t>
      </w:r>
      <w:r>
        <w:noBreakHyphen/>
        <w:t>trailer or caravan attached to another vehicle.</w:t>
      </w:r>
    </w:p>
    <w:p>
      <w:pPr>
        <w:pStyle w:val="nzSubsection"/>
      </w:pPr>
      <w:r>
        <w:tab/>
        <w:t>(2)</w:t>
      </w:r>
      <w:r>
        <w:tab/>
        <w:t>A person who, in a prescribed area of the State, carries a kind of liquor in a quantity that exceeds the quantity prescribed for that kind of liquor commits an offence.</w:t>
      </w:r>
    </w:p>
    <w:p>
      <w:pPr>
        <w:pStyle w:val="nzPenstart"/>
      </w:pPr>
      <w:r>
        <w:tab/>
        <w:t>Penalty for this subsection: a fine of $10 000.</w:t>
      </w:r>
    </w:p>
    <w:p>
      <w:pPr>
        <w:pStyle w:val="nzSubsection"/>
      </w:pPr>
      <w:r>
        <w:tab/>
        <w:t>(3)</w:t>
      </w:r>
      <w:r>
        <w:tab/>
        <w:t>For the purposes of subsection (2), if liquor is carried in or on a vehicle the driver of the vehicle is taken to be the person who carries the liquor.</w:t>
      </w:r>
    </w:p>
    <w:p>
      <w:pPr>
        <w:pStyle w:val="nzSubsection"/>
      </w:pPr>
      <w:r>
        <w:tab/>
        <w:t>(4)</w:t>
      </w:r>
      <w:r>
        <w:tab/>
        <w:t xml:space="preserve">It is a defence to a charge of an offence under subsection (2) to prove that the liquor was carried — </w:t>
      </w:r>
    </w:p>
    <w:p>
      <w:pPr>
        <w:pStyle w:val="nzIndenta"/>
      </w:pPr>
      <w:r>
        <w:tab/>
        <w:t>(a)</w:t>
      </w:r>
      <w:r>
        <w:tab/>
        <w:t>for the purpose of a sale that may lawfully be made; or</w:t>
      </w:r>
    </w:p>
    <w:p>
      <w:pPr>
        <w:pStyle w:val="nzIndenta"/>
      </w:pPr>
      <w:r>
        <w:tab/>
        <w:t>(b)</w:t>
      </w:r>
      <w:r>
        <w:tab/>
        <w:t>by a person of a prescribed class; or</w:t>
      </w:r>
    </w:p>
    <w:p>
      <w:pPr>
        <w:pStyle w:val="nzIndenta"/>
      </w:pPr>
      <w:r>
        <w:tab/>
        <w:t>(c)</w:t>
      </w:r>
      <w:r>
        <w:tab/>
        <w:t>in or on a vehicle of a prescribed class; or</w:t>
      </w:r>
    </w:p>
    <w:p>
      <w:pPr>
        <w:pStyle w:val="nzIndenta"/>
      </w:pPr>
      <w:r>
        <w:tab/>
        <w:t>(d)</w:t>
      </w:r>
      <w:r>
        <w:tab/>
        <w:t>in prescribed circumstances.</w:t>
      </w:r>
    </w:p>
    <w:p>
      <w:pPr>
        <w:pStyle w:val="nzSubsection"/>
      </w:pPr>
      <w:r>
        <w:tab/>
        <w:t>(5)</w:t>
      </w:r>
      <w:r>
        <w:tab/>
        <w:t>Regulations made for the purposes of subsection (2) may prescribe different quantities for different areas of the State.</w:t>
      </w:r>
    </w:p>
    <w:p>
      <w:pPr>
        <w:pStyle w:val="BlankClose"/>
      </w:pPr>
    </w:p>
    <w:p>
      <w:pPr>
        <w:pStyle w:val="nzHeading5"/>
      </w:pPr>
      <w:bookmarkStart w:id="715" w:name="_Toc518626558"/>
      <w:bookmarkStart w:id="716" w:name="_Toc519495369"/>
      <w:r>
        <w:rPr>
          <w:rStyle w:val="CharSectno"/>
        </w:rPr>
        <w:t>56</w:t>
      </w:r>
      <w:r>
        <w:t>.</w:t>
      </w:r>
      <w:r>
        <w:tab/>
        <w:t>Section 115 amended</w:t>
      </w:r>
      <w:bookmarkEnd w:id="715"/>
      <w:bookmarkEnd w:id="716"/>
    </w:p>
    <w:p>
      <w:pPr>
        <w:pStyle w:val="nzSubsection"/>
      </w:pPr>
      <w:r>
        <w:tab/>
        <w:t>(1)</w:t>
      </w:r>
      <w:r>
        <w:tab/>
        <w:t>In section 115(1) and (2) in the Penalty delete “Penalty:” and insert:</w:t>
      </w:r>
    </w:p>
    <w:p>
      <w:pPr>
        <w:pStyle w:val="BlankOpen"/>
      </w:pPr>
    </w:p>
    <w:p>
      <w:pPr>
        <w:pStyle w:val="nzSubsection"/>
      </w:pPr>
      <w:r>
        <w:tab/>
      </w:r>
      <w:r>
        <w:tab/>
        <w:t>Penalty for this subsection:</w:t>
      </w:r>
    </w:p>
    <w:p>
      <w:pPr>
        <w:pStyle w:val="BlankClose"/>
      </w:pPr>
    </w:p>
    <w:p>
      <w:pPr>
        <w:pStyle w:val="nzSubsection"/>
      </w:pPr>
      <w:r>
        <w:tab/>
        <w:t>(2)</w:t>
      </w:r>
      <w:r>
        <w:tab/>
        <w:t>After section 115(4a) insert:</w:t>
      </w:r>
    </w:p>
    <w:p>
      <w:pPr>
        <w:pStyle w:val="BlankOpen"/>
      </w:pPr>
    </w:p>
    <w:p>
      <w:pPr>
        <w:pStyle w:val="nzSubsection"/>
      </w:pPr>
      <w:r>
        <w:tab/>
        <w:t>(4B)</w:t>
      </w:r>
      <w:r>
        <w:tab/>
        <w:t>A person commits an offence if the person does not leave licensed premises or a part of licensed premises after being required under subsection (4)(b) to do so.</w:t>
      </w:r>
    </w:p>
    <w:p>
      <w:pPr>
        <w:pStyle w:val="nzPenstart"/>
      </w:pPr>
      <w:r>
        <w:tab/>
        <w:t>Penalty for this subsection: a fine of $5 000.</w:t>
      </w:r>
    </w:p>
    <w:p>
      <w:pPr>
        <w:pStyle w:val="BlankClose"/>
      </w:pPr>
    </w:p>
    <w:p>
      <w:pPr>
        <w:pStyle w:val="nzSubsection"/>
      </w:pPr>
      <w:r>
        <w:tab/>
        <w:t>(3)</w:t>
      </w:r>
      <w:r>
        <w:tab/>
        <w:t>In section 115(5):</w:t>
      </w:r>
    </w:p>
    <w:p>
      <w:pPr>
        <w:pStyle w:val="nzIndenta"/>
      </w:pPr>
      <w:r>
        <w:tab/>
        <w:t>(a)</w:t>
      </w:r>
      <w:r>
        <w:tab/>
        <w:t>delete “A person who —” and insert:</w:t>
      </w:r>
    </w:p>
    <w:p>
      <w:pPr>
        <w:pStyle w:val="BlankOpen"/>
      </w:pPr>
    </w:p>
    <w:p>
      <w:pPr>
        <w:pStyle w:val="nzIndenta"/>
      </w:pPr>
      <w:r>
        <w:tab/>
      </w:r>
      <w:r>
        <w:tab/>
        <w:t xml:space="preserve">A person commits an offence if the person — </w:t>
      </w:r>
    </w:p>
    <w:p>
      <w:pPr>
        <w:pStyle w:val="BlankClose"/>
      </w:pPr>
    </w:p>
    <w:p>
      <w:pPr>
        <w:pStyle w:val="nzIndenta"/>
      </w:pPr>
      <w:r>
        <w:tab/>
        <w:t>(b)</w:t>
      </w:r>
      <w:r>
        <w:tab/>
        <w:t>in paragraph (b) delete “closed; or” and insert:</w:t>
      </w:r>
    </w:p>
    <w:p>
      <w:pPr>
        <w:pStyle w:val="BlankOpen"/>
      </w:pPr>
    </w:p>
    <w:p>
      <w:pPr>
        <w:pStyle w:val="nzIndenta"/>
      </w:pPr>
      <w:r>
        <w:tab/>
      </w:r>
      <w:r>
        <w:tab/>
        <w:t>closed.</w:t>
      </w:r>
    </w:p>
    <w:p>
      <w:pPr>
        <w:pStyle w:val="BlankClose"/>
      </w:pPr>
    </w:p>
    <w:p>
      <w:pPr>
        <w:pStyle w:val="nzIndenta"/>
      </w:pPr>
      <w:r>
        <w:tab/>
        <w:t>(c)</w:t>
      </w:r>
      <w:r>
        <w:tab/>
        <w:t>delete paragraph (c);</w:t>
      </w:r>
    </w:p>
    <w:p>
      <w:pPr>
        <w:pStyle w:val="nzIndenta"/>
      </w:pPr>
      <w:r>
        <w:tab/>
        <w:t>(d)</w:t>
      </w:r>
      <w:r>
        <w:tab/>
        <w:t>delete “commits an offence.”.</w:t>
      </w:r>
    </w:p>
    <w:p>
      <w:pPr>
        <w:pStyle w:val="nzSubsection"/>
      </w:pPr>
      <w:r>
        <w:tab/>
        <w:t>(4)</w:t>
      </w:r>
      <w:r>
        <w:tab/>
        <w:t>In section 115(5) in the Penalty delete “Penalty:” and insert:</w:t>
      </w:r>
    </w:p>
    <w:p>
      <w:pPr>
        <w:pStyle w:val="BlankOpen"/>
      </w:pPr>
    </w:p>
    <w:p>
      <w:pPr>
        <w:pStyle w:val="nzSubsection"/>
      </w:pPr>
      <w:r>
        <w:tab/>
      </w:r>
      <w:r>
        <w:tab/>
        <w:t>Penalty for this subsection:</w:t>
      </w:r>
    </w:p>
    <w:p>
      <w:pPr>
        <w:pStyle w:val="BlankClose"/>
      </w:pPr>
    </w:p>
    <w:p>
      <w:pPr>
        <w:pStyle w:val="nzSubsection"/>
      </w:pPr>
      <w:r>
        <w:tab/>
        <w:t>(5)</w:t>
      </w:r>
      <w:r>
        <w:tab/>
        <w:t>In section 115(6) delete the Penalty and insert:</w:t>
      </w:r>
    </w:p>
    <w:p>
      <w:pPr>
        <w:pStyle w:val="BlankOpen"/>
      </w:pPr>
    </w:p>
    <w:p>
      <w:pPr>
        <w:pStyle w:val="nzPenstart"/>
      </w:pPr>
      <w:r>
        <w:tab/>
        <w:t>Penalty for this subsection: a fine of $5 000.</w:t>
      </w:r>
    </w:p>
    <w:p>
      <w:pPr>
        <w:pStyle w:val="BlankClose"/>
      </w:pPr>
    </w:p>
    <w:p>
      <w:pPr>
        <w:pStyle w:val="nzSubsection"/>
      </w:pPr>
      <w:r>
        <w:tab/>
        <w:t>(6)</w:t>
      </w:r>
      <w:r>
        <w:tab/>
        <w:t>In section 115(7) in the Penalty delete “Penalty:” and insert:</w:t>
      </w:r>
    </w:p>
    <w:p>
      <w:pPr>
        <w:pStyle w:val="BlankOpen"/>
      </w:pPr>
    </w:p>
    <w:p>
      <w:pPr>
        <w:pStyle w:val="nzSubsection"/>
      </w:pPr>
      <w:r>
        <w:tab/>
      </w:r>
      <w:r>
        <w:tab/>
        <w:t>Penalty for this subsection:</w:t>
      </w:r>
    </w:p>
    <w:p>
      <w:pPr>
        <w:pStyle w:val="BlankClose"/>
      </w:pPr>
    </w:p>
    <w:p>
      <w:pPr>
        <w:pStyle w:val="nzHeading5"/>
      </w:pPr>
      <w:bookmarkStart w:id="717" w:name="_Toc518626562"/>
      <w:bookmarkStart w:id="718" w:name="_Toc519495373"/>
      <w:r>
        <w:rPr>
          <w:rStyle w:val="CharSectno"/>
        </w:rPr>
        <w:t>60</w:t>
      </w:r>
      <w:r>
        <w:t>.</w:t>
      </w:r>
      <w:r>
        <w:tab/>
        <w:t>Section 120 amended</w:t>
      </w:r>
      <w:bookmarkEnd w:id="717"/>
      <w:bookmarkEnd w:id="718"/>
    </w:p>
    <w:p>
      <w:pPr>
        <w:pStyle w:val="nzSubsection"/>
      </w:pPr>
      <w:r>
        <w:tab/>
      </w:r>
      <w:r>
        <w:tab/>
        <w:t>In section 120(1)(a)(i) delete “constitution or”.</w:t>
      </w:r>
    </w:p>
    <w:p>
      <w:pPr>
        <w:pStyle w:val="nzHeading5"/>
      </w:pPr>
      <w:bookmarkStart w:id="719" w:name="_Toc518626564"/>
      <w:bookmarkStart w:id="720" w:name="_Toc519495375"/>
      <w:r>
        <w:rPr>
          <w:rStyle w:val="CharSectno"/>
        </w:rPr>
        <w:t>62</w:t>
      </w:r>
      <w:r>
        <w:t>.</w:t>
      </w:r>
      <w:r>
        <w:tab/>
        <w:t>Section 155 amended</w:t>
      </w:r>
      <w:bookmarkEnd w:id="719"/>
      <w:bookmarkEnd w:id="720"/>
    </w:p>
    <w:p>
      <w:pPr>
        <w:pStyle w:val="nzSubsection"/>
      </w:pPr>
      <w:r>
        <w:tab/>
        <w:t>(1)</w:t>
      </w:r>
      <w:r>
        <w:tab/>
        <w:t>After section 155(5) insert:</w:t>
      </w:r>
    </w:p>
    <w:p>
      <w:pPr>
        <w:pStyle w:val="BlankOpen"/>
      </w:pPr>
    </w:p>
    <w:p>
      <w:pPr>
        <w:pStyle w:val="nzSubsection"/>
      </w:pPr>
      <w:r>
        <w:tab/>
        <w:t>(5A)</w:t>
      </w:r>
      <w:r>
        <w:tab/>
        <w:t>If a person is contravening section 109A(2) a member of the Police Force may, subject to subsection (5B), seize an opened or unopened container of liquor involved in the contravention.</w:t>
      </w:r>
    </w:p>
    <w:p>
      <w:pPr>
        <w:pStyle w:val="nzSubsection"/>
      </w:pPr>
      <w:r>
        <w:tab/>
        <w:t>(5B)</w:t>
      </w:r>
      <w:r>
        <w:tab/>
        <w:t>The total quantity of a kind of liquor in any containers seized under subsection (5A) must not exceed the seizable quantity for that kind of liquor.</w:t>
      </w:r>
    </w:p>
    <w:p>
      <w:pPr>
        <w:pStyle w:val="nzSubsection"/>
      </w:pPr>
      <w:r>
        <w:tab/>
        <w:t>(5C)</w:t>
      </w:r>
      <w:r>
        <w:tab/>
        <w:t xml:space="preserve">In subsection (5B) — </w:t>
      </w:r>
    </w:p>
    <w:p>
      <w:pPr>
        <w:pStyle w:val="nzDefstart"/>
      </w:pPr>
      <w:r>
        <w:tab/>
      </w:r>
      <w:r>
        <w:rPr>
          <w:rStyle w:val="CharDefText"/>
        </w:rPr>
        <w:t>seizable quantity</w:t>
      </w:r>
      <w:r>
        <w:t>, for a kind of liquor, means the quantity representing the difference between the total quantity of that kind of liquor involved in the contravention and the quantity prescribed for that kind of liquor under section 109A(2).</w:t>
      </w:r>
    </w:p>
    <w:p>
      <w:pPr>
        <w:pStyle w:val="BlankClose"/>
      </w:pPr>
    </w:p>
    <w:p>
      <w:pPr>
        <w:pStyle w:val="nzSubsection"/>
      </w:pPr>
      <w:r>
        <w:tab/>
        <w:t>(2)</w:t>
      </w:r>
      <w:r>
        <w:tab/>
        <w:t>In section 155(7)(b)(ii) delete “believes” and insert:</w:t>
      </w:r>
    </w:p>
    <w:p>
      <w:pPr>
        <w:pStyle w:val="BlankOpen"/>
      </w:pPr>
    </w:p>
    <w:p>
      <w:pPr>
        <w:pStyle w:val="nzSubsection"/>
      </w:pPr>
      <w:r>
        <w:tab/>
      </w:r>
      <w:r>
        <w:tab/>
        <w:t>suspects</w:t>
      </w:r>
    </w:p>
    <w:p>
      <w:pPr>
        <w:pStyle w:val="BlankClose"/>
      </w:pPr>
    </w:p>
    <w:p>
      <w:pPr>
        <w:pStyle w:val="nzSubsection"/>
      </w:pPr>
      <w:r>
        <w:tab/>
        <w:t>(3)</w:t>
      </w:r>
      <w:r>
        <w:tab/>
        <w:t>In section 155(9) after “subsection” (2</w:t>
      </w:r>
      <w:r>
        <w:rPr>
          <w:vertAlign w:val="superscript"/>
        </w:rPr>
        <w:t>nd</w:t>
      </w:r>
      <w:r>
        <w:t xml:space="preserve"> occurrence) insert:</w:t>
      </w:r>
    </w:p>
    <w:p>
      <w:pPr>
        <w:pStyle w:val="BlankOpen"/>
      </w:pPr>
    </w:p>
    <w:p>
      <w:pPr>
        <w:pStyle w:val="nzSubsection"/>
      </w:pPr>
      <w:r>
        <w:tab/>
      </w:r>
      <w:r>
        <w:tab/>
        <w:t>(5A),</w:t>
      </w:r>
    </w:p>
    <w:p>
      <w:pPr>
        <w:pStyle w:val="BlankClose"/>
      </w:pPr>
    </w:p>
    <w:p>
      <w:pPr>
        <w:pStyle w:val="nzHeading5"/>
      </w:pPr>
      <w:bookmarkStart w:id="721" w:name="_Toc518626565"/>
      <w:bookmarkStart w:id="722" w:name="_Toc519495376"/>
      <w:r>
        <w:rPr>
          <w:rStyle w:val="CharSectno"/>
        </w:rPr>
        <w:t>63</w:t>
      </w:r>
      <w:r>
        <w:t>.</w:t>
      </w:r>
      <w:r>
        <w:tab/>
        <w:t>Section 167 amended</w:t>
      </w:r>
      <w:bookmarkEnd w:id="721"/>
      <w:bookmarkEnd w:id="722"/>
    </w:p>
    <w:p>
      <w:pPr>
        <w:pStyle w:val="nzSubsection"/>
      </w:pPr>
      <w:r>
        <w:tab/>
        <w:t>(1)</w:t>
      </w:r>
      <w:r>
        <w:tab/>
        <w:t>In section 167(1) insert in alphabetical order:</w:t>
      </w:r>
    </w:p>
    <w:p>
      <w:pPr>
        <w:pStyle w:val="BlankOpen"/>
      </w:pPr>
    </w:p>
    <w:p>
      <w:pPr>
        <w:pStyle w:val="nzDefstart"/>
      </w:pPr>
      <w:r>
        <w:tab/>
      </w:r>
      <w:r>
        <w:rPr>
          <w:rStyle w:val="CharDefText"/>
        </w:rPr>
        <w:t>approved form</w:t>
      </w:r>
      <w:r>
        <w:t xml:space="preserve"> means the form approved by the Director;</w:t>
      </w:r>
    </w:p>
    <w:p>
      <w:pPr>
        <w:pStyle w:val="BlankClose"/>
      </w:pPr>
    </w:p>
    <w:p>
      <w:pPr>
        <w:pStyle w:val="nzSubsection"/>
      </w:pPr>
      <w:r>
        <w:tab/>
        <w:t>(2)</w:t>
      </w:r>
      <w:r>
        <w:tab/>
        <w:t xml:space="preserve">In section 167(1) in the definition of </w:t>
      </w:r>
      <w:r>
        <w:rPr>
          <w:b/>
          <w:i/>
        </w:rPr>
        <w:t>infringement notice</w:t>
      </w:r>
      <w:r>
        <w:t xml:space="preserve"> delete “a notice” and insert:</w:t>
      </w:r>
    </w:p>
    <w:p>
      <w:pPr>
        <w:pStyle w:val="BlankOpen"/>
      </w:pPr>
    </w:p>
    <w:p>
      <w:pPr>
        <w:pStyle w:val="nzSubsection"/>
      </w:pPr>
      <w:r>
        <w:tab/>
      </w:r>
      <w:r>
        <w:tab/>
        <w:t>an infringement notice</w:t>
      </w:r>
    </w:p>
    <w:p>
      <w:pPr>
        <w:pStyle w:val="BlankClose"/>
      </w:pPr>
    </w:p>
    <w:p>
      <w:pPr>
        <w:pStyle w:val="nzSubsection"/>
      </w:pPr>
      <w:r>
        <w:tab/>
        <w:t>(3)</w:t>
      </w:r>
      <w:r>
        <w:tab/>
        <w:t>In section 167(2) delete the passage that begins with “a notice” and ends with “in the notice.” and insert:</w:t>
      </w:r>
    </w:p>
    <w:p>
      <w:pPr>
        <w:pStyle w:val="BlankOpen"/>
      </w:pPr>
    </w:p>
    <w:p>
      <w:pPr>
        <w:pStyle w:val="nzSubsection"/>
      </w:pPr>
      <w:r>
        <w:tab/>
      </w:r>
      <w:r>
        <w:tab/>
        <w:t>an infringement notice.</w:t>
      </w:r>
    </w:p>
    <w:p>
      <w:pPr>
        <w:pStyle w:val="BlankClose"/>
      </w:pPr>
    </w:p>
    <w:p>
      <w:pPr>
        <w:pStyle w:val="nzSubsection"/>
      </w:pPr>
      <w:r>
        <w:tab/>
        <w:t>(4)</w:t>
      </w:r>
      <w:r>
        <w:tab/>
        <w:t>After section 167(2) insert:</w:t>
      </w:r>
    </w:p>
    <w:p>
      <w:pPr>
        <w:pStyle w:val="BlankOpen"/>
      </w:pPr>
    </w:p>
    <w:p>
      <w:pPr>
        <w:pStyle w:val="nzSubsection"/>
      </w:pPr>
      <w:r>
        <w:tab/>
        <w:t>(2A)</w:t>
      </w:r>
      <w:r>
        <w:tab/>
        <w:t xml:space="preserve">An infringement notice must be in the approved form and must — </w:t>
      </w:r>
    </w:p>
    <w:p>
      <w:pPr>
        <w:pStyle w:val="nzIndenta"/>
      </w:pPr>
      <w:r>
        <w:tab/>
        <w:t>(a)</w:t>
      </w:r>
      <w:r>
        <w:tab/>
        <w:t>contain a description of the alleged offence; and</w:t>
      </w:r>
    </w:p>
    <w:p>
      <w:pPr>
        <w:pStyle w:val="nz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nzIndenta"/>
      </w:pPr>
      <w:r>
        <w:tab/>
        <w:t>(c)</w:t>
      </w:r>
      <w:r>
        <w:tab/>
        <w:t>inform the alleged offender as to who are authorised persons for the purposes of receiving payment of modified penalties.</w:t>
      </w:r>
    </w:p>
    <w:p>
      <w:pPr>
        <w:pStyle w:val="BlankClose"/>
      </w:pPr>
    </w:p>
    <w:p>
      <w:pPr>
        <w:pStyle w:val="nzSubsection"/>
      </w:pPr>
      <w:r>
        <w:tab/>
        <w:t>(5)</w:t>
      </w:r>
      <w:r>
        <w:tab/>
        <w:t>In section 167(5) delete “prescribed” and insert:</w:t>
      </w:r>
    </w:p>
    <w:p>
      <w:pPr>
        <w:pStyle w:val="BlankOpen"/>
      </w:pPr>
    </w:p>
    <w:p>
      <w:pPr>
        <w:pStyle w:val="nzSubsection"/>
      </w:pPr>
      <w:r>
        <w:tab/>
      </w:r>
      <w:r>
        <w:tab/>
        <w:t>approved</w:t>
      </w:r>
    </w:p>
    <w:p>
      <w:pPr>
        <w:pStyle w:val="BlankClose"/>
      </w:pPr>
    </w:p>
    <w:p>
      <w:pPr>
        <w:pStyle w:val="BlankClose"/>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bookmarkEnd w:id="662"/>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Chief Health Officer</w:t>
      </w:r>
      <w:r>
        <w:tab/>
        <w:t>3(1)</w:t>
      </w:r>
    </w:p>
    <w:p>
      <w:pPr>
        <w:pStyle w:val="DefinedTerms"/>
      </w:pPr>
      <w:r>
        <w:t>club</w:t>
      </w:r>
      <w:r>
        <w:tab/>
        <w:t>49(1), Sch. 2 cl. 1, Sch. 2 cl. 1</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 Sch. 1C cl. 2(1) and 3(1)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Department</w:t>
      </w:r>
      <w:r>
        <w:tab/>
        <w:t>3(1)</w:t>
      </w:r>
    </w:p>
    <w:p>
      <w:pPr>
        <w:pStyle w:val="DefinedTerms"/>
      </w:pPr>
      <w:r>
        <w:t>Department’s website</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interstate supplier</w:t>
      </w:r>
      <w:r>
        <w:tab/>
        <w:t>59A(1)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 174B(1)</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 xml:space="preserve">old licence </w:t>
      </w:r>
      <w:r>
        <w:tab/>
        <w:t>Sch. 1C cl. 2(1)</w:t>
      </w:r>
    </w:p>
    <w:p>
      <w:pPr>
        <w:pStyle w:val="DefinedTerms"/>
      </w:pPr>
      <w:r>
        <w:t>old section 35B</w:t>
      </w:r>
      <w:r>
        <w:tab/>
        <w:t>Sch. 1B cl. 1</w:t>
      </w:r>
    </w:p>
    <w:p>
      <w:pPr>
        <w:pStyle w:val="DefinedTerms"/>
      </w:pPr>
      <w:r>
        <w:t>owner</w:t>
      </w:r>
      <w:r>
        <w:tab/>
        <w:t>3(1)</w:t>
      </w:r>
    </w:p>
    <w:p>
      <w:pPr>
        <w:pStyle w:val="DefinedTerms"/>
      </w:pPr>
      <w:r>
        <w:t>packaged liquor</w:t>
      </w:r>
      <w:r>
        <w:tab/>
        <w:t>3(1), 59A(1)</w:t>
      </w:r>
    </w:p>
    <w:p>
      <w:pPr>
        <w:pStyle w:val="DefinedTerms"/>
      </w:pPr>
      <w:r>
        <w:t>packaged liquor licence</w:t>
      </w:r>
      <w:r>
        <w:tab/>
        <w:t>59A(1)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purchaser</w:t>
      </w:r>
      <w:r>
        <w:tab/>
        <w:t>110(6A)</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small restaurant licence</w:t>
      </w:r>
      <w:r>
        <w:tab/>
        <w:t>Sch. 1C cl. 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submission</w:t>
      </w:r>
      <w:r>
        <w:tab/>
        <w:t>72A(1)</w:t>
      </w:r>
    </w:p>
    <w:p>
      <w:pPr>
        <w:pStyle w:val="DefinedTerms"/>
      </w:pPr>
      <w:r>
        <w:t>subsidy</w:t>
      </w:r>
      <w:r>
        <w:tab/>
        <w:t>3(1)</w:t>
      </w:r>
    </w:p>
    <w:p>
      <w:pPr>
        <w:pStyle w:val="DefinedTerms"/>
      </w:pPr>
      <w:r>
        <w:t>substance</w:t>
      </w:r>
      <w:r>
        <w:tab/>
        <w:t>3(1)</w:t>
      </w:r>
    </w:p>
    <w:p>
      <w:pPr>
        <w:pStyle w:val="DefinedTerms"/>
      </w:pPr>
      <w:r>
        <w:t>supplier</w:t>
      </w:r>
      <w:r>
        <w:tab/>
        <w:t>59A(2)</w:t>
      </w:r>
    </w:p>
    <w:p>
      <w:pPr>
        <w:pStyle w:val="DefinedTerms"/>
      </w:pPr>
      <w:r>
        <w:t>tavern licence</w:t>
      </w:r>
      <w:r>
        <w:tab/>
        <w:t>3(1)</w:t>
      </w:r>
    </w:p>
    <w:p>
      <w:pPr>
        <w:pStyle w:val="DefinedTerms"/>
      </w:pPr>
      <w:r>
        <w:t>tavern restricted licence</w:t>
      </w:r>
      <w:r>
        <w:tab/>
        <w:t>3(1)</w:t>
      </w:r>
    </w:p>
    <w:p>
      <w:pPr>
        <w:pStyle w:val="DefinedTerms"/>
      </w:pPr>
      <w:r>
        <w:t>the required day</w:t>
      </w:r>
      <w:r>
        <w:tab/>
        <w:t>62(4)</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Aug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Aug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Aug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r>
            <w:fldChar w:fldCharType="begin"/>
          </w:r>
          <w:r>
            <w:instrText xml:space="preserve"> styleref CharSDivText </w:instrText>
          </w:r>
          <w:r>
            <w:fldChar w:fldCharType="end"/>
          </w:r>
        </w:p>
      </w:tc>
      <w:tc>
        <w:tcPr>
          <w:tcW w:w="1400"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23" w:name="Compilation"/>
    <w:bookmarkEnd w:id="7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24" w:name="DefinedTerms"/>
    <w:bookmarkEnd w:id="72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25" w:name="Coversheet"/>
    <w:bookmarkEnd w:id="7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572" w:name="Schedule"/>
    <w:bookmarkEnd w:id="57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10"/>
  </w:num>
  <w:num w:numId="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354"/>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6922D-C70B-48B8-9DEA-1DE7A6DC5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368</Pages>
  <Words>96487</Words>
  <Characters>455421</Characters>
  <Application>Microsoft Office Word</Application>
  <DocSecurity>0</DocSecurity>
  <Lines>12308</Lines>
  <Paragraphs>6813</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545095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1988 - 08-h0-00</dc:title>
  <dc:subject/>
  <dc:creator/>
  <cp:keywords/>
  <dc:description/>
  <cp:lastModifiedBy>svcMRProcess</cp:lastModifiedBy>
  <cp:revision>4</cp:revision>
  <cp:lastPrinted>2018-08-17T03:42:00Z</cp:lastPrinted>
  <dcterms:created xsi:type="dcterms:W3CDTF">2018-09-04T06:16:00Z</dcterms:created>
  <dcterms:modified xsi:type="dcterms:W3CDTF">2018-09-04T06:17:00Z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CommencementDate">
    <vt:lpwstr>20180818</vt:lpwstr>
  </property>
  <property fmtid="{D5CDD505-2E9C-101B-9397-08002B2CF9AE}" pid="9" name="AsAtDate">
    <vt:lpwstr>18 Aug 2018</vt:lpwstr>
  </property>
  <property fmtid="{D5CDD505-2E9C-101B-9397-08002B2CF9AE}" pid="10" name="Suffix">
    <vt:lpwstr>08-h0-00</vt:lpwstr>
  </property>
</Properties>
</file>