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November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_Toc120001165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_Toc120001166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_Toc120001167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_Toc120001168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_Toc120001170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the Board</w:t>
      </w:r>
      <w:r>
        <w:tab/>
      </w:r>
      <w:r>
        <w:fldChar w:fldCharType="begin"/>
      </w:r>
      <w:r>
        <w:instrText xml:space="preserve"> PAGEREF _Toc120001171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_Toc120001172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_Toc120001173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_Toc120001174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the Board and disclosure of interest</w:t>
      </w:r>
      <w:r>
        <w:tab/>
      </w:r>
      <w:r>
        <w:fldChar w:fldCharType="begin"/>
      </w:r>
      <w:r>
        <w:instrText xml:space="preserve"> PAGEREF _Toc120001175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_Toc120001176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_Toc120001177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_Toc120001178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the Board</w:t>
      </w:r>
      <w:r>
        <w:tab/>
      </w:r>
      <w:r>
        <w:fldChar w:fldCharType="begin"/>
      </w:r>
      <w:r>
        <w:instrText xml:space="preserve"> PAGEREF _Toc120001179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the Board</w:t>
      </w:r>
      <w:r>
        <w:tab/>
      </w:r>
      <w:r>
        <w:fldChar w:fldCharType="begin"/>
      </w:r>
      <w:r>
        <w:instrText xml:space="preserve"> PAGEREF _Toc120001180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_Toc120001181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_Toc120001182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_Toc120001183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_Toc120001184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_Toc120001186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_Toc120001187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_Toc120001188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_Toc120001189 \h </w:instrText>
      </w:r>
      <w:r>
        <w:fldChar w:fldCharType="separate"/>
      </w:r>
      <w:r>
        <w:t>18</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10 years service</w:t>
      </w:r>
      <w:r>
        <w:tab/>
      </w:r>
      <w:r>
        <w:fldChar w:fldCharType="begin"/>
      </w:r>
      <w:r>
        <w:instrText xml:space="preserve"> PAGEREF _Toc120001190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_Toc120001191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Increase in ordinary pay during long service leave</w:t>
      </w:r>
      <w:r>
        <w:tab/>
      </w:r>
      <w:r>
        <w:fldChar w:fldCharType="begin"/>
      </w:r>
      <w:r>
        <w:instrText xml:space="preserve"> PAGEREF _Toc120001192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_Toc120001193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Public holidays</w:t>
      </w:r>
      <w:r>
        <w:tab/>
      </w:r>
      <w:r>
        <w:fldChar w:fldCharType="begin"/>
      </w:r>
      <w:r>
        <w:instrText xml:space="preserve"> PAGEREF _Toc120001194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_Toc120001195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_Toc120001197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_Toc120001198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_Toc120001199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_Toc120001200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the Board</w:t>
      </w:r>
      <w:r>
        <w:tab/>
      </w:r>
      <w:r>
        <w:fldChar w:fldCharType="begin"/>
      </w:r>
      <w:r>
        <w:instrText xml:space="preserve"> PAGEREF _Toc120001201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_Toc120001202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_Toc120001203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_Toc120001204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_Toc120001205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_Toc120001206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_Toc120001207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_Toc120001208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_Toc120001209 \h </w:instrText>
      </w:r>
      <w:r>
        <w:fldChar w:fldCharType="separate"/>
      </w:r>
      <w:r>
        <w:t>32</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_Toc120001210 \h </w:instrText>
      </w:r>
      <w:r>
        <w:fldChar w:fldCharType="separate"/>
      </w:r>
      <w:r>
        <w:t>32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_Toc120001212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_Toc120001213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_Toc120001214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_Toc120001215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_Toc120001216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_Toc120001217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_Toc120001218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_Toc120001219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_Toc120001220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_Toc120001221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_Toc120001222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_Toc120001223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_Toc120001224 \h </w:instrText>
      </w:r>
      <w:r>
        <w:fldChar w:fldCharType="separate"/>
      </w:r>
      <w:r>
        <w:t>38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Transitional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_Toc120001228 \h </w:instrText>
      </w:r>
      <w:r>
        <w:fldChar w:fldCharType="separate"/>
      </w:r>
      <w:r>
        <w:t>41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November 2005</w:t>
            </w:r>
          </w:p>
        </w:tc>
      </w:tr>
    </w:tbl>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spacing w:before="180"/>
        <w:rPr>
          <w:snapToGrid w:val="0"/>
        </w:rPr>
      </w:pPr>
      <w:bookmarkStart w:id="13" w:name="_Toc95730140"/>
      <w:bookmarkStart w:id="14" w:name="_Toc120001165"/>
      <w:r>
        <w:rPr>
          <w:rStyle w:val="CharSectno"/>
        </w:rPr>
        <w:t>1</w:t>
      </w:r>
      <w:r>
        <w:rPr>
          <w:snapToGrid w:val="0"/>
        </w:rPr>
        <w:t>.</w:t>
      </w:r>
      <w:r>
        <w:rPr>
          <w:snapToGrid w:val="0"/>
        </w:rPr>
        <w:tab/>
        <w:t>Short title</w:t>
      </w:r>
      <w:bookmarkEnd w:id="13"/>
      <w:bookmarkEnd w:id="14"/>
    </w:p>
    <w:p>
      <w:pPr>
        <w:pStyle w:val="Subsection"/>
        <w:spacing w:before="140"/>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spacing w:before="200"/>
        <w:rPr>
          <w:snapToGrid w:val="0"/>
        </w:rPr>
      </w:pPr>
      <w:bookmarkStart w:id="15" w:name="_Toc95730141"/>
      <w:bookmarkStart w:id="16" w:name="_Toc120001166"/>
      <w:r>
        <w:rPr>
          <w:rStyle w:val="CharSectno"/>
        </w:rPr>
        <w:t>2</w:t>
      </w:r>
      <w:r>
        <w:rPr>
          <w:snapToGrid w:val="0"/>
        </w:rPr>
        <w:t>.</w:t>
      </w:r>
      <w:r>
        <w:rPr>
          <w:snapToGrid w:val="0"/>
        </w:rPr>
        <w:tab/>
        <w:t>Commencement</w:t>
      </w:r>
      <w:bookmarkEnd w:id="15"/>
      <w:bookmarkEnd w:id="16"/>
    </w:p>
    <w:p>
      <w:pPr>
        <w:pStyle w:val="Subsection"/>
        <w:spacing w:before="140"/>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17" w:name="_Toc95730142"/>
      <w:bookmarkStart w:id="18" w:name="_Toc120001167"/>
      <w:r>
        <w:rPr>
          <w:rStyle w:val="CharSectno"/>
        </w:rPr>
        <w:t>3</w:t>
      </w:r>
      <w:r>
        <w:rPr>
          <w:snapToGrid w:val="0"/>
        </w:rPr>
        <w:t>.</w:t>
      </w:r>
      <w:r>
        <w:rPr>
          <w:snapToGrid w:val="0"/>
        </w:rPr>
        <w:tab/>
        <w:t>Interpretation</w:t>
      </w:r>
      <w:bookmarkEnd w:id="17"/>
      <w:bookmarkEnd w:id="18"/>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t>“</w:t>
      </w:r>
      <w:r>
        <w:rPr>
          <w:rStyle w:val="CharDefText"/>
        </w:rPr>
        <w:t>appointed day</w:t>
      </w:r>
      <w:r>
        <w:rPr>
          <w:b/>
        </w:rPr>
        <w:t>”</w:t>
      </w:r>
      <w:r>
        <w:t xml:space="preserve"> means the day fixed by the Minister under subsection (2);</w:t>
      </w:r>
    </w:p>
    <w:p>
      <w:pPr>
        <w:pStyle w:val="Defstart"/>
        <w:spacing w:before="60"/>
      </w:pPr>
      <w:r>
        <w:rPr>
          <w:b/>
        </w:rPr>
        <w:tab/>
        <w:t>“</w:t>
      </w:r>
      <w:r>
        <w:rPr>
          <w:rStyle w:val="CharDefText"/>
        </w:rPr>
        <w:t>award</w:t>
      </w:r>
      <w:r>
        <w:rPr>
          <w:b/>
        </w:rPr>
        <w:t>”</w:t>
      </w:r>
      <w:r>
        <w:t xml:space="preserve"> means any award or agreement made under the </w:t>
      </w:r>
      <w:r>
        <w:rPr>
          <w:i/>
        </w:rPr>
        <w:t>Industrial Relations Act 1979</w:t>
      </w:r>
      <w:r>
        <w:t xml:space="preserve">, or an award or agreement in force under the </w:t>
      </w:r>
      <w:r>
        <w:rPr>
          <w:i/>
        </w:rPr>
        <w:t>Conciliation and Arbitration Act 1904</w:t>
      </w:r>
      <w:r>
        <w:rPr>
          <w:iCs/>
        </w:rPr>
        <w:t> </w:t>
      </w:r>
      <w:r>
        <w:rPr>
          <w:iCs/>
          <w:vertAlign w:val="superscript"/>
        </w:rPr>
        <w:t>2</w:t>
      </w:r>
      <w:r>
        <w:t xml:space="preserve"> of the Commonwealth;</w:t>
      </w:r>
    </w:p>
    <w:p>
      <w:pPr>
        <w:pStyle w:val="Defstart"/>
        <w:spacing w:before="60"/>
      </w:pPr>
      <w:r>
        <w:rPr>
          <w:b/>
        </w:rPr>
        <w:tab/>
        <w:t>“</w:t>
      </w:r>
      <w:r>
        <w:rPr>
          <w:rStyle w:val="CharDefText"/>
        </w:rPr>
        <w:t>Board</w:t>
      </w:r>
      <w:r>
        <w:rPr>
          <w:b/>
        </w:rPr>
        <w:t>”</w:t>
      </w:r>
      <w:r>
        <w:t xml:space="preserve"> means the Construction Industry Long Service Leave Payments Board established under section 5;</w:t>
      </w:r>
    </w:p>
    <w:p>
      <w:pPr>
        <w:pStyle w:val="Defstart"/>
        <w:spacing w:before="60"/>
      </w:pPr>
      <w:r>
        <w:rPr>
          <w:b/>
        </w:rPr>
        <w:tab/>
        <w:t>“</w:t>
      </w:r>
      <w:r>
        <w:rPr>
          <w:rStyle w:val="CharDefText"/>
        </w:rPr>
        <w:t>books</w:t>
      </w:r>
      <w:r>
        <w:rPr>
          <w:b/>
        </w:rPr>
        <w:t>”</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spacing w:before="60"/>
      </w:pPr>
      <w:r>
        <w:rPr>
          <w:b/>
        </w:rPr>
        <w:tab/>
        <w:t>“</w:t>
      </w:r>
      <w:r>
        <w:rPr>
          <w:rStyle w:val="CharDefText"/>
        </w:rPr>
        <w:t>chief executive officer</w:t>
      </w:r>
      <w:r>
        <w:rPr>
          <w:b/>
        </w:rPr>
        <w:t>”</w:t>
      </w:r>
      <w:r>
        <w:t xml:space="preserve"> means the person, however designated, appointed by the Board under section 13 to carry out the duties and functions of the chief executive officer under this Act;</w:t>
      </w:r>
    </w:p>
    <w:p>
      <w:pPr>
        <w:pStyle w:val="Defstart"/>
        <w:spacing w:before="60"/>
      </w:pPr>
      <w:r>
        <w:rPr>
          <w:b/>
        </w:rPr>
        <w:tab/>
        <w:t>“</w:t>
      </w:r>
      <w:r>
        <w:rPr>
          <w:rStyle w:val="CharDefText"/>
        </w:rPr>
        <w:t>construction industry</w:t>
      </w:r>
      <w:r>
        <w:rPr>
          <w:b/>
        </w:rPr>
        <w:t>”</w:t>
      </w:r>
      <w:r>
        <w:t xml:space="preserve"> means the industry —</w:t>
      </w:r>
    </w:p>
    <w:p>
      <w:pPr>
        <w:pStyle w:val="Defpara"/>
        <w:spacing w:before="60"/>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spacing w:before="60"/>
        <w:rPr>
          <w:snapToGrid w:val="0"/>
        </w:rPr>
      </w:pPr>
      <w:r>
        <w:rPr>
          <w:snapToGrid w:val="0"/>
        </w:rPr>
        <w:tab/>
        <w:t>(i)</w:t>
      </w:r>
      <w:r>
        <w:rPr>
          <w:snapToGrid w:val="0"/>
        </w:rPr>
        <w:tab/>
        <w:t>buildings;</w:t>
      </w:r>
    </w:p>
    <w:p>
      <w:pPr>
        <w:pStyle w:val="Defsubpara"/>
        <w:spacing w:before="60"/>
        <w:rPr>
          <w:snapToGrid w:val="0"/>
        </w:rPr>
      </w:pPr>
      <w:r>
        <w:rPr>
          <w:snapToGrid w:val="0"/>
        </w:rPr>
        <w:tab/>
        <w:t>(ii)</w:t>
      </w:r>
      <w:r>
        <w:rPr>
          <w:snapToGrid w:val="0"/>
        </w:rPr>
        <w:tab/>
        <w:t>roads, railways, airfields or other works for the passage of persons, animals or vehicles;</w:t>
      </w:r>
    </w:p>
    <w:p>
      <w:pPr>
        <w:pStyle w:val="Defsubpara"/>
        <w:spacing w:before="6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spacing w:before="60"/>
        <w:rPr>
          <w:snapToGrid w:val="0"/>
        </w:rPr>
      </w:pPr>
      <w:r>
        <w:rPr>
          <w:snapToGrid w:val="0"/>
        </w:rPr>
        <w:tab/>
        <w:t>(iv)</w:t>
      </w:r>
      <w:r>
        <w:rPr>
          <w:snapToGrid w:val="0"/>
        </w:rPr>
        <w:tab/>
        <w:t>works for the storage or supply of water or for the irrigation of land;</w:t>
      </w:r>
    </w:p>
    <w:p>
      <w:pPr>
        <w:pStyle w:val="Defsubpara"/>
        <w:spacing w:before="60"/>
        <w:rPr>
          <w:snapToGrid w:val="0"/>
        </w:rPr>
      </w:pPr>
      <w:r>
        <w:rPr>
          <w:snapToGrid w:val="0"/>
        </w:rPr>
        <w:tab/>
        <w:t>(v)</w:t>
      </w:r>
      <w:r>
        <w:rPr>
          <w:snapToGrid w:val="0"/>
        </w:rPr>
        <w:tab/>
        <w:t>works for the conveyance, treatment or disposal of sewage or of the effluent from any premises;</w:t>
      </w:r>
    </w:p>
    <w:p>
      <w:pPr>
        <w:pStyle w:val="Defsubpara"/>
        <w:spacing w:before="6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spacing w:before="60"/>
        <w:rPr>
          <w:snapToGrid w:val="0"/>
        </w:rPr>
      </w:pPr>
      <w:r>
        <w:rPr>
          <w:snapToGrid w:val="0"/>
        </w:rPr>
        <w:tab/>
        <w:t>(vii)</w:t>
      </w:r>
      <w:r>
        <w:rPr>
          <w:snapToGrid w:val="0"/>
        </w:rPr>
        <w:tab/>
        <w:t>bridges, viaducts, aqueducts or tunnels;</w:t>
      </w:r>
    </w:p>
    <w:p>
      <w:pPr>
        <w:pStyle w:val="Defsubpara"/>
        <w:spacing w:before="60"/>
        <w:rPr>
          <w:snapToGrid w:val="0"/>
        </w:rPr>
      </w:pPr>
      <w:r>
        <w:rPr>
          <w:snapToGrid w:val="0"/>
        </w:rPr>
        <w:tab/>
        <w:t>(viii)</w:t>
      </w:r>
      <w:r>
        <w:rPr>
          <w:snapToGrid w:val="0"/>
        </w:rPr>
        <w:tab/>
        <w:t>chimney stacks, cooling towers, drilling rigs, gas</w:t>
      </w:r>
      <w:r>
        <w:rPr>
          <w:snapToGrid w:val="0"/>
        </w:rPr>
        <w:noBreakHyphen/>
        <w:t>holders or silos;</w:t>
      </w:r>
    </w:p>
    <w:p>
      <w:pPr>
        <w:pStyle w:val="Defsubpara"/>
        <w:spacing w:before="60"/>
        <w:rPr>
          <w:snapToGrid w:val="0"/>
        </w:rPr>
      </w:pPr>
      <w:r>
        <w:rPr>
          <w:snapToGrid w:val="0"/>
        </w:rPr>
        <w:tab/>
        <w:t>(ix)</w:t>
      </w:r>
      <w:r>
        <w:rPr>
          <w:snapToGrid w:val="0"/>
        </w:rPr>
        <w:tab/>
        <w:t>pipelines;</w:t>
      </w:r>
    </w:p>
    <w:p>
      <w:pPr>
        <w:pStyle w:val="Defsubpara"/>
        <w:spacing w:before="60"/>
        <w:rPr>
          <w:snapToGrid w:val="0"/>
        </w:rPr>
      </w:pPr>
      <w:r>
        <w:rPr>
          <w:snapToGrid w:val="0"/>
        </w:rPr>
        <w:tab/>
        <w:t>(x)</w:t>
      </w:r>
      <w:r>
        <w:rPr>
          <w:snapToGrid w:val="0"/>
        </w:rPr>
        <w:tab/>
        <w:t>navigational lights, beacons or markers;</w:t>
      </w:r>
    </w:p>
    <w:p>
      <w:pPr>
        <w:pStyle w:val="Defsubpara"/>
        <w:spacing w:before="60"/>
        <w:rPr>
          <w:snapToGrid w:val="0"/>
        </w:rPr>
      </w:pPr>
      <w:r>
        <w:rPr>
          <w:snapToGrid w:val="0"/>
        </w:rPr>
        <w:tab/>
        <w:t>(xi)</w:t>
      </w:r>
      <w:r>
        <w:rPr>
          <w:snapToGrid w:val="0"/>
        </w:rPr>
        <w:tab/>
        <w:t>works for the drainage of land;</w:t>
      </w:r>
    </w:p>
    <w:p>
      <w:pPr>
        <w:pStyle w:val="Defsubpara"/>
        <w:spacing w:before="60"/>
        <w:rPr>
          <w:snapToGrid w:val="0"/>
        </w:rPr>
      </w:pPr>
      <w:r>
        <w:rPr>
          <w:snapToGrid w:val="0"/>
        </w:rPr>
        <w:tab/>
        <w:t>(xii)</w:t>
      </w:r>
      <w:r>
        <w:rPr>
          <w:snapToGrid w:val="0"/>
        </w:rPr>
        <w:tab/>
        <w:t>works for the storage of liquids (other than water) or gases;</w:t>
      </w:r>
    </w:p>
    <w:p>
      <w:pPr>
        <w:pStyle w:val="Defsubpara"/>
        <w:spacing w:before="60"/>
        <w:rPr>
          <w:snapToGrid w:val="0"/>
        </w:rPr>
      </w:pPr>
      <w:r>
        <w:rPr>
          <w:snapToGrid w:val="0"/>
        </w:rPr>
        <w:tab/>
        <w:t>(xiii)</w:t>
      </w:r>
      <w:r>
        <w:rPr>
          <w:snapToGrid w:val="0"/>
        </w:rPr>
        <w:tab/>
        <w:t>works for the generation, supply or transmission of electric power;</w:t>
      </w:r>
    </w:p>
    <w:p>
      <w:pPr>
        <w:pStyle w:val="Defsubpara"/>
        <w:spacing w:before="60"/>
        <w:rPr>
          <w:snapToGrid w:val="0"/>
        </w:rPr>
      </w:pPr>
      <w:r>
        <w:rPr>
          <w:snapToGrid w:val="0"/>
        </w:rPr>
        <w:tab/>
        <w:t>(xiv)</w:t>
      </w:r>
      <w:r>
        <w:rPr>
          <w:snapToGrid w:val="0"/>
        </w:rPr>
        <w:tab/>
        <w:t>works for the transmission of wireless or telegraphic communications;</w:t>
      </w:r>
    </w:p>
    <w:p>
      <w:pPr>
        <w:pStyle w:val="Defsubpara"/>
        <w:spacing w:before="60"/>
        <w:rPr>
          <w:snapToGrid w:val="0"/>
        </w:rPr>
      </w:pPr>
      <w:r>
        <w:rPr>
          <w:snapToGrid w:val="0"/>
        </w:rPr>
        <w:tab/>
        <w:t>(xv)</w:t>
      </w:r>
      <w:r>
        <w:rPr>
          <w:snapToGrid w:val="0"/>
        </w:rPr>
        <w:tab/>
        <w:t>pile driving works;</w:t>
      </w:r>
    </w:p>
    <w:p>
      <w:pPr>
        <w:pStyle w:val="Defsubpara"/>
        <w:spacing w:before="60"/>
        <w:rPr>
          <w:snapToGrid w:val="0"/>
        </w:rPr>
      </w:pPr>
      <w:r>
        <w:rPr>
          <w:snapToGrid w:val="0"/>
        </w:rPr>
        <w:tab/>
        <w:t>(xvi)</w:t>
      </w:r>
      <w:r>
        <w:rPr>
          <w:snapToGrid w:val="0"/>
        </w:rPr>
        <w:tab/>
        <w:t>structures, fixtures or works for the use on any buildings or works of a kind referred to in subparagraphs (i) to (xv);</w:t>
      </w:r>
    </w:p>
    <w:p>
      <w:pPr>
        <w:pStyle w:val="Defsubpara"/>
        <w:spacing w:before="6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spacing w:before="6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t>“</w:t>
      </w:r>
      <w:r>
        <w:rPr>
          <w:rStyle w:val="CharDefText"/>
        </w:rPr>
        <w:t>day of service</w:t>
      </w:r>
      <w:r>
        <w:rPr>
          <w:b/>
        </w:rPr>
        <w:t>”</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t>“</w:t>
      </w:r>
      <w:r>
        <w:rPr>
          <w:rStyle w:val="CharDefText"/>
        </w:rPr>
        <w:t>employee</w:t>
      </w:r>
      <w:r>
        <w:rPr>
          <w:b/>
        </w:rPr>
        <w:t>”</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t>“</w:t>
      </w:r>
      <w:r>
        <w:rPr>
          <w:rStyle w:val="CharDefText"/>
        </w:rPr>
        <w:t>employees register</w:t>
      </w:r>
      <w:r>
        <w:rPr>
          <w:b/>
        </w:rPr>
        <w:t>”</w:t>
      </w:r>
      <w:r>
        <w:t xml:space="preserve"> means the register of employees established and maintained under Part IV;</w:t>
      </w:r>
    </w:p>
    <w:p>
      <w:pPr>
        <w:pStyle w:val="Defstart"/>
      </w:pPr>
      <w:r>
        <w:rPr>
          <w:b/>
        </w:rPr>
        <w:tab/>
        <w:t>“</w:t>
      </w:r>
      <w:r>
        <w:rPr>
          <w:rStyle w:val="CharDefText"/>
        </w:rPr>
        <w:t>employer</w:t>
      </w:r>
      <w:r>
        <w:rPr>
          <w:b/>
        </w:rPr>
        <w:t>”</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t>“</w:t>
      </w:r>
      <w:r>
        <w:rPr>
          <w:rStyle w:val="CharDefText"/>
        </w:rPr>
        <w:t>employers register</w:t>
      </w:r>
      <w:r>
        <w:rPr>
          <w:b/>
        </w:rPr>
        <w:t>”</w:t>
      </w:r>
      <w:r>
        <w:t xml:space="preserve"> means the register of employers established and maintained under Part IV;</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rStyle w:val="CharDefText"/>
        </w:rPr>
        <w:t>ordinary pay</w:t>
      </w:r>
      <w:r>
        <w:rPr>
          <w:b/>
        </w:rPr>
        <w:t>”</w:t>
      </w:r>
      <w:r>
        <w:t xml:space="preserve"> means the ordinary rate of wage payable under the relevant prescribed award to an employee performing work within a prescribed classification referred to in a prescribed award but does not include any amount payable to the employee (whether or not under the relevant prescribed award) in respect of —</w:t>
      </w:r>
    </w:p>
    <w:p>
      <w:pPr>
        <w:pStyle w:val="Defpara"/>
      </w:pPr>
      <w:r>
        <w:tab/>
        <w:t>(a)</w:t>
      </w:r>
      <w:r>
        <w:tab/>
        <w:t>any payment (however described) payable only with reference to the site on which the employee is employed for the time being;</w:t>
      </w:r>
    </w:p>
    <w:p>
      <w:pPr>
        <w:pStyle w:val="Defpara"/>
      </w:pPr>
      <w:r>
        <w:tab/>
        <w:t>(b)</w:t>
      </w:r>
      <w:r>
        <w:tab/>
        <w:t>any shift allowance;</w:t>
      </w:r>
    </w:p>
    <w:p>
      <w:pPr>
        <w:pStyle w:val="Defpara"/>
      </w:pPr>
      <w:r>
        <w:tab/>
        <w:t>(c)</w:t>
      </w:r>
      <w:r>
        <w:tab/>
        <w:t>any amount payable in respect of fares or travelling allowances;</w:t>
      </w:r>
    </w:p>
    <w:p>
      <w:pPr>
        <w:pStyle w:val="Defpara"/>
      </w:pPr>
      <w:r>
        <w:tab/>
        <w:t>(d)</w:t>
      </w:r>
      <w:r>
        <w:tab/>
        <w:t>penalty rates or disability payments, however described;</w:t>
      </w:r>
    </w:p>
    <w:p>
      <w:pPr>
        <w:pStyle w:val="Defstart"/>
      </w:pPr>
      <w:r>
        <w:rPr>
          <w:b/>
        </w:rPr>
        <w:tab/>
        <w:t>“</w:t>
      </w:r>
      <w:r>
        <w:rPr>
          <w:rStyle w:val="CharDefText"/>
        </w:rPr>
        <w:t>union</w:t>
      </w:r>
      <w:r>
        <w:rPr>
          <w:b/>
        </w:rPr>
        <w:t>”</w:t>
      </w:r>
      <w:r>
        <w:t xml:space="preserve"> means an organization of workers or employees registered under the </w:t>
      </w:r>
      <w:r>
        <w:rPr>
          <w:i/>
        </w:rPr>
        <w:t>Conciliation and Arbitration Act 1904</w:t>
      </w:r>
      <w:r>
        <w:rPr>
          <w:iCs/>
        </w:rPr>
        <w:t> </w:t>
      </w:r>
      <w:r>
        <w:rPr>
          <w:iCs/>
          <w:vertAlign w:val="superscript"/>
        </w:rPr>
        <w:t>2</w:t>
      </w:r>
      <w:r>
        <w:t xml:space="preserve"> of the Commonwealth or the </w:t>
      </w:r>
      <w:r>
        <w:rPr>
          <w:i/>
        </w:rPr>
        <w:t>Industrial Relations Act 1979</w:t>
      </w:r>
      <w:r>
        <w:t>;</w:t>
      </w:r>
    </w:p>
    <w:p>
      <w:pPr>
        <w:pStyle w:val="Defstart"/>
      </w:pPr>
      <w:r>
        <w:rPr>
          <w:b/>
        </w:rPr>
        <w:tab/>
        <w:t>“</w:t>
      </w:r>
      <w:r>
        <w:rPr>
          <w:rStyle w:val="CharDefText"/>
        </w:rPr>
        <w:t>year of service</w:t>
      </w:r>
      <w:r>
        <w:rPr>
          <w:b/>
        </w:rPr>
        <w:t>”</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any classification of work referred to in a prescribed award to be a prescribed classification of work for the purposes of the definition of “employee”;</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“employer” in subsection (1).</w:t>
      </w:r>
    </w:p>
    <w:p>
      <w:pPr>
        <w:pStyle w:val="Footnotesection"/>
      </w:pPr>
      <w:r>
        <w:tab/>
        <w:t>[Section 3 amended by No. 30 of 1989 s. 4; No. 14 of 1996 s. 4; No. 57 of 1997 s. 38; No. 10 of 2001 s. 44.]</w:t>
      </w:r>
    </w:p>
    <w:p>
      <w:pPr>
        <w:pStyle w:val="Heading5"/>
        <w:rPr>
          <w:snapToGrid w:val="0"/>
        </w:rPr>
      </w:pPr>
      <w:bookmarkStart w:id="19" w:name="_Toc95730143"/>
      <w:bookmarkStart w:id="20" w:name="_Toc120001168"/>
      <w:r>
        <w:rPr>
          <w:rStyle w:val="CharSectno"/>
        </w:rPr>
        <w:t>4</w:t>
      </w:r>
      <w:r>
        <w:rPr>
          <w:snapToGrid w:val="0"/>
        </w:rPr>
        <w:t>.</w:t>
      </w:r>
      <w:r>
        <w:rPr>
          <w:snapToGrid w:val="0"/>
        </w:rPr>
        <w:tab/>
        <w:t>Crown bound</w:t>
      </w:r>
      <w:bookmarkEnd w:id="19"/>
      <w:bookmarkEnd w:id="20"/>
    </w:p>
    <w:p>
      <w:pPr>
        <w:pStyle w:val="Subsection"/>
        <w:rPr>
          <w:snapToGrid w:val="0"/>
        </w:rPr>
      </w:pPr>
      <w:r>
        <w:rPr>
          <w:snapToGrid w:val="0"/>
        </w:rPr>
        <w:tab/>
      </w:r>
      <w:r>
        <w:rPr>
          <w:snapToGrid w:val="0"/>
        </w:rPr>
        <w:tab/>
        <w:t>This Act binds the Crown in right of the State.</w:t>
      </w:r>
    </w:p>
    <w:p>
      <w:pPr>
        <w:pStyle w:val="Heading2"/>
      </w:pPr>
      <w:bookmarkStart w:id="21" w:name="_Toc95729727"/>
      <w:bookmarkStart w:id="22" w:name="_Toc95729792"/>
      <w:bookmarkStart w:id="23" w:name="_Toc95730144"/>
      <w:bookmarkStart w:id="24" w:name="_Toc95730218"/>
      <w:bookmarkStart w:id="25" w:name="_Toc97003705"/>
      <w:bookmarkStart w:id="26" w:name="_Toc102810424"/>
      <w:bookmarkStart w:id="27" w:name="_Toc116956523"/>
      <w:bookmarkStart w:id="28" w:name="_Toc116956587"/>
      <w:bookmarkStart w:id="29" w:name="_Toc116960852"/>
      <w:bookmarkStart w:id="30" w:name="_Toc118525487"/>
      <w:bookmarkStart w:id="31" w:name="_Toc118525793"/>
      <w:bookmarkStart w:id="32" w:name="_Toc120001169"/>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bookmarkEnd w:id="25"/>
      <w:bookmarkEnd w:id="26"/>
      <w:bookmarkEnd w:id="27"/>
      <w:bookmarkEnd w:id="28"/>
      <w:bookmarkEnd w:id="29"/>
      <w:bookmarkEnd w:id="30"/>
      <w:bookmarkEnd w:id="31"/>
      <w:bookmarkEnd w:id="32"/>
    </w:p>
    <w:p>
      <w:pPr>
        <w:pStyle w:val="Heading5"/>
        <w:spacing w:before="180"/>
        <w:rPr>
          <w:snapToGrid w:val="0"/>
        </w:rPr>
      </w:pPr>
      <w:bookmarkStart w:id="33" w:name="_Toc95730145"/>
      <w:bookmarkStart w:id="34" w:name="_Toc120001170"/>
      <w:r>
        <w:rPr>
          <w:rStyle w:val="CharSectno"/>
        </w:rPr>
        <w:t>5</w:t>
      </w:r>
      <w:r>
        <w:rPr>
          <w:snapToGrid w:val="0"/>
        </w:rPr>
        <w:t>.</w:t>
      </w:r>
      <w:r>
        <w:rPr>
          <w:snapToGrid w:val="0"/>
        </w:rPr>
        <w:tab/>
        <w:t>Construction Industry Long Service Leave Payments Board established</w:t>
      </w:r>
      <w:bookmarkEnd w:id="33"/>
      <w:bookmarkEnd w:id="34"/>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Board; and</w:t>
      </w:r>
    </w:p>
    <w:p>
      <w:pPr>
        <w:pStyle w:val="Indenta"/>
        <w:spacing w:before="60"/>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35" w:name="_Toc95730146"/>
      <w:bookmarkStart w:id="36" w:name="_Toc120001171"/>
      <w:r>
        <w:rPr>
          <w:rStyle w:val="CharSectno"/>
        </w:rPr>
        <w:t>6</w:t>
      </w:r>
      <w:r>
        <w:rPr>
          <w:snapToGrid w:val="0"/>
        </w:rPr>
        <w:t>.</w:t>
      </w:r>
      <w:r>
        <w:rPr>
          <w:snapToGrid w:val="0"/>
        </w:rPr>
        <w:tab/>
        <w:t>Membership of the Board</w:t>
      </w:r>
      <w:bookmarkEnd w:id="35"/>
      <w:bookmarkEnd w:id="36"/>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spacing w:before="60"/>
        <w:rPr>
          <w:snapToGrid w:val="0"/>
        </w:rPr>
      </w:pPr>
      <w:r>
        <w:rPr>
          <w:snapToGrid w:val="0"/>
        </w:rPr>
        <w:tab/>
        <w:t xml:space="preserve">(a) </w:t>
      </w:r>
      <w:r>
        <w:rPr>
          <w:snapToGrid w:val="0"/>
        </w:rPr>
        <w:tab/>
        <w:t>one person who shall be chairman;</w:t>
      </w:r>
    </w:p>
    <w:p>
      <w:pPr>
        <w:pStyle w:val="Indenta"/>
        <w:spacing w:before="60"/>
        <w:rPr>
          <w:snapToGrid w:val="0"/>
        </w:rPr>
      </w:pPr>
      <w:r>
        <w:rPr>
          <w:snapToGrid w:val="0"/>
        </w:rPr>
        <w:tab/>
        <w:t>(b)</w:t>
      </w:r>
      <w:r>
        <w:rPr>
          <w:snapToGrid w:val="0"/>
        </w:rPr>
        <w:tab/>
        <w:t>3 persons appointed from among persons whose names are on a panel of 6 names comprised of 3 names submitted by the body known as the Master Builders’ Association of Western Australia and 3 names submitted by the body known as The Confederation of Western Australian Industry (Incorporated);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Heading5"/>
        <w:rPr>
          <w:snapToGrid w:val="0"/>
        </w:rPr>
      </w:pPr>
      <w:bookmarkStart w:id="37" w:name="_Toc95730147"/>
      <w:bookmarkStart w:id="38" w:name="_Toc120001172"/>
      <w:r>
        <w:rPr>
          <w:rStyle w:val="CharSectno"/>
        </w:rPr>
        <w:t>7</w:t>
      </w:r>
      <w:r>
        <w:rPr>
          <w:snapToGrid w:val="0"/>
        </w:rPr>
        <w:t>.</w:t>
      </w:r>
      <w:r>
        <w:rPr>
          <w:snapToGrid w:val="0"/>
        </w:rPr>
        <w:tab/>
        <w:t>Acting members</w:t>
      </w:r>
      <w:bookmarkEnd w:id="37"/>
      <w:bookmarkEnd w:id="38"/>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member other than the chairman is absent or temporarily incapable of fulfilling the duties of a member; or</w:t>
      </w:r>
    </w:p>
    <w:p>
      <w:pPr>
        <w:pStyle w:val="Indenta"/>
        <w:spacing w:before="60"/>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39" w:name="_Toc95730148"/>
      <w:bookmarkStart w:id="40" w:name="_Toc120001173"/>
      <w:r>
        <w:rPr>
          <w:rStyle w:val="CharSectno"/>
        </w:rPr>
        <w:t>8</w:t>
      </w:r>
      <w:r>
        <w:rPr>
          <w:snapToGrid w:val="0"/>
        </w:rPr>
        <w:t>.</w:t>
      </w:r>
      <w:r>
        <w:rPr>
          <w:snapToGrid w:val="0"/>
        </w:rPr>
        <w:tab/>
        <w:t>Vacation of office</w:t>
      </w:r>
      <w:bookmarkEnd w:id="39"/>
      <w:bookmarkEnd w:id="40"/>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rPr>
          <w:snapToGrid w:val="0"/>
        </w:rPr>
      </w:pPr>
      <w:r>
        <w:rPr>
          <w:snapToGrid w:val="0"/>
        </w:rPr>
        <w:tab/>
        <w:t>(a)</w:t>
      </w:r>
      <w:r>
        <w:rPr>
          <w:snapToGrid w:val="0"/>
        </w:rPr>
        <w:tab/>
        <w:t>he 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his appointment is terminated by the Minister under subsection (1);</w:t>
      </w:r>
    </w:p>
    <w:p>
      <w:pPr>
        <w:pStyle w:val="Indenta"/>
        <w:rPr>
          <w:snapToGrid w:val="0"/>
        </w:rPr>
      </w:pPr>
      <w:r>
        <w:rPr>
          <w:snapToGrid w:val="0"/>
        </w:rPr>
        <w:tab/>
        <w:t>(c)</w:t>
      </w:r>
      <w:r>
        <w:rPr>
          <w:snapToGrid w:val="0"/>
        </w:rPr>
        <w:tab/>
        <w:t>he is absent, except on leave duly granted by the Minister, from 3 consecutive meetings of the Board of which he has had notice;</w:t>
      </w:r>
    </w:p>
    <w:p>
      <w:pPr>
        <w:pStyle w:val="Indenta"/>
        <w:rPr>
          <w:snapToGrid w:val="0"/>
        </w:rPr>
      </w:pPr>
      <w:r>
        <w:rPr>
          <w:snapToGrid w:val="0"/>
        </w:rPr>
        <w:tab/>
        <w:t>(d)</w:t>
      </w:r>
      <w:r>
        <w:rPr>
          <w:snapToGrid w:val="0"/>
        </w:rPr>
        <w:tab/>
        <w:t>he resigns his office by written notice addressed to the Minister;</w:t>
      </w:r>
    </w:p>
    <w:p>
      <w:pPr>
        <w:pStyle w:val="Indenta"/>
        <w:rPr>
          <w:snapToGrid w:val="0"/>
        </w:rPr>
      </w:pPr>
      <w:r>
        <w:rPr>
          <w:snapToGrid w:val="0"/>
        </w:rPr>
        <w:tab/>
        <w:t>(e)</w:t>
      </w:r>
      <w:r>
        <w:rPr>
          <w:snapToGrid w:val="0"/>
        </w:rPr>
        <w:tab/>
        <w:t>being a member appointed under section 6(1)(b) or (c) the body by whom he was nominated withdraws its nomination;</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Heading5"/>
        <w:rPr>
          <w:snapToGrid w:val="0"/>
        </w:rPr>
      </w:pPr>
      <w:bookmarkStart w:id="41" w:name="_Toc95730149"/>
      <w:bookmarkStart w:id="42" w:name="_Toc120001174"/>
      <w:r>
        <w:rPr>
          <w:rStyle w:val="CharSectno"/>
        </w:rPr>
        <w:t>9</w:t>
      </w:r>
      <w:r>
        <w:rPr>
          <w:snapToGrid w:val="0"/>
        </w:rPr>
        <w:t>.</w:t>
      </w:r>
      <w:r>
        <w:rPr>
          <w:snapToGrid w:val="0"/>
        </w:rPr>
        <w:tab/>
        <w:t>Fees and allowances</w:t>
      </w:r>
      <w:bookmarkEnd w:id="41"/>
      <w:bookmarkEnd w:id="42"/>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43" w:name="_Toc95730150"/>
      <w:bookmarkStart w:id="44" w:name="_Toc120001175"/>
      <w:r>
        <w:rPr>
          <w:rStyle w:val="CharSectno"/>
        </w:rPr>
        <w:t>10</w:t>
      </w:r>
      <w:r>
        <w:rPr>
          <w:snapToGrid w:val="0"/>
        </w:rPr>
        <w:t>.</w:t>
      </w:r>
      <w:r>
        <w:rPr>
          <w:snapToGrid w:val="0"/>
        </w:rPr>
        <w:tab/>
        <w:t>Meetings of the Board and disclosure of interest</w:t>
      </w:r>
      <w:bookmarkEnd w:id="43"/>
      <w:bookmarkEnd w:id="44"/>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45" w:name="_Toc95730151"/>
      <w:bookmarkStart w:id="46" w:name="_Toc120001176"/>
      <w:r>
        <w:rPr>
          <w:rStyle w:val="CharSectno"/>
        </w:rPr>
        <w:t>11</w:t>
      </w:r>
      <w:r>
        <w:rPr>
          <w:snapToGrid w:val="0"/>
        </w:rPr>
        <w:t>.</w:t>
      </w:r>
      <w:r>
        <w:rPr>
          <w:snapToGrid w:val="0"/>
        </w:rPr>
        <w:tab/>
        <w:t>Minister may require Board to give information</w:t>
      </w:r>
      <w:bookmarkEnd w:id="45"/>
      <w:bookmarkEnd w:id="46"/>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47" w:name="_Toc95730152"/>
      <w:bookmarkStart w:id="48" w:name="_Toc120001177"/>
      <w:r>
        <w:rPr>
          <w:rStyle w:val="CharSectno"/>
        </w:rPr>
        <w:t>12</w:t>
      </w:r>
      <w:r>
        <w:rPr>
          <w:snapToGrid w:val="0"/>
        </w:rPr>
        <w:t>.</w:t>
      </w:r>
      <w:r>
        <w:rPr>
          <w:snapToGrid w:val="0"/>
        </w:rPr>
        <w:tab/>
        <w:t>Indemnity</w:t>
      </w:r>
      <w:bookmarkEnd w:id="47"/>
      <w:bookmarkEnd w:id="48"/>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49" w:name="_Toc95730153"/>
      <w:bookmarkStart w:id="50" w:name="_Toc120001178"/>
      <w:r>
        <w:rPr>
          <w:rStyle w:val="CharSectno"/>
        </w:rPr>
        <w:t>13</w:t>
      </w:r>
      <w:r>
        <w:rPr>
          <w:snapToGrid w:val="0"/>
        </w:rPr>
        <w:t>.</w:t>
      </w:r>
      <w:r>
        <w:rPr>
          <w:snapToGrid w:val="0"/>
        </w:rPr>
        <w:tab/>
        <w:t>Staff</w:t>
      </w:r>
      <w:bookmarkEnd w:id="49"/>
      <w:bookmarkEnd w:id="50"/>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51" w:name="_Toc95730154"/>
      <w:bookmarkStart w:id="52" w:name="_Toc120001179"/>
      <w:r>
        <w:rPr>
          <w:rStyle w:val="CharSectno"/>
        </w:rPr>
        <w:t>14</w:t>
      </w:r>
      <w:r>
        <w:rPr>
          <w:snapToGrid w:val="0"/>
        </w:rPr>
        <w:t>.</w:t>
      </w:r>
      <w:r>
        <w:rPr>
          <w:snapToGrid w:val="0"/>
        </w:rPr>
        <w:tab/>
        <w:t>Functions of the Board</w:t>
      </w:r>
      <w:bookmarkEnd w:id="51"/>
      <w:bookmarkEnd w:id="52"/>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53" w:name="_Toc95730155"/>
      <w:bookmarkStart w:id="54" w:name="_Toc120001180"/>
      <w:r>
        <w:rPr>
          <w:rStyle w:val="CharSectno"/>
        </w:rPr>
        <w:t>15</w:t>
      </w:r>
      <w:r>
        <w:rPr>
          <w:snapToGrid w:val="0"/>
        </w:rPr>
        <w:t>.</w:t>
      </w:r>
      <w:r>
        <w:rPr>
          <w:snapToGrid w:val="0"/>
        </w:rPr>
        <w:tab/>
        <w:t>Funds of the Board</w:t>
      </w:r>
      <w:bookmarkEnd w:id="53"/>
      <w:bookmarkEnd w:id="54"/>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55" w:name="_Toc95730156"/>
      <w:bookmarkStart w:id="56" w:name="_Toc120001181"/>
      <w:r>
        <w:rPr>
          <w:rStyle w:val="CharSectno"/>
        </w:rPr>
        <w:t>16</w:t>
      </w:r>
      <w:r>
        <w:rPr>
          <w:snapToGrid w:val="0"/>
        </w:rPr>
        <w:t>.</w:t>
      </w:r>
      <w:r>
        <w:rPr>
          <w:snapToGrid w:val="0"/>
        </w:rPr>
        <w:tab/>
        <w:t>Power to borrow and guarantee</w:t>
      </w:r>
      <w:bookmarkEnd w:id="55"/>
      <w:bookmarkEnd w:id="56"/>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Fund, which account is hereby to the necessary extent appropriated accordingly, and shall cause any sums received or recovered by the Treasurer from the Board or otherwise in respect of a sum so charged by the Treasurer to be credited to the Consolidated Fund.</w:t>
      </w:r>
    </w:p>
    <w:p>
      <w:pPr>
        <w:pStyle w:val="Footnotesection"/>
        <w:spacing w:before="160"/>
        <w:ind w:left="890" w:hanging="890"/>
      </w:pPr>
      <w:r>
        <w:tab/>
        <w:t>[Section 16 amended by No. 4 of 1986, s. 4; No. 6 of 1993 s. 11; No. 49 of 1996 s. 64.]</w:t>
      </w:r>
    </w:p>
    <w:p>
      <w:pPr>
        <w:pStyle w:val="Heading5"/>
        <w:spacing w:before="180"/>
        <w:rPr>
          <w:snapToGrid w:val="0"/>
        </w:rPr>
      </w:pPr>
      <w:bookmarkStart w:id="57" w:name="_Toc95730157"/>
      <w:bookmarkStart w:id="58" w:name="_Toc120001182"/>
      <w:r>
        <w:rPr>
          <w:rStyle w:val="CharSectno"/>
        </w:rPr>
        <w:t>17</w:t>
      </w:r>
      <w:r>
        <w:rPr>
          <w:snapToGrid w:val="0"/>
        </w:rPr>
        <w:t>.</w:t>
      </w:r>
      <w:r>
        <w:rPr>
          <w:snapToGrid w:val="0"/>
        </w:rPr>
        <w:tab/>
        <w:t>Notification of certain contracts to be given to Minister</w:t>
      </w:r>
      <w:bookmarkEnd w:id="57"/>
      <w:bookmarkEnd w:id="58"/>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59" w:name="_Toc95730158"/>
      <w:bookmarkStart w:id="60" w:name="_Toc120001183"/>
      <w:r>
        <w:rPr>
          <w:rStyle w:val="CharSectno"/>
        </w:rPr>
        <w:t>18</w:t>
      </w:r>
      <w:r>
        <w:rPr>
          <w:snapToGrid w:val="0"/>
        </w:rPr>
        <w:t>.</w:t>
      </w:r>
      <w:r>
        <w:rPr>
          <w:snapToGrid w:val="0"/>
        </w:rPr>
        <w:tab/>
        <w:t xml:space="preserve">Application of </w:t>
      </w:r>
      <w:r>
        <w:rPr>
          <w:i/>
          <w:snapToGrid w:val="0"/>
        </w:rPr>
        <w:t>Financial Administration and Audit Act 1985</w:t>
      </w:r>
      <w:bookmarkEnd w:id="59"/>
      <w:bookmarkEnd w:id="60"/>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relating the financial administration, audit and reporting of statutory authorities apply to and in respect of the Board and its operations.</w:t>
      </w:r>
    </w:p>
    <w:p>
      <w:pPr>
        <w:pStyle w:val="Footnotesection"/>
      </w:pPr>
      <w:r>
        <w:tab/>
        <w:t>[Section 18 inserted by No. 4 of 1986 s. 4.]</w:t>
      </w:r>
    </w:p>
    <w:p>
      <w:pPr>
        <w:pStyle w:val="Heading5"/>
        <w:rPr>
          <w:snapToGrid w:val="0"/>
        </w:rPr>
      </w:pPr>
      <w:bookmarkStart w:id="61" w:name="_Toc95730159"/>
      <w:bookmarkStart w:id="62" w:name="_Toc120001184"/>
      <w:r>
        <w:rPr>
          <w:rStyle w:val="CharSectno"/>
        </w:rPr>
        <w:t>19</w:t>
      </w:r>
      <w:r>
        <w:rPr>
          <w:snapToGrid w:val="0"/>
        </w:rPr>
        <w:t>.</w:t>
      </w:r>
      <w:r>
        <w:rPr>
          <w:snapToGrid w:val="0"/>
        </w:rPr>
        <w:tab/>
        <w:t>Investigations by actuary</w:t>
      </w:r>
      <w:bookmarkEnd w:id="61"/>
      <w:bookmarkEnd w:id="62"/>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Repealed by No. 4 of 1986 s. 4.]</w:t>
      </w:r>
    </w:p>
    <w:p>
      <w:pPr>
        <w:pStyle w:val="Heading2"/>
      </w:pPr>
      <w:bookmarkStart w:id="63" w:name="_Toc95729743"/>
      <w:bookmarkStart w:id="64" w:name="_Toc95729808"/>
      <w:bookmarkStart w:id="65" w:name="_Toc95730160"/>
      <w:bookmarkStart w:id="66" w:name="_Toc95730234"/>
      <w:bookmarkStart w:id="67" w:name="_Toc97003721"/>
      <w:bookmarkStart w:id="68" w:name="_Toc102810440"/>
      <w:bookmarkStart w:id="69" w:name="_Toc116956539"/>
      <w:bookmarkStart w:id="70" w:name="_Toc116956603"/>
      <w:bookmarkStart w:id="71" w:name="_Toc116960868"/>
      <w:bookmarkStart w:id="72" w:name="_Toc118525503"/>
      <w:bookmarkStart w:id="73" w:name="_Toc118525809"/>
      <w:bookmarkStart w:id="74" w:name="_Toc120001185"/>
      <w:r>
        <w:rPr>
          <w:rStyle w:val="CharPartNo"/>
        </w:rPr>
        <w:t>Part III</w:t>
      </w:r>
      <w:r>
        <w:rPr>
          <w:rStyle w:val="CharDivNo"/>
        </w:rPr>
        <w:t> </w:t>
      </w:r>
      <w:r>
        <w:t>—</w:t>
      </w:r>
      <w:r>
        <w:rPr>
          <w:rStyle w:val="CharDivText"/>
        </w:rPr>
        <w:t> </w:t>
      </w:r>
      <w:r>
        <w:rPr>
          <w:rStyle w:val="CharPartText"/>
        </w:rPr>
        <w:t>Entitlement to long service leave and pay</w:t>
      </w:r>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95730161"/>
      <w:bookmarkStart w:id="76" w:name="_Toc120001186"/>
      <w:r>
        <w:rPr>
          <w:rStyle w:val="CharSectno"/>
        </w:rPr>
        <w:t>21</w:t>
      </w:r>
      <w:r>
        <w:rPr>
          <w:snapToGrid w:val="0"/>
        </w:rPr>
        <w:t>.</w:t>
      </w:r>
      <w:r>
        <w:rPr>
          <w:snapToGrid w:val="0"/>
        </w:rPr>
        <w:tab/>
        <w:t>Entitlement to paid long service leave and pay</w:t>
      </w:r>
      <w:bookmarkEnd w:id="75"/>
      <w:bookmarkEnd w:id="76"/>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t>13 weeks after completing 15 years of service; and</w:t>
      </w:r>
    </w:p>
    <w:p>
      <w:pPr>
        <w:pStyle w:val="Indenta"/>
        <w:rPr>
          <w:snapToGrid w:val="0"/>
        </w:rPr>
      </w:pPr>
      <w:r>
        <w:rPr>
          <w:snapToGrid w:val="0"/>
        </w:rPr>
        <w:tab/>
        <w:t>(b)</w:t>
      </w:r>
      <w:r>
        <w:rPr>
          <w:snapToGrid w:val="0"/>
        </w:rPr>
        <w:tab/>
        <w:t>8</w:t>
      </w:r>
      <w:r>
        <w:rPr>
          <w:snapToGrid w:val="0"/>
          <w:vertAlign w:val="superscript"/>
        </w:rPr>
        <w:t>2</w:t>
      </w:r>
      <w:r>
        <w:rPr>
          <w:snapToGrid w:val="0"/>
        </w:rPr>
        <w:t>/</w:t>
      </w:r>
      <w:r>
        <w:rPr>
          <w:snapToGrid w:val="0"/>
          <w:vertAlign w:val="subscript"/>
        </w:rPr>
        <w:t>3</w:t>
      </w:r>
      <w:r>
        <w:rPr>
          <w:snapToGrid w:val="0"/>
        </w:rPr>
        <w:t xml:space="preserve"> weeks after completing 10 years of service subsequently to completing the period of service referred to in paragraph (a),</w:t>
      </w:r>
    </w:p>
    <w:p>
      <w:pPr>
        <w:pStyle w:val="Subsection"/>
        <w:spacing w:before="120"/>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rPr>
          <w:snapToGrid w:val="0"/>
        </w:rPr>
      </w:pPr>
      <w:r>
        <w:rPr>
          <w:snapToGrid w:val="0"/>
        </w:rPr>
        <w:tab/>
        <w:t>(3)</w:t>
      </w:r>
      <w:r>
        <w:rPr>
          <w:snapToGrid w:val="0"/>
        </w:rPr>
        <w:tab/>
        <w:t>The provisions of the Schedule have effect in relation to the several matters specified therein.</w:t>
      </w:r>
    </w:p>
    <w:p>
      <w:pPr>
        <w:pStyle w:val="Footnotesection"/>
        <w:keepLines w:val="0"/>
        <w:spacing w:before="80"/>
        <w:ind w:left="890" w:hanging="890"/>
      </w:pPr>
      <w:r>
        <w:tab/>
        <w:t>[Section 21 amended by No. 30 of 1989 s. 6.]</w:t>
      </w:r>
    </w:p>
    <w:p>
      <w:pPr>
        <w:pStyle w:val="Heading5"/>
        <w:rPr>
          <w:snapToGrid w:val="0"/>
        </w:rPr>
      </w:pPr>
      <w:bookmarkStart w:id="77" w:name="_Toc95730162"/>
      <w:bookmarkStart w:id="78" w:name="_Toc120001187"/>
      <w:r>
        <w:rPr>
          <w:rStyle w:val="CharSectno"/>
        </w:rPr>
        <w:t>22</w:t>
      </w:r>
      <w:r>
        <w:rPr>
          <w:snapToGrid w:val="0"/>
        </w:rPr>
        <w:t>.</w:t>
      </w:r>
      <w:r>
        <w:rPr>
          <w:snapToGrid w:val="0"/>
        </w:rPr>
        <w:tab/>
        <w:t>Lump sum payments</w:t>
      </w:r>
      <w:bookmarkEnd w:id="77"/>
      <w:bookmarkEnd w:id="78"/>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spacing w:before="120"/>
        <w:rPr>
          <w:snapToGrid w:val="0"/>
        </w:rPr>
      </w:pPr>
      <w:r>
        <w:rPr>
          <w:snapToGrid w:val="0"/>
        </w:rPr>
        <w:tab/>
        <w:t>(a)</w:t>
      </w:r>
      <w:r>
        <w:rPr>
          <w:snapToGrid w:val="0"/>
        </w:rPr>
        <w:tab/>
        <w:t>where he has completed at least 10 years of service but less than 15 years of service, a sum which bears the same proportion to the money value of the entitlement referred to in section 21(1)(a) as the period of service completed bears to 15 years; or</w:t>
      </w:r>
    </w:p>
    <w:p>
      <w:pPr>
        <w:pStyle w:val="Indenta"/>
        <w:spacing w:before="120"/>
        <w:rPr>
          <w:snapToGrid w:val="0"/>
        </w:rPr>
      </w:pPr>
      <w:r>
        <w:rPr>
          <w:snapToGrid w:val="0"/>
        </w:rPr>
        <w:tab/>
        <w:t>(b)</w:t>
      </w:r>
      <w:r>
        <w:rPr>
          <w:snapToGrid w:val="0"/>
        </w:rPr>
        <w:tab/>
        <w:t>where he has completed at least 15 years of service —</w:t>
      </w:r>
    </w:p>
    <w:p>
      <w:pPr>
        <w:pStyle w:val="Indenti"/>
        <w:spacing w:before="120"/>
        <w:rPr>
          <w:snapToGrid w:val="0"/>
        </w:rPr>
      </w:pPr>
      <w:r>
        <w:rPr>
          <w:snapToGrid w:val="0"/>
        </w:rPr>
        <w:tab/>
        <w:t>(i)</w:t>
      </w:r>
      <w:r>
        <w:rPr>
          <w:snapToGrid w:val="0"/>
        </w:rPr>
        <w:tab/>
        <w:t>where an accrued entitlement under section 21(1) has not been taken, the money value of that entitlement; and</w:t>
      </w:r>
    </w:p>
    <w:p>
      <w:pPr>
        <w:pStyle w:val="Indenti"/>
        <w:spacing w:before="120"/>
        <w:rPr>
          <w:snapToGrid w:val="0"/>
        </w:rPr>
      </w:pPr>
      <w:r>
        <w:rPr>
          <w:snapToGrid w:val="0"/>
        </w:rPr>
        <w:tab/>
        <w:t>(ii)</w:t>
      </w:r>
      <w:r>
        <w:rPr>
          <w:snapToGrid w:val="0"/>
        </w:rPr>
        <w:tab/>
        <w:t>for each year of service after the completion of 15 years of service which is not part of the period of an accrued entitlement under section 21(1), one</w:t>
      </w:r>
      <w:r>
        <w:rPr>
          <w:snapToGrid w:val="0"/>
        </w:rPr>
        <w:noBreakHyphen/>
        <w:t>fifteenth of the money value of the entitlement referred to in section 21(1)(a).</w:t>
      </w:r>
    </w:p>
    <w:p>
      <w:pPr>
        <w:pStyle w:val="Subsection"/>
        <w:spacing w:before="180"/>
        <w:rPr>
          <w:snapToGrid w:val="0"/>
        </w:rPr>
      </w:pPr>
      <w:r>
        <w:rPr>
          <w:snapToGrid w:val="0"/>
        </w:rPr>
        <w:tab/>
        <w:t>(2)</w:t>
      </w:r>
      <w:r>
        <w:rPr>
          <w:snapToGrid w:val="0"/>
        </w:rPr>
        <w:tab/>
        <w:t>Where an employee dies after completing at least 10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12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15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w:t>
      </w:r>
    </w:p>
    <w:p>
      <w:pPr>
        <w:pStyle w:val="Heading5"/>
        <w:rPr>
          <w:snapToGrid w:val="0"/>
        </w:rPr>
      </w:pPr>
      <w:bookmarkStart w:id="79" w:name="_Toc95730163"/>
      <w:bookmarkStart w:id="80" w:name="_Toc120001188"/>
      <w:r>
        <w:rPr>
          <w:rStyle w:val="CharSectno"/>
        </w:rPr>
        <w:t>23</w:t>
      </w:r>
      <w:r>
        <w:rPr>
          <w:snapToGrid w:val="0"/>
        </w:rPr>
        <w:t>.</w:t>
      </w:r>
      <w:r>
        <w:rPr>
          <w:snapToGrid w:val="0"/>
        </w:rPr>
        <w:tab/>
        <w:t>Cessation of continuous service entitlement</w:t>
      </w:r>
      <w:bookmarkEnd w:id="79"/>
      <w:bookmarkEnd w:id="80"/>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81" w:name="_Toc95730164"/>
      <w:bookmarkStart w:id="82" w:name="_Toc120001189"/>
      <w:r>
        <w:rPr>
          <w:rStyle w:val="CharSectno"/>
        </w:rPr>
        <w:t>24</w:t>
      </w:r>
      <w:r>
        <w:rPr>
          <w:snapToGrid w:val="0"/>
        </w:rPr>
        <w:t>.</w:t>
      </w:r>
      <w:r>
        <w:rPr>
          <w:snapToGrid w:val="0"/>
        </w:rPr>
        <w:tab/>
        <w:t>Taking of leave</w:t>
      </w:r>
      <w:bookmarkEnd w:id="81"/>
      <w:bookmarkEnd w:id="82"/>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rPr>
          <w:snapToGrid w:val="0"/>
        </w:rPr>
      </w:pPr>
      <w:bookmarkStart w:id="83" w:name="_Toc95730165"/>
      <w:bookmarkStart w:id="84" w:name="_Toc120001190"/>
      <w:r>
        <w:rPr>
          <w:rStyle w:val="CharSectno"/>
        </w:rPr>
        <w:t>24A</w:t>
      </w:r>
      <w:r>
        <w:rPr>
          <w:snapToGrid w:val="0"/>
        </w:rPr>
        <w:t xml:space="preserve">. </w:t>
      </w:r>
      <w:r>
        <w:rPr>
          <w:snapToGrid w:val="0"/>
        </w:rPr>
        <w:tab/>
        <w:t>Proportional leave in advance after 10 years service</w:t>
      </w:r>
      <w:bookmarkEnd w:id="83"/>
      <w:bookmarkEnd w:id="84"/>
    </w:p>
    <w:p>
      <w:pPr>
        <w:pStyle w:val="Subsection"/>
        <w:rPr>
          <w:snapToGrid w:val="0"/>
        </w:rPr>
      </w:pPr>
      <w:r>
        <w:rPr>
          <w:snapToGrid w:val="0"/>
          <w:spacing w:val="-6"/>
        </w:rPr>
        <w:tab/>
        <w:t>(1)</w:t>
      </w:r>
      <w:r>
        <w:rPr>
          <w:snapToGrid w:val="0"/>
          <w:spacing w:val="-6"/>
        </w:rPr>
        <w:tab/>
      </w:r>
      <w:r>
        <w:rPr>
          <w:snapToGrid w:val="0"/>
        </w:rPr>
        <w:t>An employee with at least 10 years of service in the construction industry may, with the consent of his employer, take advance long service leave for not longer than the period which bears the same proportion to the length of his service then completed as the period of 13 weeks bears to 15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pPr>
      <w:r>
        <w:tab/>
        <w:t>[Section 24A inserted by No. 30 of 1989 s. 9.]</w:t>
      </w:r>
    </w:p>
    <w:p>
      <w:pPr>
        <w:pStyle w:val="Heading5"/>
        <w:rPr>
          <w:snapToGrid w:val="0"/>
        </w:rPr>
      </w:pPr>
      <w:bookmarkStart w:id="85" w:name="_Toc95730166"/>
      <w:bookmarkStart w:id="86" w:name="_Toc120001191"/>
      <w:r>
        <w:rPr>
          <w:rStyle w:val="CharSectno"/>
        </w:rPr>
        <w:t>25</w:t>
      </w:r>
      <w:r>
        <w:rPr>
          <w:snapToGrid w:val="0"/>
        </w:rPr>
        <w:t>.</w:t>
      </w:r>
      <w:r>
        <w:rPr>
          <w:snapToGrid w:val="0"/>
        </w:rPr>
        <w:tab/>
        <w:t>Payment when due</w:t>
      </w:r>
      <w:bookmarkEnd w:id="85"/>
      <w:bookmarkEnd w:id="86"/>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Repealed by No. 30 of 1989 s. 10.]</w:t>
      </w:r>
    </w:p>
    <w:p>
      <w:pPr>
        <w:pStyle w:val="Heading5"/>
        <w:rPr>
          <w:snapToGrid w:val="0"/>
        </w:rPr>
      </w:pPr>
      <w:bookmarkStart w:id="87" w:name="_Toc95730167"/>
      <w:bookmarkStart w:id="88" w:name="_Toc120001192"/>
      <w:r>
        <w:rPr>
          <w:rStyle w:val="CharSectno"/>
        </w:rPr>
        <w:t>27</w:t>
      </w:r>
      <w:r>
        <w:rPr>
          <w:snapToGrid w:val="0"/>
        </w:rPr>
        <w:t>.</w:t>
      </w:r>
      <w:r>
        <w:rPr>
          <w:snapToGrid w:val="0"/>
        </w:rPr>
        <w:tab/>
        <w:t>Increase in ordinary pay during long service leave</w:t>
      </w:r>
      <w:bookmarkEnd w:id="87"/>
      <w:bookmarkEnd w:id="88"/>
    </w:p>
    <w:p>
      <w:pPr>
        <w:pStyle w:val="Subsection"/>
        <w:rPr>
          <w:snapToGrid w:val="0"/>
        </w:rPr>
      </w:pPr>
      <w:r>
        <w:rPr>
          <w:snapToGrid w:val="0"/>
        </w:rPr>
        <w:tab/>
      </w:r>
      <w:r>
        <w:rPr>
          <w:snapToGrid w:val="0"/>
        </w:rPr>
        <w:tab/>
        <w:t>Where an employee is on long service leave and the amount of ordinary pay payable under the relevant prescribed award is increased during that period the employee is entitled to be paid any such increase during his period of long service leave commencing from the date of the increase.</w:t>
      </w:r>
    </w:p>
    <w:p>
      <w:pPr>
        <w:pStyle w:val="Heading5"/>
        <w:rPr>
          <w:snapToGrid w:val="0"/>
        </w:rPr>
      </w:pPr>
      <w:bookmarkStart w:id="89" w:name="_Toc95730168"/>
      <w:bookmarkStart w:id="90" w:name="_Toc120001193"/>
      <w:r>
        <w:rPr>
          <w:rStyle w:val="CharSectno"/>
        </w:rPr>
        <w:t>28</w:t>
      </w:r>
      <w:r>
        <w:rPr>
          <w:snapToGrid w:val="0"/>
        </w:rPr>
        <w:t>.</w:t>
      </w:r>
      <w:r>
        <w:rPr>
          <w:snapToGrid w:val="0"/>
        </w:rPr>
        <w:tab/>
        <w:t>Prohibition on other employment</w:t>
      </w:r>
      <w:bookmarkEnd w:id="89"/>
      <w:bookmarkEnd w:id="90"/>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spacing w:before="120"/>
        <w:rPr>
          <w:snapToGrid w:val="0"/>
        </w:rPr>
      </w:pPr>
      <w:bookmarkStart w:id="91" w:name="_Toc95730169"/>
      <w:bookmarkStart w:id="92" w:name="_Toc120001194"/>
      <w:r>
        <w:rPr>
          <w:rStyle w:val="CharSectno"/>
        </w:rPr>
        <w:t>29</w:t>
      </w:r>
      <w:r>
        <w:rPr>
          <w:snapToGrid w:val="0"/>
        </w:rPr>
        <w:t>.</w:t>
      </w:r>
      <w:r>
        <w:rPr>
          <w:snapToGrid w:val="0"/>
        </w:rPr>
        <w:tab/>
        <w:t>Public holidays</w:t>
      </w:r>
      <w:bookmarkEnd w:id="91"/>
      <w:bookmarkEnd w:id="92"/>
    </w:p>
    <w:p>
      <w:pPr>
        <w:pStyle w:val="Subsection"/>
        <w:rPr>
          <w:snapToGrid w:val="0"/>
        </w:rPr>
      </w:pPr>
      <w:r>
        <w:rPr>
          <w:snapToGrid w:val="0"/>
        </w:rPr>
        <w:tab/>
      </w:r>
      <w:r>
        <w:rPr>
          <w:snapToGrid w:val="0"/>
        </w:rPr>
        <w:tab/>
        <w:t xml:space="preserve">Where a public holiday as defined by the </w:t>
      </w:r>
      <w:r>
        <w:rPr>
          <w:i/>
          <w:snapToGrid w:val="0"/>
        </w:rPr>
        <w:t>Public and Bank Holidays Act 1972</w:t>
      </w:r>
      <w:r>
        <w:rPr>
          <w:snapToGrid w:val="0"/>
        </w:rPr>
        <w:t xml:space="preserve"> occurs during any period of long service leave an employee is not entitled to any additional days of long service leave in respect of that public holiday.</w:t>
      </w:r>
    </w:p>
    <w:p>
      <w:pPr>
        <w:pStyle w:val="Heading5"/>
        <w:spacing w:before="120"/>
        <w:rPr>
          <w:snapToGrid w:val="0"/>
        </w:rPr>
      </w:pPr>
      <w:bookmarkStart w:id="93" w:name="_Toc95730170"/>
      <w:bookmarkStart w:id="94" w:name="_Toc120001195"/>
      <w:r>
        <w:rPr>
          <w:rStyle w:val="CharSectno"/>
        </w:rPr>
        <w:t>29A</w:t>
      </w:r>
      <w:r>
        <w:rPr>
          <w:snapToGrid w:val="0"/>
        </w:rPr>
        <w:t xml:space="preserve">. </w:t>
      </w:r>
      <w:r>
        <w:rPr>
          <w:snapToGrid w:val="0"/>
        </w:rPr>
        <w:tab/>
        <w:t>Reciprocal arrangements</w:t>
      </w:r>
      <w:bookmarkEnd w:id="93"/>
      <w:bookmarkEnd w:id="94"/>
    </w:p>
    <w:p>
      <w:pPr>
        <w:pStyle w:val="Subsection"/>
        <w:rPr>
          <w:snapToGrid w:val="0"/>
        </w:rPr>
      </w:pPr>
      <w:r>
        <w:rPr>
          <w:snapToGrid w:val="0"/>
        </w:rPr>
        <w:tab/>
        <w:t>(1)</w:t>
      </w:r>
      <w:r>
        <w:rPr>
          <w:snapToGrid w:val="0"/>
        </w:rPr>
        <w:tab/>
        <w:t>In this section —</w:t>
      </w:r>
    </w:p>
    <w:p>
      <w:pPr>
        <w:pStyle w:val="Defstart"/>
        <w:spacing w:before="60"/>
        <w:rPr>
          <w:spacing w:val="-6"/>
        </w:rPr>
      </w:pPr>
      <w:r>
        <w:rPr>
          <w:b/>
          <w:spacing w:val="-6"/>
        </w:rPr>
        <w:tab/>
        <w:t>“</w:t>
      </w:r>
      <w:r>
        <w:rPr>
          <w:rStyle w:val="CharDefText"/>
          <w:spacing w:val="-6"/>
        </w:rPr>
        <w:t>construction industry</w:t>
      </w:r>
      <w:r>
        <w:rPr>
          <w:b/>
          <w:spacing w:val="-6"/>
        </w:rPr>
        <w:t>”</w:t>
      </w:r>
      <w:r>
        <w:rPr>
          <w:spacing w:val="-6"/>
        </w:rPr>
        <w:t xml:space="preserve"> has the same meaning as in section 3(1);</w:t>
      </w:r>
    </w:p>
    <w:p>
      <w:pPr>
        <w:pStyle w:val="Defstart"/>
        <w:spacing w:before="60"/>
      </w:pPr>
      <w:r>
        <w:rPr>
          <w:b/>
        </w:rPr>
        <w:tab/>
        <w:t>“</w:t>
      </w:r>
      <w:r>
        <w:rPr>
          <w:rStyle w:val="CharDefText"/>
        </w:rPr>
        <w:t>corresponding law</w:t>
      </w:r>
      <w:r>
        <w:rPr>
          <w:b/>
        </w:rPr>
        <w:t>”</w:t>
      </w:r>
      <w:r>
        <w:t xml:space="preserve"> means a law of another State or of a Territory which —</w:t>
      </w:r>
    </w:p>
    <w:p>
      <w:pPr>
        <w:pStyle w:val="Defpara"/>
        <w:spacing w:before="60"/>
      </w:pPr>
      <w:r>
        <w:tab/>
        <w:t>(a)</w:t>
      </w:r>
      <w:r>
        <w:tab/>
        <w:t>provides for long service leave payments for persons employed in the construction industry; and</w:t>
      </w:r>
    </w:p>
    <w:p>
      <w:pPr>
        <w:pStyle w:val="Defpara"/>
        <w:spacing w:before="60"/>
      </w:pPr>
      <w:r>
        <w:tab/>
        <w:t>(b)</w:t>
      </w:r>
      <w:r>
        <w:tab/>
        <w:t>is prescribed as a corresponding law for the purposes of this section;</w:t>
      </w:r>
    </w:p>
    <w:p>
      <w:pPr>
        <w:pStyle w:val="Defstart"/>
        <w:spacing w:before="60"/>
      </w:pPr>
      <w:r>
        <w:rPr>
          <w:b/>
        </w:rPr>
        <w:tab/>
        <w:t>“</w:t>
      </w:r>
      <w:r>
        <w:rPr>
          <w:rStyle w:val="CharDefText"/>
        </w:rPr>
        <w:t>corresponding public employer in this State</w:t>
      </w:r>
      <w:r>
        <w:rPr>
          <w:b/>
        </w:rPr>
        <w:t>”</w:t>
      </w:r>
      <w:r>
        <w:t xml:space="preserve"> means —</w:t>
      </w:r>
    </w:p>
    <w:p>
      <w:pPr>
        <w:pStyle w:val="Defpara"/>
        <w:spacing w:before="60"/>
      </w:pPr>
      <w:r>
        <w:tab/>
        <w:t>(a)</w:t>
      </w:r>
      <w:r>
        <w:tab/>
        <w:t>a Minister in the Government;</w:t>
      </w:r>
    </w:p>
    <w:p>
      <w:pPr>
        <w:pStyle w:val="Defpara"/>
        <w:spacing w:before="60"/>
      </w:pPr>
      <w:r>
        <w:tab/>
        <w:t>(b)</w:t>
      </w:r>
      <w:r>
        <w:tab/>
        <w:t>an authority, whether a body corporate or not, constituted by a written law; or</w:t>
      </w:r>
    </w:p>
    <w:p>
      <w:pPr>
        <w:pStyle w:val="Defpara"/>
        <w:spacing w:before="60"/>
      </w:pPr>
      <w:r>
        <w:tab/>
        <w:t>(c)</w:t>
      </w:r>
      <w:r>
        <w:tab/>
        <w:t>a local government</w:t>
      </w:r>
    </w:p>
    <w:p>
      <w:pPr>
        <w:pStyle w:val="Defstart"/>
        <w:spacing w:before="60"/>
      </w:pPr>
      <w:r>
        <w:tab/>
      </w: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spacing w:before="60"/>
        <w:rPr>
          <w:snapToGrid w:val="0"/>
        </w:rPr>
      </w:pPr>
      <w:r>
        <w:rPr>
          <w:snapToGrid w:val="0"/>
        </w:rPr>
        <w:tab/>
        <w:t>(a)</w:t>
      </w:r>
      <w:r>
        <w:rPr>
          <w:snapToGrid w:val="0"/>
        </w:rPr>
        <w:tab/>
        <w:t>the Minister of State of another State or of a Territory responsible for the administration of a corresponding law; or</w:t>
      </w:r>
    </w:p>
    <w:p>
      <w:pPr>
        <w:pStyle w:val="Indenta"/>
        <w:spacing w:before="60"/>
        <w:rPr>
          <w:snapToGrid w:val="0"/>
        </w:rPr>
      </w:pPr>
      <w:r>
        <w:rPr>
          <w:snapToGrid w:val="0"/>
        </w:rPr>
        <w:tab/>
        <w:t>(b)</w:t>
      </w:r>
      <w:r>
        <w:rPr>
          <w:snapToGrid w:val="0"/>
        </w:rPr>
        <w:tab/>
        <w:t>a corresponding public employer in this State;</w:t>
      </w:r>
    </w:p>
    <w:p>
      <w:pPr>
        <w:pStyle w:val="Subsection"/>
        <w:spacing w:before="120"/>
        <w:rPr>
          <w:snapToGrid w:val="0"/>
        </w:rPr>
      </w:pPr>
      <w:r>
        <w:rPr>
          <w:snapToGrid w:val="0"/>
        </w:rPr>
        <w:tab/>
      </w:r>
      <w:r>
        <w:rPr>
          <w:snapToGrid w:val="0"/>
        </w:rPr>
        <w:tab/>
        <w:t>being a reciprocal arrangement relating to —</w:t>
      </w:r>
    </w:p>
    <w:p>
      <w:pPr>
        <w:pStyle w:val="Indenta"/>
        <w:spacing w:before="60"/>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95" w:name="_Toc95729754"/>
      <w:bookmarkStart w:id="96" w:name="_Toc95729819"/>
      <w:bookmarkStart w:id="97" w:name="_Toc95730171"/>
      <w:bookmarkStart w:id="98" w:name="_Toc95730245"/>
      <w:bookmarkStart w:id="99" w:name="_Toc97003732"/>
      <w:bookmarkStart w:id="100" w:name="_Toc102810451"/>
      <w:bookmarkStart w:id="101" w:name="_Toc116956550"/>
      <w:bookmarkStart w:id="102" w:name="_Toc116956614"/>
      <w:bookmarkStart w:id="103" w:name="_Toc116960879"/>
      <w:bookmarkStart w:id="104" w:name="_Toc118525514"/>
      <w:bookmarkStart w:id="105" w:name="_Toc118525820"/>
      <w:bookmarkStart w:id="106" w:name="_Toc120001196"/>
      <w:r>
        <w:rPr>
          <w:rStyle w:val="CharPartNo"/>
        </w:rPr>
        <w:t>Part IV</w:t>
      </w:r>
      <w:r>
        <w:rPr>
          <w:rStyle w:val="CharDivNo"/>
        </w:rPr>
        <w:t> </w:t>
      </w:r>
      <w:r>
        <w:t>—</w:t>
      </w:r>
      <w:r>
        <w:rPr>
          <w:rStyle w:val="CharDivText"/>
        </w:rPr>
        <w:t> </w:t>
      </w:r>
      <w:r>
        <w:rPr>
          <w:rStyle w:val="CharPartText"/>
        </w:rPr>
        <w:t>Registration</w:t>
      </w:r>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95730172"/>
      <w:bookmarkStart w:id="108" w:name="_Toc120001197"/>
      <w:r>
        <w:rPr>
          <w:rStyle w:val="CharSectno"/>
        </w:rPr>
        <w:t>30</w:t>
      </w:r>
      <w:r>
        <w:rPr>
          <w:snapToGrid w:val="0"/>
        </w:rPr>
        <w:t>.</w:t>
      </w:r>
      <w:r>
        <w:rPr>
          <w:snapToGrid w:val="0"/>
        </w:rPr>
        <w:tab/>
        <w:t>Registration of employers and employees</w:t>
      </w:r>
      <w:bookmarkEnd w:id="107"/>
      <w:bookmarkEnd w:id="108"/>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109" w:name="_Toc95730173"/>
      <w:bookmarkStart w:id="110" w:name="_Toc120001198"/>
      <w:r>
        <w:rPr>
          <w:rStyle w:val="CharSectno"/>
        </w:rPr>
        <w:t>31</w:t>
      </w:r>
      <w:r>
        <w:rPr>
          <w:snapToGrid w:val="0"/>
        </w:rPr>
        <w:t>.</w:t>
      </w:r>
      <w:r>
        <w:rPr>
          <w:snapToGrid w:val="0"/>
        </w:rPr>
        <w:tab/>
        <w:t>Return to be made by employer</w:t>
      </w:r>
      <w:bookmarkEnd w:id="109"/>
      <w:bookmarkEnd w:id="110"/>
    </w:p>
    <w:p>
      <w:pPr>
        <w:pStyle w:val="Subsection"/>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rPr>
          <w:snapToGrid w:val="0"/>
        </w:rPr>
      </w:pPr>
      <w:bookmarkStart w:id="111" w:name="_Toc95730174"/>
      <w:bookmarkStart w:id="112" w:name="_Toc120001199"/>
      <w:r>
        <w:rPr>
          <w:rStyle w:val="CharSectno"/>
        </w:rPr>
        <w:t>32</w:t>
      </w:r>
      <w:r>
        <w:rPr>
          <w:snapToGrid w:val="0"/>
        </w:rPr>
        <w:t>.</w:t>
      </w:r>
      <w:r>
        <w:rPr>
          <w:snapToGrid w:val="0"/>
        </w:rPr>
        <w:tab/>
        <w:t>Employer to maintain record of employees</w:t>
      </w:r>
      <w:bookmarkEnd w:id="111"/>
      <w:bookmarkEnd w:id="112"/>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spacing w:before="120"/>
        <w:rPr>
          <w:snapToGrid w:val="0"/>
        </w:rPr>
      </w:pPr>
      <w:r>
        <w:rPr>
          <w:snapToGrid w:val="0"/>
        </w:rPr>
        <w:tab/>
        <w:t>(2)</w:t>
      </w:r>
      <w:r>
        <w:rPr>
          <w:snapToGrid w:val="0"/>
        </w:rPr>
        <w:tab/>
        <w:t>An employer shall retain any record established and maintained under subsection (1) for a period of not less than 7 years.</w:t>
      </w:r>
    </w:p>
    <w:p>
      <w:pPr>
        <w:pStyle w:val="Subsection"/>
        <w:spacing w:before="120"/>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113" w:name="_Toc95730175"/>
      <w:bookmarkStart w:id="114" w:name="_Toc120001200"/>
      <w:r>
        <w:rPr>
          <w:rStyle w:val="CharSectno"/>
        </w:rPr>
        <w:t>33</w:t>
      </w:r>
      <w:r>
        <w:rPr>
          <w:snapToGrid w:val="0"/>
        </w:rPr>
        <w:t>.</w:t>
      </w:r>
      <w:r>
        <w:rPr>
          <w:snapToGrid w:val="0"/>
        </w:rPr>
        <w:tab/>
        <w:t>Exempt employer</w:t>
      </w:r>
      <w:bookmarkEnd w:id="113"/>
      <w:bookmarkEnd w:id="114"/>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spacing w:before="120"/>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115" w:name="_Toc95730176"/>
      <w:bookmarkStart w:id="116" w:name="_Toc120001201"/>
      <w:r>
        <w:rPr>
          <w:rStyle w:val="CharSectno"/>
        </w:rPr>
        <w:t>34</w:t>
      </w:r>
      <w:r>
        <w:rPr>
          <w:snapToGrid w:val="0"/>
        </w:rPr>
        <w:t>.</w:t>
      </w:r>
      <w:r>
        <w:rPr>
          <w:snapToGrid w:val="0"/>
        </w:rPr>
        <w:tab/>
        <w:t>Contribution by employer and assessment by the Board</w:t>
      </w:r>
      <w:bookmarkEnd w:id="115"/>
      <w:bookmarkEnd w:id="116"/>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spacing w:before="8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spacing w:before="140"/>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spacing w:before="140"/>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117" w:name="_Toc95730177"/>
      <w:bookmarkStart w:id="118" w:name="_Toc120001202"/>
      <w:r>
        <w:rPr>
          <w:rStyle w:val="CharSectno"/>
        </w:rPr>
        <w:t>35</w:t>
      </w:r>
      <w:r>
        <w:rPr>
          <w:snapToGrid w:val="0"/>
        </w:rPr>
        <w:t>.</w:t>
      </w:r>
      <w:r>
        <w:rPr>
          <w:snapToGrid w:val="0"/>
        </w:rPr>
        <w:tab/>
        <w:t>Register of Employers and Register of Employees</w:t>
      </w:r>
      <w:bookmarkEnd w:id="117"/>
      <w:bookmarkEnd w:id="118"/>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119" w:name="_Toc95730178"/>
      <w:bookmarkStart w:id="120" w:name="_Toc120001203"/>
      <w:r>
        <w:rPr>
          <w:rStyle w:val="CharSectno"/>
        </w:rPr>
        <w:t>36</w:t>
      </w:r>
      <w:r>
        <w:rPr>
          <w:snapToGrid w:val="0"/>
        </w:rPr>
        <w:t>.</w:t>
      </w:r>
      <w:r>
        <w:rPr>
          <w:snapToGrid w:val="0"/>
        </w:rPr>
        <w:tab/>
        <w:t>Employer leaving Western Australia</w:t>
      </w:r>
      <w:bookmarkEnd w:id="119"/>
      <w:bookmarkEnd w:id="120"/>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121" w:name="_Toc95730179"/>
      <w:bookmarkStart w:id="122" w:name="_Toc120001204"/>
      <w:r>
        <w:rPr>
          <w:rStyle w:val="CharSectno"/>
        </w:rPr>
        <w:t>37</w:t>
      </w:r>
      <w:r>
        <w:rPr>
          <w:snapToGrid w:val="0"/>
        </w:rPr>
        <w:t>.</w:t>
      </w:r>
      <w:r>
        <w:rPr>
          <w:snapToGrid w:val="0"/>
        </w:rPr>
        <w:tab/>
        <w:t>Recovery of long service leave contribution</w:t>
      </w:r>
      <w:bookmarkEnd w:id="121"/>
      <w:bookmarkEnd w:id="122"/>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123" w:name="_Toc95730180"/>
      <w:bookmarkStart w:id="124" w:name="_Toc120001205"/>
      <w:r>
        <w:rPr>
          <w:rStyle w:val="CharSectno"/>
        </w:rPr>
        <w:t>38</w:t>
      </w:r>
      <w:r>
        <w:rPr>
          <w:snapToGrid w:val="0"/>
        </w:rPr>
        <w:t>.</w:t>
      </w:r>
      <w:r>
        <w:rPr>
          <w:snapToGrid w:val="0"/>
        </w:rPr>
        <w:tab/>
        <w:t>Liquidator to give notice</w:t>
      </w:r>
      <w:bookmarkEnd w:id="123"/>
      <w:bookmarkEnd w:id="124"/>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125" w:name="_Toc95730181"/>
      <w:bookmarkStart w:id="126" w:name="_Toc120001206"/>
      <w:r>
        <w:rPr>
          <w:rStyle w:val="CharSectno"/>
        </w:rPr>
        <w:t>39</w:t>
      </w:r>
      <w:r>
        <w:rPr>
          <w:snapToGrid w:val="0"/>
        </w:rPr>
        <w:t>.</w:t>
      </w:r>
      <w:r>
        <w:rPr>
          <w:snapToGrid w:val="0"/>
        </w:rPr>
        <w:tab/>
        <w:t>Agent for absentee principal winding up business</w:t>
      </w:r>
      <w:bookmarkEnd w:id="125"/>
      <w:bookmarkEnd w:id="126"/>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rPr>
          <w:snapToGrid w:val="0"/>
        </w:rPr>
      </w:pPr>
      <w:bookmarkStart w:id="127" w:name="_Toc95730182"/>
      <w:bookmarkStart w:id="128" w:name="_Toc120001207"/>
      <w:r>
        <w:rPr>
          <w:rStyle w:val="CharSectno"/>
        </w:rPr>
        <w:t>40</w:t>
      </w:r>
      <w:r>
        <w:rPr>
          <w:snapToGrid w:val="0"/>
        </w:rPr>
        <w:t>.</w:t>
      </w:r>
      <w:r>
        <w:rPr>
          <w:snapToGrid w:val="0"/>
        </w:rPr>
        <w:tab/>
        <w:t>Where long service leave charges are not paid during lifetime</w:t>
      </w:r>
      <w:bookmarkEnd w:id="127"/>
      <w:bookmarkEnd w:id="128"/>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129" w:name="_Toc95730183"/>
      <w:bookmarkStart w:id="130" w:name="_Toc120001208"/>
      <w:r>
        <w:rPr>
          <w:rStyle w:val="CharSectno"/>
        </w:rPr>
        <w:t>41</w:t>
      </w:r>
      <w:r>
        <w:rPr>
          <w:snapToGrid w:val="0"/>
        </w:rPr>
        <w:t>.</w:t>
      </w:r>
      <w:r>
        <w:rPr>
          <w:snapToGrid w:val="0"/>
        </w:rPr>
        <w:tab/>
        <w:t>Provisions for payment of long service leave charges by executors or administrators</w:t>
      </w:r>
      <w:bookmarkEnd w:id="129"/>
      <w:bookmarkEnd w:id="130"/>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131" w:name="_Toc95730184"/>
      <w:bookmarkStart w:id="132" w:name="_Toc120001209"/>
      <w:r>
        <w:rPr>
          <w:rStyle w:val="CharSectno"/>
        </w:rPr>
        <w:t>42</w:t>
      </w:r>
      <w:r>
        <w:rPr>
          <w:snapToGrid w:val="0"/>
        </w:rPr>
        <w:t>.</w:t>
      </w:r>
      <w:r>
        <w:rPr>
          <w:snapToGrid w:val="0"/>
        </w:rPr>
        <w:tab/>
        <w:t>Contributions by joint employers</w:t>
      </w:r>
      <w:bookmarkEnd w:id="131"/>
      <w:bookmarkEnd w:id="132"/>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133" w:name="_Toc95730185"/>
      <w:bookmarkStart w:id="134" w:name="_Toc120001210"/>
      <w:r>
        <w:rPr>
          <w:rStyle w:val="CharSectno"/>
        </w:rPr>
        <w:t>43</w:t>
      </w:r>
      <w:r>
        <w:rPr>
          <w:snapToGrid w:val="0"/>
        </w:rPr>
        <w:t>.</w:t>
      </w:r>
      <w:r>
        <w:rPr>
          <w:snapToGrid w:val="0"/>
        </w:rPr>
        <w:tab/>
        <w:t>Payment of penalties no relief from contributions</w:t>
      </w:r>
      <w:bookmarkEnd w:id="133"/>
      <w:bookmarkEnd w:id="134"/>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135" w:name="_Toc95729769"/>
      <w:bookmarkStart w:id="136" w:name="_Toc95729834"/>
      <w:bookmarkStart w:id="137" w:name="_Toc95730186"/>
      <w:bookmarkStart w:id="138" w:name="_Toc95730260"/>
      <w:bookmarkStart w:id="139" w:name="_Toc97003747"/>
      <w:bookmarkStart w:id="140" w:name="_Toc102810466"/>
      <w:bookmarkStart w:id="141" w:name="_Toc116956565"/>
      <w:bookmarkStart w:id="142" w:name="_Toc116956629"/>
      <w:bookmarkStart w:id="143" w:name="_Toc116960894"/>
      <w:bookmarkStart w:id="144" w:name="_Toc118525529"/>
      <w:bookmarkStart w:id="145" w:name="_Toc118525835"/>
      <w:bookmarkStart w:id="146" w:name="_Toc120001211"/>
      <w:r>
        <w:rPr>
          <w:rStyle w:val="CharPartNo"/>
        </w:rPr>
        <w:t>Part V</w:t>
      </w:r>
      <w:r>
        <w:rPr>
          <w:rStyle w:val="CharDivNo"/>
        </w:rPr>
        <w:t> </w:t>
      </w:r>
      <w:r>
        <w:t>—</w:t>
      </w:r>
      <w:r>
        <w:rPr>
          <w:rStyle w:val="CharDivText"/>
        </w:rPr>
        <w:t> </w:t>
      </w:r>
      <w:r>
        <w:rPr>
          <w:rStyle w:val="CharPartText"/>
        </w:rPr>
        <w:t>Miscellaneous</w:t>
      </w:r>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95730187"/>
      <w:bookmarkStart w:id="148" w:name="_Toc120001212"/>
      <w:r>
        <w:rPr>
          <w:rStyle w:val="CharSectno"/>
        </w:rPr>
        <w:t>44</w:t>
      </w:r>
      <w:r>
        <w:rPr>
          <w:snapToGrid w:val="0"/>
        </w:rPr>
        <w:t>.</w:t>
      </w:r>
      <w:r>
        <w:rPr>
          <w:snapToGrid w:val="0"/>
        </w:rPr>
        <w:tab/>
        <w:t>Inspectors</w:t>
      </w:r>
      <w:bookmarkEnd w:id="147"/>
      <w:bookmarkEnd w:id="148"/>
    </w:p>
    <w:p>
      <w:pPr>
        <w:pStyle w:val="Subsection"/>
        <w:rPr>
          <w:snapToGrid w:val="0"/>
        </w:rPr>
      </w:pPr>
      <w:r>
        <w:rPr>
          <w:snapToGrid w:val="0"/>
        </w:rPr>
        <w:tab/>
        <w:t>(1)</w:t>
      </w:r>
      <w:r>
        <w:rPr>
          <w:snapToGrid w:val="0"/>
        </w:rPr>
        <w:tab/>
        <w:t>The Board may engage or appoint such inspectors as are necessary for the purposes of this Act.</w:t>
      </w:r>
    </w:p>
    <w:p>
      <w:pPr>
        <w:pStyle w:val="Subsection"/>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149" w:name="_Toc95730188"/>
      <w:bookmarkStart w:id="150" w:name="_Toc120001213"/>
      <w:r>
        <w:rPr>
          <w:rStyle w:val="CharSectno"/>
        </w:rPr>
        <w:t>45</w:t>
      </w:r>
      <w:r>
        <w:rPr>
          <w:snapToGrid w:val="0"/>
        </w:rPr>
        <w:t>.</w:t>
      </w:r>
      <w:r>
        <w:rPr>
          <w:snapToGrid w:val="0"/>
        </w:rPr>
        <w:tab/>
        <w:t>Power to obtain information and evidence</w:t>
      </w:r>
      <w:bookmarkEnd w:id="149"/>
      <w:bookmarkEnd w:id="150"/>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151" w:name="_Toc95730189"/>
      <w:bookmarkStart w:id="152" w:name="_Toc120001214"/>
      <w:r>
        <w:rPr>
          <w:rStyle w:val="CharSectno"/>
        </w:rPr>
        <w:t>46</w:t>
      </w:r>
      <w:r>
        <w:rPr>
          <w:snapToGrid w:val="0"/>
        </w:rPr>
        <w:t>.</w:t>
      </w:r>
      <w:r>
        <w:rPr>
          <w:snapToGrid w:val="0"/>
        </w:rPr>
        <w:tab/>
        <w:t>Access to books etc.</w:t>
      </w:r>
      <w:bookmarkEnd w:id="151"/>
      <w:bookmarkEnd w:id="152"/>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153" w:name="_Toc95730190"/>
      <w:bookmarkStart w:id="154" w:name="_Toc120001215"/>
      <w:r>
        <w:rPr>
          <w:rStyle w:val="CharSectno"/>
        </w:rPr>
        <w:t>47</w:t>
      </w:r>
      <w:r>
        <w:rPr>
          <w:snapToGrid w:val="0"/>
        </w:rPr>
        <w:t>.</w:t>
      </w:r>
      <w:r>
        <w:rPr>
          <w:snapToGrid w:val="0"/>
        </w:rPr>
        <w:tab/>
        <w:t>Proceedings for offences against this Act</w:t>
      </w:r>
      <w:bookmarkEnd w:id="153"/>
      <w:bookmarkEnd w:id="154"/>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155" w:name="_Toc95730191"/>
      <w:bookmarkStart w:id="156" w:name="_Toc120001216"/>
      <w:r>
        <w:rPr>
          <w:rStyle w:val="CharSectno"/>
        </w:rPr>
        <w:t>48</w:t>
      </w:r>
      <w:r>
        <w:rPr>
          <w:snapToGrid w:val="0"/>
        </w:rPr>
        <w:t>.</w:t>
      </w:r>
      <w:r>
        <w:rPr>
          <w:snapToGrid w:val="0"/>
        </w:rPr>
        <w:tab/>
        <w:t>Institution of proceedings</w:t>
      </w:r>
      <w:bookmarkEnd w:id="155"/>
      <w:bookmarkEnd w:id="156"/>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157" w:name="_Toc95730192"/>
      <w:bookmarkStart w:id="158" w:name="_Toc120001217"/>
      <w:r>
        <w:rPr>
          <w:rStyle w:val="CharSectno"/>
        </w:rPr>
        <w:t>49</w:t>
      </w:r>
      <w:r>
        <w:rPr>
          <w:snapToGrid w:val="0"/>
        </w:rPr>
        <w:t>.</w:t>
      </w:r>
      <w:r>
        <w:rPr>
          <w:snapToGrid w:val="0"/>
        </w:rPr>
        <w:tab/>
        <w:t>Evidence</w:t>
      </w:r>
      <w:bookmarkEnd w:id="157"/>
      <w:bookmarkEnd w:id="158"/>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spacing w:before="120"/>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spacing w:before="120"/>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2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12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120"/>
        <w:rPr>
          <w:snapToGrid w:val="0"/>
        </w:rPr>
      </w:pPr>
      <w:r>
        <w:rPr>
          <w:snapToGrid w:val="0"/>
        </w:rPr>
        <w:tab/>
        <w:t>(b)</w:t>
      </w:r>
      <w:r>
        <w:rPr>
          <w:snapToGrid w:val="0"/>
        </w:rPr>
        <w:tab/>
        <w:t>the accused failed or neglected duly to furnish the information as and when required by the chief executive officer,</w:t>
      </w:r>
    </w:p>
    <w:p>
      <w:pPr>
        <w:pStyle w:val="Subsection"/>
        <w:spacing w:before="180"/>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spacing w:before="180"/>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159" w:name="_Toc95730193"/>
      <w:bookmarkStart w:id="160" w:name="_Toc120001218"/>
      <w:r>
        <w:rPr>
          <w:rStyle w:val="CharSectno"/>
        </w:rPr>
        <w:t>50</w:t>
      </w:r>
      <w:r>
        <w:rPr>
          <w:snapToGrid w:val="0"/>
        </w:rPr>
        <w:t>.</w:t>
      </w:r>
      <w:r>
        <w:rPr>
          <w:snapToGrid w:val="0"/>
        </w:rPr>
        <w:tab/>
        <w:t>Appeals</w:t>
      </w:r>
      <w:bookmarkEnd w:id="159"/>
      <w:bookmarkEnd w:id="160"/>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161" w:name="_Toc95730194"/>
      <w:bookmarkStart w:id="162" w:name="_Toc120001219"/>
      <w:r>
        <w:rPr>
          <w:rStyle w:val="CharSectno"/>
        </w:rPr>
        <w:t>51</w:t>
      </w:r>
      <w:r>
        <w:rPr>
          <w:snapToGrid w:val="0"/>
        </w:rPr>
        <w:t>.</w:t>
      </w:r>
      <w:r>
        <w:rPr>
          <w:snapToGrid w:val="0"/>
        </w:rPr>
        <w:tab/>
        <w:t>Employee accumulating continuous service in more than one capacity</w:t>
      </w:r>
      <w:bookmarkEnd w:id="161"/>
      <w:bookmarkEnd w:id="162"/>
    </w:p>
    <w:p>
      <w:pPr>
        <w:pStyle w:val="Subsection"/>
        <w:rPr>
          <w:snapToGrid w:val="0"/>
        </w:rPr>
      </w:pPr>
      <w:r>
        <w:rPr>
          <w:snapToGrid w:val="0"/>
        </w:rPr>
        <w:tab/>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Heading5"/>
        <w:rPr>
          <w:snapToGrid w:val="0"/>
        </w:rPr>
      </w:pPr>
      <w:bookmarkStart w:id="163" w:name="_Toc95730195"/>
      <w:bookmarkStart w:id="164" w:name="_Toc120001220"/>
      <w:r>
        <w:rPr>
          <w:rStyle w:val="CharSectno"/>
        </w:rPr>
        <w:t>52</w:t>
      </w:r>
      <w:r>
        <w:rPr>
          <w:snapToGrid w:val="0"/>
        </w:rPr>
        <w:t>.</w:t>
      </w:r>
      <w:r>
        <w:rPr>
          <w:snapToGrid w:val="0"/>
        </w:rPr>
        <w:tab/>
        <w:t>Obstructing an inspector or other persons</w:t>
      </w:r>
      <w:bookmarkEnd w:id="163"/>
      <w:bookmarkEnd w:id="164"/>
    </w:p>
    <w:p>
      <w:pPr>
        <w:pStyle w:val="Subsection"/>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rPr>
          <w:snapToGrid w:val="0"/>
        </w:rPr>
      </w:pPr>
      <w:bookmarkStart w:id="165" w:name="_Toc95730196"/>
      <w:bookmarkStart w:id="166" w:name="_Toc120001221"/>
      <w:r>
        <w:rPr>
          <w:rStyle w:val="CharSectno"/>
        </w:rPr>
        <w:t>53</w:t>
      </w:r>
      <w:r>
        <w:rPr>
          <w:snapToGrid w:val="0"/>
        </w:rPr>
        <w:t>.</w:t>
      </w:r>
      <w:r>
        <w:rPr>
          <w:snapToGrid w:val="0"/>
        </w:rPr>
        <w:tab/>
        <w:t>Protection of persons giving information under this Act</w:t>
      </w:r>
      <w:bookmarkEnd w:id="165"/>
      <w:bookmarkEnd w:id="166"/>
    </w:p>
    <w:p>
      <w:pPr>
        <w:pStyle w:val="Subsection"/>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167" w:name="_Toc95730197"/>
      <w:bookmarkStart w:id="168" w:name="_Toc120001222"/>
      <w:r>
        <w:rPr>
          <w:rStyle w:val="CharSectno"/>
        </w:rPr>
        <w:t>54</w:t>
      </w:r>
      <w:r>
        <w:rPr>
          <w:snapToGrid w:val="0"/>
        </w:rPr>
        <w:t>.</w:t>
      </w:r>
      <w:r>
        <w:rPr>
          <w:snapToGrid w:val="0"/>
        </w:rPr>
        <w:tab/>
        <w:t>Secrecy</w:t>
      </w:r>
      <w:bookmarkEnd w:id="167"/>
      <w:bookmarkEnd w:id="168"/>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169" w:name="_Toc95730198"/>
      <w:bookmarkStart w:id="170" w:name="_Toc120001223"/>
      <w:r>
        <w:rPr>
          <w:rStyle w:val="CharSectno"/>
        </w:rPr>
        <w:t>55</w:t>
      </w:r>
      <w:r>
        <w:rPr>
          <w:snapToGrid w:val="0"/>
        </w:rPr>
        <w:t>.</w:t>
      </w:r>
      <w:r>
        <w:rPr>
          <w:snapToGrid w:val="0"/>
        </w:rPr>
        <w:tab/>
        <w:t>Effect of other awards or agreements</w:t>
      </w:r>
      <w:bookmarkEnd w:id="169"/>
      <w:bookmarkEnd w:id="170"/>
    </w:p>
    <w:p>
      <w:pPr>
        <w:pStyle w:val="Subsection"/>
        <w:rPr>
          <w:snapToGrid w:val="0"/>
        </w:rPr>
      </w:pPr>
      <w:r>
        <w:rPr>
          <w:snapToGrid w:val="0"/>
        </w:rPr>
        <w:tab/>
      </w:r>
      <w:r>
        <w:rPr>
          <w:snapToGrid w:val="0"/>
        </w:rPr>
        <w:tab/>
        <w:t>This Act has effect notwithstanding any other Act or award to the contrary.</w:t>
      </w:r>
    </w:p>
    <w:p>
      <w:pPr>
        <w:pStyle w:val="Ednotesection"/>
        <w:ind w:left="890" w:hanging="890"/>
      </w:pPr>
      <w:r>
        <w:t>[</w:t>
      </w:r>
      <w:r>
        <w:rPr>
          <w:b/>
        </w:rPr>
        <w:t>56.</w:t>
      </w:r>
      <w:r>
        <w:rPr>
          <w:b/>
        </w:rPr>
        <w:tab/>
      </w:r>
      <w:r>
        <w:t>Repealed by No. 4 of 1986 s. 4.]</w:t>
      </w:r>
    </w:p>
    <w:p>
      <w:pPr>
        <w:pStyle w:val="Heading5"/>
        <w:rPr>
          <w:snapToGrid w:val="0"/>
        </w:rPr>
      </w:pPr>
      <w:bookmarkStart w:id="171" w:name="_Toc95730199"/>
      <w:bookmarkStart w:id="172" w:name="_Toc120001224"/>
      <w:r>
        <w:rPr>
          <w:rStyle w:val="CharSectno"/>
        </w:rPr>
        <w:t>57</w:t>
      </w:r>
      <w:r>
        <w:rPr>
          <w:snapToGrid w:val="0"/>
        </w:rPr>
        <w:t>.</w:t>
      </w:r>
      <w:r>
        <w:rPr>
          <w:snapToGrid w:val="0"/>
        </w:rPr>
        <w:tab/>
        <w:t>Regulations</w:t>
      </w:r>
      <w:bookmarkEnd w:id="171"/>
      <w:bookmarkEnd w:id="172"/>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73" w:name="_Toc95729783"/>
      <w:bookmarkStart w:id="174" w:name="_Toc95729848"/>
      <w:bookmarkStart w:id="175" w:name="_Toc95730200"/>
      <w:bookmarkStart w:id="176" w:name="_Toc116956579"/>
      <w:bookmarkStart w:id="177" w:name="_Toc116956643"/>
      <w:bookmarkStart w:id="178" w:name="_Toc116960908"/>
      <w:bookmarkStart w:id="179" w:name="_Toc118525543"/>
      <w:bookmarkStart w:id="180" w:name="_Toc118525849"/>
      <w:bookmarkStart w:id="181" w:name="_Toc120001225"/>
      <w:r>
        <w:rPr>
          <w:rStyle w:val="CharSchNo"/>
        </w:rPr>
        <w:t>Schedule</w:t>
      </w:r>
      <w:bookmarkEnd w:id="173"/>
      <w:bookmarkEnd w:id="174"/>
      <w:bookmarkEnd w:id="175"/>
      <w:bookmarkEnd w:id="176"/>
      <w:bookmarkEnd w:id="177"/>
      <w:bookmarkEnd w:id="178"/>
      <w:bookmarkEnd w:id="179"/>
      <w:bookmarkEnd w:id="180"/>
      <w:bookmarkEnd w:id="181"/>
    </w:p>
    <w:p>
      <w:pPr>
        <w:pStyle w:val="yShoulderClause"/>
        <w:rPr>
          <w:snapToGrid w:val="0"/>
        </w:rPr>
      </w:pPr>
      <w:r>
        <w:rPr>
          <w:snapToGrid w:val="0"/>
        </w:rPr>
        <w:t>[Section 21(3)]</w:t>
      </w:r>
    </w:p>
    <w:p>
      <w:pPr>
        <w:pStyle w:val="yHeading2"/>
      </w:pPr>
      <w:bookmarkStart w:id="182" w:name="_Toc116960909"/>
      <w:bookmarkStart w:id="183" w:name="_Toc118525544"/>
      <w:bookmarkStart w:id="184" w:name="_Toc118525850"/>
      <w:bookmarkStart w:id="185" w:name="_Toc120001226"/>
      <w:r>
        <w:rPr>
          <w:rStyle w:val="CharSchText"/>
        </w:rPr>
        <w:t>Transitional</w:t>
      </w:r>
      <w:bookmarkEnd w:id="182"/>
      <w:bookmarkEnd w:id="183"/>
      <w:bookmarkEnd w:id="184"/>
      <w:bookmarkEnd w:id="185"/>
    </w:p>
    <w:p>
      <w:pPr>
        <w:pStyle w:val="yHeading5"/>
        <w:rPr>
          <w:snapToGrid w:val="0"/>
        </w:rPr>
      </w:pPr>
      <w:r>
        <w:rPr>
          <w:snapToGrid w:val="0"/>
        </w:rPr>
        <w:t>1.</w:t>
      </w:r>
      <w:r>
        <w:rPr>
          <w:snapToGrid w:val="0"/>
        </w:rPr>
        <w:tab/>
      </w:r>
    </w:p>
    <w:p>
      <w:pPr>
        <w:pStyle w:val="ySubsection"/>
        <w:rPr>
          <w:snapToGrid w:val="0"/>
        </w:rPr>
      </w:pPr>
      <w:r>
        <w:rPr>
          <w:snapToGrid w:val="0"/>
        </w:rPr>
        <w:tab/>
      </w:r>
      <w:r>
        <w:rPr>
          <w:snapToGrid w:val="0"/>
        </w:rP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snapToGrid w:val="0"/>
        </w:rPr>
      </w:pPr>
      <w:r>
        <w:rPr>
          <w:snapToGrid w:val="0"/>
        </w:rPr>
        <w:t>2.</w:t>
      </w:r>
      <w:r>
        <w:rPr>
          <w:snapToGrid w:val="0"/>
        </w:rPr>
        <w:tab/>
      </w:r>
    </w:p>
    <w:p>
      <w:pPr>
        <w:pStyle w:val="ySubsection"/>
        <w:rPr>
          <w:snapToGrid w:val="0"/>
        </w:rPr>
      </w:pPr>
      <w:r>
        <w:rPr>
          <w:snapToGrid w:val="0"/>
        </w:rPr>
        <w:tab/>
        <w:t>(1)</w:t>
      </w:r>
      <w:r>
        <w:rPr>
          <w:snapToGrid w:val="0"/>
        </w:rPr>
        <w:tab/>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86" w:name="_Toc95729784"/>
      <w:bookmarkStart w:id="187" w:name="_Toc95729849"/>
      <w:bookmarkStart w:id="188" w:name="_Toc95730201"/>
      <w:bookmarkStart w:id="189" w:name="_Toc95730275"/>
      <w:bookmarkStart w:id="190" w:name="_Toc97003762"/>
      <w:bookmarkStart w:id="191" w:name="_Toc102810481"/>
      <w:bookmarkStart w:id="192" w:name="_Toc116956580"/>
      <w:bookmarkStart w:id="193" w:name="_Toc116956644"/>
      <w:bookmarkStart w:id="194" w:name="_Toc116960910"/>
      <w:bookmarkStart w:id="195" w:name="_Toc118525545"/>
      <w:bookmarkStart w:id="196" w:name="_Toc118525851"/>
      <w:bookmarkStart w:id="197" w:name="_Toc120001227"/>
      <w:r>
        <w:t>Notes</w:t>
      </w:r>
      <w:bookmarkEnd w:id="186"/>
      <w:bookmarkEnd w:id="187"/>
      <w:bookmarkEnd w:id="188"/>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reprint is a compilation as at 4 November 2005 of the </w:t>
      </w:r>
      <w:r>
        <w:rPr>
          <w:i/>
          <w:noProof/>
          <w:snapToGrid w:val="0"/>
        </w:rPr>
        <w:t>Construction Industry Portable Paid Long Service Leave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8" w:name="_Toc120001228"/>
      <w:r>
        <w:rPr>
          <w:snapToGrid w:val="0"/>
        </w:rPr>
        <w:t>Compilation table</w:t>
      </w:r>
      <w:bookmarkEnd w:id="19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Construction Industry Portable Paid Long Service Leave Act 1985</w:t>
            </w:r>
          </w:p>
        </w:tc>
        <w:tc>
          <w:tcPr>
            <w:tcW w:w="1134"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 xml:space="preserve">19 Dec 1986 (see s. 2 and </w:t>
            </w:r>
            <w:r>
              <w:rPr>
                <w:i/>
                <w:sz w:val="19"/>
              </w:rPr>
              <w:t>Gazette</w:t>
            </w:r>
            <w:r>
              <w:rPr>
                <w:sz w:val="19"/>
              </w:rPr>
              <w:t xml:space="preserve"> 19 Dec 1986 p. 4860)</w:t>
            </w:r>
          </w:p>
        </w:tc>
      </w:tr>
      <w:tr>
        <w:trPr>
          <w:cantSplit/>
        </w:trPr>
        <w:tc>
          <w:tcPr>
            <w:tcW w:w="2268" w:type="dxa"/>
          </w:tcPr>
          <w:p>
            <w:pPr>
              <w:pStyle w:val="nTable"/>
              <w:spacing w:after="40"/>
              <w:ind w:right="170"/>
              <w:rPr>
                <w:sz w:val="19"/>
              </w:rPr>
            </w:pPr>
            <w:r>
              <w:rPr>
                <w:i/>
                <w:sz w:val="19"/>
              </w:rPr>
              <w:t>Act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Construction Industry Portable Paid Long Service Leave Amendment Act 1989</w:t>
            </w:r>
            <w:r>
              <w:rPr>
                <w:iCs/>
                <w:sz w:val="19"/>
                <w:vertAlign w:val="superscript"/>
              </w:rPr>
              <w:t> 4</w:t>
            </w:r>
          </w:p>
        </w:tc>
        <w:tc>
          <w:tcPr>
            <w:tcW w:w="1134"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 xml:space="preserve">29 Dec 1989 (see s. 2 and </w:t>
            </w:r>
            <w:r>
              <w:rPr>
                <w:i/>
                <w:sz w:val="19"/>
              </w:rPr>
              <w:t>Gazette</w:t>
            </w:r>
            <w:r>
              <w:rPr>
                <w:sz w:val="19"/>
              </w:rPr>
              <w:t xml:space="preserve"> 29 Dec 1989 p. 4665)</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Corporations (Consequential Amendments) Act 2001 </w:t>
            </w:r>
            <w:r>
              <w:rPr>
                <w:sz w:val="19"/>
              </w:rPr>
              <w:t>Pt. 14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 xml:space="preserve">Acts Amendment (Equality of Status) Act 2003 </w:t>
            </w:r>
            <w:r>
              <w:rPr>
                <w:sz w:val="19"/>
              </w:rPr>
              <w:t>Pt.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The </w:t>
      </w:r>
      <w:r>
        <w:rPr>
          <w:i/>
        </w:rPr>
        <w:t>Construction Industry Portable Paid Long Service Leave Amendment Act 1989</w:t>
      </w:r>
      <w:r>
        <w:rPr>
          <w:snapToGrid w:val="0"/>
        </w:rPr>
        <w:t xml:space="preserve"> s. 13 and 14 read as follows:</w:t>
      </w:r>
    </w:p>
    <w:p>
      <w:pPr>
        <w:pStyle w:val="MiscOpen"/>
        <w:rPr>
          <w:snapToGrid w:val="0"/>
        </w:rPr>
      </w:pPr>
      <w:r>
        <w:rPr>
          <w:snapToGrid w:val="0"/>
        </w:rPr>
        <w:t>“</w:t>
      </w: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b/>
          <w:bCs/>
        </w:rPr>
        <w:t>“</w:t>
      </w:r>
      <w:r>
        <w:rPr>
          <w:b/>
        </w:rPr>
        <w:t>Board</w:t>
      </w:r>
      <w:r>
        <w:rPr>
          <w:b/>
          <w:bCs/>
        </w:rPr>
        <w:t>”</w:t>
      </w:r>
      <w:r>
        <w:t xml:space="preserve">, </w:t>
      </w:r>
      <w:r>
        <w:rPr>
          <w:b/>
        </w:rPr>
        <w:t>“day of service”</w:t>
      </w:r>
      <w:r>
        <w:t xml:space="preserve">, </w:t>
      </w:r>
      <w:r>
        <w:rPr>
          <w:b/>
        </w:rPr>
        <w:t>“employee”</w:t>
      </w:r>
      <w:r>
        <w:t xml:space="preserve"> and </w:t>
      </w:r>
      <w:r>
        <w:rPr>
          <w:b/>
        </w:rPr>
        <w:t>“employer”</w:t>
      </w:r>
      <w:r>
        <w:t xml:space="preserve"> have the same meaning as in the principal Act; and</w:t>
      </w:r>
    </w:p>
    <w:p>
      <w:pPr>
        <w:pStyle w:val="nzDefstart"/>
      </w:pPr>
      <w:r>
        <w:rPr>
          <w:b/>
        </w:rPr>
        <w:tab/>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pPr>
      <w:r>
        <w:t>”.</w:t>
      </w:r>
    </w:p>
    <w:p>
      <w:pPr>
        <w:rPr>
          <w:snapToGrid w:val="0"/>
        </w:rPr>
      </w:pPr>
    </w:p>
    <w:p>
      <w:pPr>
        <w:rPr>
          <w:snapToGrid w:val="0"/>
        </w:rPr>
        <w:sectPr>
          <w:headerReference w:type="even" r:id="rId31"/>
          <w:headerReference w:type="default" r:id="rId32"/>
          <w:headerReference w:type="first" r:id="rId33"/>
          <w:pgSz w:w="11906" w:h="16838" w:code="9"/>
          <w:pgMar w:top="2376" w:right="2404" w:bottom="3544" w:left="2404" w:header="709"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042"/>
    <w:docVar w:name="WAFER_20151209095042" w:val="RemoveTrackChanges"/>
    <w:docVar w:name="WAFER_20151209095042_GUID" w:val="f2a22c4a-2fa9-466d-aa27-f4c705de0d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11587</Words>
  <Characters>54807</Characters>
  <Application>Microsoft Office Word</Application>
  <DocSecurity>0</DocSecurity>
  <Lines>1442</Lines>
  <Paragraphs>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65673</CharactersWithSpaces>
  <SharedDoc>false</SharedDoc>
  <HLinks>
    <vt:vector size="12" baseType="variant">
      <vt:variant>
        <vt:i4>3014716</vt:i4>
      </vt:variant>
      <vt:variant>
        <vt:i4>5798</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1985 - 02-a0-04</dc:title>
  <dc:subject/>
  <dc:creator/>
  <cp:keywords/>
  <dc:description/>
  <cp:lastModifiedBy>svcMRProcess</cp:lastModifiedBy>
  <cp:revision>4</cp:revision>
  <cp:lastPrinted>2005-11-03T04:09:00Z</cp:lastPrinted>
  <dcterms:created xsi:type="dcterms:W3CDTF">2018-08-21T21:49:00Z</dcterms:created>
  <dcterms:modified xsi:type="dcterms:W3CDTF">2018-08-21T21:49:00Z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20051104</vt:lpwstr>
  </property>
  <property fmtid="{D5CDD505-2E9C-101B-9397-08002B2CF9AE}" pid="4" name="DocumentType">
    <vt:lpwstr>Act</vt:lpwstr>
  </property>
  <property fmtid="{D5CDD505-2E9C-101B-9397-08002B2CF9AE}" pid="5" name="OwlsUID">
    <vt:i4>175</vt:i4>
  </property>
  <property fmtid="{D5CDD505-2E9C-101B-9397-08002B2CF9AE}" pid="6" name="ReprintNo">
    <vt:lpwstr>2</vt:lpwstr>
  </property>
  <property fmtid="{D5CDD505-2E9C-101B-9397-08002B2CF9AE}" pid="7" name="AsAtDate">
    <vt:lpwstr>04 Nov 2005</vt:lpwstr>
  </property>
  <property fmtid="{D5CDD505-2E9C-101B-9397-08002B2CF9AE}" pid="8" name="Suffix">
    <vt:lpwstr>02-a0-04</vt:lpwstr>
  </property>
</Properties>
</file>