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_Toc525901049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_Toc525901050 \h </w:instrText>
      </w:r>
      <w:r>
        <w:fldChar w:fldCharType="separate"/>
      </w:r>
      <w:r>
        <w:t>2</w:t>
      </w:r>
      <w:r>
        <w:fldChar w:fldCharType="end"/>
      </w:r>
    </w:p>
    <w:p>
      <w:pPr>
        <w:pStyle w:val="TOC8"/>
        <w:rPr>
          <w:rFonts w:asciiTheme="minorHAnsi" w:eastAsiaTheme="minorEastAsia" w:hAnsiTheme="minorHAnsi" w:cstheme="minorBidi"/>
          <w:szCs w:val="22"/>
        </w:rPr>
      </w:pPr>
      <w:r>
        <w:t>3.</w:t>
      </w:r>
      <w:r>
        <w:tab/>
        <w:t>Principle that best interests of children are paramount</w:t>
      </w:r>
      <w:r>
        <w:tab/>
      </w:r>
      <w:r>
        <w:fldChar w:fldCharType="begin"/>
      </w:r>
      <w:r>
        <w:instrText xml:space="preserve"> PAGEREF _Toc525901051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_Toc525901052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Managerial officers of bodies corporate licensed under </w:t>
      </w:r>
      <w:r>
        <w:rPr>
          <w:i/>
        </w:rPr>
        <w:t>Child Care Service Act 2007</w:t>
      </w:r>
      <w:r>
        <w:t>, status of for this Act</w:t>
      </w:r>
      <w:r>
        <w:tab/>
      </w:r>
      <w:r>
        <w:fldChar w:fldCharType="begin"/>
      </w:r>
      <w:r>
        <w:instrText xml:space="preserve"> PAGEREF _Toc525901053 \h </w:instrText>
      </w:r>
      <w:r>
        <w:fldChar w:fldCharType="separate"/>
      </w:r>
      <w:r>
        <w:t>7</w:t>
      </w:r>
      <w:r>
        <w:fldChar w:fldCharType="end"/>
      </w:r>
    </w:p>
    <w:p>
      <w:pPr>
        <w:pStyle w:val="TOC8"/>
        <w:rPr>
          <w:rFonts w:asciiTheme="minorHAnsi" w:eastAsiaTheme="minorEastAsia" w:hAnsiTheme="minorHAnsi" w:cstheme="minorBidi"/>
          <w:szCs w:val="22"/>
        </w:rPr>
      </w:pPr>
      <w:r>
        <w:t>6.</w:t>
      </w:r>
      <w:r>
        <w:tab/>
        <w:t>Term used: child</w:t>
      </w:r>
      <w:r>
        <w:noBreakHyphen/>
        <w:t>related work</w:t>
      </w:r>
      <w:r>
        <w:tab/>
      </w:r>
      <w:r>
        <w:fldChar w:fldCharType="begin"/>
      </w:r>
      <w:r>
        <w:instrText xml:space="preserve"> PAGEREF _Toc525901054 \h </w:instrText>
      </w:r>
      <w:r>
        <w:fldChar w:fldCharType="separate"/>
      </w:r>
      <w:r>
        <w:t>7</w:t>
      </w:r>
      <w:r>
        <w:fldChar w:fldCharType="end"/>
      </w:r>
    </w:p>
    <w:p>
      <w:pPr>
        <w:pStyle w:val="TOC8"/>
        <w:rPr>
          <w:rFonts w:asciiTheme="minorHAnsi" w:eastAsiaTheme="minorEastAsia" w:hAnsiTheme="minorHAnsi" w:cstheme="minorBidi"/>
          <w:szCs w:val="22"/>
        </w:rPr>
      </w:pPr>
      <w:r>
        <w:t>7.</w:t>
      </w:r>
      <w:r>
        <w:tab/>
        <w:t>Terms used: Class 1 offence, Class 2 offence</w:t>
      </w:r>
      <w:r>
        <w:tab/>
      </w:r>
      <w:r>
        <w:fldChar w:fldCharType="begin"/>
      </w:r>
      <w:r>
        <w:instrText xml:space="preserve"> PAGEREF _Toc525901055 \h </w:instrText>
      </w:r>
      <w:r>
        <w:fldChar w:fldCharType="separate"/>
      </w:r>
      <w:r>
        <w:t>10</w:t>
      </w:r>
      <w:r>
        <w:fldChar w:fldCharType="end"/>
      </w:r>
    </w:p>
    <w:p>
      <w:pPr>
        <w:pStyle w:val="TOC8"/>
        <w:rPr>
          <w:rFonts w:asciiTheme="minorHAnsi" w:eastAsiaTheme="minorEastAsia" w:hAnsiTheme="minorHAnsi" w:cstheme="minorBidi"/>
          <w:szCs w:val="22"/>
        </w:rPr>
      </w:pPr>
      <w:r>
        <w:t>8.</w:t>
      </w:r>
      <w:r>
        <w:tab/>
        <w:t>Term used: conviction</w:t>
      </w:r>
      <w:r>
        <w:tab/>
      </w:r>
      <w:r>
        <w:fldChar w:fldCharType="begin"/>
      </w:r>
      <w:r>
        <w:instrText xml:space="preserve"> PAGEREF _Toc525901056 \h </w:instrText>
      </w:r>
      <w:r>
        <w:fldChar w:fldCharType="separate"/>
      </w:r>
      <w:r>
        <w:t>11</w:t>
      </w:r>
      <w:r>
        <w:fldChar w:fldCharType="end"/>
      </w:r>
    </w:p>
    <w:p>
      <w:pPr>
        <w:pStyle w:val="TOC8"/>
        <w:rPr>
          <w:rFonts w:asciiTheme="minorHAnsi" w:eastAsiaTheme="minorEastAsia" w:hAnsiTheme="minorHAnsi" w:cstheme="minorBidi"/>
          <w:szCs w:val="22"/>
        </w:rPr>
      </w:pPr>
      <w:r>
        <w:t>9A.</w:t>
      </w:r>
      <w:r>
        <w:tab/>
        <w:t>Students, application of certain provisions to</w:t>
      </w:r>
      <w:r>
        <w:tab/>
      </w:r>
      <w:r>
        <w:fldChar w:fldCharType="begin"/>
      </w:r>
      <w:r>
        <w:instrText xml:space="preserve"> PAGEREF _Toc525901057 \h </w:instrText>
      </w:r>
      <w:r>
        <w:fldChar w:fldCharType="separate"/>
      </w:r>
      <w:r>
        <w:t>12</w:t>
      </w:r>
      <w:r>
        <w:fldChar w:fldCharType="end"/>
      </w:r>
    </w:p>
    <w:p>
      <w:pPr>
        <w:pStyle w:val="TOC8"/>
        <w:rPr>
          <w:rFonts w:asciiTheme="minorHAnsi" w:eastAsiaTheme="minorEastAsia" w:hAnsiTheme="minorHAnsi" w:cstheme="minorBidi"/>
          <w:szCs w:val="22"/>
        </w:rPr>
      </w:pPr>
      <w:r>
        <w:t>9B.</w:t>
      </w:r>
      <w:r>
        <w:tab/>
        <w:t>Education provider not to procure employment for certain students in child</w:t>
      </w:r>
      <w:r>
        <w:noBreakHyphen/>
        <w:t>related employment</w:t>
      </w:r>
      <w:r>
        <w:tab/>
      </w:r>
      <w:r>
        <w:fldChar w:fldCharType="begin"/>
      </w:r>
      <w:r>
        <w:instrText xml:space="preserve"> PAGEREF _Toc525901058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Assessment notices and negative notices</w:t>
      </w:r>
    </w:p>
    <w:p>
      <w:pPr>
        <w:pStyle w:val="TOC4"/>
        <w:tabs>
          <w:tab w:val="right" w:leader="dot" w:pos="7077"/>
        </w:tabs>
        <w:rPr>
          <w:rFonts w:asciiTheme="minorHAnsi" w:eastAsiaTheme="minorEastAsia" w:hAnsiTheme="minorHAnsi" w:cstheme="minorBidi"/>
          <w:b w:val="0"/>
          <w:szCs w:val="22"/>
        </w:rPr>
      </w:pPr>
      <w:r>
        <w:t>Division 1 — Application for assessment notice</w:t>
      </w:r>
    </w:p>
    <w:p>
      <w:pPr>
        <w:pStyle w:val="TOC8"/>
        <w:rPr>
          <w:rFonts w:asciiTheme="minorHAnsi" w:eastAsiaTheme="minorEastAsia" w:hAnsiTheme="minorHAnsi" w:cstheme="minorBidi"/>
          <w:szCs w:val="22"/>
        </w:rPr>
      </w:pPr>
      <w:r>
        <w:t>9.</w:t>
      </w:r>
      <w:r>
        <w:tab/>
        <w:t>Assessment notice (child</w:t>
      </w:r>
      <w:r>
        <w:noBreakHyphen/>
        <w:t>related employment), application for</w:t>
      </w:r>
      <w:r>
        <w:tab/>
      </w:r>
      <w:r>
        <w:fldChar w:fldCharType="begin"/>
      </w:r>
      <w:r>
        <w:instrText xml:space="preserve"> PAGEREF _Toc525901061 \h </w:instrText>
      </w:r>
      <w:r>
        <w:fldChar w:fldCharType="separate"/>
      </w:r>
      <w:r>
        <w:t>16</w:t>
      </w:r>
      <w:r>
        <w:fldChar w:fldCharType="end"/>
      </w:r>
    </w:p>
    <w:p>
      <w:pPr>
        <w:pStyle w:val="TOC8"/>
        <w:rPr>
          <w:rFonts w:asciiTheme="minorHAnsi" w:eastAsiaTheme="minorEastAsia" w:hAnsiTheme="minorHAnsi" w:cstheme="minorBidi"/>
          <w:szCs w:val="22"/>
        </w:rPr>
      </w:pPr>
      <w:r>
        <w:t>10.</w:t>
      </w:r>
      <w:r>
        <w:tab/>
        <w:t>Assessment notice (child</w:t>
      </w:r>
      <w:r>
        <w:noBreakHyphen/>
        <w:t>related business), application for</w:t>
      </w:r>
      <w:r>
        <w:tab/>
      </w:r>
      <w:r>
        <w:fldChar w:fldCharType="begin"/>
      </w:r>
      <w:r>
        <w:instrText xml:space="preserve"> PAGEREF _Toc525901062 \h </w:instrText>
      </w:r>
      <w:r>
        <w:fldChar w:fldCharType="separate"/>
      </w:r>
      <w:r>
        <w:t>16</w:t>
      </w:r>
      <w:r>
        <w:fldChar w:fldCharType="end"/>
      </w:r>
    </w:p>
    <w:p>
      <w:pPr>
        <w:pStyle w:val="TOC8"/>
        <w:rPr>
          <w:rFonts w:asciiTheme="minorHAnsi" w:eastAsiaTheme="minorEastAsia" w:hAnsiTheme="minorHAnsi" w:cstheme="minorBidi"/>
          <w:szCs w:val="22"/>
        </w:rPr>
      </w:pPr>
      <w:r>
        <w:t>11.</w:t>
      </w:r>
      <w:r>
        <w:tab/>
        <w:t>Withdrawal of application for assessment notice</w:t>
      </w:r>
      <w:r>
        <w:tab/>
      </w:r>
      <w:r>
        <w:fldChar w:fldCharType="begin"/>
      </w:r>
      <w:r>
        <w:instrText xml:space="preserve"> PAGEREF _Toc525901063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Issue of assessment notices and negative notices</w:t>
      </w:r>
    </w:p>
    <w:p>
      <w:pPr>
        <w:pStyle w:val="TOC8"/>
        <w:rPr>
          <w:rFonts w:asciiTheme="minorHAnsi" w:eastAsiaTheme="minorEastAsia" w:hAnsiTheme="minorHAnsi" w:cstheme="minorBidi"/>
          <w:szCs w:val="22"/>
        </w:rPr>
      </w:pPr>
      <w:r>
        <w:t>12.</w:t>
      </w:r>
      <w:r>
        <w:tab/>
        <w:t>Deciding applications for assessment notice</w:t>
      </w:r>
      <w:r>
        <w:tab/>
      </w:r>
      <w:r>
        <w:fldChar w:fldCharType="begin"/>
      </w:r>
      <w:r>
        <w:instrText xml:space="preserve"> PAGEREF _Toc525901065 \h </w:instrText>
      </w:r>
      <w:r>
        <w:fldChar w:fldCharType="separate"/>
      </w:r>
      <w:r>
        <w:t>18</w:t>
      </w:r>
      <w:r>
        <w:fldChar w:fldCharType="end"/>
      </w:r>
    </w:p>
    <w:p>
      <w:pPr>
        <w:pStyle w:val="TOC8"/>
        <w:rPr>
          <w:rFonts w:asciiTheme="minorHAnsi" w:eastAsiaTheme="minorEastAsia" w:hAnsiTheme="minorHAnsi" w:cstheme="minorBidi"/>
          <w:szCs w:val="22"/>
        </w:rPr>
      </w:pPr>
      <w:r>
        <w:t>13A.</w:t>
      </w:r>
      <w:r>
        <w:tab/>
        <w:t>Issue of assessment notices and negative notices</w:t>
      </w:r>
      <w:r>
        <w:tab/>
      </w:r>
      <w:r>
        <w:fldChar w:fldCharType="begin"/>
      </w:r>
      <w:r>
        <w:instrText xml:space="preserve"> PAGEREF _Toc525901066 \h </w:instrText>
      </w:r>
      <w:r>
        <w:fldChar w:fldCharType="separate"/>
      </w:r>
      <w:r>
        <w:t>21</w:t>
      </w:r>
      <w:r>
        <w:fldChar w:fldCharType="end"/>
      </w:r>
    </w:p>
    <w:p>
      <w:pPr>
        <w:pStyle w:val="TOC8"/>
        <w:rPr>
          <w:rFonts w:asciiTheme="minorHAnsi" w:eastAsiaTheme="minorEastAsia" w:hAnsiTheme="minorHAnsi" w:cstheme="minorBidi"/>
          <w:szCs w:val="22"/>
        </w:rPr>
      </w:pPr>
      <w:r>
        <w:t>13.</w:t>
      </w:r>
      <w:r>
        <w:tab/>
        <w:t>Intended issue of negative notice, CEO to notify applicant of etc.; interim negative notices, issue of</w:t>
      </w:r>
      <w:r>
        <w:tab/>
      </w:r>
      <w:r>
        <w:fldChar w:fldCharType="begin"/>
      </w:r>
      <w:r>
        <w:instrText xml:space="preserve"> PAGEREF _Toc525901067 \h </w:instrText>
      </w:r>
      <w:r>
        <w:fldChar w:fldCharType="separate"/>
      </w:r>
      <w:r>
        <w:t>22</w:t>
      </w:r>
      <w:r>
        <w:fldChar w:fldCharType="end"/>
      </w:r>
    </w:p>
    <w:p>
      <w:pPr>
        <w:pStyle w:val="TOC8"/>
        <w:rPr>
          <w:rFonts w:asciiTheme="minorHAnsi" w:eastAsiaTheme="minorEastAsia" w:hAnsiTheme="minorHAnsi" w:cstheme="minorBidi"/>
          <w:szCs w:val="22"/>
        </w:rPr>
      </w:pPr>
      <w:r>
        <w:t>14.</w:t>
      </w:r>
      <w:r>
        <w:tab/>
        <w:t>Duration of assessment notices and negative notices</w:t>
      </w:r>
      <w:r>
        <w:tab/>
      </w:r>
      <w:r>
        <w:fldChar w:fldCharType="begin"/>
      </w:r>
      <w:r>
        <w:instrText xml:space="preserve"> PAGEREF _Toc525901068 \h </w:instrText>
      </w:r>
      <w:r>
        <w:fldChar w:fldCharType="separate"/>
      </w:r>
      <w:r>
        <w:t>23</w:t>
      </w:r>
      <w:r>
        <w:fldChar w:fldCharType="end"/>
      </w:r>
    </w:p>
    <w:p>
      <w:pPr>
        <w:pStyle w:val="TOC8"/>
        <w:rPr>
          <w:rFonts w:asciiTheme="minorHAnsi" w:eastAsiaTheme="minorEastAsia" w:hAnsiTheme="minorHAnsi" w:cstheme="minorBidi"/>
          <w:szCs w:val="22"/>
        </w:rPr>
      </w:pPr>
      <w:r>
        <w:t>15.</w:t>
      </w:r>
      <w:r>
        <w:tab/>
        <w:t>Further assessment notice may be obtained</w:t>
      </w:r>
      <w:r>
        <w:tab/>
      </w:r>
      <w:r>
        <w:fldChar w:fldCharType="begin"/>
      </w:r>
      <w:r>
        <w:instrText xml:space="preserve"> PAGEREF _Toc525901069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CEO may require assessment notice to be applied for</w:t>
      </w:r>
    </w:p>
    <w:p>
      <w:pPr>
        <w:pStyle w:val="TOC8"/>
        <w:rPr>
          <w:rFonts w:asciiTheme="minorHAnsi" w:eastAsiaTheme="minorEastAsia" w:hAnsiTheme="minorHAnsi" w:cstheme="minorBidi"/>
          <w:szCs w:val="22"/>
        </w:rPr>
      </w:pPr>
      <w:r>
        <w:t>16.</w:t>
      </w:r>
      <w:r>
        <w:tab/>
        <w:t>CEO may require certain employees to apply for assessment notice</w:t>
      </w:r>
      <w:r>
        <w:tab/>
      </w:r>
      <w:r>
        <w:fldChar w:fldCharType="begin"/>
      </w:r>
      <w:r>
        <w:instrText xml:space="preserve"> PAGEREF _Toc525901071 \h </w:instrText>
      </w:r>
      <w:r>
        <w:fldChar w:fldCharType="separate"/>
      </w:r>
      <w:r>
        <w:t>24</w:t>
      </w:r>
      <w:r>
        <w:fldChar w:fldCharType="end"/>
      </w:r>
    </w:p>
    <w:p>
      <w:pPr>
        <w:pStyle w:val="TOC8"/>
        <w:rPr>
          <w:rFonts w:asciiTheme="minorHAnsi" w:eastAsiaTheme="minorEastAsia" w:hAnsiTheme="minorHAnsi" w:cstheme="minorBidi"/>
          <w:szCs w:val="22"/>
        </w:rPr>
      </w:pPr>
      <w:r>
        <w:t>17.</w:t>
      </w:r>
      <w:r>
        <w:tab/>
        <w:t>CEO may require certain people to apply for assessment notice</w:t>
      </w:r>
      <w:r>
        <w:tab/>
      </w:r>
      <w:r>
        <w:fldChar w:fldCharType="begin"/>
      </w:r>
      <w:r>
        <w:instrText xml:space="preserve"> PAGEREF _Toc525901072 \h </w:instrText>
      </w:r>
      <w:r>
        <w:fldChar w:fldCharType="separate"/>
      </w:r>
      <w:r>
        <w:t>25</w:t>
      </w:r>
      <w:r>
        <w:fldChar w:fldCharType="end"/>
      </w:r>
    </w:p>
    <w:p>
      <w:pPr>
        <w:pStyle w:val="TOC8"/>
        <w:rPr>
          <w:rFonts w:asciiTheme="minorHAnsi" w:eastAsiaTheme="minorEastAsia" w:hAnsiTheme="minorHAnsi" w:cstheme="minorBidi"/>
          <w:szCs w:val="22"/>
        </w:rPr>
      </w:pPr>
      <w:r>
        <w:t>18.</w:t>
      </w:r>
      <w:r>
        <w:tab/>
        <w:t>CEO may issue negative notice if notice issued under s. 16 or 17 not obeyed</w:t>
      </w:r>
      <w:r>
        <w:tab/>
      </w:r>
      <w:r>
        <w:fldChar w:fldCharType="begin"/>
      </w:r>
      <w:r>
        <w:instrText xml:space="preserve"> PAGEREF _Toc525901073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Cancellation of assessment notices and negative notices</w:t>
      </w:r>
    </w:p>
    <w:p>
      <w:pPr>
        <w:pStyle w:val="TOC8"/>
        <w:rPr>
          <w:rFonts w:asciiTheme="minorHAnsi" w:eastAsiaTheme="minorEastAsia" w:hAnsiTheme="minorHAnsi" w:cstheme="minorBidi"/>
          <w:szCs w:val="22"/>
        </w:rPr>
      </w:pPr>
      <w:r>
        <w:t>19.</w:t>
      </w:r>
      <w:r>
        <w:tab/>
        <w:t>Negative notice, application for cancellation of</w:t>
      </w:r>
      <w:r>
        <w:tab/>
      </w:r>
      <w:r>
        <w:fldChar w:fldCharType="begin"/>
      </w:r>
      <w:r>
        <w:instrText xml:space="preserve"> PAGEREF _Toc525901075 \h </w:instrText>
      </w:r>
      <w:r>
        <w:fldChar w:fldCharType="separate"/>
      </w:r>
      <w:r>
        <w:t>27</w:t>
      </w:r>
      <w:r>
        <w:fldChar w:fldCharType="end"/>
      </w:r>
    </w:p>
    <w:p>
      <w:pPr>
        <w:pStyle w:val="TOC8"/>
        <w:rPr>
          <w:rFonts w:asciiTheme="minorHAnsi" w:eastAsiaTheme="minorEastAsia" w:hAnsiTheme="minorHAnsi" w:cstheme="minorBidi"/>
          <w:szCs w:val="22"/>
        </w:rPr>
      </w:pPr>
      <w:r>
        <w:t>20.</w:t>
      </w:r>
      <w:r>
        <w:tab/>
        <w:t>Assessment notice or negative notice, CEO may cancel if issued on wrong etc. information</w:t>
      </w:r>
      <w:r>
        <w:tab/>
      </w:r>
      <w:r>
        <w:fldChar w:fldCharType="begin"/>
      </w:r>
      <w:r>
        <w:instrText xml:space="preserve"> PAGEREF _Toc525901076 \h </w:instrText>
      </w:r>
      <w:r>
        <w:fldChar w:fldCharType="separate"/>
      </w:r>
      <w:r>
        <w:t>29</w:t>
      </w:r>
      <w:r>
        <w:fldChar w:fldCharType="end"/>
      </w:r>
    </w:p>
    <w:p>
      <w:pPr>
        <w:pStyle w:val="TOC8"/>
        <w:rPr>
          <w:rFonts w:asciiTheme="minorHAnsi" w:eastAsiaTheme="minorEastAsia" w:hAnsiTheme="minorHAnsi" w:cstheme="minorBidi"/>
          <w:szCs w:val="22"/>
        </w:rPr>
      </w:pPr>
      <w:r>
        <w:t>21A.</w:t>
      </w:r>
      <w:r>
        <w:tab/>
        <w:t>Assessment notices of certain people not involved in child</w:t>
      </w:r>
      <w:r>
        <w:noBreakHyphen/>
        <w:t>related work, cancellation of</w:t>
      </w:r>
      <w:r>
        <w:tab/>
      </w:r>
      <w:r>
        <w:fldChar w:fldCharType="begin"/>
      </w:r>
      <w:r>
        <w:instrText xml:space="preserve"> PAGEREF _Toc525901077 \h </w:instrText>
      </w:r>
      <w:r>
        <w:fldChar w:fldCharType="separate"/>
      </w:r>
      <w:r>
        <w:t>30</w:t>
      </w:r>
      <w:r>
        <w:fldChar w:fldCharType="end"/>
      </w:r>
    </w:p>
    <w:p>
      <w:pPr>
        <w:pStyle w:val="TOC8"/>
        <w:rPr>
          <w:rFonts w:asciiTheme="minorHAnsi" w:eastAsiaTheme="minorEastAsia" w:hAnsiTheme="minorHAnsi" w:cstheme="minorBidi"/>
          <w:szCs w:val="22"/>
        </w:rPr>
      </w:pPr>
      <w:r>
        <w:t>21B.</w:t>
      </w:r>
      <w:r>
        <w:tab/>
        <w:t>Assessment notice, cancellation of on person’s request</w:t>
      </w:r>
      <w:r>
        <w:tab/>
      </w:r>
      <w:r>
        <w:fldChar w:fldCharType="begin"/>
      </w:r>
      <w:r>
        <w:instrText xml:space="preserve"> PAGEREF _Toc525901078 \h </w:instrText>
      </w:r>
      <w:r>
        <w:fldChar w:fldCharType="separate"/>
      </w:r>
      <w:r>
        <w:t>31</w:t>
      </w:r>
      <w:r>
        <w:fldChar w:fldCharType="end"/>
      </w:r>
    </w:p>
    <w:p>
      <w:pPr>
        <w:pStyle w:val="TOC8"/>
        <w:rPr>
          <w:rFonts w:asciiTheme="minorHAnsi" w:eastAsiaTheme="minorEastAsia" w:hAnsiTheme="minorHAnsi" w:cstheme="minorBidi"/>
          <w:szCs w:val="22"/>
        </w:rPr>
      </w:pPr>
      <w:r>
        <w:t>21C.</w:t>
      </w:r>
      <w:r>
        <w:tab/>
        <w:t>Assessment notices of certain people to whom s. 32 applies, cancellation of</w:t>
      </w:r>
      <w:r>
        <w:tab/>
      </w:r>
      <w:r>
        <w:fldChar w:fldCharType="begin"/>
      </w:r>
      <w:r>
        <w:instrText xml:space="preserve"> PAGEREF _Toc525901079 \h </w:instrText>
      </w:r>
      <w:r>
        <w:fldChar w:fldCharType="separate"/>
      </w:r>
      <w:r>
        <w:t>31</w:t>
      </w:r>
      <w:r>
        <w:fldChar w:fldCharType="end"/>
      </w:r>
    </w:p>
    <w:p>
      <w:pPr>
        <w:pStyle w:val="TOC8"/>
        <w:rPr>
          <w:rFonts w:asciiTheme="minorHAnsi" w:eastAsiaTheme="minorEastAsia" w:hAnsiTheme="minorHAnsi" w:cstheme="minorBidi"/>
          <w:szCs w:val="22"/>
        </w:rPr>
      </w:pPr>
      <w:r>
        <w:t>21.</w:t>
      </w:r>
      <w:r>
        <w:tab/>
        <w:t>Issue of notice cancels any previous notice</w:t>
      </w:r>
      <w:r>
        <w:tab/>
      </w:r>
      <w:r>
        <w:fldChar w:fldCharType="begin"/>
      </w:r>
      <w:r>
        <w:instrText xml:space="preserve"> PAGEREF _Toc525901080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Prohibitions relating to child</w:t>
      </w:r>
      <w:r>
        <w:noBreakHyphen/>
        <w:t>related work</w:t>
      </w:r>
    </w:p>
    <w:p>
      <w:pPr>
        <w:pStyle w:val="TOC8"/>
        <w:rPr>
          <w:rFonts w:asciiTheme="minorHAnsi" w:eastAsiaTheme="minorEastAsia" w:hAnsiTheme="minorHAnsi" w:cstheme="minorBidi"/>
          <w:szCs w:val="22"/>
        </w:rPr>
      </w:pPr>
      <w:r>
        <w:t>22.</w:t>
      </w:r>
      <w:r>
        <w:tab/>
        <w:t>Employers not to employ certain people in child</w:t>
      </w:r>
      <w:r>
        <w:noBreakHyphen/>
        <w:t>related employment</w:t>
      </w:r>
      <w:r>
        <w:tab/>
      </w:r>
      <w:r>
        <w:fldChar w:fldCharType="begin"/>
      </w:r>
      <w:r>
        <w:instrText xml:space="preserve"> PAGEREF _Toc525901082 \h </w:instrText>
      </w:r>
      <w:r>
        <w:fldChar w:fldCharType="separate"/>
      </w:r>
      <w:r>
        <w:t>32</w:t>
      </w:r>
      <w:r>
        <w:fldChar w:fldCharType="end"/>
      </w:r>
    </w:p>
    <w:p>
      <w:pPr>
        <w:pStyle w:val="TOC8"/>
        <w:rPr>
          <w:rFonts w:asciiTheme="minorHAnsi" w:eastAsiaTheme="minorEastAsia" w:hAnsiTheme="minorHAnsi" w:cstheme="minorBidi"/>
          <w:szCs w:val="22"/>
        </w:rPr>
      </w:pPr>
      <w:r>
        <w:t>23.</w:t>
      </w:r>
      <w:r>
        <w:tab/>
        <w:t>People with negative notice or interim negative notice not to carry out child</w:t>
      </w:r>
      <w:r>
        <w:noBreakHyphen/>
        <w:t>related work</w:t>
      </w:r>
      <w:r>
        <w:tab/>
      </w:r>
      <w:r>
        <w:fldChar w:fldCharType="begin"/>
      </w:r>
      <w:r>
        <w:instrText xml:space="preserve"> PAGEREF _Toc525901083 \h </w:instrText>
      </w:r>
      <w:r>
        <w:fldChar w:fldCharType="separate"/>
      </w:r>
      <w:r>
        <w:t>33</w:t>
      </w:r>
      <w:r>
        <w:fldChar w:fldCharType="end"/>
      </w:r>
    </w:p>
    <w:p>
      <w:pPr>
        <w:pStyle w:val="TOC8"/>
        <w:rPr>
          <w:rFonts w:asciiTheme="minorHAnsi" w:eastAsiaTheme="minorEastAsia" w:hAnsiTheme="minorHAnsi" w:cstheme="minorBidi"/>
          <w:szCs w:val="22"/>
        </w:rPr>
      </w:pPr>
      <w:r>
        <w:t>24.</w:t>
      </w:r>
      <w:r>
        <w:tab/>
        <w:t>People without current assessment notice not to carry out child</w:t>
      </w:r>
      <w:r>
        <w:noBreakHyphen/>
        <w:t>related work</w:t>
      </w:r>
      <w:r>
        <w:tab/>
      </w:r>
      <w:r>
        <w:fldChar w:fldCharType="begin"/>
      </w:r>
      <w:r>
        <w:instrText xml:space="preserve"> PAGEREF _Toc525901084 \h </w:instrText>
      </w:r>
      <w:r>
        <w:fldChar w:fldCharType="separate"/>
      </w:r>
      <w:r>
        <w:t>34</w:t>
      </w:r>
      <w:r>
        <w:fldChar w:fldCharType="end"/>
      </w:r>
    </w:p>
    <w:p>
      <w:pPr>
        <w:pStyle w:val="TOC8"/>
        <w:rPr>
          <w:rFonts w:asciiTheme="minorHAnsi" w:eastAsiaTheme="minorEastAsia" w:hAnsiTheme="minorHAnsi" w:cstheme="minorBidi"/>
          <w:szCs w:val="22"/>
        </w:rPr>
      </w:pPr>
      <w:r>
        <w:t>25.</w:t>
      </w:r>
      <w:r>
        <w:tab/>
        <w:t>Defences for s. 24</w:t>
      </w:r>
      <w:r>
        <w:tab/>
      </w:r>
      <w:r>
        <w:fldChar w:fldCharType="begin"/>
      </w:r>
      <w:r>
        <w:instrText xml:space="preserve"> PAGEREF _Toc525901085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Review by State Administrative Tribunal</w:t>
      </w:r>
    </w:p>
    <w:p>
      <w:pPr>
        <w:pStyle w:val="TOC8"/>
        <w:rPr>
          <w:rFonts w:asciiTheme="minorHAnsi" w:eastAsiaTheme="minorEastAsia" w:hAnsiTheme="minorHAnsi" w:cstheme="minorBidi"/>
          <w:szCs w:val="22"/>
        </w:rPr>
      </w:pPr>
      <w:r>
        <w:t>26.</w:t>
      </w:r>
      <w:r>
        <w:tab/>
        <w:t>Reviewable decisions</w:t>
      </w:r>
      <w:r>
        <w:tab/>
      </w:r>
      <w:r>
        <w:fldChar w:fldCharType="begin"/>
      </w:r>
      <w:r>
        <w:instrText xml:space="preserve"> PAGEREF _Toc525901087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3 — Changes in criminal record and criminal record checks</w:t>
      </w:r>
    </w:p>
    <w:p>
      <w:pPr>
        <w:pStyle w:val="TOC4"/>
        <w:tabs>
          <w:tab w:val="right" w:leader="dot" w:pos="7077"/>
        </w:tabs>
        <w:rPr>
          <w:rFonts w:asciiTheme="minorHAnsi" w:eastAsiaTheme="minorEastAsia" w:hAnsiTheme="minorHAnsi" w:cstheme="minorBidi"/>
          <w:b w:val="0"/>
          <w:szCs w:val="22"/>
        </w:rPr>
      </w:pPr>
      <w:r>
        <w:t>Division 1 — Relevant changes in criminal record</w:t>
      </w:r>
    </w:p>
    <w:p>
      <w:pPr>
        <w:pStyle w:val="TOC8"/>
        <w:rPr>
          <w:rFonts w:asciiTheme="minorHAnsi" w:eastAsiaTheme="minorEastAsia" w:hAnsiTheme="minorHAnsi" w:cstheme="minorBidi"/>
          <w:szCs w:val="22"/>
        </w:rPr>
      </w:pPr>
      <w:r>
        <w:t>27.</w:t>
      </w:r>
      <w:r>
        <w:tab/>
        <w:t>Meaning of relevant change in criminal record and requirement to give notice of that change</w:t>
      </w:r>
      <w:r>
        <w:tab/>
      </w:r>
      <w:r>
        <w:fldChar w:fldCharType="begin"/>
      </w:r>
      <w:r>
        <w:instrText xml:space="preserve"> PAGEREF _Toc525901090 \h </w:instrText>
      </w:r>
      <w:r>
        <w:fldChar w:fldCharType="separate"/>
      </w:r>
      <w:r>
        <w:t>37</w:t>
      </w:r>
      <w:r>
        <w:fldChar w:fldCharType="end"/>
      </w:r>
    </w:p>
    <w:p>
      <w:pPr>
        <w:pStyle w:val="TOC8"/>
        <w:rPr>
          <w:rFonts w:asciiTheme="minorHAnsi" w:eastAsiaTheme="minorEastAsia" w:hAnsiTheme="minorHAnsi" w:cstheme="minorBidi"/>
          <w:szCs w:val="22"/>
        </w:rPr>
      </w:pPr>
      <w:r>
        <w:t>28.</w:t>
      </w:r>
      <w:r>
        <w:tab/>
        <w:t>Pending applications, applicant to notify CEO of relevant change in criminal history</w:t>
      </w:r>
      <w:r>
        <w:tab/>
      </w:r>
      <w:r>
        <w:fldChar w:fldCharType="begin"/>
      </w:r>
      <w:r>
        <w:instrText xml:space="preserve"> PAGEREF _Toc525901091 \h </w:instrText>
      </w:r>
      <w:r>
        <w:fldChar w:fldCharType="separate"/>
      </w:r>
      <w:r>
        <w:t>37</w:t>
      </w:r>
      <w:r>
        <w:fldChar w:fldCharType="end"/>
      </w:r>
    </w:p>
    <w:p>
      <w:pPr>
        <w:pStyle w:val="TOC8"/>
        <w:rPr>
          <w:rFonts w:asciiTheme="minorHAnsi" w:eastAsiaTheme="minorEastAsia" w:hAnsiTheme="minorHAnsi" w:cstheme="minorBidi"/>
          <w:szCs w:val="22"/>
        </w:rPr>
      </w:pPr>
      <w:r>
        <w:t>29.</w:t>
      </w:r>
      <w:r>
        <w:tab/>
        <w:t>People employed in child</w:t>
      </w:r>
      <w:r>
        <w:noBreakHyphen/>
        <w:t>related employment to notify CEO of relevant change in criminal record</w:t>
      </w:r>
      <w:r>
        <w:tab/>
      </w:r>
      <w:r>
        <w:fldChar w:fldCharType="begin"/>
      </w:r>
      <w:r>
        <w:instrText xml:space="preserve"> PAGEREF _Toc525901092 \h </w:instrText>
      </w:r>
      <w:r>
        <w:fldChar w:fldCharType="separate"/>
      </w:r>
      <w:r>
        <w:t>37</w:t>
      </w:r>
      <w:r>
        <w:fldChar w:fldCharType="end"/>
      </w:r>
    </w:p>
    <w:p>
      <w:pPr>
        <w:pStyle w:val="TOC8"/>
        <w:rPr>
          <w:rFonts w:asciiTheme="minorHAnsi" w:eastAsiaTheme="minorEastAsia" w:hAnsiTheme="minorHAnsi" w:cstheme="minorBidi"/>
          <w:szCs w:val="22"/>
        </w:rPr>
      </w:pPr>
      <w:r>
        <w:t>30.</w:t>
      </w:r>
      <w:r>
        <w:tab/>
        <w:t>People carrying on child</w:t>
      </w:r>
      <w:r>
        <w:noBreakHyphen/>
        <w:t>related business to notify CEO of relevant change in criminal record</w:t>
      </w:r>
      <w:r>
        <w:tab/>
      </w:r>
      <w:r>
        <w:fldChar w:fldCharType="begin"/>
      </w:r>
      <w:r>
        <w:instrText xml:space="preserve"> PAGEREF _Toc525901093 \h </w:instrText>
      </w:r>
      <w:r>
        <w:fldChar w:fldCharType="separate"/>
      </w:r>
      <w:r>
        <w:t>38</w:t>
      </w:r>
      <w:r>
        <w:fldChar w:fldCharType="end"/>
      </w:r>
    </w:p>
    <w:p>
      <w:pPr>
        <w:pStyle w:val="TOC8"/>
        <w:rPr>
          <w:rFonts w:asciiTheme="minorHAnsi" w:eastAsiaTheme="minorEastAsia" w:hAnsiTheme="minorHAnsi" w:cstheme="minorBidi"/>
          <w:szCs w:val="22"/>
        </w:rPr>
      </w:pPr>
      <w:r>
        <w:t>31.</w:t>
      </w:r>
      <w:r>
        <w:tab/>
        <w:t>People with assessment notice who have relevant change in criminal record, duties and employment of</w:t>
      </w:r>
      <w:r>
        <w:tab/>
      </w:r>
      <w:r>
        <w:fldChar w:fldCharType="begin"/>
      </w:r>
      <w:r>
        <w:instrText xml:space="preserve"> PAGEREF _Toc525901094 \h </w:instrText>
      </w:r>
      <w:r>
        <w:fldChar w:fldCharType="separate"/>
      </w:r>
      <w:r>
        <w:t>38</w:t>
      </w:r>
      <w:r>
        <w:fldChar w:fldCharType="end"/>
      </w:r>
    </w:p>
    <w:p>
      <w:pPr>
        <w:pStyle w:val="TOC8"/>
        <w:rPr>
          <w:rFonts w:asciiTheme="minorHAnsi" w:eastAsiaTheme="minorEastAsia" w:hAnsiTheme="minorHAnsi" w:cstheme="minorBidi"/>
          <w:szCs w:val="22"/>
        </w:rPr>
      </w:pPr>
      <w:r>
        <w:t>32A.</w:t>
      </w:r>
      <w:r>
        <w:tab/>
        <w:t>Certain applicants for assessment notice to notify proposed employer of relevant change in criminal record</w:t>
      </w:r>
      <w:r>
        <w:tab/>
      </w:r>
      <w:r>
        <w:fldChar w:fldCharType="begin"/>
      </w:r>
      <w:r>
        <w:instrText xml:space="preserve"> PAGEREF _Toc525901095 \h </w:instrText>
      </w:r>
      <w:r>
        <w:fldChar w:fldCharType="separate"/>
      </w:r>
      <w:r>
        <w:t>39</w:t>
      </w:r>
      <w:r>
        <w:fldChar w:fldCharType="end"/>
      </w:r>
    </w:p>
    <w:p>
      <w:pPr>
        <w:pStyle w:val="TOC8"/>
        <w:rPr>
          <w:rFonts w:asciiTheme="minorHAnsi" w:eastAsiaTheme="minorEastAsia" w:hAnsiTheme="minorHAnsi" w:cstheme="minorBidi"/>
          <w:szCs w:val="22"/>
        </w:rPr>
      </w:pPr>
      <w:r>
        <w:t>32.</w:t>
      </w:r>
      <w:r>
        <w:tab/>
        <w:t>CEO to treat notice of relevant change under s. 29 and 30 as application for assessment notice</w:t>
      </w:r>
      <w:r>
        <w:tab/>
      </w:r>
      <w:r>
        <w:fldChar w:fldCharType="begin"/>
      </w:r>
      <w:r>
        <w:instrText xml:space="preserve"> PAGEREF _Toc525901096 \h </w:instrText>
      </w:r>
      <w:r>
        <w:fldChar w:fldCharType="separate"/>
      </w:r>
      <w:r>
        <w:t>40</w:t>
      </w:r>
      <w:r>
        <w:fldChar w:fldCharType="end"/>
      </w:r>
    </w:p>
    <w:p>
      <w:pPr>
        <w:pStyle w:val="TOC8"/>
        <w:rPr>
          <w:rFonts w:asciiTheme="minorHAnsi" w:eastAsiaTheme="minorEastAsia" w:hAnsiTheme="minorHAnsi" w:cstheme="minorBidi"/>
          <w:szCs w:val="22"/>
        </w:rPr>
      </w:pPr>
      <w:r>
        <w:t>33.</w:t>
      </w:r>
      <w:r>
        <w:tab/>
        <w:t>People convicted of Class 1 offence not to start or continue child</w:t>
      </w:r>
      <w:r>
        <w:noBreakHyphen/>
        <w:t>related work</w:t>
      </w:r>
      <w:r>
        <w:tab/>
      </w:r>
      <w:r>
        <w:fldChar w:fldCharType="begin"/>
      </w:r>
      <w:r>
        <w:instrText xml:space="preserve"> PAGEREF _Toc525901097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Criminal record checks</w:t>
      </w:r>
    </w:p>
    <w:p>
      <w:pPr>
        <w:pStyle w:val="TOC8"/>
        <w:rPr>
          <w:rFonts w:asciiTheme="minorHAnsi" w:eastAsiaTheme="minorEastAsia" w:hAnsiTheme="minorHAnsi" w:cstheme="minorBidi"/>
          <w:szCs w:val="22"/>
        </w:rPr>
      </w:pPr>
      <w:r>
        <w:t>34.</w:t>
      </w:r>
      <w:r>
        <w:tab/>
        <w:t>CEO may carry out criminal record check</w:t>
      </w:r>
      <w:r>
        <w:tab/>
      </w:r>
      <w:r>
        <w:fldChar w:fldCharType="begin"/>
      </w:r>
      <w:r>
        <w:instrText xml:space="preserve"> PAGEREF _Toc525901099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35.</w:t>
      </w:r>
      <w:r>
        <w:tab/>
        <w:t>False or misleading information, offence</w:t>
      </w:r>
      <w:r>
        <w:tab/>
      </w:r>
      <w:r>
        <w:fldChar w:fldCharType="begin"/>
      </w:r>
      <w:r>
        <w:instrText xml:space="preserve"> PAGEREF _Toc525901101 \h </w:instrText>
      </w:r>
      <w:r>
        <w:fldChar w:fldCharType="separate"/>
      </w:r>
      <w:r>
        <w:t>43</w:t>
      </w:r>
      <w:r>
        <w:fldChar w:fldCharType="end"/>
      </w:r>
    </w:p>
    <w:p>
      <w:pPr>
        <w:pStyle w:val="TOC8"/>
        <w:rPr>
          <w:rFonts w:asciiTheme="minorHAnsi" w:eastAsiaTheme="minorEastAsia" w:hAnsiTheme="minorHAnsi" w:cstheme="minorBidi"/>
          <w:szCs w:val="22"/>
        </w:rPr>
      </w:pPr>
      <w:r>
        <w:t>36.</w:t>
      </w:r>
      <w:r>
        <w:tab/>
        <w:t>Assessment notice to be returned to CEO in certain cases</w:t>
      </w:r>
      <w:r>
        <w:tab/>
      </w:r>
      <w:r>
        <w:fldChar w:fldCharType="begin"/>
      </w:r>
      <w:r>
        <w:instrText xml:space="preserve"> PAGEREF _Toc525901102 \h </w:instrText>
      </w:r>
      <w:r>
        <w:fldChar w:fldCharType="separate"/>
      </w:r>
      <w:r>
        <w:t>43</w:t>
      </w:r>
      <w:r>
        <w:fldChar w:fldCharType="end"/>
      </w:r>
    </w:p>
    <w:p>
      <w:pPr>
        <w:pStyle w:val="TOC8"/>
        <w:rPr>
          <w:rFonts w:asciiTheme="minorHAnsi" w:eastAsiaTheme="minorEastAsia" w:hAnsiTheme="minorHAnsi" w:cstheme="minorBidi"/>
          <w:szCs w:val="22"/>
        </w:rPr>
      </w:pPr>
      <w:r>
        <w:t>37.</w:t>
      </w:r>
      <w:r>
        <w:tab/>
        <w:t>Exchange of information with corresponding authorities</w:t>
      </w:r>
      <w:r>
        <w:tab/>
      </w:r>
      <w:r>
        <w:fldChar w:fldCharType="begin"/>
      </w:r>
      <w:r>
        <w:instrText xml:space="preserve"> PAGEREF _Toc525901103 \h </w:instrText>
      </w:r>
      <w:r>
        <w:fldChar w:fldCharType="separate"/>
      </w:r>
      <w:r>
        <w:t>43</w:t>
      </w:r>
      <w:r>
        <w:fldChar w:fldCharType="end"/>
      </w:r>
    </w:p>
    <w:p>
      <w:pPr>
        <w:pStyle w:val="TOC8"/>
        <w:rPr>
          <w:rFonts w:asciiTheme="minorHAnsi" w:eastAsiaTheme="minorEastAsia" w:hAnsiTheme="minorHAnsi" w:cstheme="minorBidi"/>
          <w:szCs w:val="22"/>
        </w:rPr>
      </w:pPr>
      <w:r>
        <w:t>38.</w:t>
      </w:r>
      <w:r>
        <w:tab/>
        <w:t>Disclosure of information by CEO to certain bodies</w:t>
      </w:r>
      <w:r>
        <w:tab/>
      </w:r>
      <w:r>
        <w:fldChar w:fldCharType="begin"/>
      </w:r>
      <w:r>
        <w:instrText xml:space="preserve"> PAGEREF _Toc525901104 \h </w:instrText>
      </w:r>
      <w:r>
        <w:fldChar w:fldCharType="separate"/>
      </w:r>
      <w:r>
        <w:t>44</w:t>
      </w:r>
      <w:r>
        <w:fldChar w:fldCharType="end"/>
      </w:r>
    </w:p>
    <w:p>
      <w:pPr>
        <w:pStyle w:val="TOC8"/>
        <w:rPr>
          <w:rFonts w:asciiTheme="minorHAnsi" w:eastAsiaTheme="minorEastAsia" w:hAnsiTheme="minorHAnsi" w:cstheme="minorBidi"/>
          <w:szCs w:val="22"/>
        </w:rPr>
      </w:pPr>
      <w:r>
        <w:t>39.</w:t>
      </w:r>
      <w:r>
        <w:tab/>
        <w:t>Information obtained officially, use and disclosure of</w:t>
      </w:r>
      <w:r>
        <w:tab/>
      </w:r>
      <w:r>
        <w:fldChar w:fldCharType="begin"/>
      </w:r>
      <w:r>
        <w:instrText xml:space="preserve"> PAGEREF _Toc525901105 \h </w:instrText>
      </w:r>
      <w:r>
        <w:fldChar w:fldCharType="separate"/>
      </w:r>
      <w:r>
        <w:t>46</w:t>
      </w:r>
      <w:r>
        <w:fldChar w:fldCharType="end"/>
      </w:r>
    </w:p>
    <w:p>
      <w:pPr>
        <w:pStyle w:val="TOC8"/>
        <w:rPr>
          <w:rFonts w:asciiTheme="minorHAnsi" w:eastAsiaTheme="minorEastAsia" w:hAnsiTheme="minorHAnsi" w:cstheme="minorBidi"/>
          <w:szCs w:val="22"/>
        </w:rPr>
      </w:pPr>
      <w:r>
        <w:t>40.</w:t>
      </w:r>
      <w:r>
        <w:tab/>
        <w:t>Protection from personal liability</w:t>
      </w:r>
      <w:r>
        <w:tab/>
      </w:r>
      <w:r>
        <w:fldChar w:fldCharType="begin"/>
      </w:r>
      <w:r>
        <w:instrText xml:space="preserve"> PAGEREF _Toc525901106 \h </w:instrText>
      </w:r>
      <w:r>
        <w:fldChar w:fldCharType="separate"/>
      </w:r>
      <w:r>
        <w:t>47</w:t>
      </w:r>
      <w:r>
        <w:fldChar w:fldCharType="end"/>
      </w:r>
    </w:p>
    <w:p>
      <w:pPr>
        <w:pStyle w:val="TOC8"/>
        <w:rPr>
          <w:rFonts w:asciiTheme="minorHAnsi" w:eastAsiaTheme="minorEastAsia" w:hAnsiTheme="minorHAnsi" w:cstheme="minorBidi"/>
          <w:szCs w:val="22"/>
        </w:rPr>
      </w:pPr>
      <w:r>
        <w:t>41.</w:t>
      </w:r>
      <w:r>
        <w:tab/>
        <w:t>Employer to comply with Act despite other laws etc.</w:t>
      </w:r>
      <w:r>
        <w:tab/>
      </w:r>
      <w:r>
        <w:fldChar w:fldCharType="begin"/>
      </w:r>
      <w:r>
        <w:instrText xml:space="preserve"> PAGEREF _Toc525901107 \h </w:instrText>
      </w:r>
      <w:r>
        <w:fldChar w:fldCharType="separate"/>
      </w:r>
      <w:r>
        <w:t>47</w:t>
      </w:r>
      <w:r>
        <w:fldChar w:fldCharType="end"/>
      </w:r>
    </w:p>
    <w:p>
      <w:pPr>
        <w:pStyle w:val="TOC8"/>
        <w:rPr>
          <w:rFonts w:asciiTheme="minorHAnsi" w:eastAsiaTheme="minorEastAsia" w:hAnsiTheme="minorHAnsi" w:cstheme="minorBidi"/>
          <w:szCs w:val="22"/>
        </w:rPr>
      </w:pPr>
      <w:r>
        <w:t>42.</w:t>
      </w:r>
      <w:r>
        <w:tab/>
        <w:t>CEO may require information to confirm compliance with Act</w:t>
      </w:r>
      <w:r>
        <w:tab/>
      </w:r>
      <w:r>
        <w:fldChar w:fldCharType="begin"/>
      </w:r>
      <w:r>
        <w:instrText xml:space="preserve"> PAGEREF _Toc525901108 \h </w:instrText>
      </w:r>
      <w:r>
        <w:fldChar w:fldCharType="separate"/>
      </w:r>
      <w:r>
        <w:t>48</w:t>
      </w:r>
      <w:r>
        <w:fldChar w:fldCharType="end"/>
      </w:r>
    </w:p>
    <w:p>
      <w:pPr>
        <w:pStyle w:val="TOC8"/>
        <w:rPr>
          <w:rFonts w:asciiTheme="minorHAnsi" w:eastAsiaTheme="minorEastAsia" w:hAnsiTheme="minorHAnsi" w:cstheme="minorBidi"/>
          <w:szCs w:val="22"/>
        </w:rPr>
      </w:pPr>
      <w:r>
        <w:t>43.</w:t>
      </w:r>
      <w:r>
        <w:tab/>
        <w:t>Liability of partners for certain offences</w:t>
      </w:r>
      <w:r>
        <w:tab/>
      </w:r>
      <w:r>
        <w:fldChar w:fldCharType="begin"/>
      </w:r>
      <w:r>
        <w:instrText xml:space="preserve"> PAGEREF _Toc525901109 \h </w:instrText>
      </w:r>
      <w:r>
        <w:fldChar w:fldCharType="separate"/>
      </w:r>
      <w:r>
        <w:t>48</w:t>
      </w:r>
      <w:r>
        <w:fldChar w:fldCharType="end"/>
      </w:r>
    </w:p>
    <w:p>
      <w:pPr>
        <w:pStyle w:val="TOC8"/>
        <w:rPr>
          <w:rFonts w:asciiTheme="minorHAnsi" w:eastAsiaTheme="minorEastAsia" w:hAnsiTheme="minorHAnsi" w:cstheme="minorBidi"/>
          <w:szCs w:val="22"/>
        </w:rPr>
      </w:pPr>
      <w:r>
        <w:t>44.</w:t>
      </w:r>
      <w:r>
        <w:tab/>
        <w:t>Evidentiary matters</w:t>
      </w:r>
      <w:r>
        <w:tab/>
      </w:r>
      <w:r>
        <w:fldChar w:fldCharType="begin"/>
      </w:r>
      <w:r>
        <w:instrText xml:space="preserve"> PAGEREF _Toc525901110 \h </w:instrText>
      </w:r>
      <w:r>
        <w:fldChar w:fldCharType="separate"/>
      </w:r>
      <w:r>
        <w:t>49</w:t>
      </w:r>
      <w:r>
        <w:fldChar w:fldCharType="end"/>
      </w:r>
    </w:p>
    <w:p>
      <w:pPr>
        <w:pStyle w:val="TOC8"/>
        <w:rPr>
          <w:rFonts w:asciiTheme="minorHAnsi" w:eastAsiaTheme="minorEastAsia" w:hAnsiTheme="minorHAnsi" w:cstheme="minorBidi"/>
          <w:szCs w:val="22"/>
        </w:rPr>
      </w:pPr>
      <w:r>
        <w:t>45.</w:t>
      </w:r>
      <w:r>
        <w:tab/>
        <w:t>Delegation by CEO etc.</w:t>
      </w:r>
      <w:r>
        <w:tab/>
      </w:r>
      <w:r>
        <w:fldChar w:fldCharType="begin"/>
      </w:r>
      <w:r>
        <w:instrText xml:space="preserve"> PAGEREF _Toc525901111 \h </w:instrText>
      </w:r>
      <w:r>
        <w:fldChar w:fldCharType="separate"/>
      </w:r>
      <w:r>
        <w:t>50</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_Toc525901112 \h </w:instrText>
      </w:r>
      <w:r>
        <w:fldChar w:fldCharType="separate"/>
      </w:r>
      <w:r>
        <w:t>51</w:t>
      </w:r>
      <w:r>
        <w:fldChar w:fldCharType="end"/>
      </w:r>
    </w:p>
    <w:p>
      <w:pPr>
        <w:pStyle w:val="TOC8"/>
        <w:rPr>
          <w:rFonts w:asciiTheme="minorHAnsi" w:eastAsiaTheme="minorEastAsia" w:hAnsiTheme="minorHAnsi" w:cstheme="minorBidi"/>
          <w:szCs w:val="22"/>
        </w:rPr>
      </w:pPr>
      <w:r>
        <w:t>47.</w:t>
      </w:r>
      <w:r>
        <w:tab/>
        <w:t>Review of Act</w:t>
      </w:r>
      <w:r>
        <w:tab/>
      </w:r>
      <w:r>
        <w:fldChar w:fldCharType="begin"/>
      </w:r>
      <w:r>
        <w:instrText xml:space="preserve"> PAGEREF _Toc525901113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56.</w:t>
      </w:r>
      <w:r>
        <w:tab/>
        <w:t>Term used: commencement day</w:t>
      </w:r>
      <w:r>
        <w:tab/>
      </w:r>
      <w:r>
        <w:fldChar w:fldCharType="begin"/>
      </w:r>
      <w:r>
        <w:instrText xml:space="preserve"> PAGEREF _Toc525901115 \h </w:instrText>
      </w:r>
      <w:r>
        <w:fldChar w:fldCharType="separate"/>
      </w:r>
      <w:r>
        <w:t>52</w:t>
      </w:r>
      <w:r>
        <w:fldChar w:fldCharType="end"/>
      </w:r>
    </w:p>
    <w:p>
      <w:pPr>
        <w:pStyle w:val="TOC8"/>
        <w:rPr>
          <w:rFonts w:asciiTheme="minorHAnsi" w:eastAsiaTheme="minorEastAsia" w:hAnsiTheme="minorHAnsi" w:cstheme="minorBidi"/>
          <w:szCs w:val="22"/>
        </w:rPr>
      </w:pPr>
      <w:r>
        <w:t>57.</w:t>
      </w:r>
      <w:r>
        <w:tab/>
        <w:t>People carrying on a child</w:t>
      </w:r>
      <w:r>
        <w:noBreakHyphen/>
        <w:t>related business, when s. 24(b) applies to</w:t>
      </w:r>
      <w:r>
        <w:tab/>
      </w:r>
      <w:r>
        <w:fldChar w:fldCharType="begin"/>
      </w:r>
      <w:r>
        <w:instrText xml:space="preserve"> PAGEREF _Toc525901116 \h </w:instrText>
      </w:r>
      <w:r>
        <w:fldChar w:fldCharType="separate"/>
      </w:r>
      <w:r>
        <w:t>52</w:t>
      </w:r>
      <w:r>
        <w:fldChar w:fldCharType="end"/>
      </w:r>
    </w:p>
    <w:p>
      <w:pPr>
        <w:pStyle w:val="TOC8"/>
        <w:rPr>
          <w:rFonts w:asciiTheme="minorHAnsi" w:eastAsiaTheme="minorEastAsia" w:hAnsiTheme="minorHAnsi" w:cstheme="minorBidi"/>
          <w:szCs w:val="22"/>
        </w:rPr>
      </w:pPr>
      <w:r>
        <w:t>58.</w:t>
      </w:r>
      <w:r>
        <w:tab/>
        <w:t>Volunteers continuing in child</w:t>
      </w:r>
      <w:r>
        <w:noBreakHyphen/>
        <w:t>related employment, when s. 22(6) and 24(a) apply to</w:t>
      </w:r>
      <w:r>
        <w:tab/>
      </w:r>
      <w:r>
        <w:fldChar w:fldCharType="begin"/>
      </w:r>
      <w:r>
        <w:instrText xml:space="preserve"> PAGEREF _Toc525901117 \h </w:instrText>
      </w:r>
      <w:r>
        <w:fldChar w:fldCharType="separate"/>
      </w:r>
      <w:r>
        <w:t>53</w:t>
      </w:r>
      <w:r>
        <w:fldChar w:fldCharType="end"/>
      </w:r>
    </w:p>
    <w:p>
      <w:pPr>
        <w:pStyle w:val="TOC8"/>
        <w:rPr>
          <w:rFonts w:asciiTheme="minorHAnsi" w:eastAsiaTheme="minorEastAsia" w:hAnsiTheme="minorHAnsi" w:cstheme="minorBidi"/>
          <w:szCs w:val="22"/>
        </w:rPr>
      </w:pPr>
      <w:r>
        <w:t>59.</w:t>
      </w:r>
      <w:r>
        <w:tab/>
        <w:t>Ministers of religion etc. continuing in child</w:t>
      </w:r>
      <w:r>
        <w:noBreakHyphen/>
        <w:t>related employment, when s. 22(6) and 24(a) apply to</w:t>
      </w:r>
      <w:r>
        <w:tab/>
      </w:r>
      <w:r>
        <w:fldChar w:fldCharType="begin"/>
      </w:r>
      <w:r>
        <w:instrText xml:space="preserve"> PAGEREF _Toc525901118 \h </w:instrText>
      </w:r>
      <w:r>
        <w:fldChar w:fldCharType="separate"/>
      </w:r>
      <w:r>
        <w:t>53</w:t>
      </w:r>
      <w:r>
        <w:fldChar w:fldCharType="end"/>
      </w:r>
    </w:p>
    <w:p>
      <w:pPr>
        <w:pStyle w:val="TOC8"/>
        <w:rPr>
          <w:rFonts w:asciiTheme="minorHAnsi" w:eastAsiaTheme="minorEastAsia" w:hAnsiTheme="minorHAnsi" w:cstheme="minorBidi"/>
          <w:szCs w:val="22"/>
        </w:rPr>
      </w:pPr>
      <w:r>
        <w:t>60.</w:t>
      </w:r>
      <w:r>
        <w:tab/>
        <w:t>Other people in child</w:t>
      </w:r>
      <w:r>
        <w:noBreakHyphen/>
        <w:t>related employment, when s. 22(6) and 24(a) apply to</w:t>
      </w:r>
      <w:r>
        <w:tab/>
      </w:r>
      <w:r>
        <w:fldChar w:fldCharType="begin"/>
      </w:r>
      <w:r>
        <w:instrText xml:space="preserve"> PAGEREF _Toc525901119 \h </w:instrText>
      </w:r>
      <w:r>
        <w:fldChar w:fldCharType="separate"/>
      </w:r>
      <w:r>
        <w:t>54</w:t>
      </w:r>
      <w:r>
        <w:fldChar w:fldCharType="end"/>
      </w:r>
    </w:p>
    <w:p>
      <w:pPr>
        <w:pStyle w:val="TOC8"/>
        <w:rPr>
          <w:rFonts w:asciiTheme="minorHAnsi" w:eastAsiaTheme="minorEastAsia" w:hAnsiTheme="minorHAnsi" w:cstheme="minorBidi"/>
          <w:szCs w:val="22"/>
        </w:rPr>
      </w:pPr>
      <w:r>
        <w:t>60A.</w:t>
      </w:r>
      <w:r>
        <w:tab/>
        <w:t>Wilful murder charges and convictions between 1 Jan 2006 and 2 Jul 2008 taken to be relevant changes in criminal record</w:t>
      </w:r>
      <w:r>
        <w:tab/>
      </w:r>
      <w:r>
        <w:fldChar w:fldCharType="begin"/>
      </w:r>
      <w:r>
        <w:instrText xml:space="preserve"> PAGEREF _Toc525901120 \h </w:instrText>
      </w:r>
      <w:r>
        <w:fldChar w:fldCharType="separate"/>
      </w:r>
      <w:r>
        <w:t>55</w:t>
      </w:r>
      <w:r>
        <w:fldChar w:fldCharType="end"/>
      </w:r>
    </w:p>
    <w:p>
      <w:pPr>
        <w:pStyle w:val="TOC8"/>
        <w:rPr>
          <w:rFonts w:asciiTheme="minorHAnsi" w:eastAsiaTheme="minorEastAsia" w:hAnsiTheme="minorHAnsi" w:cstheme="minorBidi"/>
          <w:szCs w:val="22"/>
        </w:rPr>
      </w:pPr>
      <w:r>
        <w:t>61.</w:t>
      </w:r>
      <w:r>
        <w:tab/>
        <w:t>Transitional regulations</w:t>
      </w:r>
      <w:r>
        <w:tab/>
      </w:r>
      <w:r>
        <w:fldChar w:fldCharType="begin"/>
      </w:r>
      <w:r>
        <w:instrText xml:space="preserve"> PAGEREF _Toc525901121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_Toc525901125 \h </w:instrText>
      </w:r>
      <w:r>
        <w:fldChar w:fldCharType="separate"/>
      </w:r>
      <w:r>
        <w:t>64</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_Toc525901126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3" w:name="_Toc525896735"/>
      <w:bookmarkStart w:id="4" w:name="_Toc525896887"/>
      <w:bookmarkStart w:id="5" w:name="_Toc52590104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525901049"/>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7" w:name="_Toc525901050"/>
      <w:r>
        <w:rPr>
          <w:rStyle w:val="CharSectno"/>
        </w:rPr>
        <w:t>2</w:t>
      </w:r>
      <w:r>
        <w:t>.</w:t>
      </w:r>
      <w:r>
        <w:tab/>
        <w:t>Commencement</w:t>
      </w:r>
      <w:bookmarkEnd w:id="7"/>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8" w:name="_Toc525901051"/>
      <w:r>
        <w:rPr>
          <w:rStyle w:val="CharSectno"/>
        </w:rPr>
        <w:t>3</w:t>
      </w:r>
      <w:r>
        <w:t>.</w:t>
      </w:r>
      <w:r>
        <w:tab/>
        <w:t>Principle that best interests of children are paramount</w:t>
      </w:r>
      <w:bookmarkEnd w:id="8"/>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9" w:name="_Toc525901052"/>
      <w:r>
        <w:rPr>
          <w:rStyle w:val="CharSectno"/>
        </w:rPr>
        <w:t>4</w:t>
      </w:r>
      <w:r>
        <w:t>.</w:t>
      </w:r>
      <w:r>
        <w:tab/>
        <w:t>Terms used</w:t>
      </w:r>
      <w:bookmarkEnd w:id="9"/>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 No. 11 of 2012 s. 52.]</w:t>
      </w:r>
    </w:p>
    <w:p>
      <w:pPr>
        <w:pStyle w:val="Heading5"/>
      </w:pPr>
      <w:bookmarkStart w:id="10" w:name="_Toc525901053"/>
      <w:r>
        <w:rPr>
          <w:rStyle w:val="CharSectno"/>
        </w:rPr>
        <w:t>5</w:t>
      </w:r>
      <w:r>
        <w:t>.</w:t>
      </w:r>
      <w:r>
        <w:tab/>
        <w:t xml:space="preserve">Managerial officers of bodies corporate licensed under </w:t>
      </w:r>
      <w:r>
        <w:rPr>
          <w:i/>
        </w:rPr>
        <w:t>Child Care Service Act 2007</w:t>
      </w:r>
      <w:r>
        <w:t>, status of for this Act</w:t>
      </w:r>
      <w:bookmarkEnd w:id="10"/>
    </w:p>
    <w:p>
      <w:pPr>
        <w:pStyle w:val="Subsection"/>
        <w:keepNext/>
      </w:pPr>
      <w:r>
        <w:tab/>
        <w:t>(1)</w:t>
      </w:r>
      <w:r>
        <w:tab/>
        <w:t xml:space="preserve">In this section — </w:t>
      </w:r>
    </w:p>
    <w:p>
      <w:pPr>
        <w:pStyle w:val="Defstart"/>
      </w:pPr>
      <w:r>
        <w:tab/>
      </w:r>
      <w:r>
        <w:rPr>
          <w:rStyle w:val="CharDefText"/>
        </w:rPr>
        <w:t>managerial officer</w:t>
      </w:r>
      <w:r>
        <w:t xml:space="preserve">, means — </w:t>
      </w:r>
    </w:p>
    <w:p>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Defpara"/>
      </w:pPr>
      <w:r>
        <w:tab/>
        <w:t>(b)</w:t>
      </w:r>
      <w:r>
        <w:tab/>
        <w:t xml:space="preserve">a person with management or control,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in relation to an education and care service under that Law.</w:t>
      </w:r>
    </w:p>
    <w:p>
      <w:pPr>
        <w:pStyle w:val="Subsection"/>
      </w:pPr>
      <w:r>
        <w:tab/>
        <w:t>(2)</w:t>
      </w:r>
      <w:r>
        <w:tab/>
        <w:t>Despite any other provision of this Act, a person who is a managerial officer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r>
        <w:tab/>
        <w:t>[Section 5 amended by No. 19 of 2007 s. 72; No. 11 of 2012 s. 53.]</w:t>
      </w:r>
    </w:p>
    <w:p>
      <w:pPr>
        <w:pStyle w:val="Heading5"/>
      </w:pPr>
      <w:bookmarkStart w:id="11" w:name="_Toc525901054"/>
      <w:r>
        <w:rPr>
          <w:rStyle w:val="CharSectno"/>
        </w:rPr>
        <w:t>6</w:t>
      </w:r>
      <w:r>
        <w:t>.</w:t>
      </w:r>
      <w:r>
        <w:tab/>
        <w:t>Term used: child</w:t>
      </w:r>
      <w:r>
        <w:noBreakHyphen/>
        <w:t>related work</w:t>
      </w:r>
      <w:bookmarkEnd w:id="11"/>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by No. 49 of 2010 s. 23.]</w:t>
      </w:r>
    </w:p>
    <w:p>
      <w:pPr>
        <w:pStyle w:val="Heading5"/>
      </w:pPr>
      <w:bookmarkStart w:id="12" w:name="_Toc525901055"/>
      <w:r>
        <w:rPr>
          <w:rStyle w:val="CharSectno"/>
        </w:rPr>
        <w:t>7</w:t>
      </w:r>
      <w:r>
        <w:t>.</w:t>
      </w:r>
      <w:r>
        <w:tab/>
        <w:t>Terms used: Class 1 offence, Class 2 offence</w:t>
      </w:r>
      <w:bookmarkEnd w:id="12"/>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13" w:name="_Toc525901056"/>
      <w:r>
        <w:rPr>
          <w:rStyle w:val="CharSectno"/>
        </w:rPr>
        <w:t>8</w:t>
      </w:r>
      <w:r>
        <w:t>.</w:t>
      </w:r>
      <w:r>
        <w:tab/>
        <w:t>Term used: conviction</w:t>
      </w:r>
      <w:bookmarkEnd w:id="13"/>
    </w:p>
    <w:p>
      <w:pPr>
        <w:pStyle w:val="Subsection"/>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14" w:name="_Toc525901057"/>
      <w:r>
        <w:rPr>
          <w:rStyle w:val="CharSectno"/>
        </w:rPr>
        <w:t>9A</w:t>
      </w:r>
      <w:r>
        <w:t>.</w:t>
      </w:r>
      <w:r>
        <w:tab/>
        <w:t>Students, application of certain provisions to</w:t>
      </w:r>
      <w:bookmarkEnd w:id="14"/>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15" w:name="_Toc525901058"/>
      <w:r>
        <w:rPr>
          <w:rStyle w:val="CharSectno"/>
        </w:rPr>
        <w:t>9B</w:t>
      </w:r>
      <w:r>
        <w:t>.</w:t>
      </w:r>
      <w:r>
        <w:tab/>
        <w:t>Education provider not to procure employment for certain students in child</w:t>
      </w:r>
      <w:r>
        <w:noBreakHyphen/>
        <w:t>related employment</w:t>
      </w:r>
      <w:bookmarkEnd w:id="15"/>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16" w:name="_Toc525896746"/>
      <w:bookmarkStart w:id="17" w:name="_Toc525896898"/>
      <w:bookmarkStart w:id="18" w:name="_Toc525901059"/>
      <w:r>
        <w:rPr>
          <w:rStyle w:val="CharPartNo"/>
        </w:rPr>
        <w:t>Part 2</w:t>
      </w:r>
      <w:r>
        <w:t> — </w:t>
      </w:r>
      <w:r>
        <w:rPr>
          <w:rStyle w:val="CharPartText"/>
        </w:rPr>
        <w:t>Assessment notices and negative notices</w:t>
      </w:r>
      <w:bookmarkEnd w:id="16"/>
      <w:bookmarkEnd w:id="17"/>
      <w:bookmarkEnd w:id="18"/>
    </w:p>
    <w:p>
      <w:pPr>
        <w:pStyle w:val="Heading3"/>
      </w:pPr>
      <w:bookmarkStart w:id="19" w:name="_Toc525896747"/>
      <w:bookmarkStart w:id="20" w:name="_Toc525896899"/>
      <w:bookmarkStart w:id="21" w:name="_Toc525901060"/>
      <w:r>
        <w:rPr>
          <w:rStyle w:val="CharDivNo"/>
        </w:rPr>
        <w:t>Division 1</w:t>
      </w:r>
      <w:r>
        <w:t> — </w:t>
      </w:r>
      <w:r>
        <w:rPr>
          <w:rStyle w:val="CharDivText"/>
        </w:rPr>
        <w:t>Application for assessment notice</w:t>
      </w:r>
      <w:bookmarkEnd w:id="19"/>
      <w:bookmarkEnd w:id="20"/>
      <w:bookmarkEnd w:id="21"/>
    </w:p>
    <w:p>
      <w:pPr>
        <w:pStyle w:val="Heading5"/>
      </w:pPr>
      <w:bookmarkStart w:id="22" w:name="_Toc525901061"/>
      <w:r>
        <w:rPr>
          <w:rStyle w:val="CharSectno"/>
        </w:rPr>
        <w:t>9</w:t>
      </w:r>
      <w:r>
        <w:t>.</w:t>
      </w:r>
      <w:r>
        <w:tab/>
        <w:t>Assessment notice (child</w:t>
      </w:r>
      <w:r>
        <w:noBreakHyphen/>
        <w:t>related employment), application for</w:t>
      </w:r>
      <w:bookmarkEnd w:id="22"/>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3" w:name="_Toc525901062"/>
      <w:r>
        <w:rPr>
          <w:rStyle w:val="CharSectno"/>
        </w:rPr>
        <w:t>10</w:t>
      </w:r>
      <w:r>
        <w:t>.</w:t>
      </w:r>
      <w:r>
        <w:tab/>
        <w:t>Assessment notice (child</w:t>
      </w:r>
      <w:r>
        <w:noBreakHyphen/>
        <w:t>related business), application for</w:t>
      </w:r>
      <w:bookmarkEnd w:id="23"/>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4" w:name="_Toc525901063"/>
      <w:r>
        <w:rPr>
          <w:rStyle w:val="CharSectno"/>
        </w:rPr>
        <w:t>11</w:t>
      </w:r>
      <w:r>
        <w:t>.</w:t>
      </w:r>
      <w:r>
        <w:tab/>
        <w:t>Withdrawal of application for assessment notice</w:t>
      </w:r>
      <w:bookmarkEnd w:id="24"/>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25" w:name="_Toc525896751"/>
      <w:bookmarkStart w:id="26" w:name="_Toc525896903"/>
      <w:bookmarkStart w:id="27" w:name="_Toc525901064"/>
      <w:r>
        <w:rPr>
          <w:rStyle w:val="CharDivNo"/>
        </w:rPr>
        <w:t>Division 2</w:t>
      </w:r>
      <w:r>
        <w:t> — </w:t>
      </w:r>
      <w:r>
        <w:rPr>
          <w:rStyle w:val="CharDivText"/>
        </w:rPr>
        <w:t>Issue of assessment notices and negative notices</w:t>
      </w:r>
      <w:bookmarkEnd w:id="25"/>
      <w:bookmarkEnd w:id="26"/>
      <w:bookmarkEnd w:id="27"/>
    </w:p>
    <w:p>
      <w:pPr>
        <w:pStyle w:val="Heading5"/>
      </w:pPr>
      <w:bookmarkStart w:id="28" w:name="_Toc525901065"/>
      <w:r>
        <w:rPr>
          <w:rStyle w:val="CharSectno"/>
        </w:rPr>
        <w:t>12</w:t>
      </w:r>
      <w:r>
        <w:t>.</w:t>
      </w:r>
      <w:r>
        <w:tab/>
        <w:t>Deciding applications for assessment notice</w:t>
      </w:r>
      <w:bookmarkEnd w:id="28"/>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w:t>
            </w:r>
          </w:p>
        </w:tc>
        <w:tc>
          <w:tcPr>
            <w:tcW w:w="1383" w:type="dxa"/>
          </w:tcPr>
          <w:p>
            <w:pPr>
              <w:pStyle w:val="TableNAm"/>
            </w:pPr>
          </w:p>
          <w:p>
            <w:pPr>
              <w:pStyle w:val="TableNAm"/>
              <w:spacing w:before="200"/>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29" w:name="_Toc525901066"/>
      <w:r>
        <w:rPr>
          <w:rStyle w:val="CharSectno"/>
        </w:rPr>
        <w:t>13A</w:t>
      </w:r>
      <w:r>
        <w:t>.</w:t>
      </w:r>
      <w:r>
        <w:tab/>
        <w:t>Issue of assessment notices and negative notices</w:t>
      </w:r>
      <w:bookmarkEnd w:id="29"/>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30" w:name="_Toc525901067"/>
      <w:r>
        <w:rPr>
          <w:rStyle w:val="CharSectno"/>
        </w:rPr>
        <w:t>13</w:t>
      </w:r>
      <w:r>
        <w:t>.</w:t>
      </w:r>
      <w:r>
        <w:tab/>
        <w:t>Intended issue of negative notice, CEO to notify applicant of etc.; interim negative notices, issue of</w:t>
      </w:r>
      <w:bookmarkEnd w:id="30"/>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31" w:name="_Toc525901068"/>
      <w:r>
        <w:rPr>
          <w:rStyle w:val="CharSectno"/>
        </w:rPr>
        <w:t>14</w:t>
      </w:r>
      <w:r>
        <w:t>.</w:t>
      </w:r>
      <w:r>
        <w:tab/>
        <w:t>Duration of assessment notices and negative notices</w:t>
      </w:r>
      <w:bookmarkEnd w:id="31"/>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32" w:name="_Toc525901069"/>
      <w:r>
        <w:rPr>
          <w:rStyle w:val="CharSectno"/>
        </w:rPr>
        <w:t>15</w:t>
      </w:r>
      <w:r>
        <w:t>.</w:t>
      </w:r>
      <w:r>
        <w:tab/>
        <w:t>Further assessment notice may be obtained</w:t>
      </w:r>
      <w:bookmarkEnd w:id="32"/>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3" w:name="_Toc525896757"/>
      <w:bookmarkStart w:id="34" w:name="_Toc525896909"/>
      <w:bookmarkStart w:id="35" w:name="_Toc525901070"/>
      <w:r>
        <w:rPr>
          <w:rStyle w:val="CharDivNo"/>
        </w:rPr>
        <w:t>Division 3</w:t>
      </w:r>
      <w:r>
        <w:t> — </w:t>
      </w:r>
      <w:r>
        <w:rPr>
          <w:rStyle w:val="CharDivText"/>
        </w:rPr>
        <w:t>CEO may require assessment notice to be applied for</w:t>
      </w:r>
      <w:bookmarkEnd w:id="33"/>
      <w:bookmarkEnd w:id="34"/>
      <w:bookmarkEnd w:id="35"/>
    </w:p>
    <w:p>
      <w:pPr>
        <w:pStyle w:val="Heading5"/>
      </w:pPr>
      <w:bookmarkStart w:id="36" w:name="_Toc525901071"/>
      <w:r>
        <w:rPr>
          <w:rStyle w:val="CharSectno"/>
        </w:rPr>
        <w:t>16</w:t>
      </w:r>
      <w:r>
        <w:t>.</w:t>
      </w:r>
      <w:r>
        <w:tab/>
        <w:t>CEO may require certain employees to apply for assessment notice</w:t>
      </w:r>
      <w:bookmarkEnd w:id="36"/>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7" w:name="_Toc525901072"/>
      <w:r>
        <w:rPr>
          <w:rStyle w:val="CharSectno"/>
        </w:rPr>
        <w:t>17</w:t>
      </w:r>
      <w:r>
        <w:t>.</w:t>
      </w:r>
      <w:r>
        <w:tab/>
        <w:t>CEO may require certain people to apply for assessment notice</w:t>
      </w:r>
      <w:bookmarkEnd w:id="37"/>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38" w:name="_Toc525901073"/>
      <w:r>
        <w:rPr>
          <w:rStyle w:val="CharSectno"/>
        </w:rPr>
        <w:t>18</w:t>
      </w:r>
      <w:r>
        <w:t>.</w:t>
      </w:r>
      <w:r>
        <w:tab/>
        <w:t>CEO may issue negative notice if notice issued under s. 16 or 17 not obeyed</w:t>
      </w:r>
      <w:bookmarkEnd w:id="38"/>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39" w:name="_Toc525896761"/>
      <w:bookmarkStart w:id="40" w:name="_Toc525896913"/>
      <w:bookmarkStart w:id="41" w:name="_Toc525901074"/>
      <w:r>
        <w:rPr>
          <w:rStyle w:val="CharDivNo"/>
        </w:rPr>
        <w:t>Division 4</w:t>
      </w:r>
      <w:r>
        <w:t> — </w:t>
      </w:r>
      <w:r>
        <w:rPr>
          <w:rStyle w:val="CharDivText"/>
        </w:rPr>
        <w:t>Cancellation of assessment notices and negative notices</w:t>
      </w:r>
      <w:bookmarkEnd w:id="39"/>
      <w:bookmarkEnd w:id="40"/>
      <w:bookmarkEnd w:id="41"/>
    </w:p>
    <w:p>
      <w:pPr>
        <w:pStyle w:val="Heading5"/>
      </w:pPr>
      <w:bookmarkStart w:id="42" w:name="_Toc525901075"/>
      <w:r>
        <w:rPr>
          <w:rStyle w:val="CharSectno"/>
        </w:rPr>
        <w:t>19</w:t>
      </w:r>
      <w:r>
        <w:t>.</w:t>
      </w:r>
      <w:r>
        <w:tab/>
        <w:t>Negative notice, application for cancellation of</w:t>
      </w:r>
      <w:bookmarkEnd w:id="42"/>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43" w:name="_Toc525901076"/>
      <w:r>
        <w:rPr>
          <w:rStyle w:val="CharSectno"/>
        </w:rPr>
        <w:t>20</w:t>
      </w:r>
      <w:r>
        <w:t>.</w:t>
      </w:r>
      <w:r>
        <w:tab/>
        <w:t>Assessment notice or negative notice, CEO may cancel if issued on wrong etc. information</w:t>
      </w:r>
      <w:bookmarkEnd w:id="43"/>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44" w:name="_Toc525901077"/>
      <w:r>
        <w:rPr>
          <w:rStyle w:val="CharSectno"/>
        </w:rPr>
        <w:t>21A</w:t>
      </w:r>
      <w:r>
        <w:t>.</w:t>
      </w:r>
      <w:r>
        <w:tab/>
        <w:t>Assessment notices of certain people not involved in child</w:t>
      </w:r>
      <w:r>
        <w:noBreakHyphen/>
        <w:t>related work, cancellation of</w:t>
      </w:r>
      <w:bookmarkEnd w:id="44"/>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r>
        <w:tab/>
        <w:t>[Section 21A inserted by No. 7 of 2010 s. 12.]</w:t>
      </w:r>
    </w:p>
    <w:p>
      <w:pPr>
        <w:pStyle w:val="Heading5"/>
      </w:pPr>
      <w:bookmarkStart w:id="45" w:name="_Toc525901078"/>
      <w:r>
        <w:rPr>
          <w:rStyle w:val="CharSectno"/>
        </w:rPr>
        <w:t>21B</w:t>
      </w:r>
      <w:r>
        <w:t>.</w:t>
      </w:r>
      <w:r>
        <w:tab/>
        <w:t>Assessment notice, cancellation of on person’s request</w:t>
      </w:r>
      <w:bookmarkEnd w:id="45"/>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r>
        <w:tab/>
        <w:t>[Section 21B inserted by No. 7 of 2010 s. 12.]</w:t>
      </w:r>
    </w:p>
    <w:p>
      <w:pPr>
        <w:pStyle w:val="Heading5"/>
      </w:pPr>
      <w:bookmarkStart w:id="46" w:name="_Toc525901079"/>
      <w:r>
        <w:rPr>
          <w:rStyle w:val="CharSectno"/>
        </w:rPr>
        <w:t>21C</w:t>
      </w:r>
      <w:r>
        <w:t>.</w:t>
      </w:r>
      <w:r>
        <w:tab/>
        <w:t>Assessment notices of certain people to whom s. 32 applies, cancellation of</w:t>
      </w:r>
      <w:bookmarkEnd w:id="46"/>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47" w:name="_Toc525901080"/>
      <w:r>
        <w:rPr>
          <w:rStyle w:val="CharSectno"/>
        </w:rPr>
        <w:t>21</w:t>
      </w:r>
      <w:r>
        <w:t>.</w:t>
      </w:r>
      <w:r>
        <w:tab/>
        <w:t>Issue of notice cancels any previous notice</w:t>
      </w:r>
      <w:bookmarkEnd w:id="47"/>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48" w:name="_Toc525896768"/>
      <w:bookmarkStart w:id="49" w:name="_Toc525896920"/>
      <w:bookmarkStart w:id="50" w:name="_Toc525901081"/>
      <w:r>
        <w:rPr>
          <w:rStyle w:val="CharDivNo"/>
        </w:rPr>
        <w:t>Division 5</w:t>
      </w:r>
      <w:r>
        <w:t> — </w:t>
      </w:r>
      <w:r>
        <w:rPr>
          <w:rStyle w:val="CharDivText"/>
        </w:rPr>
        <w:t>Prohibitions relating to child</w:t>
      </w:r>
      <w:r>
        <w:rPr>
          <w:rStyle w:val="CharDivText"/>
        </w:rPr>
        <w:noBreakHyphen/>
        <w:t>related work</w:t>
      </w:r>
      <w:bookmarkEnd w:id="48"/>
      <w:bookmarkEnd w:id="49"/>
      <w:bookmarkEnd w:id="50"/>
    </w:p>
    <w:p>
      <w:pPr>
        <w:pStyle w:val="Heading5"/>
      </w:pPr>
      <w:bookmarkStart w:id="51" w:name="_Toc525901082"/>
      <w:r>
        <w:rPr>
          <w:rStyle w:val="CharSectno"/>
        </w:rPr>
        <w:t>22</w:t>
      </w:r>
      <w:r>
        <w:t>.</w:t>
      </w:r>
      <w:r>
        <w:tab/>
        <w:t>Employers not to employ certain people in child</w:t>
      </w:r>
      <w:r>
        <w:noBreakHyphen/>
        <w:t>related employment</w:t>
      </w:r>
      <w:bookmarkEnd w:id="51"/>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Heading5"/>
      </w:pPr>
      <w:bookmarkStart w:id="52" w:name="_Toc525901083"/>
      <w:r>
        <w:rPr>
          <w:rStyle w:val="CharSectno"/>
        </w:rPr>
        <w:t>23</w:t>
      </w:r>
      <w:r>
        <w:t>.</w:t>
      </w:r>
      <w:r>
        <w:tab/>
        <w:t>People with negative notice or interim negative notice not to carry out child</w:t>
      </w:r>
      <w:r>
        <w:noBreakHyphen/>
        <w:t>related work</w:t>
      </w:r>
      <w:bookmarkEnd w:id="52"/>
    </w:p>
    <w:p>
      <w:pPr>
        <w:pStyle w:val="Subsection"/>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53" w:name="_Toc525901084"/>
      <w:r>
        <w:rPr>
          <w:rStyle w:val="CharSectno"/>
        </w:rPr>
        <w:t>24</w:t>
      </w:r>
      <w:r>
        <w:t>.</w:t>
      </w:r>
      <w:r>
        <w:tab/>
        <w:t>People without current assessment notice not to carry out child</w:t>
      </w:r>
      <w:r>
        <w:noBreakHyphen/>
        <w:t>related work</w:t>
      </w:r>
      <w:bookmarkEnd w:id="53"/>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54" w:name="_Toc525901085"/>
      <w:r>
        <w:rPr>
          <w:rStyle w:val="CharSectno"/>
        </w:rPr>
        <w:t>25</w:t>
      </w:r>
      <w:r>
        <w:t>.</w:t>
      </w:r>
      <w:r>
        <w:tab/>
        <w:t>Defences for s. 24</w:t>
      </w:r>
      <w:bookmarkEnd w:id="54"/>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55" w:name="_Toc525896773"/>
      <w:bookmarkStart w:id="56" w:name="_Toc525896925"/>
      <w:bookmarkStart w:id="57" w:name="_Toc525901086"/>
      <w:r>
        <w:rPr>
          <w:rStyle w:val="CharDivNo"/>
        </w:rPr>
        <w:t>Division 6</w:t>
      </w:r>
      <w:r>
        <w:t> — </w:t>
      </w:r>
      <w:r>
        <w:rPr>
          <w:rStyle w:val="CharDivText"/>
        </w:rPr>
        <w:t>Review by State Administrative Tribunal</w:t>
      </w:r>
      <w:bookmarkEnd w:id="55"/>
      <w:bookmarkEnd w:id="56"/>
      <w:bookmarkEnd w:id="57"/>
    </w:p>
    <w:p>
      <w:pPr>
        <w:pStyle w:val="Heading5"/>
      </w:pPr>
      <w:bookmarkStart w:id="58" w:name="_Toc525901087"/>
      <w:r>
        <w:rPr>
          <w:rStyle w:val="CharSectno"/>
        </w:rPr>
        <w:t>26</w:t>
      </w:r>
      <w:r>
        <w:t>.</w:t>
      </w:r>
      <w:r>
        <w:tab/>
        <w:t>Reviewable decisions</w:t>
      </w:r>
      <w:bookmarkEnd w:id="58"/>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59" w:name="_Toc525896775"/>
      <w:bookmarkStart w:id="60" w:name="_Toc525896927"/>
      <w:bookmarkStart w:id="61" w:name="_Toc525901088"/>
      <w:r>
        <w:rPr>
          <w:rStyle w:val="CharPartNo"/>
        </w:rPr>
        <w:t>Part 3</w:t>
      </w:r>
      <w:r>
        <w:t> — </w:t>
      </w:r>
      <w:r>
        <w:rPr>
          <w:rStyle w:val="CharPartText"/>
        </w:rPr>
        <w:t>Changes in criminal record and criminal record checks</w:t>
      </w:r>
      <w:bookmarkEnd w:id="59"/>
      <w:bookmarkEnd w:id="60"/>
      <w:bookmarkEnd w:id="61"/>
    </w:p>
    <w:p>
      <w:pPr>
        <w:pStyle w:val="Heading3"/>
      </w:pPr>
      <w:bookmarkStart w:id="62" w:name="_Toc525896776"/>
      <w:bookmarkStart w:id="63" w:name="_Toc525896928"/>
      <w:bookmarkStart w:id="64" w:name="_Toc525901089"/>
      <w:r>
        <w:rPr>
          <w:rStyle w:val="CharDivNo"/>
        </w:rPr>
        <w:t>Division 1</w:t>
      </w:r>
      <w:r>
        <w:t> — </w:t>
      </w:r>
      <w:r>
        <w:rPr>
          <w:rStyle w:val="CharDivText"/>
        </w:rPr>
        <w:t>Relevant changes in criminal record</w:t>
      </w:r>
      <w:bookmarkEnd w:id="62"/>
      <w:bookmarkEnd w:id="63"/>
      <w:bookmarkEnd w:id="64"/>
    </w:p>
    <w:p>
      <w:pPr>
        <w:pStyle w:val="Heading5"/>
        <w:spacing w:before="180"/>
      </w:pPr>
      <w:bookmarkStart w:id="65" w:name="_Toc525901090"/>
      <w:r>
        <w:rPr>
          <w:rStyle w:val="CharSectno"/>
        </w:rPr>
        <w:t>27</w:t>
      </w:r>
      <w:r>
        <w:t>.</w:t>
      </w:r>
      <w:r>
        <w:tab/>
        <w:t>Meaning of relevant change in criminal record and requirement to give notice of that change</w:t>
      </w:r>
      <w:bookmarkEnd w:id="65"/>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66" w:name="_Toc525901091"/>
      <w:r>
        <w:rPr>
          <w:rStyle w:val="CharSectno"/>
        </w:rPr>
        <w:t>28</w:t>
      </w:r>
      <w:r>
        <w:t>.</w:t>
      </w:r>
      <w:r>
        <w:tab/>
        <w:t>Pending applications, applicant to notify CEO of relevant change in criminal history</w:t>
      </w:r>
      <w:bookmarkEnd w:id="66"/>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keepNext w:val="0"/>
        <w:keepLines w:val="0"/>
        <w:spacing w:before="180"/>
      </w:pPr>
      <w:bookmarkStart w:id="67" w:name="_Toc525901092"/>
      <w:r>
        <w:rPr>
          <w:rStyle w:val="CharSectno"/>
        </w:rPr>
        <w:t>29</w:t>
      </w:r>
      <w:r>
        <w:t>.</w:t>
      </w:r>
      <w:r>
        <w:tab/>
        <w:t>People employed in child</w:t>
      </w:r>
      <w:r>
        <w:noBreakHyphen/>
        <w:t>related employment to notify CEO of relevant change in criminal record</w:t>
      </w:r>
      <w:bookmarkEnd w:id="67"/>
      <w:r>
        <w:t xml:space="preserve"> </w:t>
      </w:r>
    </w:p>
    <w:p>
      <w:pPr>
        <w:pStyle w:val="Subsection"/>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spacing w:before="180"/>
      </w:pPr>
      <w:bookmarkStart w:id="68" w:name="_Toc525901093"/>
      <w:r>
        <w:rPr>
          <w:rStyle w:val="CharSectno"/>
        </w:rPr>
        <w:t>30</w:t>
      </w:r>
      <w:r>
        <w:t>.</w:t>
      </w:r>
      <w:r>
        <w:tab/>
        <w:t>People carrying on child</w:t>
      </w:r>
      <w:r>
        <w:noBreakHyphen/>
        <w:t>related business to notify CEO of relevant change in criminal record</w:t>
      </w:r>
      <w:bookmarkEnd w:id="68"/>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69" w:name="_Toc525901094"/>
      <w:r>
        <w:rPr>
          <w:rStyle w:val="CharSectno"/>
        </w:rPr>
        <w:t>31</w:t>
      </w:r>
      <w:r>
        <w:t>.</w:t>
      </w:r>
      <w:r>
        <w:tab/>
        <w:t>People with assessment notice who have relevant change in criminal record, duties and employment of</w:t>
      </w:r>
      <w:bookmarkEnd w:id="69"/>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70" w:name="_Toc525901095"/>
      <w:r>
        <w:rPr>
          <w:rStyle w:val="CharSectno"/>
        </w:rPr>
        <w:t>32A</w:t>
      </w:r>
      <w:r>
        <w:t>.</w:t>
      </w:r>
      <w:r>
        <w:tab/>
        <w:t>Certain applicants for assessment notice to notify proposed employer of relevant change in criminal record</w:t>
      </w:r>
      <w:bookmarkEnd w:id="70"/>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71" w:name="_Toc525901096"/>
      <w:r>
        <w:rPr>
          <w:rStyle w:val="CharSectno"/>
        </w:rPr>
        <w:t>32</w:t>
      </w:r>
      <w:r>
        <w:t>.</w:t>
      </w:r>
      <w:r>
        <w:tab/>
        <w:t>CEO to treat notice of relevant change under s. 29 and 30 as application for assessment notice</w:t>
      </w:r>
      <w:bookmarkEnd w:id="71"/>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72" w:name="_Toc525901097"/>
      <w:r>
        <w:rPr>
          <w:rStyle w:val="CharSectno"/>
        </w:rPr>
        <w:t>33</w:t>
      </w:r>
      <w:r>
        <w:t>.</w:t>
      </w:r>
      <w:r>
        <w:tab/>
        <w:t>People convicted of Class 1 offence not to start or continue child</w:t>
      </w:r>
      <w:r>
        <w:noBreakHyphen/>
        <w:t>related work</w:t>
      </w:r>
      <w:bookmarkEnd w:id="72"/>
      <w:r>
        <w:t xml:space="preserve"> </w:t>
      </w:r>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73" w:name="_Toc525896785"/>
      <w:bookmarkStart w:id="74" w:name="_Toc525896937"/>
      <w:bookmarkStart w:id="75" w:name="_Toc525901098"/>
      <w:r>
        <w:rPr>
          <w:rStyle w:val="CharDivNo"/>
        </w:rPr>
        <w:t>Division 2</w:t>
      </w:r>
      <w:r>
        <w:t> — </w:t>
      </w:r>
      <w:r>
        <w:rPr>
          <w:rStyle w:val="CharDivText"/>
        </w:rPr>
        <w:t>Criminal record checks</w:t>
      </w:r>
      <w:bookmarkEnd w:id="73"/>
      <w:bookmarkEnd w:id="74"/>
      <w:bookmarkEnd w:id="75"/>
    </w:p>
    <w:p>
      <w:pPr>
        <w:pStyle w:val="Heading5"/>
      </w:pPr>
      <w:bookmarkStart w:id="76" w:name="_Toc525901099"/>
      <w:r>
        <w:rPr>
          <w:rStyle w:val="CharSectno"/>
        </w:rPr>
        <w:t>34</w:t>
      </w:r>
      <w:r>
        <w:t>.</w:t>
      </w:r>
      <w:r>
        <w:tab/>
        <w:t>CEO may carry out criminal record check</w:t>
      </w:r>
      <w:bookmarkEnd w:id="76"/>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8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77" w:name="_Toc525896787"/>
      <w:bookmarkStart w:id="78" w:name="_Toc525896939"/>
      <w:bookmarkStart w:id="79" w:name="_Toc525901100"/>
      <w:r>
        <w:rPr>
          <w:rStyle w:val="CharPartNo"/>
        </w:rPr>
        <w:t>Part 4</w:t>
      </w:r>
      <w:r>
        <w:rPr>
          <w:rStyle w:val="CharDivNo"/>
        </w:rPr>
        <w:t> </w:t>
      </w:r>
      <w:r>
        <w:t>—</w:t>
      </w:r>
      <w:r>
        <w:rPr>
          <w:rStyle w:val="CharDivText"/>
        </w:rPr>
        <w:t> </w:t>
      </w:r>
      <w:r>
        <w:rPr>
          <w:rStyle w:val="CharPartText"/>
        </w:rPr>
        <w:t>General</w:t>
      </w:r>
      <w:bookmarkEnd w:id="77"/>
      <w:bookmarkEnd w:id="78"/>
      <w:bookmarkEnd w:id="79"/>
    </w:p>
    <w:p>
      <w:pPr>
        <w:pStyle w:val="Heading5"/>
      </w:pPr>
      <w:bookmarkStart w:id="80" w:name="_Toc525901101"/>
      <w:r>
        <w:rPr>
          <w:rStyle w:val="CharSectno"/>
        </w:rPr>
        <w:t>35</w:t>
      </w:r>
      <w:r>
        <w:t>.</w:t>
      </w:r>
      <w:r>
        <w:tab/>
        <w:t>False or misleading information, offence</w:t>
      </w:r>
      <w:bookmarkEnd w:id="80"/>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81" w:name="_Toc525901102"/>
      <w:r>
        <w:rPr>
          <w:rStyle w:val="CharSectno"/>
        </w:rPr>
        <w:t>36</w:t>
      </w:r>
      <w:r>
        <w:t>.</w:t>
      </w:r>
      <w:r>
        <w:tab/>
        <w:t>Assessment notice to be returned to CEO in certain cases</w:t>
      </w:r>
      <w:bookmarkEnd w:id="81"/>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r>
        <w:tab/>
        <w:t>[Section 36 amended by No. 7 of 2010 s. 20.]</w:t>
      </w:r>
    </w:p>
    <w:p>
      <w:pPr>
        <w:pStyle w:val="Heading5"/>
        <w:spacing w:before="180"/>
      </w:pPr>
      <w:bookmarkStart w:id="82" w:name="_Toc525901103"/>
      <w:r>
        <w:rPr>
          <w:rStyle w:val="CharSectno"/>
        </w:rPr>
        <w:t>37</w:t>
      </w:r>
      <w:r>
        <w:t>.</w:t>
      </w:r>
      <w:r>
        <w:tab/>
        <w:t>Exchange of information with corresponding authorities</w:t>
      </w:r>
      <w:bookmarkEnd w:id="82"/>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83" w:name="_Toc525901104"/>
      <w:r>
        <w:rPr>
          <w:rStyle w:val="CharSectno"/>
        </w:rPr>
        <w:t>38</w:t>
      </w:r>
      <w:r>
        <w:t>.</w:t>
      </w:r>
      <w:r>
        <w:tab/>
        <w:t>Disclosure of information by CEO to certain bodies</w:t>
      </w:r>
      <w:bookmarkEnd w:id="83"/>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w:t>
      </w:r>
      <w:r>
        <w:rPr>
          <w:i/>
        </w:rPr>
        <w:t>2007</w:t>
      </w:r>
      <w:r>
        <w:t xml:space="preserve">, or is an approved provider as defined in the </w:t>
      </w:r>
      <w:r>
        <w:rPr>
          <w:i/>
        </w:rPr>
        <w:t>Education and Care Services National Law (Western Australia)</w:t>
      </w:r>
      <w:r>
        <w:t xml:space="preserve"> section 5(1); or</w:t>
      </w:r>
    </w:p>
    <w:p>
      <w:pPr>
        <w:pStyle w:val="Indenta"/>
      </w:pPr>
      <w:r>
        <w:tab/>
        <w:t>(b)</w:t>
      </w:r>
      <w:r>
        <w:tab/>
        <w:t xml:space="preserve">is — </w:t>
      </w:r>
    </w:p>
    <w:p>
      <w:pPr>
        <w:pStyle w:val="Indenti"/>
      </w:pPr>
      <w:r>
        <w:tab/>
        <w:t>(i)</w:t>
      </w:r>
      <w:r>
        <w:tab/>
        <w:t xml:space="preserve">a supervising officer or a managerial officer, as defined in the </w:t>
      </w:r>
      <w:r>
        <w:rPr>
          <w:i/>
        </w:rPr>
        <w:t>Child Care Services Act 2007</w:t>
      </w:r>
      <w:r>
        <w:t xml:space="preserve"> section 3; or</w:t>
      </w:r>
    </w:p>
    <w:p>
      <w:pPr>
        <w:pStyle w:val="Indenti"/>
      </w:pPr>
      <w:r>
        <w:tab/>
        <w:t>(ii)</w:t>
      </w:r>
      <w:r>
        <w:tab/>
        <w:t xml:space="preserve">a nominated supervisor or a person with management or control in relation to an education and care service under the </w:t>
      </w:r>
      <w:r>
        <w:rPr>
          <w:i/>
        </w:rPr>
        <w:t>Education and Care Services National Law (Western Australia)</w:t>
      </w:r>
      <w:r>
        <w: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 No. 38 of 2011 s. 41; No. 11 of 2012 s. 54; No. 18 of 2018 s. 94.]</w:t>
      </w:r>
    </w:p>
    <w:p>
      <w:pPr>
        <w:pStyle w:val="Heading5"/>
      </w:pPr>
      <w:bookmarkStart w:id="84" w:name="_Toc525901105"/>
      <w:r>
        <w:rPr>
          <w:rStyle w:val="CharSectno"/>
        </w:rPr>
        <w:t>39</w:t>
      </w:r>
      <w:r>
        <w:t>.</w:t>
      </w:r>
      <w:r>
        <w:tab/>
        <w:t>Information obtained officially, use and disclosure of</w:t>
      </w:r>
      <w:bookmarkEnd w:id="84"/>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85" w:name="_Toc525901106"/>
      <w:r>
        <w:rPr>
          <w:rStyle w:val="CharSectno"/>
        </w:rPr>
        <w:t>40</w:t>
      </w:r>
      <w:r>
        <w:t>.</w:t>
      </w:r>
      <w:r>
        <w:tab/>
        <w:t>Protection from personal liability</w:t>
      </w:r>
      <w:bookmarkEnd w:id="85"/>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86" w:name="_Toc525901107"/>
      <w:r>
        <w:rPr>
          <w:rStyle w:val="CharSectno"/>
        </w:rPr>
        <w:t>41</w:t>
      </w:r>
      <w:r>
        <w:t>.</w:t>
      </w:r>
      <w:r>
        <w:tab/>
        <w:t>Employer to comply with Act despite other laws etc.</w:t>
      </w:r>
      <w:bookmarkEnd w:id="86"/>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87" w:name="_Toc525901108"/>
      <w:r>
        <w:rPr>
          <w:rStyle w:val="CharSectno"/>
        </w:rPr>
        <w:t>42</w:t>
      </w:r>
      <w:r>
        <w:t>.</w:t>
      </w:r>
      <w:r>
        <w:tab/>
        <w:t>CEO may require information to confirm compliance with Act</w:t>
      </w:r>
      <w:bookmarkEnd w:id="87"/>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88" w:name="_Toc525901109"/>
      <w:r>
        <w:rPr>
          <w:rStyle w:val="CharSectno"/>
        </w:rPr>
        <w:t>43</w:t>
      </w:r>
      <w:r>
        <w:t>.</w:t>
      </w:r>
      <w:r>
        <w:tab/>
        <w:t>Liability of partners for certain offences</w:t>
      </w:r>
      <w:bookmarkEnd w:id="88"/>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89" w:name="_Toc525901110"/>
      <w:r>
        <w:rPr>
          <w:rStyle w:val="CharSectno"/>
        </w:rPr>
        <w:t>44</w:t>
      </w:r>
      <w:r>
        <w:t>.</w:t>
      </w:r>
      <w:r>
        <w:tab/>
        <w:t>Evidentiary matters</w:t>
      </w:r>
      <w:bookmarkEnd w:id="89"/>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90" w:name="_Toc525901111"/>
      <w:r>
        <w:rPr>
          <w:rStyle w:val="CharSectno"/>
        </w:rPr>
        <w:t>45</w:t>
      </w:r>
      <w:r>
        <w:t>.</w:t>
      </w:r>
      <w:r>
        <w:tab/>
        <w:t>Delegation by CEO etc.</w:t>
      </w:r>
      <w:bookmarkEnd w:id="90"/>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91" w:name="_Toc525901112"/>
      <w:r>
        <w:rPr>
          <w:rStyle w:val="CharSectno"/>
        </w:rPr>
        <w:t>46</w:t>
      </w:r>
      <w:r>
        <w:t>.</w:t>
      </w:r>
      <w:r>
        <w:tab/>
        <w:t>Regulations</w:t>
      </w:r>
      <w:bookmarkEnd w:id="9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92" w:name="_Toc525901113"/>
      <w:r>
        <w:rPr>
          <w:rStyle w:val="CharSectno"/>
        </w:rPr>
        <w:t>47</w:t>
      </w:r>
      <w:r>
        <w:t>.</w:t>
      </w:r>
      <w:r>
        <w:tab/>
        <w:t>Review of Act</w:t>
      </w:r>
      <w:bookmarkEnd w:id="92"/>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93" w:name="_Toc525896801"/>
      <w:bookmarkStart w:id="94" w:name="_Toc525896953"/>
      <w:bookmarkStart w:id="95" w:name="_Toc525901114"/>
      <w:r>
        <w:rPr>
          <w:rStyle w:val="CharPartNo"/>
        </w:rPr>
        <w:t>Part 6</w:t>
      </w:r>
      <w:r>
        <w:rPr>
          <w:rStyle w:val="CharDivNo"/>
        </w:rPr>
        <w:t> </w:t>
      </w:r>
      <w:r>
        <w:t>—</w:t>
      </w:r>
      <w:r>
        <w:rPr>
          <w:rStyle w:val="CharDivText"/>
        </w:rPr>
        <w:t> </w:t>
      </w:r>
      <w:r>
        <w:rPr>
          <w:rStyle w:val="CharPartText"/>
        </w:rPr>
        <w:t>Transitional provisions</w:t>
      </w:r>
      <w:bookmarkEnd w:id="93"/>
      <w:bookmarkEnd w:id="94"/>
      <w:bookmarkEnd w:id="95"/>
    </w:p>
    <w:p>
      <w:pPr>
        <w:pStyle w:val="Heading5"/>
      </w:pPr>
      <w:bookmarkStart w:id="96" w:name="_Toc525901115"/>
      <w:r>
        <w:rPr>
          <w:rStyle w:val="CharSectno"/>
        </w:rPr>
        <w:t>56</w:t>
      </w:r>
      <w:r>
        <w:t>.</w:t>
      </w:r>
      <w:r>
        <w:tab/>
        <w:t>Term used: commencement day</w:t>
      </w:r>
      <w:bookmarkEnd w:id="96"/>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97" w:name="_Toc525901116"/>
      <w:r>
        <w:rPr>
          <w:rStyle w:val="CharSectno"/>
        </w:rPr>
        <w:t>57</w:t>
      </w:r>
      <w:r>
        <w:t>.</w:t>
      </w:r>
      <w:r>
        <w:tab/>
        <w:t>People carrying on a child</w:t>
      </w:r>
      <w:r>
        <w:noBreakHyphen/>
        <w:t>related business, when s. 24(b) applies to</w:t>
      </w:r>
      <w:bookmarkEnd w:id="97"/>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98" w:name="_Toc525901117"/>
      <w:r>
        <w:rPr>
          <w:rStyle w:val="CharSectno"/>
        </w:rPr>
        <w:t>58</w:t>
      </w:r>
      <w:r>
        <w:t>.</w:t>
      </w:r>
      <w:r>
        <w:tab/>
        <w:t>Volunteers continuing in child</w:t>
      </w:r>
      <w:r>
        <w:noBreakHyphen/>
        <w:t>related employment, when s. 22(6) and 24(a) apply to</w:t>
      </w:r>
      <w:bookmarkEnd w:id="98"/>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99" w:name="_Toc525901118"/>
      <w:r>
        <w:rPr>
          <w:rStyle w:val="CharSectno"/>
        </w:rPr>
        <w:t>59</w:t>
      </w:r>
      <w:r>
        <w:t>.</w:t>
      </w:r>
      <w:r>
        <w:tab/>
        <w:t>Ministers of religion etc. continuing in child</w:t>
      </w:r>
      <w:r>
        <w:noBreakHyphen/>
        <w:t>related employment, when s. 22(6) and 24(a) apply to</w:t>
      </w:r>
      <w:bookmarkEnd w:id="99"/>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100" w:name="_Toc525901119"/>
      <w:r>
        <w:rPr>
          <w:rStyle w:val="CharSectno"/>
        </w:rPr>
        <w:t>60</w:t>
      </w:r>
      <w:r>
        <w:t>.</w:t>
      </w:r>
      <w:r>
        <w:tab/>
        <w:t>Other people in child</w:t>
      </w:r>
      <w:r>
        <w:noBreakHyphen/>
        <w:t>related employment, when s. 22(6) and 24(a) apply to</w:t>
      </w:r>
      <w:bookmarkEnd w:id="100"/>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101" w:name="_Toc525901120"/>
      <w:r>
        <w:rPr>
          <w:rStyle w:val="CharSectno"/>
        </w:rPr>
        <w:t>60A</w:t>
      </w:r>
      <w:r>
        <w:t>.</w:t>
      </w:r>
      <w:r>
        <w:tab/>
        <w:t>Wilful murder charges and convictions between 1 Jan 2006 and 2 Jul 2008 taken to be relevant changes in criminal record</w:t>
      </w:r>
      <w:bookmarkEnd w:id="101"/>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102" w:name="_Toc525901121"/>
      <w:r>
        <w:rPr>
          <w:rStyle w:val="CharSectno"/>
        </w:rPr>
        <w:t>61</w:t>
      </w:r>
      <w:r>
        <w:t>.</w:t>
      </w:r>
      <w:r>
        <w:tab/>
        <w:t>Transitional regulations</w:t>
      </w:r>
      <w:bookmarkEnd w:id="102"/>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3" w:name="_Toc525896809"/>
      <w:bookmarkStart w:id="104" w:name="_Toc525896961"/>
      <w:bookmarkStart w:id="105" w:name="_Toc525901122"/>
      <w:r>
        <w:rPr>
          <w:rStyle w:val="CharSchNo"/>
        </w:rPr>
        <w:t>Schedule 1</w:t>
      </w:r>
      <w:r>
        <w:t xml:space="preserve"> — </w:t>
      </w:r>
      <w:r>
        <w:rPr>
          <w:rStyle w:val="CharSchText"/>
        </w:rPr>
        <w:t>Class 1 offences</w:t>
      </w:r>
      <w:bookmarkEnd w:id="103"/>
      <w:bookmarkEnd w:id="104"/>
      <w:bookmarkEnd w:id="105"/>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r>
        <w:tab/>
        <w:t>[Schedule 1 amended by No. 2 of 2008 s. 74; No. 8 of 2009 s. 140(2); No. 7 of 2010 s. 24.]</w:t>
      </w:r>
    </w:p>
    <w:p>
      <w:pPr>
        <w:pStyle w:val="yScheduleHeading"/>
      </w:pPr>
      <w:bookmarkStart w:id="106" w:name="_Toc525896810"/>
      <w:bookmarkStart w:id="107" w:name="_Toc525896962"/>
      <w:bookmarkStart w:id="108" w:name="_Toc525901123"/>
      <w:r>
        <w:rPr>
          <w:rStyle w:val="CharSchNo"/>
        </w:rPr>
        <w:t>Schedule 2</w:t>
      </w:r>
      <w:r>
        <w:t> — </w:t>
      </w:r>
      <w:r>
        <w:rPr>
          <w:rStyle w:val="CharSchText"/>
        </w:rPr>
        <w:t>Class 2 offences</w:t>
      </w:r>
      <w:bookmarkEnd w:id="106"/>
      <w:bookmarkEnd w:id="107"/>
      <w:bookmarkEnd w:id="108"/>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pPr>
            <w:r>
              <w:t>s. 7B(4)</w:t>
            </w:r>
          </w:p>
        </w:tc>
        <w:tc>
          <w:tcPr>
            <w:tcW w:w="4253" w:type="dxa"/>
            <w:gridSpan w:val="2"/>
          </w:tcPr>
          <w:p>
            <w:pPr>
              <w:pStyle w:val="yTableNAm"/>
            </w:pPr>
            <w:r>
              <w:t>Selling drug paraphernalia to a child</w:t>
            </w: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keepLines/>
            </w:pPr>
            <w:r>
              <w:rPr>
                <w:i/>
                <w:iCs/>
                <w:szCs w:val="22"/>
              </w:rPr>
              <w:t>Misuse of Drugs Act 1981</w:t>
            </w:r>
          </w:p>
        </w:tc>
        <w:tc>
          <w:tcPr>
            <w:tcW w:w="4253" w:type="dxa"/>
            <w:gridSpan w:val="2"/>
          </w:tcPr>
          <w:p>
            <w:pPr>
              <w:pStyle w:val="yTableNAm"/>
              <w:keepNext/>
              <w:keepLines/>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cantSplit/>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45 of 2010 s. 15; No. 50 of 2010 s. 6; No. 56 of 2011 s. 15.]</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10" w:name="_Toc525896811"/>
      <w:bookmarkStart w:id="111" w:name="_Toc525896963"/>
      <w:bookmarkStart w:id="112" w:name="_Toc525901124"/>
      <w:r>
        <w:t>Notes</w:t>
      </w:r>
      <w:bookmarkEnd w:id="110"/>
      <w:bookmarkEnd w:id="111"/>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3" w:name="_Toc525901125"/>
      <w:r>
        <w:rPr>
          <w:snapToGrid w:val="0"/>
        </w:rPr>
        <w:t>Compilation table</w:t>
      </w:r>
      <w:bookmarkEnd w:id="113"/>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vertAlign w:val="superscript"/>
              </w:rPr>
            </w:pPr>
            <w:r>
              <w:rPr>
                <w:i/>
                <w:noProof/>
                <w:snapToGrid w:val="0"/>
              </w:rPr>
              <w:t>Working with Children (Criminal Record Checking) Act 2004</w:t>
            </w:r>
          </w:p>
        </w:tc>
        <w:tc>
          <w:tcPr>
            <w:tcW w:w="1134" w:type="dxa"/>
            <w:gridSpan w:val="2"/>
            <w:tcBorders>
              <w:top w:val="single" w:sz="8" w:space="0" w:color="auto"/>
            </w:tcBorders>
          </w:tcPr>
          <w:p>
            <w:pPr>
              <w:pStyle w:val="nTable"/>
              <w:spacing w:after="40"/>
            </w:pPr>
            <w:r>
              <w:t>65 of 2004</w:t>
            </w:r>
          </w:p>
        </w:tc>
        <w:tc>
          <w:tcPr>
            <w:tcW w:w="1134" w:type="dxa"/>
            <w:gridSpan w:val="2"/>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rPr>
          <w:gridBefore w:val="1"/>
          <w:wBefore w:w="14" w:type="dxa"/>
        </w:trPr>
        <w:tc>
          <w:tcPr>
            <w:tcW w:w="2268" w:type="dxa"/>
            <w:gridSpan w:val="2"/>
          </w:tcPr>
          <w:p>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pPr>
              <w:pStyle w:val="nTable"/>
              <w:spacing w:after="40"/>
            </w:pPr>
            <w:r>
              <w:t>3 of 2006</w:t>
            </w:r>
          </w:p>
        </w:tc>
        <w:tc>
          <w:tcPr>
            <w:tcW w:w="1134" w:type="dxa"/>
            <w:gridSpan w:val="2"/>
          </w:tcPr>
          <w:p>
            <w:pPr>
              <w:pStyle w:val="nTable"/>
              <w:spacing w:after="40"/>
            </w:pPr>
            <w:r>
              <w:t>30 Mar 2006</w:t>
            </w:r>
          </w:p>
        </w:tc>
        <w:tc>
          <w:tcPr>
            <w:tcW w:w="2552" w:type="dxa"/>
          </w:tcPr>
          <w:p>
            <w:pPr>
              <w:pStyle w:val="nTable"/>
              <w:spacing w:after="40"/>
            </w:pPr>
            <w:r>
              <w:t>30 Mar 2006 (see s. 2(1))</w:t>
            </w:r>
          </w:p>
        </w:tc>
      </w:tr>
      <w:tr>
        <w:trPr>
          <w:gridBefore w:val="1"/>
          <w:wBefore w:w="14" w:type="dxa"/>
        </w:trPr>
        <w:tc>
          <w:tcPr>
            <w:tcW w:w="2268" w:type="dxa"/>
            <w:gridSpan w:val="2"/>
          </w:tcPr>
          <w:p>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pPr>
              <w:pStyle w:val="nTable"/>
              <w:spacing w:after="40"/>
            </w:pPr>
            <w:r>
              <w:rPr>
                <w:snapToGrid w:val="0"/>
              </w:rPr>
              <w:t>19 of 2007</w:t>
            </w:r>
          </w:p>
        </w:tc>
        <w:tc>
          <w:tcPr>
            <w:tcW w:w="1134" w:type="dxa"/>
            <w:gridSpan w:val="2"/>
          </w:tcPr>
          <w:p>
            <w:pPr>
              <w:pStyle w:val="nTable"/>
              <w:spacing w:after="40"/>
            </w:pPr>
            <w:r>
              <w:rPr>
                <w:snapToGrid w:val="0"/>
              </w:rPr>
              <w:t>3 Jul 2007</w:t>
            </w:r>
          </w:p>
        </w:tc>
        <w:tc>
          <w:tcPr>
            <w:tcW w:w="2552" w:type="dxa"/>
          </w:tcPr>
          <w:p>
            <w:pPr>
              <w:pStyle w:val="nTable"/>
              <w:spacing w:after="40"/>
            </w:pPr>
            <w:r>
              <w:t xml:space="preserve">10 Aug 2007 (see s. 2(b) and </w:t>
            </w:r>
            <w:r>
              <w:rPr>
                <w:i/>
                <w:iCs/>
              </w:rPr>
              <w:t>Gazette</w:t>
            </w:r>
            <w:r>
              <w:t xml:space="preserve"> 9 Aug 2007 p. 4071)</w:t>
            </w:r>
          </w:p>
        </w:tc>
      </w:tr>
      <w:tr>
        <w:trPr>
          <w:gridBefore w:val="1"/>
          <w:wBefore w:w="14" w:type="dxa"/>
        </w:trPr>
        <w:tc>
          <w:tcPr>
            <w:tcW w:w="2268" w:type="dxa"/>
            <w:gridSpan w:val="2"/>
          </w:tcPr>
          <w:p>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pPr>
              <w:pStyle w:val="nTable"/>
              <w:spacing w:after="40"/>
              <w:rPr>
                <w:snapToGrid w:val="0"/>
              </w:rPr>
            </w:pPr>
            <w:r>
              <w:t>2 of 2008</w:t>
            </w:r>
          </w:p>
        </w:tc>
        <w:tc>
          <w:tcPr>
            <w:tcW w:w="1134" w:type="dxa"/>
            <w:gridSpan w:val="2"/>
          </w:tcPr>
          <w:p>
            <w:pPr>
              <w:pStyle w:val="nTable"/>
              <w:spacing w:after="40"/>
              <w:rPr>
                <w:snapToGrid w:val="0"/>
              </w:rPr>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Before w:val="1"/>
          <w:wBefore w:w="14" w:type="dxa"/>
        </w:trPr>
        <w:tc>
          <w:tcPr>
            <w:tcW w:w="2268" w:type="dxa"/>
            <w:gridSpan w:val="2"/>
          </w:tcPr>
          <w:p>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2" w:type="dxa"/>
          </w:tcPr>
          <w:p>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trPr>
          <w:gridBefore w:val="1"/>
          <w:wBefore w:w="14" w:type="dxa"/>
        </w:trPr>
        <w:tc>
          <w:tcPr>
            <w:tcW w:w="2268" w:type="dxa"/>
            <w:gridSpan w:val="2"/>
          </w:tcPr>
          <w:p>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pPr>
              <w:pStyle w:val="nTable"/>
              <w:spacing w:after="40"/>
            </w:pPr>
            <w:r>
              <w:t>27 of 2008</w:t>
            </w:r>
          </w:p>
        </w:tc>
        <w:tc>
          <w:tcPr>
            <w:tcW w:w="1134" w:type="dxa"/>
            <w:gridSpan w:val="2"/>
          </w:tcPr>
          <w:p>
            <w:pPr>
              <w:pStyle w:val="nTable"/>
              <w:spacing w:after="40"/>
            </w:pPr>
            <w:r>
              <w:t>1 Jul 2008</w:t>
            </w:r>
          </w:p>
        </w:tc>
        <w:tc>
          <w:tcPr>
            <w:tcW w:w="2552" w:type="dxa"/>
          </w:tcPr>
          <w:p>
            <w:pPr>
              <w:pStyle w:val="nTable"/>
              <w:spacing w:after="40"/>
              <w:rPr>
                <w:b/>
                <w:bCs/>
                <w:snapToGrid w:val="0"/>
              </w:rPr>
            </w:pPr>
            <w:r>
              <w:rPr>
                <w:snapToGrid w:val="0"/>
              </w:rPr>
              <w:t>2 Jul 2008 (see s. 2(b))</w:t>
            </w:r>
          </w:p>
        </w:tc>
      </w:tr>
      <w:tr>
        <w:trPr>
          <w:gridBefore w:val="1"/>
          <w:wBefore w:w="14" w:type="dxa"/>
          <w:cantSplit/>
        </w:trPr>
        <w:tc>
          <w:tcPr>
            <w:tcW w:w="7088" w:type="dxa"/>
            <w:gridSpan w:val="7"/>
          </w:tcPr>
          <w:p>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trPr>
          <w:gridBefore w:val="1"/>
          <w:wBefore w:w="14"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tcPr>
          <w:p>
            <w:pPr>
              <w:pStyle w:val="nTable"/>
              <w:spacing w:after="40"/>
            </w:pPr>
            <w:r>
              <w:t>22 May 2009 (see s. 2(b))</w:t>
            </w:r>
          </w:p>
        </w:tc>
      </w:tr>
      <w:tr>
        <w:trPr>
          <w:gridBefore w:val="1"/>
          <w:wBefore w:w="14" w:type="dxa"/>
          <w:cantSplit/>
        </w:trPr>
        <w:tc>
          <w:tcPr>
            <w:tcW w:w="2268" w:type="dxa"/>
            <w:gridSpan w:val="2"/>
          </w:tcPr>
          <w:p>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pPr>
              <w:pStyle w:val="nTable"/>
              <w:spacing w:after="40"/>
            </w:pPr>
            <w:r>
              <w:t>7 of 2010</w:t>
            </w:r>
          </w:p>
        </w:tc>
        <w:tc>
          <w:tcPr>
            <w:tcW w:w="1134" w:type="dxa"/>
            <w:gridSpan w:val="2"/>
          </w:tcPr>
          <w:p>
            <w:pPr>
              <w:pStyle w:val="nTable"/>
              <w:spacing w:after="40"/>
            </w:pPr>
            <w:r>
              <w:t>27 May 2010</w:t>
            </w:r>
          </w:p>
        </w:tc>
        <w:tc>
          <w:tcPr>
            <w:tcW w:w="2552" w:type="dxa"/>
          </w:tcPr>
          <w:p>
            <w:pPr>
              <w:pStyle w:val="nTable"/>
              <w:spacing w:after="40"/>
            </w:pPr>
            <w:r>
              <w:t xml:space="preserve">6 Oct 2010 (see s. 2(b) and </w:t>
            </w:r>
            <w:r>
              <w:rPr>
                <w:i/>
                <w:iCs/>
              </w:rPr>
              <w:t>Gazette</w:t>
            </w:r>
            <w:r>
              <w:t xml:space="preserve"> 5 Oct 2010 p. 5113)</w:t>
            </w:r>
          </w:p>
        </w:tc>
      </w:tr>
      <w:tr>
        <w:trPr>
          <w:gridBefore w:val="1"/>
          <w:wBefore w:w="14" w:type="dxa"/>
          <w:cantSplit/>
        </w:trPr>
        <w:tc>
          <w:tcPr>
            <w:tcW w:w="2268" w:type="dxa"/>
            <w:gridSpan w:val="2"/>
          </w:tcPr>
          <w:p>
            <w:pPr>
              <w:pStyle w:val="nTable"/>
              <w:spacing w:after="40"/>
              <w:ind w:right="113"/>
              <w:rPr>
                <w:i/>
              </w:rPr>
            </w:pPr>
            <w:r>
              <w:rPr>
                <w:i/>
                <w:iCs/>
              </w:rPr>
              <w:t xml:space="preserve">Child Pornography and Exploitation Material and Classification Legislation Amendment Act 2010 </w:t>
            </w:r>
            <w:r>
              <w:t>s. 15</w:t>
            </w:r>
          </w:p>
        </w:tc>
        <w:tc>
          <w:tcPr>
            <w:tcW w:w="1134" w:type="dxa"/>
            <w:gridSpan w:val="2"/>
          </w:tcPr>
          <w:p>
            <w:pPr>
              <w:pStyle w:val="nTable"/>
              <w:spacing w:after="40"/>
            </w:pPr>
            <w:r>
              <w:t>21 of 2010</w:t>
            </w:r>
          </w:p>
        </w:tc>
        <w:tc>
          <w:tcPr>
            <w:tcW w:w="1134" w:type="dxa"/>
            <w:gridSpan w:val="2"/>
          </w:tcPr>
          <w:p>
            <w:pPr>
              <w:pStyle w:val="nTable"/>
              <w:spacing w:after="40"/>
            </w:pPr>
            <w:r>
              <w:t>7 Jul 2010</w:t>
            </w:r>
          </w:p>
        </w:tc>
        <w:tc>
          <w:tcPr>
            <w:tcW w:w="2552" w:type="dxa"/>
          </w:tcPr>
          <w:p>
            <w:pPr>
              <w:pStyle w:val="nTable"/>
              <w:spacing w:after="40"/>
            </w:pPr>
            <w:r>
              <w:rPr>
                <w:snapToGrid w:val="0"/>
              </w:rPr>
              <w:t xml:space="preserve">28 Aug 2010 (see s. 2(b) and </w:t>
            </w:r>
            <w:r>
              <w:rPr>
                <w:i/>
                <w:iCs/>
                <w:snapToGrid w:val="0"/>
              </w:rPr>
              <w:t>Gazette</w:t>
            </w:r>
            <w:r>
              <w:rPr>
                <w:snapToGrid w:val="0"/>
              </w:rPr>
              <w:t xml:space="preserve"> 27 Aug 2010 p. 4105)</w:t>
            </w:r>
          </w:p>
        </w:tc>
      </w:tr>
      <w:tr>
        <w:trPr>
          <w:gridBefore w:val="1"/>
          <w:wBefore w:w="14" w:type="dxa"/>
          <w:cantSplit/>
        </w:trPr>
        <w:tc>
          <w:tcPr>
            <w:tcW w:w="2268" w:type="dxa"/>
            <w:gridSpan w:val="2"/>
          </w:tcPr>
          <w:p>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pPr>
              <w:pStyle w:val="nTable"/>
              <w:spacing w:after="40"/>
            </w:pPr>
            <w:r>
              <w:t>45 of 2010</w:t>
            </w:r>
          </w:p>
        </w:tc>
        <w:tc>
          <w:tcPr>
            <w:tcW w:w="1134" w:type="dxa"/>
            <w:gridSpan w:val="2"/>
          </w:tcPr>
          <w:p>
            <w:pPr>
              <w:pStyle w:val="nTable"/>
              <w:spacing w:after="40"/>
            </w:pPr>
            <w: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gridBefore w:val="1"/>
          <w:wBefore w:w="14" w:type="dxa"/>
          <w:cantSplit/>
        </w:trPr>
        <w:tc>
          <w:tcPr>
            <w:tcW w:w="2268" w:type="dxa"/>
            <w:gridSpan w:val="2"/>
          </w:tcPr>
          <w:p>
            <w:pPr>
              <w:pStyle w:val="nTable"/>
              <w:spacing w:after="40"/>
              <w:ind w:right="113"/>
              <w:rPr>
                <w:i/>
                <w:iCs/>
              </w:rPr>
            </w:pPr>
            <w:r>
              <w:rPr>
                <w:i/>
                <w:iCs/>
              </w:rPr>
              <w:t>Children and Community Services Amendment Act 2010</w:t>
            </w:r>
            <w:r>
              <w:t xml:space="preserve"> Pt. 2 Div. 2</w:t>
            </w:r>
          </w:p>
        </w:tc>
        <w:tc>
          <w:tcPr>
            <w:tcW w:w="1134" w:type="dxa"/>
            <w:gridSpan w:val="2"/>
          </w:tcPr>
          <w:p>
            <w:pPr>
              <w:pStyle w:val="nTable"/>
              <w:spacing w:after="40"/>
            </w:pPr>
            <w:r>
              <w:t>49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gridBefore w:val="1"/>
          <w:wBefore w:w="14" w:type="dxa"/>
          <w:cantSplit/>
        </w:trPr>
        <w:tc>
          <w:tcPr>
            <w:tcW w:w="2268" w:type="dxa"/>
            <w:gridSpan w:val="2"/>
          </w:tcPr>
          <w:p>
            <w:pPr>
              <w:pStyle w:val="nTable"/>
              <w:spacing w:after="40"/>
              <w:ind w:right="113"/>
            </w:pPr>
            <w:r>
              <w:rPr>
                <w:i/>
                <w:iCs/>
              </w:rPr>
              <w:t>Misuse of Drugs Amendment Act (No. 2) 2010</w:t>
            </w:r>
            <w:r>
              <w:t xml:space="preserve"> Pt. 3</w:t>
            </w:r>
          </w:p>
        </w:tc>
        <w:tc>
          <w:tcPr>
            <w:tcW w:w="1134" w:type="dxa"/>
            <w:gridSpan w:val="2"/>
          </w:tcPr>
          <w:p>
            <w:pPr>
              <w:pStyle w:val="nTable"/>
              <w:spacing w:after="40"/>
            </w:pPr>
            <w:r>
              <w:t>50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25 Nov 2010 (see s. 2(b))</w:t>
            </w:r>
          </w:p>
        </w:tc>
      </w:tr>
      <w:tr>
        <w:trPr>
          <w:gridBefore w:val="1"/>
          <w:wBefore w:w="14" w:type="dxa"/>
          <w:cantSplit/>
        </w:trPr>
        <w:tc>
          <w:tcPr>
            <w:tcW w:w="7088" w:type="dxa"/>
            <w:gridSpan w:val="7"/>
          </w:tcPr>
          <w:p>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trPr>
          <w:gridBefore w:val="1"/>
          <w:wBefore w:w="14" w:type="dxa"/>
          <w:cantSplit/>
        </w:trPr>
        <w:tc>
          <w:tcPr>
            <w:tcW w:w="2268" w:type="dxa"/>
            <w:gridSpan w:val="2"/>
          </w:tcPr>
          <w:p>
            <w:pPr>
              <w:pStyle w:val="nTable"/>
              <w:spacing w:after="40"/>
              <w:ind w:right="113"/>
            </w:pPr>
            <w:r>
              <w:rPr>
                <w:i/>
                <w:snapToGrid w:val="0"/>
              </w:rPr>
              <w:t>Child Care Services Amendment Act 2011</w:t>
            </w:r>
            <w:r>
              <w:rPr>
                <w:snapToGrid w:val="0"/>
              </w:rPr>
              <w:t xml:space="preserve"> Pt. 3</w:t>
            </w:r>
          </w:p>
        </w:tc>
        <w:tc>
          <w:tcPr>
            <w:tcW w:w="1134" w:type="dxa"/>
            <w:gridSpan w:val="2"/>
          </w:tcPr>
          <w:p>
            <w:pPr>
              <w:pStyle w:val="nTable"/>
              <w:spacing w:after="40"/>
            </w:pPr>
            <w:r>
              <w:t>38 of 2011</w:t>
            </w:r>
          </w:p>
        </w:tc>
        <w:tc>
          <w:tcPr>
            <w:tcW w:w="1134" w:type="dxa"/>
            <w:gridSpan w:val="2"/>
          </w:tcPr>
          <w:p>
            <w:pPr>
              <w:pStyle w:val="nTable"/>
              <w:spacing w:after="40"/>
            </w:pPr>
            <w:r>
              <w:t>4 Oct 2011</w:t>
            </w:r>
          </w:p>
        </w:tc>
        <w:tc>
          <w:tcPr>
            <w:tcW w:w="2552" w:type="dxa"/>
          </w:tcPr>
          <w:p>
            <w:pPr>
              <w:pStyle w:val="nTable"/>
              <w:spacing w:after="40"/>
            </w:pPr>
            <w:r>
              <w:rPr>
                <w:snapToGrid w:val="0"/>
              </w:rPr>
              <w:t xml:space="preserve">7 Jan 2012 (see s. 2(b) and </w:t>
            </w:r>
            <w:r>
              <w:rPr>
                <w:i/>
                <w:snapToGrid w:val="0"/>
              </w:rPr>
              <w:t>Gazette</w:t>
            </w:r>
            <w:r>
              <w:rPr>
                <w:snapToGrid w:val="0"/>
              </w:rPr>
              <w:t xml:space="preserve"> 6 Jan 2012 p. 3)</w:t>
            </w:r>
          </w:p>
        </w:tc>
      </w:tr>
      <w:tr>
        <w:trPr>
          <w:gridBefore w:val="1"/>
          <w:wBefore w:w="14" w:type="dxa"/>
          <w:cantSplit/>
        </w:trPr>
        <w:tc>
          <w:tcPr>
            <w:tcW w:w="2268" w:type="dxa"/>
            <w:gridSpan w:val="2"/>
          </w:tcPr>
          <w:p>
            <w:pPr>
              <w:pStyle w:val="nTable"/>
              <w:spacing w:after="40"/>
              <w:ind w:right="113"/>
            </w:pPr>
            <w:r>
              <w:rPr>
                <w:i/>
                <w:snapToGrid w:val="0"/>
              </w:rPr>
              <w:t>Misuse of Drugs Amendment Act 2011</w:t>
            </w:r>
            <w:r>
              <w:rPr>
                <w:snapToGrid w:val="0"/>
              </w:rPr>
              <w:t xml:space="preserve"> Pt. 5</w:t>
            </w:r>
          </w:p>
        </w:tc>
        <w:tc>
          <w:tcPr>
            <w:tcW w:w="1134" w:type="dxa"/>
            <w:gridSpan w:val="2"/>
          </w:tcPr>
          <w:p>
            <w:pPr>
              <w:pStyle w:val="nTable"/>
              <w:spacing w:after="40"/>
            </w:pPr>
            <w:r>
              <w:t>56 of 2011</w:t>
            </w:r>
          </w:p>
        </w:tc>
        <w:tc>
          <w:tcPr>
            <w:tcW w:w="1134" w:type="dxa"/>
            <w:gridSpan w:val="2"/>
          </w:tcPr>
          <w:p>
            <w:pPr>
              <w:pStyle w:val="nTable"/>
              <w:spacing w:after="40"/>
            </w:pPr>
            <w:r>
              <w:t>21 Nov 2011</w:t>
            </w:r>
          </w:p>
        </w:tc>
        <w:tc>
          <w:tcPr>
            <w:tcW w:w="2552" w:type="dxa"/>
          </w:tcPr>
          <w:p>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gridBefore w:val="1"/>
          <w:wBefore w:w="14" w:type="dxa"/>
          <w:cantSplit/>
        </w:trPr>
        <w:tc>
          <w:tcPr>
            <w:tcW w:w="7088" w:type="dxa"/>
            <w:gridSpan w:val="7"/>
            <w:shd w:val="clear" w:color="auto" w:fill="auto"/>
          </w:tcPr>
          <w:p>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nil"/>
            </w:tcBorders>
            <w:shd w:val="clear" w:color="auto" w:fill="auto"/>
          </w:tcPr>
          <w:p>
            <w:pPr>
              <w:pStyle w:val="nTable"/>
              <w:spacing w:after="40"/>
              <w:rPr>
                <w:snapToGrid w:val="0"/>
              </w:rPr>
            </w:pPr>
            <w:r>
              <w:rPr>
                <w:snapToGrid w:val="0"/>
              </w:rPr>
              <w:t>11 of 2012</w:t>
            </w:r>
          </w:p>
        </w:tc>
        <w:tc>
          <w:tcPr>
            <w:tcW w:w="1134" w:type="dxa"/>
            <w:gridSpan w:val="2"/>
            <w:tcBorders>
              <w:top w:val="nil"/>
              <w:bottom w:val="nil"/>
            </w:tcBorders>
            <w:shd w:val="clear" w:color="auto" w:fill="auto"/>
          </w:tcPr>
          <w:p>
            <w:pPr>
              <w:pStyle w:val="nTable"/>
              <w:spacing w:after="40"/>
              <w:rPr>
                <w:snapToGrid w:val="0"/>
              </w:rPr>
            </w:pPr>
            <w:r>
              <w:t>20 Jun 2012</w:t>
            </w:r>
          </w:p>
        </w:tc>
        <w:tc>
          <w:tcPr>
            <w:tcW w:w="2566" w:type="dxa"/>
            <w:gridSpan w:val="2"/>
            <w:tcBorders>
              <w:top w:val="nil"/>
              <w:bottom w:val="nil"/>
            </w:tcBorders>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4" w:space="0" w:color="auto"/>
            </w:tcBorders>
            <w:shd w:val="clear" w:color="auto" w:fill="auto"/>
          </w:tcPr>
          <w:p>
            <w:pPr>
              <w:pStyle w:val="nTable"/>
              <w:spacing w:after="40"/>
              <w:rPr>
                <w:i/>
                <w:snapToGrid w:val="0"/>
              </w:rPr>
            </w:pPr>
            <w:r>
              <w:rPr>
                <w:i/>
              </w:rPr>
              <w:t>Education and Care Services National Law (WA) Amendment Act 2018</w:t>
            </w:r>
            <w:r>
              <w:t xml:space="preserve"> Pt. 4</w:t>
            </w:r>
          </w:p>
        </w:tc>
        <w:tc>
          <w:tcPr>
            <w:tcW w:w="1134" w:type="dxa"/>
            <w:gridSpan w:val="2"/>
            <w:tcBorders>
              <w:top w:val="nil"/>
              <w:bottom w:val="single" w:sz="4" w:space="0" w:color="auto"/>
            </w:tcBorders>
            <w:shd w:val="clear" w:color="auto" w:fill="auto"/>
          </w:tcPr>
          <w:p>
            <w:pPr>
              <w:pStyle w:val="nTable"/>
              <w:spacing w:after="40"/>
              <w:rPr>
                <w:snapToGrid w:val="0"/>
              </w:rPr>
            </w:pPr>
            <w:r>
              <w:t>18 of 2018</w:t>
            </w:r>
          </w:p>
        </w:tc>
        <w:tc>
          <w:tcPr>
            <w:tcW w:w="1134" w:type="dxa"/>
            <w:gridSpan w:val="2"/>
            <w:tcBorders>
              <w:top w:val="nil"/>
              <w:bottom w:val="single" w:sz="4" w:space="0" w:color="auto"/>
            </w:tcBorders>
            <w:shd w:val="clear" w:color="auto" w:fill="auto"/>
          </w:tcPr>
          <w:p>
            <w:pPr>
              <w:pStyle w:val="nTable"/>
              <w:spacing w:after="40"/>
            </w:pPr>
            <w:r>
              <w:t>7 Sep 2018</w:t>
            </w:r>
          </w:p>
        </w:tc>
        <w:tc>
          <w:tcPr>
            <w:tcW w:w="2566" w:type="dxa"/>
            <w:gridSpan w:val="2"/>
            <w:tcBorders>
              <w:top w:val="nil"/>
              <w:bottom w:val="single" w:sz="4" w:space="0" w:color="auto"/>
            </w:tcBorders>
            <w:shd w:val="clear" w:color="auto" w:fill="auto"/>
          </w:tcPr>
          <w:p>
            <w:pPr>
              <w:pStyle w:val="nTable"/>
              <w:spacing w:after="40"/>
              <w:rPr>
                <w:snapToGrid w:val="0"/>
              </w:rPr>
            </w:pPr>
            <w:r>
              <w:rPr>
                <w:snapToGrid w:val="0"/>
              </w:rPr>
              <w:t>1 Oct 2018 (see s. 2(b)(i))</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4" w:name="_Toc525901126"/>
      <w:r>
        <w:rPr>
          <w:snapToGrid w:val="0"/>
        </w:rPr>
        <w:t>Provisions that have not come into operation</w:t>
      </w:r>
      <w:bookmarkEnd w:id="114"/>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1"/>
        <w:gridCol w:w="1121"/>
        <w:gridCol w:w="2492"/>
        <w:gridCol w:w="88"/>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8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4" w:space="0" w:color="auto"/>
              <w:bottom w:val="nil"/>
            </w:tcBorders>
          </w:tcPr>
          <w:p>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 xml:space="preserve">Sch. 1 cl. 3) </w:t>
            </w:r>
            <w:r>
              <w:rPr>
                <w:iCs/>
                <w:noProof/>
                <w:snapToGrid w:val="0"/>
                <w:vertAlign w:val="superscript"/>
              </w:rPr>
              <w:t>2</w:t>
            </w:r>
          </w:p>
        </w:tc>
        <w:tc>
          <w:tcPr>
            <w:tcW w:w="1121" w:type="dxa"/>
            <w:tcBorders>
              <w:top w:val="single" w:sz="4" w:space="0" w:color="auto"/>
              <w:bottom w:val="nil"/>
            </w:tcBorders>
          </w:tcPr>
          <w:p>
            <w:pPr>
              <w:pStyle w:val="nTable"/>
              <w:keepNext/>
              <w:spacing w:after="40"/>
            </w:pPr>
            <w:r>
              <w:rPr>
                <w:snapToGrid w:val="0"/>
              </w:rPr>
              <w:t>48 of 2006</w:t>
            </w:r>
          </w:p>
        </w:tc>
        <w:tc>
          <w:tcPr>
            <w:tcW w:w="1121" w:type="dxa"/>
            <w:tcBorders>
              <w:top w:val="single" w:sz="4" w:space="0" w:color="auto"/>
              <w:bottom w:val="nil"/>
            </w:tcBorders>
          </w:tcPr>
          <w:p>
            <w:pPr>
              <w:pStyle w:val="nTable"/>
              <w:keepNext/>
              <w:spacing w:after="40"/>
            </w:pPr>
            <w:r>
              <w:rPr>
                <w:snapToGrid w:val="0"/>
              </w:rPr>
              <w:t>4 Oct 2006</w:t>
            </w:r>
          </w:p>
        </w:tc>
        <w:tc>
          <w:tcPr>
            <w:tcW w:w="2580" w:type="dxa"/>
            <w:gridSpan w:val="2"/>
            <w:tcBorders>
              <w:top w:val="single" w:sz="4" w:space="0" w:color="auto"/>
              <w:bottom w:val="nil"/>
            </w:tcBorders>
          </w:tcPr>
          <w:p>
            <w:pPr>
              <w:pStyle w:val="nTable"/>
              <w:keepNext/>
              <w:spacing w:after="40"/>
              <w:rPr>
                <w:snapToGrid w:val="0"/>
              </w:rPr>
            </w:pPr>
            <w:r>
              <w:rPr>
                <w:snapToGrid w:val="0"/>
              </w:rPr>
              <w:t>To be proclaimed (see s. 2)</w:t>
            </w:r>
          </w:p>
        </w:tc>
      </w:tr>
      <w:tr>
        <w:tc>
          <w:tcPr>
            <w:tcW w:w="2267" w:type="dxa"/>
            <w:tcBorders>
              <w:top w:val="nil"/>
              <w:bottom w:val="nil"/>
            </w:tcBorders>
          </w:tcPr>
          <w:p>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 </w:t>
            </w:r>
            <w:r>
              <w:rPr>
                <w:iCs/>
                <w:snapToGrid w:val="0"/>
                <w:vertAlign w:val="superscript"/>
              </w:rPr>
              <w:t>3</w:t>
            </w:r>
          </w:p>
        </w:tc>
        <w:tc>
          <w:tcPr>
            <w:tcW w:w="1121" w:type="dxa"/>
            <w:tcBorders>
              <w:top w:val="nil"/>
              <w:bottom w:val="nil"/>
            </w:tcBorders>
          </w:tcPr>
          <w:p>
            <w:pPr>
              <w:pStyle w:val="nTable"/>
              <w:spacing w:after="40"/>
            </w:pPr>
            <w:r>
              <w:t>13 of 2008</w:t>
            </w:r>
          </w:p>
        </w:tc>
        <w:tc>
          <w:tcPr>
            <w:tcW w:w="1121" w:type="dxa"/>
            <w:tcBorders>
              <w:top w:val="nil"/>
              <w:bottom w:val="nil"/>
            </w:tcBorders>
          </w:tcPr>
          <w:p>
            <w:pPr>
              <w:pStyle w:val="nTable"/>
              <w:spacing w:after="40"/>
            </w:pPr>
            <w:r>
              <w:t>14 Apr 2008</w:t>
            </w:r>
          </w:p>
        </w:tc>
        <w:tc>
          <w:tcPr>
            <w:tcW w:w="2580"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8" w:type="dxa"/>
        </w:trPr>
        <w:tc>
          <w:tcPr>
            <w:tcW w:w="2267" w:type="dxa"/>
            <w:tcBorders>
              <w:top w:val="nil"/>
              <w:bottom w:val="single" w:sz="4" w:space="0" w:color="auto"/>
            </w:tcBorders>
          </w:tcPr>
          <w:p>
            <w:pPr>
              <w:pStyle w:val="nTable"/>
              <w:spacing w:after="40"/>
              <w:rPr>
                <w:vertAlign w:val="superscript"/>
              </w:rPr>
            </w:pPr>
            <w:r>
              <w:rPr>
                <w:i/>
              </w:rPr>
              <w:t xml:space="preserve">Historical Homosexual Convictions Expungement Act 2018 </w:t>
            </w:r>
            <w:r>
              <w:t>Pt. 5 </w:t>
            </w:r>
            <w:r>
              <w:rPr>
                <w:vertAlign w:val="superscript"/>
              </w:rPr>
              <w:t>5</w:t>
            </w:r>
          </w:p>
        </w:tc>
        <w:tc>
          <w:tcPr>
            <w:tcW w:w="1121" w:type="dxa"/>
            <w:tcBorders>
              <w:top w:val="nil"/>
              <w:bottom w:val="single" w:sz="4" w:space="0" w:color="auto"/>
            </w:tcBorders>
          </w:tcPr>
          <w:p>
            <w:pPr>
              <w:pStyle w:val="nTable"/>
              <w:spacing w:after="40"/>
            </w:pPr>
            <w:r>
              <w:t>20 of 2018</w:t>
            </w:r>
          </w:p>
        </w:tc>
        <w:tc>
          <w:tcPr>
            <w:tcW w:w="1121" w:type="dxa"/>
            <w:tcBorders>
              <w:top w:val="nil"/>
              <w:bottom w:val="single" w:sz="4" w:space="0" w:color="auto"/>
            </w:tcBorders>
          </w:tcPr>
          <w:p>
            <w:pPr>
              <w:pStyle w:val="nTable"/>
              <w:spacing w:after="40"/>
            </w:pPr>
            <w:r>
              <w:t>18 Sep 2018</w:t>
            </w:r>
          </w:p>
        </w:tc>
        <w:tc>
          <w:tcPr>
            <w:tcW w:w="2492" w:type="dxa"/>
            <w:tcBorders>
              <w:top w:val="nil"/>
              <w:bottom w:val="single" w:sz="4" w:space="0" w:color="auto"/>
            </w:tcBorders>
          </w:tcPr>
          <w:p>
            <w:pPr>
              <w:pStyle w:val="nTable"/>
              <w:spacing w:after="40"/>
            </w:pPr>
            <w:r>
              <w:t>To be proclaimed (see s. 2(b))</w:t>
            </w:r>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rPr>
        <w:t>Commissioner for Children and Young People Act 2006</w:t>
      </w:r>
      <w:r>
        <w:rPr>
          <w:snapToGrid w:val="0"/>
        </w:rPr>
        <w:t xml:space="preserve"> Sch. 1 cl. 3 had not come into operation. It reads as follows:</w:t>
      </w:r>
    </w:p>
    <w:p>
      <w:pPr>
        <w:pStyle w:val="BlankOpen"/>
        <w:keepLines w:val="0"/>
        <w:rPr>
          <w:sz w:val="16"/>
        </w:rPr>
      </w:pPr>
    </w:p>
    <w:p>
      <w:pPr>
        <w:pStyle w:val="nzHeading2"/>
        <w:spacing w:before="0"/>
      </w:pPr>
      <w:r>
        <w:rPr>
          <w:rStyle w:val="CharSchNo"/>
        </w:rPr>
        <w:t>Schedule 1</w:t>
      </w:r>
      <w:r>
        <w:rPr>
          <w:rStyle w:val="CharSDivNo"/>
        </w:rPr>
        <w:t> </w:t>
      </w:r>
      <w:r>
        <w:t>—</w:t>
      </w:r>
      <w:r>
        <w:rPr>
          <w:rStyle w:val="CharSDivText"/>
        </w:rPr>
        <w:t> </w:t>
      </w:r>
      <w:r>
        <w:rPr>
          <w:rStyle w:val="CharSchText"/>
        </w:rPr>
        <w:t>Consequential amendments</w:t>
      </w:r>
    </w:p>
    <w:p>
      <w:pPr>
        <w:pStyle w:val="nzMiscellaneousBody"/>
        <w:keepNext/>
        <w:jc w:val="right"/>
      </w:pPr>
      <w:r>
        <w:t>[s. 65]</w:t>
      </w:r>
    </w:p>
    <w:p>
      <w:pPr>
        <w:pStyle w:val="nzHeading5"/>
        <w:keepLines w:val="0"/>
        <w:spacing w:before="60"/>
      </w:pPr>
      <w:r>
        <w:rPr>
          <w:rStyle w:val="CharSClsNo"/>
        </w:rPr>
        <w:t>3</w:t>
      </w:r>
      <w:r>
        <w:t>.</w:t>
      </w:r>
      <w:r>
        <w:tab/>
      </w:r>
      <w:r>
        <w:rPr>
          <w:i/>
          <w:iCs/>
        </w:rPr>
        <w:t>Working with Children (Criminal Record Checking) Act 2004</w:t>
      </w:r>
      <w:r>
        <w:t xml:space="preserve"> amended</w:t>
      </w:r>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keepNext/>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1419" w:type="dxa"/>
        <w:tblLayout w:type="fixed"/>
        <w:tblLook w:val="0000" w:firstRow="0" w:lastRow="0" w:firstColumn="0" w:lastColumn="0" w:noHBand="0" w:noVBand="0"/>
      </w:tblPr>
      <w:tblGrid>
        <w:gridCol w:w="2907"/>
        <w:gridCol w:w="2565"/>
      </w:tblGrid>
      <w:tr>
        <w:trPr>
          <w:tblHeader/>
        </w:trPr>
        <w:tc>
          <w:tcPr>
            <w:tcW w:w="2907" w:type="dxa"/>
          </w:tcPr>
          <w:p>
            <w:pPr>
              <w:pStyle w:val="nzTable"/>
              <w:keepNext/>
              <w:keepLines/>
            </w:pPr>
            <w:r>
              <w:t>s. 3</w:t>
            </w:r>
          </w:p>
        </w:tc>
        <w:tc>
          <w:tcPr>
            <w:tcW w:w="2565" w:type="dxa"/>
          </w:tcPr>
          <w:p>
            <w:pPr>
              <w:pStyle w:val="nzTable"/>
              <w:keepNext/>
              <w:keepLines/>
            </w:pPr>
            <w:r>
              <w:t>s. 26(1) and (2)</w:t>
            </w:r>
          </w:p>
        </w:tc>
      </w:tr>
      <w:tr>
        <w:tc>
          <w:tcPr>
            <w:tcW w:w="290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565" w:type="dxa"/>
          </w:tcPr>
          <w:p>
            <w:pPr>
              <w:pStyle w:val="nzTable"/>
              <w:keepNext/>
              <w:keepLines/>
            </w:pPr>
            <w:r>
              <w:t>s. 28(1) and (2)</w:t>
            </w:r>
          </w:p>
        </w:tc>
      </w:tr>
      <w:tr>
        <w:tc>
          <w:tcPr>
            <w:tcW w:w="2907" w:type="dxa"/>
          </w:tcPr>
          <w:p>
            <w:pPr>
              <w:pStyle w:val="nzTable"/>
            </w:pPr>
            <w:r>
              <w:t>s. 6(1)(b)</w:t>
            </w:r>
          </w:p>
        </w:tc>
        <w:tc>
          <w:tcPr>
            <w:tcW w:w="2565" w:type="dxa"/>
          </w:tcPr>
          <w:p>
            <w:pPr>
              <w:pStyle w:val="nzTable"/>
            </w:pPr>
            <w:r>
              <w:t>s. 29(2)</w:t>
            </w:r>
          </w:p>
        </w:tc>
      </w:tr>
      <w:tr>
        <w:tc>
          <w:tcPr>
            <w:tcW w:w="2907" w:type="dxa"/>
          </w:tcPr>
          <w:p>
            <w:pPr>
              <w:pStyle w:val="nzTable"/>
            </w:pPr>
            <w:r>
              <w:t>s. 9(1) and (4)</w:t>
            </w:r>
          </w:p>
        </w:tc>
        <w:tc>
          <w:tcPr>
            <w:tcW w:w="2565" w:type="dxa"/>
          </w:tcPr>
          <w:p>
            <w:pPr>
              <w:pStyle w:val="nzTable"/>
            </w:pPr>
            <w:r>
              <w:t>s. 30</w:t>
            </w:r>
          </w:p>
        </w:tc>
      </w:tr>
      <w:tr>
        <w:tc>
          <w:tcPr>
            <w:tcW w:w="2907" w:type="dxa"/>
          </w:tcPr>
          <w:p>
            <w:pPr>
              <w:pStyle w:val="nzTable"/>
            </w:pPr>
            <w:r>
              <w:t>s. 10(1) and (4)</w:t>
            </w:r>
          </w:p>
        </w:tc>
        <w:tc>
          <w:tcPr>
            <w:tcW w:w="2565" w:type="dxa"/>
          </w:tcPr>
          <w:p>
            <w:pPr>
              <w:pStyle w:val="nzTable"/>
            </w:pPr>
            <w:r>
              <w:t>s. 32(1)</w:t>
            </w:r>
          </w:p>
        </w:tc>
      </w:tr>
      <w:tr>
        <w:tc>
          <w:tcPr>
            <w:tcW w:w="2907" w:type="dxa"/>
          </w:tcPr>
          <w:p>
            <w:pPr>
              <w:pStyle w:val="nzTable"/>
            </w:pPr>
            <w:r>
              <w:t>s. 11(2) and (3)</w:t>
            </w:r>
          </w:p>
        </w:tc>
        <w:tc>
          <w:tcPr>
            <w:tcW w:w="2565" w:type="dxa"/>
          </w:tcPr>
          <w:p>
            <w:pPr>
              <w:pStyle w:val="nzTable"/>
            </w:pPr>
            <w:r>
              <w:t>s. 34(2), (3), (4) and (5)</w:t>
            </w:r>
          </w:p>
        </w:tc>
      </w:tr>
      <w:tr>
        <w:tc>
          <w:tcPr>
            <w:tcW w:w="2907" w:type="dxa"/>
          </w:tcPr>
          <w:p>
            <w:pPr>
              <w:pStyle w:val="nzTable"/>
            </w:pPr>
            <w:r>
              <w:t>s. 12(1) to (10)</w:t>
            </w:r>
          </w:p>
        </w:tc>
        <w:tc>
          <w:tcPr>
            <w:tcW w:w="2565" w:type="dxa"/>
          </w:tcPr>
          <w:p>
            <w:pPr>
              <w:pStyle w:val="nzTable"/>
            </w:pPr>
            <w:r>
              <w:t>s. 35(b)</w:t>
            </w:r>
          </w:p>
        </w:tc>
      </w:tr>
      <w:tr>
        <w:tc>
          <w:tcPr>
            <w:tcW w:w="2907" w:type="dxa"/>
          </w:tcPr>
          <w:p>
            <w:pPr>
              <w:pStyle w:val="nzTable"/>
            </w:pPr>
            <w:r>
              <w:t>s. 13(1) to (7)</w:t>
            </w:r>
          </w:p>
        </w:tc>
        <w:tc>
          <w:tcPr>
            <w:tcW w:w="2565" w:type="dxa"/>
          </w:tcPr>
          <w:p>
            <w:pPr>
              <w:pStyle w:val="nzTable"/>
            </w:pPr>
            <w:r>
              <w:t>s. 36</w:t>
            </w:r>
          </w:p>
        </w:tc>
      </w:tr>
      <w:tr>
        <w:tc>
          <w:tcPr>
            <w:tcW w:w="2907" w:type="dxa"/>
          </w:tcPr>
          <w:p>
            <w:pPr>
              <w:pStyle w:val="nzTable"/>
            </w:pPr>
            <w:r>
              <w:t>s. 16(1), (2) and (3)</w:t>
            </w:r>
          </w:p>
        </w:tc>
        <w:tc>
          <w:tcPr>
            <w:tcW w:w="2565" w:type="dxa"/>
          </w:tcPr>
          <w:p>
            <w:pPr>
              <w:pStyle w:val="nzTable"/>
            </w:pPr>
            <w:r>
              <w:t>s. 37(1), (2) and (3)</w:t>
            </w:r>
          </w:p>
        </w:tc>
      </w:tr>
      <w:tr>
        <w:tc>
          <w:tcPr>
            <w:tcW w:w="2907" w:type="dxa"/>
          </w:tcPr>
          <w:p>
            <w:pPr>
              <w:pStyle w:val="nzTable"/>
            </w:pPr>
            <w:r>
              <w:t>s. 17(1) and (3)</w:t>
            </w:r>
          </w:p>
        </w:tc>
        <w:tc>
          <w:tcPr>
            <w:tcW w:w="2565" w:type="dxa"/>
          </w:tcPr>
          <w:p>
            <w:pPr>
              <w:pStyle w:val="nzTable"/>
            </w:pPr>
            <w:r>
              <w:t>s. 38(2), (3) and (4)</w:t>
            </w:r>
          </w:p>
        </w:tc>
      </w:tr>
      <w:tr>
        <w:tc>
          <w:tcPr>
            <w:tcW w:w="2907" w:type="dxa"/>
          </w:tcPr>
          <w:p>
            <w:pPr>
              <w:pStyle w:val="nzTable"/>
            </w:pPr>
            <w:r>
              <w:t>s. 18(1) and (2)</w:t>
            </w:r>
          </w:p>
        </w:tc>
        <w:tc>
          <w:tcPr>
            <w:tcW w:w="2565" w:type="dxa"/>
          </w:tcPr>
          <w:p>
            <w:pPr>
              <w:pStyle w:val="nzTable"/>
            </w:pPr>
            <w:r>
              <w:t>s. 42(2)</w:t>
            </w:r>
          </w:p>
        </w:tc>
      </w:tr>
      <w:tr>
        <w:tc>
          <w:tcPr>
            <w:tcW w:w="2907" w:type="dxa"/>
          </w:tcPr>
          <w:p>
            <w:pPr>
              <w:pStyle w:val="nzTable"/>
            </w:pPr>
            <w:r>
              <w:t>s. 19(1), (9) and (10)</w:t>
            </w:r>
          </w:p>
        </w:tc>
        <w:tc>
          <w:tcPr>
            <w:tcW w:w="2565" w:type="dxa"/>
          </w:tcPr>
          <w:p>
            <w:pPr>
              <w:pStyle w:val="nzTable"/>
            </w:pPr>
            <w:r>
              <w:t>s. 44(3), (4) and (5)</w:t>
            </w:r>
          </w:p>
        </w:tc>
      </w:tr>
      <w:tr>
        <w:tc>
          <w:tcPr>
            <w:tcW w:w="2907" w:type="dxa"/>
          </w:tcPr>
          <w:p>
            <w:pPr>
              <w:pStyle w:val="nzTable"/>
            </w:pPr>
            <w:r>
              <w:t>s. 20(2), (3), (5) and (6)</w:t>
            </w:r>
          </w:p>
        </w:tc>
        <w:tc>
          <w:tcPr>
            <w:tcW w:w="2565" w:type="dxa"/>
          </w:tcPr>
          <w:p>
            <w:pPr>
              <w:pStyle w:val="nzTable"/>
            </w:pPr>
            <w:r>
              <w:t>s. 45(1), (3), (4) and (6)</w:t>
            </w:r>
          </w:p>
        </w:tc>
      </w:tr>
    </w:tbl>
    <w:p>
      <w:pPr>
        <w:pStyle w:val="BlankClose"/>
      </w:pPr>
    </w:p>
    <w:p>
      <w:pPr>
        <w:pStyle w:val="nSubsection"/>
        <w:keepNext/>
        <w:keepLines/>
        <w:spacing w:before="0"/>
      </w:pPr>
      <w:r>
        <w:rPr>
          <w:snapToGrid w:val="0"/>
          <w:vertAlign w:val="superscript"/>
        </w:rPr>
        <w:t>3</w:t>
      </w:r>
      <w:r>
        <w:tab/>
        <w:t>On the date as at which this compilation was prepared, the Prostitution Amendment Act 2008 s. 35 had not come into operation.  It reads as follows:</w:t>
      </w:r>
    </w:p>
    <w:p>
      <w:pPr>
        <w:pStyle w:val="BlankOpen"/>
      </w:pPr>
    </w:p>
    <w:p>
      <w:pPr>
        <w:pStyle w:val="nzHeading5"/>
        <w:spacing w:before="0"/>
      </w:pPr>
      <w:r>
        <w:rPr>
          <w:rStyle w:val="CharSectno"/>
        </w:rPr>
        <w:t>35</w:t>
      </w:r>
      <w:r>
        <w:t>.</w:t>
      </w:r>
      <w:r>
        <w:tab/>
      </w:r>
      <w:r>
        <w:rPr>
          <w:i/>
          <w:iCs/>
        </w:rPr>
        <w:t>Working with Children (Criminal Record Checking) Act 2004</w:t>
      </w:r>
      <w:r>
        <w:t xml:space="preserve"> amended</w:t>
      </w:r>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BlankOpen"/>
      </w:pP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BlankClose"/>
      </w:pPr>
    </w:p>
    <w:p>
      <w:pPr>
        <w:pStyle w:val="nSubsection"/>
      </w:pPr>
      <w:r>
        <w:rPr>
          <w:snapToGrid w:val="0"/>
          <w:vertAlign w:val="superscript"/>
        </w:rPr>
        <w:t>4</w:t>
      </w:r>
      <w:r>
        <w:rPr>
          <w:snapToGrid w:val="0"/>
          <w:vertAlign w:val="superscript"/>
        </w:rPr>
        <w:tab/>
      </w:r>
      <w:r>
        <w:t>Footnote</w:t>
      </w:r>
      <w:r>
        <w:rPr>
          <w:snapToGrid w:val="0"/>
        </w:rPr>
        <w:t xml:space="preserve"> no longer applicable.</w:t>
      </w:r>
    </w:p>
    <w:p>
      <w:pPr>
        <w:pStyle w:val="nSubsection"/>
      </w:pPr>
      <w:r>
        <w:rPr>
          <w:vertAlign w:val="superscript"/>
        </w:rPr>
        <w:t>5</w:t>
      </w:r>
      <w:r>
        <w:tab/>
        <w:t xml:space="preserve">On the date as at which this compilation was prepared, the </w:t>
      </w:r>
      <w:r>
        <w:rPr>
          <w:i/>
        </w:rPr>
        <w:t>Historical Homosexual Convictions Expungement Act 2018</w:t>
      </w:r>
      <w:r>
        <w:t xml:space="preserve"> Pt. 5 had not come into operation.  It reads as follows:</w:t>
      </w:r>
    </w:p>
    <w:p>
      <w:pPr>
        <w:pStyle w:val="BlankOpen"/>
      </w:pPr>
    </w:p>
    <w:p>
      <w:pPr>
        <w:pStyle w:val="nzHeading2"/>
      </w:pPr>
      <w:r>
        <w:rPr>
          <w:rStyle w:val="CharPartNo"/>
        </w:rPr>
        <w:t>Part 5</w:t>
      </w:r>
      <w:r>
        <w:rPr>
          <w:rStyle w:val="CharDivNo"/>
        </w:rPr>
        <w:t> </w:t>
      </w:r>
      <w:r>
        <w:t>—</w:t>
      </w:r>
      <w:r>
        <w:rPr>
          <w:rStyle w:val="CharDivText"/>
        </w:rPr>
        <w:t> </w:t>
      </w:r>
      <w:r>
        <w:rPr>
          <w:rStyle w:val="CharPartText"/>
          <w:i/>
        </w:rPr>
        <w:t>Working with Children (Criminal Record Checking) Act 2004</w:t>
      </w:r>
      <w:r>
        <w:rPr>
          <w:rStyle w:val="CharPartText"/>
        </w:rPr>
        <w:t xml:space="preserve"> amended</w:t>
      </w:r>
    </w:p>
    <w:p>
      <w:pPr>
        <w:pStyle w:val="nzHeading5"/>
      </w:pPr>
      <w:r>
        <w:rPr>
          <w:rStyle w:val="CharSectno"/>
        </w:rPr>
        <w:t>32</w:t>
      </w:r>
      <w:r>
        <w:t>.</w:t>
      </w:r>
      <w:r>
        <w:tab/>
        <w:t>Section 4 amended</w:t>
      </w:r>
    </w:p>
    <w:p>
      <w:pPr>
        <w:pStyle w:val="nzSubsection"/>
      </w:pPr>
      <w:r>
        <w:tab/>
      </w:r>
      <w:r>
        <w:tab/>
        <w:t xml:space="preserve">In section 4 in the definition of </w:t>
      </w:r>
      <w:r>
        <w:rPr>
          <w:b/>
          <w:i/>
        </w:rPr>
        <w:t>non</w:t>
      </w:r>
      <w:r>
        <w:rPr>
          <w:b/>
          <w:i/>
        </w:rPr>
        <w:noBreakHyphen/>
        <w:t>conviction charge</w:t>
      </w:r>
      <w:r>
        <w:t xml:space="preserve"> delete “conviction;” and insert:</w:t>
      </w:r>
    </w:p>
    <w:p>
      <w:pPr>
        <w:pStyle w:val="BlankOpen"/>
      </w:pPr>
    </w:p>
    <w:p>
      <w:pPr>
        <w:pStyle w:val="nzSubsection"/>
      </w:pPr>
      <w:r>
        <w:tab/>
      </w:r>
      <w:r>
        <w:tab/>
        <w:t>conviction, and has a meaning affected by section 8A;</w:t>
      </w:r>
    </w:p>
    <w:p>
      <w:pPr>
        <w:pStyle w:val="BlankClose"/>
      </w:pPr>
    </w:p>
    <w:p>
      <w:pPr>
        <w:pStyle w:val="nzHeading5"/>
      </w:pPr>
      <w:r>
        <w:rPr>
          <w:rStyle w:val="CharSectno"/>
        </w:rPr>
        <w:t>33</w:t>
      </w:r>
      <w:r>
        <w:t>.</w:t>
      </w:r>
      <w:r>
        <w:tab/>
        <w:t>Section 8A inserted</w:t>
      </w:r>
    </w:p>
    <w:p>
      <w:pPr>
        <w:pStyle w:val="nzSubsection"/>
      </w:pPr>
      <w:r>
        <w:tab/>
      </w:r>
      <w:r>
        <w:tab/>
        <w:t>After section 8 insert:</w:t>
      </w:r>
    </w:p>
    <w:p>
      <w:pPr>
        <w:pStyle w:val="BlankOpen"/>
      </w:pPr>
    </w:p>
    <w:p>
      <w:pPr>
        <w:pStyle w:val="nzHeading5"/>
      </w:pPr>
      <w:r>
        <w:t>8A.</w:t>
      </w:r>
      <w:r>
        <w:tab/>
        <w:t>Expunged convictions to be taken to be non</w:t>
      </w:r>
      <w:r>
        <w:noBreakHyphen/>
        <w:t>conviction charges for the purposes of this Act</w:t>
      </w:r>
    </w:p>
    <w:p>
      <w:pPr>
        <w:pStyle w:val="nzSubsection"/>
      </w:pPr>
      <w:r>
        <w:tab/>
        <w:t>(1)</w:t>
      </w:r>
      <w:r>
        <w:tab/>
        <w:t>For the purposes of this Act, a reference to a non</w:t>
      </w:r>
      <w:r>
        <w:noBreakHyphen/>
        <w:t xml:space="preserve">conviction charge includes a reference to an expunged conviction, as that term is defined in the </w:t>
      </w:r>
      <w:r>
        <w:rPr>
          <w:i/>
        </w:rPr>
        <w:t xml:space="preserve">Historical Homosexual Convictions Expungement Act 2018 </w:t>
      </w:r>
      <w:r>
        <w:t>section 3(1).</w:t>
      </w:r>
    </w:p>
    <w:p>
      <w:pPr>
        <w:pStyle w:val="nzSubsection"/>
      </w:pPr>
      <w:r>
        <w:tab/>
        <w:t>(2)</w:t>
      </w:r>
      <w:r>
        <w:tab/>
        <w:t xml:space="preserve">Subsection (1) applies despite anything in the </w:t>
      </w:r>
      <w:r>
        <w:rPr>
          <w:i/>
        </w:rPr>
        <w:t>Historical Homosexual Convictions Expungement Act 2018</w:t>
      </w:r>
      <w:r>
        <w:t>.</w:t>
      </w:r>
    </w:p>
    <w:p>
      <w:pPr>
        <w:pStyle w:val="BlankClose"/>
      </w:pPr>
    </w:p>
    <w:p>
      <w:pPr>
        <w:pStyle w:val="BlankClose"/>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16" w:name="_Toc525896814"/>
      <w:bookmarkStart w:id="117" w:name="_Toc525896966"/>
      <w:bookmarkStart w:id="118" w:name="_Toc525901127"/>
      <w:r>
        <w:rPr>
          <w:sz w:val="28"/>
        </w:rPr>
        <w:t>Defined terms</w:t>
      </w:r>
      <w:bookmarkEnd w:id="116"/>
      <w:bookmarkEnd w:id="117"/>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cancelled assessment notice</w:t>
      </w:r>
      <w:r>
        <w:tab/>
        <w:t>32A</w:t>
      </w:r>
    </w:p>
    <w:p>
      <w:pPr>
        <w:pStyle w:val="DefinedTerms"/>
      </w:pPr>
      <w:r>
        <w:t>CEO</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Class 3 offence</w:t>
      </w:r>
      <w:r>
        <w:tab/>
        <w:t>4</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 provider</w:t>
      </w:r>
      <w:r>
        <w:tab/>
        <w:t>4</w:t>
      </w:r>
    </w:p>
    <w:p>
      <w:pPr>
        <w:pStyle w:val="DefinedTerms"/>
      </w:pPr>
      <w:r>
        <w:t>educational institution for children</w:t>
      </w:r>
      <w:r>
        <w:tab/>
        <w:t>4</w:t>
      </w:r>
    </w:p>
    <w:p>
      <w:pPr>
        <w:pStyle w:val="DefinedTerms"/>
      </w:pPr>
      <w:r>
        <w:t>employee</w:t>
      </w:r>
      <w:r>
        <w:tab/>
        <w:t>16(1)</w:t>
      </w:r>
    </w:p>
    <w:p>
      <w:pPr>
        <w:pStyle w:val="DefinedTerms"/>
      </w:pPr>
      <w:r>
        <w:t>employer</w:t>
      </w:r>
      <w:r>
        <w:tab/>
        <w:t>9B(5), 9(1), 16(1), 22(1), 41(1), 43(1)</w:t>
      </w:r>
    </w:p>
    <w:p>
      <w:pPr>
        <w:pStyle w:val="DefinedTerms"/>
      </w:pPr>
      <w:r>
        <w:t>first notice</w:t>
      </w:r>
      <w:r>
        <w:tab/>
        <w:t>20(2)</w:t>
      </w:r>
    </w:p>
    <w:p>
      <w:pPr>
        <w:pStyle w:val="DefinedTerms"/>
      </w:pPr>
      <w:r>
        <w:t>interim negative notice</w:t>
      </w:r>
      <w:r>
        <w:tab/>
        <w:t>4</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proposed employer</w:t>
      </w:r>
      <w:r>
        <w:tab/>
        <w:t>32A</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student</w:t>
      </w:r>
      <w:r>
        <w:tab/>
        <w:t>4</w:t>
      </w:r>
    </w:p>
    <w:p>
      <w:pPr>
        <w:pStyle w:val="DefinedTerms"/>
      </w:pPr>
      <w:r>
        <w:t>work</w:t>
      </w:r>
      <w:r>
        <w:tab/>
        <w:t>4</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9" w:name="Schedule"/>
    <w:bookmarkEnd w:id="1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0" w:name="Coversheet"/>
    <w:bookmarkEnd w:id="1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7094451"/>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 w:name="WAFER_20180920150550" w:val="RemoveTocBookmarks,RemoveUnusedBookmarks,RemoveLanguageTags,UsedStyles,ResetPageSize"/>
    <w:docVar w:name="WAFER_20180920150550_GUID" w:val="a20f4eb4-4dc6-4c08-bcd0-81bba93ca2db"/>
    <w:docVar w:name="WAFER_20180927094451" w:val="RemoveTocBookmarks,RemoveUnusedBookmarks,RemoveLanguageTags,UsedStyles,ResetPageSize"/>
    <w:docVar w:name="WAFER_20180927094451_GUID" w:val="7cc5cc80-a705-4213-932b-ea284188a3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17105</Words>
  <Characters>81766</Characters>
  <Application>Microsoft Office Word</Application>
  <DocSecurity>0</DocSecurity>
  <Lines>2555</Lines>
  <Paragraphs>1544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97327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2004 - 03-g0-00</dc:title>
  <dc:subject/>
  <dc:creator/>
  <cp:keywords/>
  <dc:description/>
  <cp:lastModifiedBy>svcMRProcess</cp:lastModifiedBy>
  <cp:revision>4</cp:revision>
  <cp:lastPrinted>2012-11-09T01:36:00Z</cp:lastPrinted>
  <dcterms:created xsi:type="dcterms:W3CDTF">2018-09-28T06:21:00Z</dcterms:created>
  <dcterms:modified xsi:type="dcterms:W3CDTF">2018-09-28T06:21:00Z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AsAtDate">
    <vt:lpwstr>01 Oct 2018</vt:lpwstr>
  </property>
  <property fmtid="{D5CDD505-2E9C-101B-9397-08002B2CF9AE}" pid="9" name="Suffix">
    <vt:lpwstr>03-g0-00</vt:lpwstr>
  </property>
  <property fmtid="{D5CDD505-2E9C-101B-9397-08002B2CF9AE}" pid="10" name="CommencementDate">
    <vt:lpwstr>20181001</vt:lpwstr>
  </property>
</Properties>
</file>