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Taxation Administration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_Toc2150386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_Toc2150387 \h </w:instrText>
      </w:r>
      <w:r>
        <w:fldChar w:fldCharType="separate"/>
      </w:r>
      <w:r>
        <w:t>2</w:t>
      </w:r>
      <w:r>
        <w:fldChar w:fldCharType="end"/>
      </w:r>
    </w:p>
    <w:p>
      <w:pPr>
        <w:pStyle w:val="TOC8"/>
        <w:rPr>
          <w:rFonts w:asciiTheme="minorHAnsi" w:eastAsiaTheme="minorEastAsia" w:hAnsiTheme="minorHAnsi" w:cstheme="minorBidi"/>
          <w:szCs w:val="22"/>
        </w:rPr>
      </w:pPr>
      <w:r>
        <w:t>3.</w:t>
      </w:r>
      <w:r>
        <w:tab/>
        <w:t>Taxation Acts</w:t>
      </w:r>
      <w:r>
        <w:tab/>
      </w:r>
      <w:r>
        <w:fldChar w:fldCharType="begin"/>
      </w:r>
      <w:r>
        <w:instrText xml:space="preserve"> PAGEREF _Toc2150388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Terms used (Glossary)</w:t>
      </w:r>
      <w:r>
        <w:tab/>
      </w:r>
      <w:r>
        <w:fldChar w:fldCharType="begin"/>
      </w:r>
      <w:r>
        <w:instrText xml:space="preserve"> PAGEREF _Toc2150389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_Toc2150390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tab/>
        <w:t>Commissioner of State Revenue</w:t>
      </w:r>
      <w:r>
        <w:tab/>
      </w:r>
      <w:r>
        <w:fldChar w:fldCharType="begin"/>
      </w:r>
      <w:r>
        <w:instrText xml:space="preserve"> PAGEREF _Toc2150392 \h </w:instrText>
      </w:r>
      <w:r>
        <w:fldChar w:fldCharType="separate"/>
      </w:r>
      <w:r>
        <w:t>5</w:t>
      </w:r>
      <w:r>
        <w:fldChar w:fldCharType="end"/>
      </w:r>
    </w:p>
    <w:p>
      <w:pPr>
        <w:pStyle w:val="TOC8"/>
        <w:rPr>
          <w:rFonts w:asciiTheme="minorHAnsi" w:eastAsiaTheme="minorEastAsia" w:hAnsiTheme="minorHAnsi" w:cstheme="minorBidi"/>
          <w:szCs w:val="22"/>
        </w:rPr>
      </w:pPr>
      <w:r>
        <w:t>7.</w:t>
      </w:r>
      <w:r>
        <w:tab/>
        <w:t>Commissioner’s functions as to taxation Acts</w:t>
      </w:r>
      <w:r>
        <w:tab/>
      </w:r>
      <w:r>
        <w:fldChar w:fldCharType="begin"/>
      </w:r>
      <w:r>
        <w:instrText xml:space="preserve"> PAGEREF _Toc2150393 \h </w:instrText>
      </w:r>
      <w:r>
        <w:fldChar w:fldCharType="separate"/>
      </w:r>
      <w:r>
        <w:t>5</w:t>
      </w:r>
      <w:r>
        <w:fldChar w:fldCharType="end"/>
      </w:r>
    </w:p>
    <w:p>
      <w:pPr>
        <w:pStyle w:val="TOC8"/>
        <w:rPr>
          <w:rFonts w:asciiTheme="minorHAnsi" w:eastAsiaTheme="minorEastAsia" w:hAnsiTheme="minorHAnsi" w:cstheme="minorBidi"/>
          <w:szCs w:val="22"/>
        </w:rPr>
      </w:pPr>
      <w:r>
        <w:t>8.</w:t>
      </w:r>
      <w:r>
        <w:tab/>
        <w:t>Commissioner may perform investigators’ functions</w:t>
      </w:r>
      <w:r>
        <w:tab/>
      </w:r>
      <w:r>
        <w:fldChar w:fldCharType="begin"/>
      </w:r>
      <w:r>
        <w:instrText xml:space="preserve"> PAGEREF _Toc2150394 \h </w:instrText>
      </w:r>
      <w:r>
        <w:fldChar w:fldCharType="separate"/>
      </w:r>
      <w:r>
        <w:t>5</w:t>
      </w:r>
      <w:r>
        <w:fldChar w:fldCharType="end"/>
      </w:r>
    </w:p>
    <w:p>
      <w:pPr>
        <w:pStyle w:val="TOC8"/>
        <w:rPr>
          <w:rFonts w:asciiTheme="minorHAnsi" w:eastAsiaTheme="minorEastAsia" w:hAnsiTheme="minorHAnsi" w:cstheme="minorBidi"/>
          <w:szCs w:val="22"/>
        </w:rPr>
      </w:pPr>
      <w:r>
        <w:t>9.</w:t>
      </w:r>
      <w:r>
        <w:tab/>
        <w:t>Commissioner, judicial notice of appointment and signature</w:t>
      </w:r>
      <w:r>
        <w:tab/>
      </w:r>
      <w:r>
        <w:fldChar w:fldCharType="begin"/>
      </w:r>
      <w:r>
        <w:instrText xml:space="preserve"> PAGEREF _Toc2150395 \h </w:instrText>
      </w:r>
      <w:r>
        <w:fldChar w:fldCharType="separate"/>
      </w:r>
      <w:r>
        <w:t>5</w:t>
      </w:r>
      <w:r>
        <w:fldChar w:fldCharType="end"/>
      </w:r>
    </w:p>
    <w:p>
      <w:pPr>
        <w:pStyle w:val="TOC8"/>
        <w:rPr>
          <w:rFonts w:asciiTheme="minorHAnsi" w:eastAsiaTheme="minorEastAsia" w:hAnsiTheme="minorHAnsi" w:cstheme="minorBidi"/>
          <w:szCs w:val="22"/>
        </w:rPr>
      </w:pPr>
      <w:r>
        <w:t>10.</w:t>
      </w:r>
      <w:r>
        <w:tab/>
        <w:t>Delegation by Commissioner</w:t>
      </w:r>
      <w:r>
        <w:tab/>
      </w:r>
      <w:r>
        <w:fldChar w:fldCharType="begin"/>
      </w:r>
      <w:r>
        <w:instrText xml:space="preserve"> PAGEREF _Toc2150396 \h </w:instrText>
      </w:r>
      <w:r>
        <w:fldChar w:fldCharType="separate"/>
      </w:r>
      <w:r>
        <w:t>6</w:t>
      </w:r>
      <w:r>
        <w:fldChar w:fldCharType="end"/>
      </w:r>
    </w:p>
    <w:p>
      <w:pPr>
        <w:pStyle w:val="TOC8"/>
        <w:rPr>
          <w:rFonts w:asciiTheme="minorHAnsi" w:eastAsiaTheme="minorEastAsia" w:hAnsiTheme="minorHAnsi" w:cstheme="minorBidi"/>
          <w:szCs w:val="22"/>
        </w:rPr>
      </w:pPr>
      <w:r>
        <w:t>11.</w:t>
      </w:r>
      <w:r>
        <w:tab/>
        <w:t>Tax investigators</w:t>
      </w:r>
      <w:r>
        <w:tab/>
      </w:r>
      <w:r>
        <w:fldChar w:fldCharType="begin"/>
      </w:r>
      <w:r>
        <w:instrText xml:space="preserve"> PAGEREF _Toc2150397 \h </w:instrText>
      </w:r>
      <w:r>
        <w:fldChar w:fldCharType="separate"/>
      </w:r>
      <w:r>
        <w:t>7</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_Toc2150398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Assessments of tax</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_Toc2150401 \h </w:instrText>
      </w:r>
      <w:r>
        <w:fldChar w:fldCharType="separate"/>
      </w:r>
      <w:r>
        <w:t>8</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_Toc2150402 \h </w:instrText>
      </w:r>
      <w:r>
        <w:fldChar w:fldCharType="separate"/>
      </w:r>
      <w:r>
        <w:t>8</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_Toc2150403 \h </w:instrText>
      </w:r>
      <w:r>
        <w:fldChar w:fldCharType="separate"/>
      </w:r>
      <w:r>
        <w:t>8</w:t>
      </w:r>
      <w:r>
        <w:fldChar w:fldCharType="end"/>
      </w:r>
    </w:p>
    <w:p>
      <w:pPr>
        <w:pStyle w:val="TOC8"/>
        <w:rPr>
          <w:rFonts w:asciiTheme="minorHAnsi" w:eastAsiaTheme="minorEastAsia" w:hAnsiTheme="minorHAnsi" w:cstheme="minorBidi"/>
          <w:szCs w:val="22"/>
        </w:rPr>
      </w:pPr>
      <w:r>
        <w:t>16A.</w:t>
      </w:r>
      <w:r>
        <w:tab/>
        <w:t>Interim assessments</w:t>
      </w:r>
      <w:r>
        <w:tab/>
      </w:r>
      <w:r>
        <w:fldChar w:fldCharType="begin"/>
      </w:r>
      <w:r>
        <w:instrText xml:space="preserve"> PAGEREF _Toc2150404 \h </w:instrText>
      </w:r>
      <w:r>
        <w:fldChar w:fldCharType="separate"/>
      </w:r>
      <w:r>
        <w:t>9</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_Toc2150405 \h </w:instrText>
      </w:r>
      <w:r>
        <w:fldChar w:fldCharType="separate"/>
      </w:r>
      <w:r>
        <w:t>10</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_Toc2150406 \h </w:instrText>
      </w:r>
      <w:r>
        <w:fldChar w:fldCharType="separate"/>
      </w:r>
      <w:r>
        <w:t>11</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_Toc2150407 \h </w:instrText>
      </w:r>
      <w:r>
        <w:fldChar w:fldCharType="separate"/>
      </w:r>
      <w:r>
        <w:t>12</w:t>
      </w:r>
      <w:r>
        <w:fldChar w:fldCharType="end"/>
      </w:r>
    </w:p>
    <w:p>
      <w:pPr>
        <w:pStyle w:val="TOC8"/>
        <w:rPr>
          <w:rFonts w:asciiTheme="minorHAnsi" w:eastAsiaTheme="minorEastAsia" w:hAnsiTheme="minorHAnsi" w:cstheme="minorBidi"/>
          <w:szCs w:val="22"/>
        </w:rPr>
      </w:pPr>
      <w:r>
        <w:t>18A</w:t>
      </w:r>
      <w:r>
        <w:rPr>
          <w:color w:val="000000"/>
        </w:rPr>
        <w:t>.</w:t>
      </w:r>
      <w:r>
        <w:rPr>
          <w:color w:val="000000"/>
        </w:rPr>
        <w:tab/>
        <w:t>Withdrawal of assessments</w:t>
      </w:r>
      <w:r>
        <w:tab/>
      </w:r>
      <w:r>
        <w:fldChar w:fldCharType="begin"/>
      </w:r>
      <w:r>
        <w:instrText xml:space="preserve"> PAGEREF _Toc2150408 \h </w:instrText>
      </w:r>
      <w:r>
        <w:fldChar w:fldCharType="separate"/>
      </w:r>
      <w:r>
        <w:t>13</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_Toc2150409 \h </w:instrText>
      </w:r>
      <w:r>
        <w:fldChar w:fldCharType="separate"/>
      </w:r>
      <w:r>
        <w:t>13</w:t>
      </w:r>
      <w:r>
        <w:fldChar w:fldCharType="end"/>
      </w:r>
    </w:p>
    <w:p>
      <w:pPr>
        <w:pStyle w:val="TOC8"/>
        <w:rPr>
          <w:rFonts w:asciiTheme="minorHAnsi" w:eastAsiaTheme="minorEastAsia" w:hAnsiTheme="minorHAnsi" w:cstheme="minorBidi"/>
          <w:szCs w:val="22"/>
        </w:rPr>
      </w:pPr>
      <w:r>
        <w:t>20A.</w:t>
      </w:r>
      <w:r>
        <w:tab/>
        <w:t>Compromise assessments</w:t>
      </w:r>
      <w:r>
        <w:tab/>
      </w:r>
      <w:r>
        <w:fldChar w:fldCharType="begin"/>
      </w:r>
      <w:r>
        <w:instrText xml:space="preserve"> PAGEREF _Toc2150410 \h </w:instrText>
      </w:r>
      <w:r>
        <w:fldChar w:fldCharType="separate"/>
      </w:r>
      <w:r>
        <w:t>14</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_Toc2150411 \h </w:instrText>
      </w:r>
      <w:r>
        <w:fldChar w:fldCharType="separate"/>
      </w:r>
      <w:r>
        <w:t>15</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_Toc2150412 \h </w:instrText>
      </w:r>
      <w:r>
        <w:fldChar w:fldCharType="separate"/>
      </w:r>
      <w:r>
        <w:t>16</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_Toc2150413 \h </w:instrText>
      </w:r>
      <w:r>
        <w:fldChar w:fldCharType="separate"/>
      </w:r>
      <w:r>
        <w:t>17</w:t>
      </w:r>
      <w:r>
        <w:fldChar w:fldCharType="end"/>
      </w:r>
    </w:p>
    <w:p>
      <w:pPr>
        <w:pStyle w:val="TOC8"/>
        <w:rPr>
          <w:rFonts w:asciiTheme="minorHAnsi" w:eastAsiaTheme="minorEastAsia" w:hAnsiTheme="minorHAnsi" w:cstheme="minorBidi"/>
          <w:szCs w:val="22"/>
        </w:rPr>
      </w:pPr>
      <w:r>
        <w:t>23A.</w:t>
      </w:r>
      <w:r>
        <w:tab/>
        <w:t>Recovery of valuation costs</w:t>
      </w:r>
      <w:r>
        <w:tab/>
      </w:r>
      <w:r>
        <w:fldChar w:fldCharType="begin"/>
      </w:r>
      <w:r>
        <w:instrText xml:space="preserve"> PAGEREF _Toc2150414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_Toc2150416 \h </w:instrText>
      </w:r>
      <w:r>
        <w:fldChar w:fldCharType="separate"/>
      </w:r>
      <w:r>
        <w:t>19</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_Toc2150417 \h </w:instrText>
      </w:r>
      <w:r>
        <w:fldChar w:fldCharType="separate"/>
      </w:r>
      <w:r>
        <w:t>20</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_Toc2150418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_Toc2150420 \h </w:instrText>
      </w:r>
      <w:r>
        <w:fldChar w:fldCharType="separate"/>
      </w:r>
      <w:r>
        <w:t>22</w:t>
      </w:r>
      <w:r>
        <w:fldChar w:fldCharType="end"/>
      </w:r>
    </w:p>
    <w:p>
      <w:pPr>
        <w:pStyle w:val="TOC8"/>
        <w:rPr>
          <w:rFonts w:asciiTheme="minorHAnsi" w:eastAsiaTheme="minorEastAsia" w:hAnsiTheme="minorHAnsi" w:cstheme="minorBidi"/>
          <w:szCs w:val="22"/>
        </w:rPr>
      </w:pPr>
      <w:r>
        <w:t>27A.</w:t>
      </w:r>
      <w:r>
        <w:tab/>
        <w:t>Penalty tax for undervaluation</w:t>
      </w:r>
      <w:r>
        <w:tab/>
      </w:r>
      <w:r>
        <w:fldChar w:fldCharType="begin"/>
      </w:r>
      <w:r>
        <w:instrText xml:space="preserve"> PAGEREF _Toc2150421 \h </w:instrText>
      </w:r>
      <w:r>
        <w:fldChar w:fldCharType="separate"/>
      </w:r>
      <w:r>
        <w:t>23</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_Toc2150422 \h </w:instrText>
      </w:r>
      <w:r>
        <w:fldChar w:fldCharType="separate"/>
      </w:r>
      <w:r>
        <w:t>24</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_Toc2150423 \h </w:instrText>
      </w:r>
      <w:r>
        <w:fldChar w:fldCharType="separate"/>
      </w:r>
      <w:r>
        <w:t>25</w:t>
      </w:r>
      <w:r>
        <w:fldChar w:fldCharType="end"/>
      </w:r>
    </w:p>
    <w:p>
      <w:pPr>
        <w:pStyle w:val="TOC8"/>
        <w:rPr>
          <w:rFonts w:asciiTheme="minorHAnsi" w:eastAsiaTheme="minorEastAsia" w:hAnsiTheme="minorHAnsi" w:cstheme="minorBidi"/>
          <w:szCs w:val="22"/>
        </w:rPr>
      </w:pPr>
      <w:r>
        <w:t>29.</w:t>
      </w:r>
      <w:r>
        <w:tab/>
        <w:t>Remitting penalty tax</w:t>
      </w:r>
      <w:r>
        <w:tab/>
      </w:r>
      <w:r>
        <w:fldChar w:fldCharType="begin"/>
      </w:r>
      <w:r>
        <w:instrText xml:space="preserve"> PAGEREF _Toc2150424 \h </w:instrText>
      </w:r>
      <w:r>
        <w:fldChar w:fldCharType="separate"/>
      </w:r>
      <w:r>
        <w:t>25</w:t>
      </w:r>
      <w:r>
        <w:fldChar w:fldCharType="end"/>
      </w:r>
    </w:p>
    <w:p>
      <w:pPr>
        <w:pStyle w:val="TOC8"/>
        <w:rPr>
          <w:rFonts w:asciiTheme="minorHAnsi" w:eastAsiaTheme="minorEastAsia" w:hAnsiTheme="minorHAnsi" w:cstheme="minorBidi"/>
          <w:szCs w:val="22"/>
        </w:rPr>
      </w:pPr>
      <w:r>
        <w:t>30.</w:t>
      </w:r>
      <w:r>
        <w:tab/>
        <w:t>Guidelines for remitting penalty tax</w:t>
      </w:r>
      <w:r>
        <w:tab/>
      </w:r>
      <w:r>
        <w:fldChar w:fldCharType="begin"/>
      </w:r>
      <w:r>
        <w:instrText xml:space="preserve"> PAGEREF _Toc2150425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Objections and review proceedings</w:t>
      </w:r>
    </w:p>
    <w:p>
      <w:pPr>
        <w:pStyle w:val="TOC4"/>
        <w:tabs>
          <w:tab w:val="right" w:leader="dot" w:pos="7077"/>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_Toc2150428 \h </w:instrText>
      </w:r>
      <w:r>
        <w:fldChar w:fldCharType="separate"/>
      </w:r>
      <w:r>
        <w:t>26</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_Toc2150429 \h </w:instrText>
      </w:r>
      <w:r>
        <w:fldChar w:fldCharType="separate"/>
      </w:r>
      <w:r>
        <w:t>26</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_Toc2150430 \h </w:instrText>
      </w:r>
      <w:r>
        <w:fldChar w:fldCharType="separate"/>
      </w:r>
      <w:r>
        <w:t>26</w:t>
      </w:r>
      <w:r>
        <w:fldChar w:fldCharType="end"/>
      </w:r>
    </w:p>
    <w:p>
      <w:pPr>
        <w:pStyle w:val="TOC8"/>
        <w:rPr>
          <w:rFonts w:asciiTheme="minorHAnsi" w:eastAsiaTheme="minorEastAsia" w:hAnsiTheme="minorHAnsi" w:cstheme="minorBidi"/>
          <w:szCs w:val="22"/>
        </w:rPr>
      </w:pPr>
      <w:r>
        <w:t>34A.</w:t>
      </w:r>
      <w:r>
        <w:tab/>
        <w:t>Beneficial body determinations</w:t>
      </w:r>
      <w:r>
        <w:tab/>
      </w:r>
      <w:r>
        <w:fldChar w:fldCharType="begin"/>
      </w:r>
      <w:r>
        <w:instrText xml:space="preserve"> PAGEREF _Toc2150431 \h </w:instrText>
      </w:r>
      <w:r>
        <w:fldChar w:fldCharType="separate"/>
      </w:r>
      <w:r>
        <w:t>26</w:t>
      </w:r>
      <w:r>
        <w:fldChar w:fldCharType="end"/>
      </w:r>
    </w:p>
    <w:p>
      <w:pPr>
        <w:pStyle w:val="TOC8"/>
        <w:rPr>
          <w:rFonts w:asciiTheme="minorHAnsi" w:eastAsiaTheme="minorEastAsia" w:hAnsiTheme="minorHAnsi" w:cstheme="minorBidi"/>
          <w:szCs w:val="22"/>
        </w:rPr>
      </w:pPr>
      <w:r>
        <w:t>34B.</w:t>
      </w:r>
      <w:r>
        <w:tab/>
        <w:t>Surrender of right of objection or review</w:t>
      </w:r>
      <w:r>
        <w:tab/>
      </w:r>
      <w:r>
        <w:fldChar w:fldCharType="begin"/>
      </w:r>
      <w:r>
        <w:instrText xml:space="preserve"> PAGEREF _Toc2150432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_Toc2150434 \h </w:instrText>
      </w:r>
      <w:r>
        <w:fldChar w:fldCharType="separate"/>
      </w:r>
      <w:r>
        <w:t>27</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_Toc2150435 \h </w:instrText>
      </w:r>
      <w:r>
        <w:fldChar w:fldCharType="separate"/>
      </w:r>
      <w:r>
        <w:t>29</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_Toc2150436 \h </w:instrText>
      </w:r>
      <w:r>
        <w:fldChar w:fldCharType="separate"/>
      </w:r>
      <w:r>
        <w:t>29</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_Toc2150437 \h </w:instrText>
      </w:r>
      <w:r>
        <w:fldChar w:fldCharType="separate"/>
      </w:r>
      <w:r>
        <w:t>31</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_Toc2150438 \h </w:instrText>
      </w:r>
      <w:r>
        <w:fldChar w:fldCharType="separate"/>
      </w:r>
      <w:r>
        <w:t>32</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_Toc2150439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Reviews and stated cases</w:t>
      </w:r>
    </w:p>
    <w:p>
      <w:pPr>
        <w:pStyle w:val="TOC8"/>
        <w:rPr>
          <w:rFonts w:asciiTheme="minorHAnsi" w:eastAsiaTheme="minorEastAsia" w:hAnsiTheme="minorHAnsi" w:cstheme="minorBidi"/>
          <w:szCs w:val="22"/>
        </w:rPr>
      </w:pPr>
      <w:r>
        <w:t>40.</w:t>
      </w:r>
      <w:r>
        <w:tab/>
        <w:t xml:space="preserve">Right of review by State </w:t>
      </w:r>
      <w:r>
        <w:rPr>
          <w:snapToGrid w:val="0"/>
        </w:rPr>
        <w:t>Administrative Tribunal</w:t>
      </w:r>
      <w:r>
        <w:tab/>
      </w:r>
      <w:r>
        <w:fldChar w:fldCharType="begin"/>
      </w:r>
      <w:r>
        <w:instrText xml:space="preserve"> PAGEREF _Toc2150441 \h </w:instrText>
      </w:r>
      <w:r>
        <w:fldChar w:fldCharType="separate"/>
      </w:r>
      <w:r>
        <w:t>34</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_Toc2150442 \h </w:instrText>
      </w:r>
      <w:r>
        <w:fldChar w:fldCharType="separate"/>
      </w:r>
      <w:r>
        <w:t>35</w:t>
      </w:r>
      <w:r>
        <w:fldChar w:fldCharType="end"/>
      </w:r>
    </w:p>
    <w:p>
      <w:pPr>
        <w:pStyle w:val="TOC8"/>
        <w:rPr>
          <w:rFonts w:asciiTheme="minorHAnsi" w:eastAsiaTheme="minorEastAsia" w:hAnsiTheme="minorHAnsi" w:cstheme="minorBidi"/>
          <w:szCs w:val="22"/>
        </w:rPr>
      </w:pPr>
      <w:r>
        <w:t>43.</w:t>
      </w:r>
      <w:r>
        <w:tab/>
        <w:t xml:space="preserve">Proceedings before State </w:t>
      </w:r>
      <w:r>
        <w:rPr>
          <w:snapToGrid w:val="0"/>
        </w:rPr>
        <w:t>Administrative Tribunal</w:t>
      </w:r>
      <w:r>
        <w:tab/>
      </w:r>
      <w:r>
        <w:fldChar w:fldCharType="begin"/>
      </w:r>
      <w:r>
        <w:instrText xml:space="preserve"> PAGEREF _Toc2150443 \h </w:instrText>
      </w:r>
      <w:r>
        <w:fldChar w:fldCharType="separate"/>
      </w:r>
      <w:r>
        <w:t>35</w:t>
      </w:r>
      <w:r>
        <w:fldChar w:fldCharType="end"/>
      </w:r>
    </w:p>
    <w:p>
      <w:pPr>
        <w:pStyle w:val="TOC8"/>
        <w:rPr>
          <w:rFonts w:asciiTheme="minorHAnsi" w:eastAsiaTheme="minorEastAsia" w:hAnsiTheme="minorHAnsi" w:cstheme="minorBidi"/>
          <w:szCs w:val="22"/>
        </w:rPr>
      </w:pPr>
      <w:r>
        <w:t>43A.</w:t>
      </w:r>
      <w:r>
        <w:tab/>
        <w:t xml:space="preserve">Appeal from decision of State </w:t>
      </w:r>
      <w:r>
        <w:rPr>
          <w:snapToGrid w:val="0"/>
        </w:rPr>
        <w:t>Administrative Tribunal</w:t>
      </w:r>
      <w:r>
        <w:tab/>
      </w:r>
      <w:r>
        <w:fldChar w:fldCharType="begin"/>
      </w:r>
      <w:r>
        <w:instrText xml:space="preserve"> PAGEREF _Toc2150444 \h </w:instrText>
      </w:r>
      <w:r>
        <w:fldChar w:fldCharType="separate"/>
      </w:r>
      <w:r>
        <w:t>38</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_Toc2150445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5 — Payment and refund of tax</w:t>
      </w:r>
    </w:p>
    <w:p>
      <w:pPr>
        <w:pStyle w:val="TOC4"/>
        <w:tabs>
          <w:tab w:val="right" w:leader="dot" w:pos="7077"/>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_Toc2150448 \h </w:instrText>
      </w:r>
      <w:r>
        <w:fldChar w:fldCharType="separate"/>
      </w:r>
      <w:r>
        <w:t>40</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_Toc2150449 \h </w:instrText>
      </w:r>
      <w:r>
        <w:fldChar w:fldCharType="separate"/>
      </w:r>
      <w:r>
        <w:t>40</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_Toc2150450 \h </w:instrText>
      </w:r>
      <w:r>
        <w:fldChar w:fldCharType="separate"/>
      </w:r>
      <w:r>
        <w:t>40</w:t>
      </w:r>
      <w:r>
        <w:fldChar w:fldCharType="end"/>
      </w:r>
    </w:p>
    <w:p>
      <w:pPr>
        <w:pStyle w:val="TOC8"/>
        <w:rPr>
          <w:rFonts w:asciiTheme="minorHAnsi" w:eastAsiaTheme="minorEastAsia" w:hAnsiTheme="minorHAnsi" w:cstheme="minorBidi"/>
          <w:szCs w:val="22"/>
        </w:rPr>
      </w:pPr>
      <w:r>
        <w:t>48.</w:t>
      </w:r>
      <w:r>
        <w:tab/>
        <w:t>No action to compel approval of tax payment arrangement</w:t>
      </w:r>
      <w:r>
        <w:tab/>
      </w:r>
      <w:r>
        <w:fldChar w:fldCharType="begin"/>
      </w:r>
      <w:r>
        <w:instrText xml:space="preserve"> PAGEREF _Toc2150451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_Toc2150453 \h </w:instrText>
      </w:r>
      <w:r>
        <w:fldChar w:fldCharType="separate"/>
      </w:r>
      <w:r>
        <w:t>42</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_Toc2150454 \h </w:instrText>
      </w:r>
      <w:r>
        <w:fldChar w:fldCharType="separate"/>
      </w:r>
      <w:r>
        <w:t>42</w:t>
      </w:r>
      <w:r>
        <w:fldChar w:fldCharType="end"/>
      </w:r>
    </w:p>
    <w:p>
      <w:pPr>
        <w:pStyle w:val="TOC8"/>
        <w:rPr>
          <w:rFonts w:asciiTheme="minorHAnsi" w:eastAsiaTheme="minorEastAsia" w:hAnsiTheme="minorHAnsi" w:cstheme="minorBidi"/>
          <w:szCs w:val="22"/>
        </w:rPr>
      </w:pPr>
      <w:r>
        <w:t>51.</w:t>
      </w:r>
      <w:r>
        <w:tab/>
        <w:t>Improper endorsement or certification of instrument</w:t>
      </w:r>
      <w:r>
        <w:tab/>
      </w:r>
      <w:r>
        <w:fldChar w:fldCharType="begin"/>
      </w:r>
      <w:r>
        <w:instrText xml:space="preserve"> PAGEREF _Toc2150455 \h </w:instrText>
      </w:r>
      <w:r>
        <w:fldChar w:fldCharType="separate"/>
      </w:r>
      <w:r>
        <w:t>43</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_Toc2150456 \h </w:instrText>
      </w:r>
      <w:r>
        <w:fldChar w:fldCharType="separate"/>
      </w:r>
      <w:r>
        <w:t>44</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_Toc2150457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Refunds</w:t>
      </w:r>
      <w:r>
        <w:tab/>
      </w:r>
      <w:r>
        <w:fldChar w:fldCharType="begin"/>
      </w:r>
      <w:r>
        <w:instrText xml:space="preserve"> PAGEREF _Toc2150459 \h </w:instrText>
      </w:r>
      <w:r>
        <w:fldChar w:fldCharType="separate"/>
      </w:r>
      <w:r>
        <w:t>45</w:t>
      </w:r>
      <w:r>
        <w:fldChar w:fldCharType="end"/>
      </w:r>
    </w:p>
    <w:p>
      <w:pPr>
        <w:pStyle w:val="TOC8"/>
        <w:rPr>
          <w:rFonts w:asciiTheme="minorHAnsi" w:eastAsiaTheme="minorEastAsia" w:hAnsiTheme="minorHAnsi" w:cstheme="minorBidi"/>
          <w:szCs w:val="22"/>
        </w:rPr>
      </w:pPr>
      <w:r>
        <w:t>55A.</w:t>
      </w:r>
      <w:r>
        <w:tab/>
        <w:t>Unused credit</w:t>
      </w:r>
      <w:r>
        <w:tab/>
      </w:r>
      <w:r>
        <w:fldChar w:fldCharType="begin"/>
      </w:r>
      <w:r>
        <w:instrText xml:space="preserve"> PAGEREF _Toc2150460 \h </w:instrText>
      </w:r>
      <w:r>
        <w:fldChar w:fldCharType="separate"/>
      </w:r>
      <w:r>
        <w:t>46</w:t>
      </w:r>
      <w:r>
        <w:fldChar w:fldCharType="end"/>
      </w:r>
    </w:p>
    <w:p>
      <w:pPr>
        <w:pStyle w:val="TOC8"/>
        <w:rPr>
          <w:rFonts w:asciiTheme="minorHAnsi" w:eastAsiaTheme="minorEastAsia" w:hAnsiTheme="minorHAnsi" w:cstheme="minorBidi"/>
          <w:szCs w:val="22"/>
        </w:rPr>
      </w:pPr>
      <w:r>
        <w:t>55.</w:t>
      </w:r>
      <w:r>
        <w:tab/>
        <w:t>Refunds or credits to be passed on to third parties in some cases</w:t>
      </w:r>
      <w:r>
        <w:tab/>
      </w:r>
      <w:r>
        <w:fldChar w:fldCharType="begin"/>
      </w:r>
      <w:r>
        <w:instrText xml:space="preserve"> PAGEREF _Toc2150461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Waiving tax</w:t>
      </w:r>
      <w:r>
        <w:tab/>
      </w:r>
      <w:r>
        <w:fldChar w:fldCharType="begin"/>
      </w:r>
      <w:r>
        <w:instrText xml:space="preserve"> PAGEREF _Toc2150463 \h </w:instrText>
      </w:r>
      <w:r>
        <w:fldChar w:fldCharType="separate"/>
      </w:r>
      <w:r>
        <w:t>48</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_Toc2150464 \h </w:instrText>
      </w:r>
      <w:r>
        <w:fldChar w:fldCharType="separate"/>
      </w:r>
      <w:r>
        <w:t>48</w:t>
      </w:r>
      <w:r>
        <w:fldChar w:fldCharType="end"/>
      </w:r>
    </w:p>
    <w:p>
      <w:pPr>
        <w:pStyle w:val="TOC8"/>
        <w:rPr>
          <w:rFonts w:asciiTheme="minorHAnsi" w:eastAsiaTheme="minorEastAsia" w:hAnsiTheme="minorHAnsi" w:cstheme="minorBidi"/>
          <w:szCs w:val="22"/>
        </w:rPr>
      </w:pPr>
      <w:r>
        <w:t>58.</w:t>
      </w:r>
      <w:r>
        <w:tab/>
        <w:t>Powers subject to</w:t>
      </w:r>
      <w:r>
        <w:rPr>
          <w:i/>
        </w:rPr>
        <w:t xml:space="preserve"> Financial Management Act 2006</w:t>
      </w:r>
      <w:r>
        <w:tab/>
      </w:r>
      <w:r>
        <w:fldChar w:fldCharType="begin"/>
      </w:r>
      <w:r>
        <w:instrText xml:space="preserve"> PAGEREF _Toc2150465 \h </w:instrText>
      </w:r>
      <w:r>
        <w:fldChar w:fldCharType="separate"/>
      </w:r>
      <w:r>
        <w:t>49</w:t>
      </w:r>
      <w:r>
        <w:fldChar w:fldCharType="end"/>
      </w:r>
    </w:p>
    <w:p>
      <w:pPr>
        <w:pStyle w:val="TOC8"/>
        <w:rPr>
          <w:rFonts w:asciiTheme="minorHAnsi" w:eastAsiaTheme="minorEastAsia" w:hAnsiTheme="minorHAnsi" w:cstheme="minorBidi"/>
          <w:szCs w:val="22"/>
        </w:rPr>
      </w:pPr>
      <w:r>
        <w:t>59.</w:t>
      </w:r>
      <w:r>
        <w:tab/>
        <w:t>No action to compel waiver or writing off</w:t>
      </w:r>
      <w:r>
        <w:tab/>
      </w:r>
      <w:r>
        <w:fldChar w:fldCharType="begin"/>
      </w:r>
      <w:r>
        <w:instrText xml:space="preserve"> PAGEREF _Toc2150466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Recovery of tax</w:t>
      </w:r>
    </w:p>
    <w:p>
      <w:pPr>
        <w:pStyle w:val="TOC4"/>
        <w:tabs>
          <w:tab w:val="right" w:leader="dot" w:pos="7077"/>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tab/>
        <w:t>Recovery of unpaid tax</w:t>
      </w:r>
      <w:r>
        <w:tab/>
      </w:r>
      <w:r>
        <w:fldChar w:fldCharType="begin"/>
      </w:r>
      <w:r>
        <w:instrText xml:space="preserve"> PAGEREF _Toc2150469 \h </w:instrText>
      </w:r>
      <w:r>
        <w:fldChar w:fldCharType="separate"/>
      </w:r>
      <w:r>
        <w:t>50</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_Toc2150470 \h </w:instrText>
      </w:r>
      <w:r>
        <w:fldChar w:fldCharType="separate"/>
      </w:r>
      <w:r>
        <w:t>50</w:t>
      </w:r>
      <w:r>
        <w:fldChar w:fldCharType="end"/>
      </w:r>
    </w:p>
    <w:p>
      <w:pPr>
        <w:pStyle w:val="TOC8"/>
        <w:rPr>
          <w:rFonts w:asciiTheme="minorHAnsi" w:eastAsiaTheme="minorEastAsia" w:hAnsiTheme="minorHAnsi" w:cstheme="minorBidi"/>
          <w:szCs w:val="22"/>
        </w:rPr>
      </w:pPr>
      <w:r>
        <w:t>62.</w:t>
      </w:r>
      <w:r>
        <w:tab/>
        <w:t>This Part applies to tax and also costs and interest</w:t>
      </w:r>
      <w:r>
        <w:tab/>
      </w:r>
      <w:r>
        <w:fldChar w:fldCharType="begin"/>
      </w:r>
      <w:r>
        <w:instrText xml:space="preserve"> PAGEREF _Toc2150471 \h </w:instrText>
      </w:r>
      <w:r>
        <w:fldChar w:fldCharType="separate"/>
      </w:r>
      <w:r>
        <w:t>50</w:t>
      </w:r>
      <w:r>
        <w:fldChar w:fldCharType="end"/>
      </w:r>
    </w:p>
    <w:p>
      <w:pPr>
        <w:pStyle w:val="TOC8"/>
        <w:rPr>
          <w:rFonts w:asciiTheme="minorHAnsi" w:eastAsiaTheme="minorEastAsia" w:hAnsiTheme="minorHAnsi" w:cstheme="minorBidi"/>
          <w:szCs w:val="22"/>
        </w:rPr>
      </w:pPr>
      <w:r>
        <w:t>63.</w:t>
      </w:r>
      <w:r>
        <w:tab/>
        <w:t>Recovery in cases of joint liability</w:t>
      </w:r>
      <w:r>
        <w:tab/>
      </w:r>
      <w:r>
        <w:fldChar w:fldCharType="begin"/>
      </w:r>
      <w:r>
        <w:instrText xml:space="preserve"> PAGEREF _Toc2150472 \h </w:instrText>
      </w:r>
      <w:r>
        <w:fldChar w:fldCharType="separate"/>
      </w:r>
      <w:r>
        <w:t>50</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_Toc2150473 \h </w:instrText>
      </w:r>
      <w:r>
        <w:fldChar w:fldCharType="separate"/>
      </w:r>
      <w:r>
        <w:t>51</w:t>
      </w:r>
      <w:r>
        <w:fldChar w:fldCharType="end"/>
      </w:r>
    </w:p>
    <w:p>
      <w:pPr>
        <w:pStyle w:val="TOC8"/>
        <w:rPr>
          <w:rFonts w:asciiTheme="minorHAnsi" w:eastAsiaTheme="minorEastAsia" w:hAnsiTheme="minorHAnsi" w:cstheme="minorBidi"/>
          <w:szCs w:val="22"/>
        </w:rPr>
      </w:pPr>
      <w:r>
        <w:t>65.</w:t>
      </w:r>
      <w:r>
        <w:tab/>
        <w:t>Recovery from garnishee</w:t>
      </w:r>
      <w:r>
        <w:tab/>
      </w:r>
      <w:r>
        <w:fldChar w:fldCharType="begin"/>
      </w:r>
      <w:r>
        <w:instrText xml:space="preserve"> PAGEREF _Toc2150474 \h </w:instrText>
      </w:r>
      <w:r>
        <w:fldChar w:fldCharType="separate"/>
      </w:r>
      <w:r>
        <w:t>51</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_Toc2150475 \h </w:instrText>
      </w:r>
      <w:r>
        <w:fldChar w:fldCharType="separate"/>
      </w:r>
      <w:r>
        <w:t>53</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_Toc2150476 \h </w:instrText>
      </w:r>
      <w:r>
        <w:fldChar w:fldCharType="separate"/>
      </w:r>
      <w:r>
        <w:t>53</w:t>
      </w:r>
      <w:r>
        <w:fldChar w:fldCharType="end"/>
      </w:r>
    </w:p>
    <w:p>
      <w:pPr>
        <w:pStyle w:val="TOC8"/>
        <w:rPr>
          <w:rFonts w:asciiTheme="minorHAnsi" w:eastAsiaTheme="minorEastAsia" w:hAnsiTheme="minorHAnsi" w:cstheme="minorBidi"/>
          <w:szCs w:val="22"/>
        </w:rPr>
      </w:pPr>
      <w:r>
        <w:t>68.</w:t>
      </w:r>
      <w:r>
        <w:tab/>
        <w:t>Director or body corporate may apply to Supreme Court to set aside s. 67 notice</w:t>
      </w:r>
      <w:r>
        <w:tab/>
      </w:r>
      <w:r>
        <w:fldChar w:fldCharType="begin"/>
      </w:r>
      <w:r>
        <w:instrText xml:space="preserve"> PAGEREF _Toc2150477 \h </w:instrText>
      </w:r>
      <w:r>
        <w:fldChar w:fldCharType="separate"/>
      </w:r>
      <w:r>
        <w:t>55</w:t>
      </w:r>
      <w:r>
        <w:fldChar w:fldCharType="end"/>
      </w:r>
    </w:p>
    <w:p>
      <w:pPr>
        <w:pStyle w:val="TOC8"/>
        <w:rPr>
          <w:rFonts w:asciiTheme="minorHAnsi" w:eastAsiaTheme="minorEastAsia" w:hAnsiTheme="minorHAnsi" w:cstheme="minorBidi"/>
          <w:szCs w:val="22"/>
        </w:rPr>
      </w:pPr>
      <w:r>
        <w:t>69.</w:t>
      </w:r>
      <w:r>
        <w:tab/>
        <w:t>Proceedings on s. 68 application where genuine dispute as to assessment of pay-roll tax</w:t>
      </w:r>
      <w:r>
        <w:tab/>
      </w:r>
      <w:r>
        <w:fldChar w:fldCharType="begin"/>
      </w:r>
      <w:r>
        <w:instrText xml:space="preserve"> PAGEREF _Toc2150478 \h </w:instrText>
      </w:r>
      <w:r>
        <w:fldChar w:fldCharType="separate"/>
      </w:r>
      <w:r>
        <w:t>55</w:t>
      </w:r>
      <w:r>
        <w:fldChar w:fldCharType="end"/>
      </w:r>
    </w:p>
    <w:p>
      <w:pPr>
        <w:pStyle w:val="TOC8"/>
        <w:rPr>
          <w:rFonts w:asciiTheme="minorHAnsi" w:eastAsiaTheme="minorEastAsia" w:hAnsiTheme="minorHAnsi" w:cstheme="minorBidi"/>
          <w:szCs w:val="22"/>
        </w:rPr>
      </w:pPr>
      <w:r>
        <w:t>70.</w:t>
      </w:r>
      <w:r>
        <w:tab/>
        <w:t>On s. 68 application, court may set aside s. 67 notice etc.</w:t>
      </w:r>
      <w:r>
        <w:tab/>
      </w:r>
      <w:r>
        <w:fldChar w:fldCharType="begin"/>
      </w:r>
      <w:r>
        <w:instrText xml:space="preserve"> PAGEREF _Toc2150479 \h </w:instrText>
      </w:r>
      <w:r>
        <w:fldChar w:fldCharType="separate"/>
      </w:r>
      <w:r>
        <w:t>56</w:t>
      </w:r>
      <w:r>
        <w:fldChar w:fldCharType="end"/>
      </w:r>
    </w:p>
    <w:p>
      <w:pPr>
        <w:pStyle w:val="TOC8"/>
        <w:rPr>
          <w:rFonts w:asciiTheme="minorHAnsi" w:eastAsiaTheme="minorEastAsia" w:hAnsiTheme="minorHAnsi" w:cstheme="minorBidi"/>
          <w:szCs w:val="22"/>
        </w:rPr>
      </w:pPr>
      <w:r>
        <w:t>71.</w:t>
      </w:r>
      <w:r>
        <w:tab/>
        <w:t>Effect of order setting aside s. 67 notice</w:t>
      </w:r>
      <w:r>
        <w:tab/>
      </w:r>
      <w:r>
        <w:fldChar w:fldCharType="begin"/>
      </w:r>
      <w:r>
        <w:instrText xml:space="preserve"> PAGEREF _Toc2150480 \h </w:instrText>
      </w:r>
      <w:r>
        <w:fldChar w:fldCharType="separate"/>
      </w:r>
      <w:r>
        <w:t>56</w:t>
      </w:r>
      <w:r>
        <w:fldChar w:fldCharType="end"/>
      </w:r>
    </w:p>
    <w:p>
      <w:pPr>
        <w:pStyle w:val="TOC8"/>
        <w:rPr>
          <w:rFonts w:asciiTheme="minorHAnsi" w:eastAsiaTheme="minorEastAsia" w:hAnsiTheme="minorHAnsi" w:cstheme="minorBidi"/>
          <w:szCs w:val="22"/>
        </w:rPr>
      </w:pPr>
      <w:r>
        <w:t>72.</w:t>
      </w:r>
      <w:r>
        <w:tab/>
        <w:t>Dismissal of s. 68 application</w:t>
      </w:r>
      <w:r>
        <w:tab/>
      </w:r>
      <w:r>
        <w:fldChar w:fldCharType="begin"/>
      </w:r>
      <w:r>
        <w:instrText xml:space="preserve"> PAGEREF _Toc2150481 \h </w:instrText>
      </w:r>
      <w:r>
        <w:fldChar w:fldCharType="separate"/>
      </w:r>
      <w:r>
        <w:t>56</w:t>
      </w:r>
      <w:r>
        <w:fldChar w:fldCharType="end"/>
      </w:r>
    </w:p>
    <w:p>
      <w:pPr>
        <w:pStyle w:val="TOC8"/>
        <w:rPr>
          <w:rFonts w:asciiTheme="minorHAnsi" w:eastAsiaTheme="minorEastAsia" w:hAnsiTheme="minorHAnsi" w:cstheme="minorBidi"/>
          <w:szCs w:val="22"/>
        </w:rPr>
      </w:pPr>
      <w:r>
        <w:t>73.</w:t>
      </w:r>
      <w:r>
        <w:tab/>
        <w:t>Order under s. 69 or 70 may be subject to conditions</w:t>
      </w:r>
      <w:r>
        <w:tab/>
      </w:r>
      <w:r>
        <w:fldChar w:fldCharType="begin"/>
      </w:r>
      <w:r>
        <w:instrText xml:space="preserve"> PAGEREF _Toc2150482 \h </w:instrText>
      </w:r>
      <w:r>
        <w:fldChar w:fldCharType="separate"/>
      </w:r>
      <w:r>
        <w:t>57</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_Toc2150483 \h </w:instrText>
      </w:r>
      <w:r>
        <w:fldChar w:fldCharType="separate"/>
      </w:r>
      <w:r>
        <w:t>57</w:t>
      </w:r>
      <w:r>
        <w:fldChar w:fldCharType="end"/>
      </w:r>
    </w:p>
    <w:p>
      <w:pPr>
        <w:pStyle w:val="TOC8"/>
        <w:rPr>
          <w:rFonts w:asciiTheme="minorHAnsi" w:eastAsiaTheme="minorEastAsia" w:hAnsiTheme="minorHAnsi" w:cstheme="minorBidi"/>
          <w:szCs w:val="22"/>
        </w:rPr>
      </w:pPr>
      <w:r>
        <w:t>75.</w:t>
      </w:r>
      <w:r>
        <w:tab/>
        <w:t>Period for complying with s. 67 notice if s. 68 application made</w:t>
      </w:r>
      <w:r>
        <w:tab/>
      </w:r>
      <w:r>
        <w:fldChar w:fldCharType="begin"/>
      </w:r>
      <w:r>
        <w:instrText xml:space="preserve"> PAGEREF _Toc2150484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76A.</w:t>
      </w:r>
      <w:r>
        <w:tab/>
        <w:t>Terms used</w:t>
      </w:r>
      <w:r>
        <w:tab/>
      </w:r>
      <w:r>
        <w:fldChar w:fldCharType="begin"/>
      </w:r>
      <w:r>
        <w:instrText xml:space="preserve"> PAGEREF _Toc2150486 \h </w:instrText>
      </w:r>
      <w:r>
        <w:fldChar w:fldCharType="separate"/>
      </w:r>
      <w:r>
        <w:t>57</w:t>
      </w:r>
      <w:r>
        <w:fldChar w:fldCharType="end"/>
      </w:r>
    </w:p>
    <w:p>
      <w:pPr>
        <w:pStyle w:val="TOC8"/>
        <w:rPr>
          <w:rFonts w:asciiTheme="minorHAnsi" w:eastAsiaTheme="minorEastAsia" w:hAnsiTheme="minorHAnsi" w:cstheme="minorBidi"/>
          <w:szCs w:val="22"/>
        </w:rPr>
      </w:pPr>
      <w:r>
        <w:t>76.</w:t>
      </w:r>
      <w:r>
        <w:tab/>
        <w:t>Charge on land to secure land tax</w:t>
      </w:r>
      <w:r>
        <w:tab/>
      </w:r>
      <w:r>
        <w:fldChar w:fldCharType="begin"/>
      </w:r>
      <w:r>
        <w:instrText xml:space="preserve"> PAGEREF _Toc2150487 \h </w:instrText>
      </w:r>
      <w:r>
        <w:fldChar w:fldCharType="separate"/>
      </w:r>
      <w:r>
        <w:t>58</w:t>
      </w:r>
      <w:r>
        <w:fldChar w:fldCharType="end"/>
      </w:r>
    </w:p>
    <w:p>
      <w:pPr>
        <w:pStyle w:val="TOC8"/>
        <w:rPr>
          <w:rFonts w:asciiTheme="minorHAnsi" w:eastAsiaTheme="minorEastAsia" w:hAnsiTheme="minorHAnsi" w:cstheme="minorBidi"/>
          <w:szCs w:val="22"/>
        </w:rPr>
      </w:pPr>
      <w:r>
        <w:t>77.</w:t>
      </w:r>
      <w:r>
        <w:tab/>
        <w:t>Charge on land to secure stamp duty</w:t>
      </w:r>
      <w:r>
        <w:tab/>
      </w:r>
      <w:r>
        <w:fldChar w:fldCharType="begin"/>
      </w:r>
      <w:r>
        <w:instrText xml:space="preserve"> PAGEREF _Toc2150488 \h </w:instrText>
      </w:r>
      <w:r>
        <w:fldChar w:fldCharType="separate"/>
      </w:r>
      <w:r>
        <w:t>60</w:t>
      </w:r>
      <w:r>
        <w:fldChar w:fldCharType="end"/>
      </w:r>
    </w:p>
    <w:p>
      <w:pPr>
        <w:pStyle w:val="TOC8"/>
        <w:rPr>
          <w:rFonts w:asciiTheme="minorHAnsi" w:eastAsiaTheme="minorEastAsia" w:hAnsiTheme="minorHAnsi" w:cstheme="minorBidi"/>
          <w:szCs w:val="22"/>
        </w:rPr>
      </w:pPr>
      <w:r>
        <w:t>77A.</w:t>
      </w:r>
      <w:r>
        <w:tab/>
        <w:t>Charge on land to secure transfer duty or landholder duty</w:t>
      </w:r>
      <w:r>
        <w:tab/>
      </w:r>
      <w:r>
        <w:fldChar w:fldCharType="begin"/>
      </w:r>
      <w:r>
        <w:instrText xml:space="preserve"> PAGEREF _Toc2150489 \h </w:instrText>
      </w:r>
      <w:r>
        <w:fldChar w:fldCharType="separate"/>
      </w:r>
      <w:r>
        <w:t>61</w:t>
      </w:r>
      <w:r>
        <w:fldChar w:fldCharType="end"/>
      </w:r>
    </w:p>
    <w:p>
      <w:pPr>
        <w:pStyle w:val="TOC8"/>
        <w:rPr>
          <w:rFonts w:asciiTheme="minorHAnsi" w:eastAsiaTheme="minorEastAsia" w:hAnsiTheme="minorHAnsi" w:cstheme="minorBidi"/>
          <w:szCs w:val="22"/>
        </w:rPr>
      </w:pPr>
      <w:r>
        <w:t>78.</w:t>
      </w:r>
      <w:r>
        <w:tab/>
        <w:t>Charge on subsequent mining tenement</w:t>
      </w:r>
      <w:r>
        <w:tab/>
      </w:r>
      <w:r>
        <w:fldChar w:fldCharType="begin"/>
      </w:r>
      <w:r>
        <w:instrText xml:space="preserve"> PAGEREF _Toc2150490 \h </w:instrText>
      </w:r>
      <w:r>
        <w:fldChar w:fldCharType="separate"/>
      </w:r>
      <w:r>
        <w:t>63</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_Toc2150491 \h </w:instrText>
      </w:r>
      <w:r>
        <w:fldChar w:fldCharType="separate"/>
      </w:r>
      <w:r>
        <w:t>63</w:t>
      </w:r>
      <w:r>
        <w:fldChar w:fldCharType="end"/>
      </w:r>
    </w:p>
    <w:p>
      <w:pPr>
        <w:pStyle w:val="TOC8"/>
        <w:rPr>
          <w:rFonts w:asciiTheme="minorHAnsi" w:eastAsiaTheme="minorEastAsia" w:hAnsiTheme="minorHAnsi" w:cstheme="minorBidi"/>
          <w:szCs w:val="22"/>
        </w:rPr>
      </w:pPr>
      <w:r>
        <w:t>80.</w:t>
      </w:r>
      <w:r>
        <w:tab/>
        <w:t>Certificate as to charge to secure unpaid land tax</w:t>
      </w:r>
      <w:r>
        <w:tab/>
      </w:r>
      <w:r>
        <w:fldChar w:fldCharType="begin"/>
      </w:r>
      <w:r>
        <w:instrText xml:space="preserve"> PAGEREF _Toc2150492 \h </w:instrText>
      </w:r>
      <w:r>
        <w:fldChar w:fldCharType="separate"/>
      </w:r>
      <w:r>
        <w:t>63</w:t>
      </w:r>
      <w:r>
        <w:fldChar w:fldCharType="end"/>
      </w:r>
    </w:p>
    <w:p>
      <w:pPr>
        <w:pStyle w:val="TOC8"/>
        <w:rPr>
          <w:rFonts w:asciiTheme="minorHAnsi" w:eastAsiaTheme="minorEastAsia" w:hAnsiTheme="minorHAnsi" w:cstheme="minorBidi"/>
          <w:szCs w:val="22"/>
        </w:rPr>
      </w:pPr>
      <w:r>
        <w:t>81.</w:t>
      </w:r>
      <w:r>
        <w:tab/>
        <w:t>Withdrawal of memorial to be given when tax paid</w:t>
      </w:r>
      <w:r>
        <w:tab/>
      </w:r>
      <w:r>
        <w:fldChar w:fldCharType="begin"/>
      </w:r>
      <w:r>
        <w:instrText xml:space="preserve"> PAGEREF _Toc2150493 \h </w:instrText>
      </w:r>
      <w:r>
        <w:fldChar w:fldCharType="separate"/>
      </w:r>
      <w:r>
        <w:t>65</w:t>
      </w:r>
      <w:r>
        <w:fldChar w:fldCharType="end"/>
      </w:r>
    </w:p>
    <w:p>
      <w:pPr>
        <w:pStyle w:val="TOC8"/>
        <w:rPr>
          <w:rFonts w:asciiTheme="minorHAnsi" w:eastAsiaTheme="minorEastAsia" w:hAnsiTheme="minorHAnsi" w:cstheme="minorBidi"/>
          <w:szCs w:val="22"/>
        </w:rPr>
      </w:pPr>
      <w:r>
        <w:t>82.</w:t>
      </w:r>
      <w:r>
        <w:tab/>
        <w:t>Memorials etc. affecting TLA land or real property, lodging etc.</w:t>
      </w:r>
      <w:r>
        <w:tab/>
      </w:r>
      <w:r>
        <w:fldChar w:fldCharType="begin"/>
      </w:r>
      <w:r>
        <w:instrText xml:space="preserve"> PAGEREF _Toc2150494 \h </w:instrText>
      </w:r>
      <w:r>
        <w:fldChar w:fldCharType="separate"/>
      </w:r>
      <w:r>
        <w:t>66</w:t>
      </w:r>
      <w:r>
        <w:fldChar w:fldCharType="end"/>
      </w:r>
    </w:p>
    <w:p>
      <w:pPr>
        <w:pStyle w:val="TOC8"/>
        <w:rPr>
          <w:rFonts w:asciiTheme="minorHAnsi" w:eastAsiaTheme="minorEastAsia" w:hAnsiTheme="minorHAnsi" w:cstheme="minorBidi"/>
          <w:szCs w:val="22"/>
        </w:rPr>
      </w:pPr>
      <w:r>
        <w:t>83.</w:t>
      </w:r>
      <w:r>
        <w:tab/>
        <w:t>Memorials affecting mining tenements, lodging etc.</w:t>
      </w:r>
      <w:r>
        <w:tab/>
      </w:r>
      <w:r>
        <w:fldChar w:fldCharType="begin"/>
      </w:r>
      <w:r>
        <w:instrText xml:space="preserve"> PAGEREF _Toc2150495 \h </w:instrText>
      </w:r>
      <w:r>
        <w:fldChar w:fldCharType="separate"/>
      </w:r>
      <w:r>
        <w:t>67</w:t>
      </w:r>
      <w:r>
        <w:fldChar w:fldCharType="end"/>
      </w:r>
    </w:p>
    <w:p>
      <w:pPr>
        <w:pStyle w:val="TOC8"/>
        <w:rPr>
          <w:rFonts w:asciiTheme="minorHAnsi" w:eastAsiaTheme="minorEastAsia" w:hAnsiTheme="minorHAnsi" w:cstheme="minorBidi"/>
          <w:szCs w:val="22"/>
        </w:rPr>
      </w:pPr>
      <w:r>
        <w:t>84.</w:t>
      </w:r>
      <w:r>
        <w:tab/>
        <w:t>Mortgagees to be notified if memorial registered</w:t>
      </w:r>
      <w:r>
        <w:tab/>
      </w:r>
      <w:r>
        <w:fldChar w:fldCharType="begin"/>
      </w:r>
      <w:r>
        <w:instrText xml:space="preserve"> PAGEREF _Toc2150496 \h </w:instrText>
      </w:r>
      <w:r>
        <w:fldChar w:fldCharType="separate"/>
      </w:r>
      <w:r>
        <w:t>67</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_Toc2150497 \h </w:instrText>
      </w:r>
      <w:r>
        <w:fldChar w:fldCharType="separate"/>
      </w:r>
      <w:r>
        <w:t>67</w:t>
      </w:r>
      <w:r>
        <w:fldChar w:fldCharType="end"/>
      </w:r>
    </w:p>
    <w:p>
      <w:pPr>
        <w:pStyle w:val="TOC8"/>
        <w:rPr>
          <w:rFonts w:asciiTheme="minorHAnsi" w:eastAsiaTheme="minorEastAsia" w:hAnsiTheme="minorHAnsi" w:cstheme="minorBidi"/>
          <w:szCs w:val="22"/>
        </w:rPr>
      </w:pPr>
      <w:r>
        <w:t>86.</w:t>
      </w:r>
      <w:r>
        <w:tab/>
        <w:t>Means of enforcement not limited to charge</w:t>
      </w:r>
      <w:r>
        <w:tab/>
      </w:r>
      <w:r>
        <w:fldChar w:fldCharType="begin"/>
      </w:r>
      <w:r>
        <w:instrText xml:space="preserve"> PAGEREF _Toc2150498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to be kept</w:t>
      </w:r>
      <w:r>
        <w:tab/>
      </w:r>
      <w:r>
        <w:fldChar w:fldCharType="begin"/>
      </w:r>
      <w:r>
        <w:instrText xml:space="preserve"> PAGEREF _Toc2150500 \h </w:instrText>
      </w:r>
      <w:r>
        <w:fldChar w:fldCharType="separate"/>
      </w:r>
      <w:r>
        <w:t>70</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_Toc2150501 \h </w:instrText>
      </w:r>
      <w:r>
        <w:fldChar w:fldCharType="separate"/>
      </w:r>
      <w:r>
        <w:t>70</w:t>
      </w:r>
      <w:r>
        <w:fldChar w:fldCharType="end"/>
      </w:r>
    </w:p>
    <w:p>
      <w:pPr>
        <w:pStyle w:val="TOC8"/>
        <w:rPr>
          <w:rFonts w:asciiTheme="minorHAnsi" w:eastAsiaTheme="minorEastAsia" w:hAnsiTheme="minorHAnsi" w:cstheme="minorBidi"/>
          <w:szCs w:val="22"/>
        </w:rPr>
      </w:pPr>
      <w:r>
        <w:t>89.</w:t>
      </w:r>
      <w:r>
        <w:tab/>
        <w:t>Where tax records to be kept</w:t>
      </w:r>
      <w:r>
        <w:tab/>
      </w:r>
      <w:r>
        <w:fldChar w:fldCharType="begin"/>
      </w:r>
      <w:r>
        <w:instrText xml:space="preserve"> PAGEREF _Toc2150502 \h </w:instrText>
      </w:r>
      <w:r>
        <w:fldChar w:fldCharType="separate"/>
      </w:r>
      <w:r>
        <w:t>71</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_Toc2150503 \h </w:instrText>
      </w:r>
      <w:r>
        <w:fldChar w:fldCharType="separate"/>
      </w:r>
      <w:r>
        <w:t>71</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_Toc2150504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8 — Investigations</w:t>
      </w:r>
    </w:p>
    <w:p>
      <w:pPr>
        <w:pStyle w:val="TOC4"/>
        <w:tabs>
          <w:tab w:val="right" w:leader="dot" w:pos="7077"/>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 purposes of</w:t>
      </w:r>
      <w:r>
        <w:tab/>
      </w:r>
      <w:r>
        <w:fldChar w:fldCharType="begin"/>
      </w:r>
      <w:r>
        <w:instrText xml:space="preserve"> PAGEREF _Toc2150507 \h </w:instrText>
      </w:r>
      <w:r>
        <w:fldChar w:fldCharType="separate"/>
      </w:r>
      <w:r>
        <w:t>73</w:t>
      </w:r>
      <w:r>
        <w:fldChar w:fldCharType="end"/>
      </w:r>
    </w:p>
    <w:p>
      <w:pPr>
        <w:pStyle w:val="TOC8"/>
        <w:rPr>
          <w:rFonts w:asciiTheme="minorHAnsi" w:eastAsiaTheme="minorEastAsia" w:hAnsiTheme="minorHAnsi" w:cstheme="minorBidi"/>
          <w:szCs w:val="22"/>
        </w:rPr>
      </w:pPr>
      <w:r>
        <w:t>93.</w:t>
      </w:r>
      <w:r>
        <w:tab/>
        <w:t>Investigations for purposes of recognised revenue laws</w:t>
      </w:r>
      <w:r>
        <w:tab/>
      </w:r>
      <w:r>
        <w:fldChar w:fldCharType="begin"/>
      </w:r>
      <w:r>
        <w:instrText xml:space="preserve"> PAGEREF _Toc2150508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Power to require person to provide information</w:t>
      </w:r>
      <w:r>
        <w:tab/>
      </w:r>
      <w:r>
        <w:fldChar w:fldCharType="begin"/>
      </w:r>
      <w:r>
        <w:instrText xml:space="preserve"> PAGEREF _Toc2150510 \h </w:instrText>
      </w:r>
      <w:r>
        <w:fldChar w:fldCharType="separate"/>
      </w:r>
      <w:r>
        <w:t>74</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_Toc2150511 \h </w:instrText>
      </w:r>
      <w:r>
        <w:fldChar w:fldCharType="separate"/>
      </w:r>
      <w:r>
        <w:t>75</w:t>
      </w:r>
      <w:r>
        <w:fldChar w:fldCharType="end"/>
      </w:r>
    </w:p>
    <w:p>
      <w:pPr>
        <w:pStyle w:val="TOC8"/>
        <w:rPr>
          <w:rFonts w:asciiTheme="minorHAnsi" w:eastAsiaTheme="minorEastAsia" w:hAnsiTheme="minorHAnsi" w:cstheme="minorBidi"/>
          <w:szCs w:val="22"/>
        </w:rPr>
      </w:pPr>
      <w:r>
        <w:t>96.</w:t>
      </w:r>
      <w:r>
        <w:tab/>
        <w:t>Power to retain documents and other records</w:t>
      </w:r>
      <w:r>
        <w:tab/>
      </w:r>
      <w:r>
        <w:fldChar w:fldCharType="begin"/>
      </w:r>
      <w:r>
        <w:instrText xml:space="preserve"> PAGEREF _Toc2150512 \h </w:instrText>
      </w:r>
      <w:r>
        <w:fldChar w:fldCharType="separate"/>
      </w:r>
      <w:r>
        <w:t>76</w:t>
      </w:r>
      <w:r>
        <w:fldChar w:fldCharType="end"/>
      </w:r>
    </w:p>
    <w:p>
      <w:pPr>
        <w:pStyle w:val="TOC8"/>
        <w:rPr>
          <w:rFonts w:asciiTheme="minorHAnsi" w:eastAsiaTheme="minorEastAsia" w:hAnsiTheme="minorHAnsi" w:cstheme="minorBidi"/>
          <w:szCs w:val="22"/>
        </w:rPr>
      </w:pPr>
      <w:r>
        <w:t>97.</w:t>
      </w:r>
      <w:r>
        <w:tab/>
        <w:t>Recording proceedings under s. 95</w:t>
      </w:r>
      <w:r>
        <w:tab/>
      </w:r>
      <w:r>
        <w:fldChar w:fldCharType="begin"/>
      </w:r>
      <w:r>
        <w:instrText xml:space="preserve"> PAGEREF _Toc2150513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Power to enter premises</w:t>
      </w:r>
      <w:r>
        <w:tab/>
      </w:r>
      <w:r>
        <w:fldChar w:fldCharType="begin"/>
      </w:r>
      <w:r>
        <w:instrText xml:space="preserve"> PAGEREF _Toc2150515 \h </w:instrText>
      </w:r>
      <w:r>
        <w:fldChar w:fldCharType="separate"/>
      </w:r>
      <w:r>
        <w:t>77</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_Toc2150516 \h </w:instrText>
      </w:r>
      <w:r>
        <w:fldChar w:fldCharType="separate"/>
      </w:r>
      <w:r>
        <w:t>78</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_Toc2150517 \h </w:instrText>
      </w:r>
      <w:r>
        <w:fldChar w:fldCharType="separate"/>
      </w:r>
      <w:r>
        <w:t>81</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_Toc2150518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requirements to provide information</w:t>
      </w:r>
      <w:r>
        <w:tab/>
      </w:r>
      <w:r>
        <w:fldChar w:fldCharType="begin"/>
      </w:r>
      <w:r>
        <w:instrText xml:space="preserve"> PAGEREF _Toc2150520 \h </w:instrText>
      </w:r>
      <w:r>
        <w:fldChar w:fldCharType="separate"/>
      </w:r>
      <w:r>
        <w:t>82</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_Toc2150521 \h </w:instrText>
      </w:r>
      <w:r>
        <w:fldChar w:fldCharType="separate"/>
      </w:r>
      <w:r>
        <w:t>82</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_Toc2150522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_Toc2150524 \h </w:instrText>
      </w:r>
      <w:r>
        <w:fldChar w:fldCharType="separate"/>
      </w:r>
      <w:r>
        <w:t>86</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_Toc2150525 \h </w:instrText>
      </w:r>
      <w:r>
        <w:fldChar w:fldCharType="separate"/>
      </w:r>
      <w:r>
        <w:t>86</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_Toc2150526 \h </w:instrText>
      </w:r>
      <w:r>
        <w:fldChar w:fldCharType="separate"/>
      </w:r>
      <w:r>
        <w:t>86</w:t>
      </w:r>
      <w:r>
        <w:fldChar w:fldCharType="end"/>
      </w:r>
    </w:p>
    <w:p>
      <w:pPr>
        <w:pStyle w:val="TOC8"/>
        <w:rPr>
          <w:rFonts w:asciiTheme="minorHAnsi" w:eastAsiaTheme="minorEastAsia" w:hAnsiTheme="minorHAnsi" w:cstheme="minorBidi"/>
          <w:szCs w:val="22"/>
        </w:rPr>
      </w:pPr>
      <w:r>
        <w:t>108.</w:t>
      </w:r>
      <w:r>
        <w:tab/>
        <w:t>Obstructing or misleading investigator</w:t>
      </w:r>
      <w:r>
        <w:tab/>
      </w:r>
      <w:r>
        <w:fldChar w:fldCharType="begin"/>
      </w:r>
      <w:r>
        <w:instrText xml:space="preserve"> PAGEREF _Toc2150527 \h </w:instrText>
      </w:r>
      <w:r>
        <w:fldChar w:fldCharType="separate"/>
      </w:r>
      <w:r>
        <w:t>87</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_Toc2150528 \h </w:instrText>
      </w:r>
      <w:r>
        <w:fldChar w:fldCharType="separate"/>
      </w:r>
      <w:r>
        <w:t>87</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_Toc2150529 \h </w:instrText>
      </w:r>
      <w:r>
        <w:fldChar w:fldCharType="separate"/>
      </w:r>
      <w:r>
        <w:t>88</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_Toc2150530 \h </w:instrText>
      </w:r>
      <w:r>
        <w:fldChar w:fldCharType="separate"/>
      </w:r>
      <w:r>
        <w:t>88</w:t>
      </w:r>
      <w:r>
        <w:fldChar w:fldCharType="end"/>
      </w:r>
    </w:p>
    <w:p>
      <w:pPr>
        <w:pStyle w:val="TOC8"/>
        <w:rPr>
          <w:rFonts w:asciiTheme="minorHAnsi" w:eastAsiaTheme="minorEastAsia" w:hAnsiTheme="minorHAnsi" w:cstheme="minorBidi"/>
          <w:szCs w:val="22"/>
        </w:rPr>
      </w:pPr>
      <w:r>
        <w:t>112.</w:t>
      </w:r>
      <w:r>
        <w:tab/>
        <w:t>Authority required for prosecution</w:t>
      </w:r>
      <w:r>
        <w:tab/>
      </w:r>
      <w:r>
        <w:fldChar w:fldCharType="begin"/>
      </w:r>
      <w:r>
        <w:instrText xml:space="preserve"> PAGEREF _Toc2150531 \h </w:instrText>
      </w:r>
      <w:r>
        <w:fldChar w:fldCharType="separate"/>
      </w:r>
      <w:r>
        <w:t>88</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_Toc2150532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4"/>
        <w:tabs>
          <w:tab w:val="right" w:leader="dot" w:pos="7077"/>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tab/>
        <w:t>Duty of confidentiality</w:t>
      </w:r>
      <w:r>
        <w:tab/>
      </w:r>
      <w:r>
        <w:fldChar w:fldCharType="begin"/>
      </w:r>
      <w:r>
        <w:instrText xml:space="preserve"> PAGEREF _Toc2150535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Commissioner</w:t>
      </w:r>
      <w:r>
        <w:tab/>
      </w:r>
      <w:r>
        <w:fldChar w:fldCharType="begin"/>
      </w:r>
      <w:r>
        <w:instrText xml:space="preserve"> PAGEREF _Toc2150537 \h </w:instrText>
      </w:r>
      <w:r>
        <w:fldChar w:fldCharType="separate"/>
      </w:r>
      <w:r>
        <w:t>92</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_Toc2150538 \h </w:instrText>
      </w:r>
      <w:r>
        <w:fldChar w:fldCharType="separate"/>
      </w:r>
      <w:r>
        <w:t>92</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_Toc2150539 \h </w:instrText>
      </w:r>
      <w:r>
        <w:fldChar w:fldCharType="separate"/>
      </w:r>
      <w:r>
        <w:t>93</w:t>
      </w:r>
      <w:r>
        <w:fldChar w:fldCharType="end"/>
      </w:r>
    </w:p>
    <w:p>
      <w:pPr>
        <w:pStyle w:val="TOC8"/>
        <w:rPr>
          <w:rFonts w:asciiTheme="minorHAnsi" w:eastAsiaTheme="minorEastAsia" w:hAnsiTheme="minorHAnsi" w:cstheme="minorBidi"/>
          <w:szCs w:val="22"/>
        </w:rPr>
      </w:pPr>
      <w:r>
        <w:t>118.</w:t>
      </w:r>
      <w:r>
        <w:tab/>
        <w:t>This Division in addition to other laws about service</w:t>
      </w:r>
      <w:r>
        <w:tab/>
      </w:r>
      <w:r>
        <w:fldChar w:fldCharType="begin"/>
      </w:r>
      <w:r>
        <w:instrText xml:space="preserve"> PAGEREF _Toc2150540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_Toc2150542 \h </w:instrText>
      </w:r>
      <w:r>
        <w:fldChar w:fldCharType="separate"/>
      </w:r>
      <w:r>
        <w:t>94</w:t>
      </w:r>
      <w:r>
        <w:fldChar w:fldCharType="end"/>
      </w:r>
    </w:p>
    <w:p>
      <w:pPr>
        <w:pStyle w:val="TOC8"/>
        <w:rPr>
          <w:rFonts w:asciiTheme="minorHAnsi" w:eastAsiaTheme="minorEastAsia" w:hAnsiTheme="minorHAnsi" w:cstheme="minorBidi"/>
          <w:szCs w:val="22"/>
        </w:rPr>
      </w:pPr>
      <w:r>
        <w:t>120.</w:t>
      </w:r>
      <w:r>
        <w:tab/>
        <w:t>Evidentiary value of copies and reproductions of documents</w:t>
      </w:r>
      <w:r>
        <w:tab/>
      </w:r>
      <w:r>
        <w:fldChar w:fldCharType="begin"/>
      </w:r>
      <w:r>
        <w:instrText xml:space="preserve"> PAGEREF _Toc2150543 \h </w:instrText>
      </w:r>
      <w:r>
        <w:fldChar w:fldCharType="separate"/>
      </w:r>
      <w:r>
        <w:t>95</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_Toc2150544 \h </w:instrText>
      </w:r>
      <w:r>
        <w:fldChar w:fldCharType="separate"/>
      </w:r>
      <w:r>
        <w:t>95</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_Toc2150545 \h </w:instrText>
      </w:r>
      <w:r>
        <w:fldChar w:fldCharType="separate"/>
      </w:r>
      <w:r>
        <w:t>96</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_Toc2150546 \h </w:instrText>
      </w:r>
      <w:r>
        <w:fldChar w:fldCharType="separate"/>
      </w:r>
      <w:r>
        <w:t>96</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_Toc2150547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tab/>
        <w:t>Exemption from personal liability</w:t>
      </w:r>
      <w:r>
        <w:tab/>
      </w:r>
      <w:r>
        <w:fldChar w:fldCharType="begin"/>
      </w:r>
      <w:r>
        <w:instrText xml:space="preserve"> PAGEREF _Toc2150549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5 — Regulations, practices and forms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_Toc2150551 \h </w:instrText>
      </w:r>
      <w:r>
        <w:fldChar w:fldCharType="separate"/>
      </w:r>
      <w:r>
        <w:t>97</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_Toc2150552 \h </w:instrText>
      </w:r>
      <w:r>
        <w:fldChar w:fldCharType="separate"/>
      </w:r>
      <w:r>
        <w:t>98</w:t>
      </w:r>
      <w:r>
        <w:fldChar w:fldCharType="end"/>
      </w:r>
    </w:p>
    <w:p>
      <w:pPr>
        <w:pStyle w:val="TOC8"/>
        <w:rPr>
          <w:rFonts w:asciiTheme="minorHAnsi" w:eastAsiaTheme="minorEastAsia" w:hAnsiTheme="minorHAnsi" w:cstheme="minorBidi"/>
          <w:szCs w:val="22"/>
        </w:rPr>
      </w:pPr>
      <w:r>
        <w:t>128.</w:t>
      </w:r>
      <w:r>
        <w:tab/>
        <w:t>Forms</w:t>
      </w:r>
      <w:r>
        <w:tab/>
      </w:r>
      <w:r>
        <w:fldChar w:fldCharType="begin"/>
      </w:r>
      <w:r>
        <w:instrText xml:space="preserve"> PAGEREF _Toc2150553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6 — Early operation of certain amendments to taxation Acts</w:t>
      </w:r>
    </w:p>
    <w:p>
      <w:pPr>
        <w:pStyle w:val="TOC8"/>
        <w:rPr>
          <w:rFonts w:asciiTheme="minorHAnsi" w:eastAsiaTheme="minorEastAsia" w:hAnsiTheme="minorHAnsi" w:cstheme="minorBidi"/>
          <w:szCs w:val="22"/>
        </w:rPr>
      </w:pPr>
      <w:r>
        <w:t>129.</w:t>
      </w:r>
      <w:r>
        <w:tab/>
        <w:t>Terms used</w:t>
      </w:r>
      <w:r>
        <w:tab/>
      </w:r>
      <w:r>
        <w:fldChar w:fldCharType="begin"/>
      </w:r>
      <w:r>
        <w:instrText xml:space="preserve"> PAGEREF _Toc2150555 \h </w:instrText>
      </w:r>
      <w:r>
        <w:fldChar w:fldCharType="separate"/>
      </w:r>
      <w:r>
        <w:t>99</w:t>
      </w:r>
      <w:r>
        <w:fldChar w:fldCharType="end"/>
      </w:r>
    </w:p>
    <w:p>
      <w:pPr>
        <w:pStyle w:val="TOC8"/>
        <w:rPr>
          <w:rFonts w:asciiTheme="minorHAnsi" w:eastAsiaTheme="minorEastAsia" w:hAnsiTheme="minorHAnsi" w:cstheme="minorBidi"/>
          <w:szCs w:val="22"/>
        </w:rPr>
      </w:pPr>
      <w:r>
        <w:t>130.</w:t>
      </w:r>
      <w:r>
        <w:tab/>
        <w:t>Determination of pre</w:t>
      </w:r>
      <w:r>
        <w:noBreakHyphen/>
        <w:t>enactment provisions</w:t>
      </w:r>
      <w:r>
        <w:tab/>
      </w:r>
      <w:r>
        <w:fldChar w:fldCharType="begin"/>
      </w:r>
      <w:r>
        <w:instrText xml:space="preserve"> PAGEREF _Toc2150556 \h </w:instrText>
      </w:r>
      <w:r>
        <w:fldChar w:fldCharType="separate"/>
      </w:r>
      <w:r>
        <w:t>99</w:t>
      </w:r>
      <w:r>
        <w:fldChar w:fldCharType="end"/>
      </w:r>
    </w:p>
    <w:p>
      <w:pPr>
        <w:pStyle w:val="TOC8"/>
        <w:rPr>
          <w:rFonts w:asciiTheme="minorHAnsi" w:eastAsiaTheme="minorEastAsia" w:hAnsiTheme="minorHAnsi" w:cstheme="minorBidi"/>
          <w:szCs w:val="22"/>
        </w:rPr>
      </w:pPr>
      <w:r>
        <w:t>131.</w:t>
      </w:r>
      <w:r>
        <w:tab/>
        <w:t>Duration of determination notice</w:t>
      </w:r>
      <w:r>
        <w:tab/>
      </w:r>
      <w:r>
        <w:fldChar w:fldCharType="begin"/>
      </w:r>
      <w:r>
        <w:instrText xml:space="preserve"> PAGEREF _Toc2150557 \h </w:instrText>
      </w:r>
      <w:r>
        <w:fldChar w:fldCharType="separate"/>
      </w:r>
      <w:r>
        <w:t>100</w:t>
      </w:r>
      <w:r>
        <w:fldChar w:fldCharType="end"/>
      </w:r>
    </w:p>
    <w:p>
      <w:pPr>
        <w:pStyle w:val="TOC8"/>
        <w:rPr>
          <w:rFonts w:asciiTheme="minorHAnsi" w:eastAsiaTheme="minorEastAsia" w:hAnsiTheme="minorHAnsi" w:cstheme="minorBidi"/>
          <w:szCs w:val="22"/>
        </w:rPr>
      </w:pPr>
      <w:r>
        <w:t>132.</w:t>
      </w:r>
      <w:r>
        <w:tab/>
        <w:t>Amendment and replacement of determination notice</w:t>
      </w:r>
      <w:r>
        <w:tab/>
      </w:r>
      <w:r>
        <w:fldChar w:fldCharType="begin"/>
      </w:r>
      <w:r>
        <w:instrText xml:space="preserve"> PAGEREF _Toc2150558 \h </w:instrText>
      </w:r>
      <w:r>
        <w:fldChar w:fldCharType="separate"/>
      </w:r>
      <w:r>
        <w:t>101</w:t>
      </w:r>
      <w:r>
        <w:fldChar w:fldCharType="end"/>
      </w:r>
    </w:p>
    <w:p>
      <w:pPr>
        <w:pStyle w:val="TOC8"/>
        <w:rPr>
          <w:rFonts w:asciiTheme="minorHAnsi" w:eastAsiaTheme="minorEastAsia" w:hAnsiTheme="minorHAnsi" w:cstheme="minorBidi"/>
          <w:szCs w:val="22"/>
        </w:rPr>
      </w:pPr>
      <w:r>
        <w:t>133.</w:t>
      </w:r>
      <w:r>
        <w:tab/>
        <w:t>Effect of pre</w:t>
      </w:r>
      <w:r>
        <w:noBreakHyphen/>
        <w:t>enactment provisions</w:t>
      </w:r>
      <w:r>
        <w:tab/>
      </w:r>
      <w:r>
        <w:fldChar w:fldCharType="begin"/>
      </w:r>
      <w:r>
        <w:instrText xml:space="preserve"> PAGEREF _Toc2150559 \h </w:instrText>
      </w:r>
      <w:r>
        <w:fldChar w:fldCharType="separate"/>
      </w:r>
      <w:r>
        <w:t>102</w:t>
      </w:r>
      <w:r>
        <w:fldChar w:fldCharType="end"/>
      </w:r>
    </w:p>
    <w:p>
      <w:pPr>
        <w:pStyle w:val="TOC8"/>
        <w:rPr>
          <w:rFonts w:asciiTheme="minorHAnsi" w:eastAsiaTheme="minorEastAsia" w:hAnsiTheme="minorHAnsi" w:cstheme="minorBidi"/>
          <w:szCs w:val="22"/>
        </w:rPr>
      </w:pPr>
      <w:r>
        <w:t>134.</w:t>
      </w:r>
      <w:r>
        <w:tab/>
        <w:t>Review of Division</w:t>
      </w:r>
      <w:r>
        <w:tab/>
      </w:r>
      <w:r>
        <w:fldChar w:fldCharType="begin"/>
      </w:r>
      <w:r>
        <w:instrText xml:space="preserve"> PAGEREF _Toc2150560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7 — Review of operation and effectiveness of interim assessments</w:t>
      </w:r>
    </w:p>
    <w:p>
      <w:pPr>
        <w:pStyle w:val="TOC8"/>
        <w:rPr>
          <w:rFonts w:asciiTheme="minorHAnsi" w:eastAsiaTheme="minorEastAsia" w:hAnsiTheme="minorHAnsi" w:cstheme="minorBidi"/>
          <w:szCs w:val="22"/>
        </w:rPr>
      </w:pPr>
      <w:r>
        <w:t>135.</w:t>
      </w:r>
      <w:r>
        <w:tab/>
        <w:t>Review of operation and effectiveness</w:t>
      </w:r>
      <w:r>
        <w:tab/>
      </w:r>
      <w:r>
        <w:fldChar w:fldCharType="begin"/>
      </w:r>
      <w:r>
        <w:instrText xml:space="preserve"> PAGEREF _Toc2150562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matters</w:t>
      </w:r>
    </w:p>
    <w:p>
      <w:pPr>
        <w:pStyle w:val="TOC8"/>
        <w:rPr>
          <w:rFonts w:asciiTheme="minorHAnsi" w:eastAsiaTheme="minorEastAsia" w:hAnsiTheme="minorHAnsi" w:cstheme="minorBidi"/>
          <w:szCs w:val="22"/>
        </w:rPr>
      </w:pPr>
      <w:r>
        <w:t>136.</w:t>
      </w:r>
      <w:r>
        <w:tab/>
        <w:t xml:space="preserve">Provisions for </w:t>
      </w:r>
      <w:r>
        <w:rPr>
          <w:i/>
          <w:snapToGrid w:val="0"/>
        </w:rPr>
        <w:t>Revenue Laws Amendment Act 2013</w:t>
      </w:r>
      <w:r>
        <w:t xml:space="preserve"> Part 3</w:t>
      </w:r>
      <w:r>
        <w:tab/>
      </w:r>
      <w:r>
        <w:fldChar w:fldCharType="begin"/>
      </w:r>
      <w:r>
        <w:instrText xml:space="preserve"> PAGEREF _Toc2150564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_Toc2150566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_Toc2150568 \h </w:instrText>
      </w:r>
      <w:r>
        <w:fldChar w:fldCharType="separate"/>
      </w:r>
      <w:r>
        <w:t>111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_Toc2150569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3" w:name="_Toc440362504"/>
      <w:bookmarkStart w:id="4" w:name="_Toc450559940"/>
      <w:bookmarkStart w:id="5" w:name="_Toc455399470"/>
      <w:bookmarkStart w:id="6" w:name="_Toc528769055"/>
      <w:bookmarkStart w:id="7" w:name="_Toc532472816"/>
      <w:bookmarkStart w:id="8" w:name="_Toc532812040"/>
      <w:bookmarkStart w:id="9" w:name="_Toc215038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2150386"/>
      <w:r>
        <w:rPr>
          <w:rStyle w:val="CharSectno"/>
        </w:rPr>
        <w:t>1</w:t>
      </w:r>
      <w:r>
        <w:rPr>
          <w:snapToGrid w:val="0"/>
        </w:rPr>
        <w:t>.</w:t>
      </w:r>
      <w:r>
        <w:rPr>
          <w:snapToGrid w:val="0"/>
        </w:rPr>
        <w:tab/>
        <w:t>Short title</w:t>
      </w:r>
      <w:bookmarkEnd w:id="10"/>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11" w:name="_Toc2150387"/>
      <w:r>
        <w:rPr>
          <w:rStyle w:val="CharSectno"/>
        </w:rPr>
        <w:t>2</w:t>
      </w:r>
      <w:r>
        <w:rPr>
          <w:snapToGrid w:val="0"/>
        </w:rPr>
        <w:t>.</w:t>
      </w:r>
      <w:r>
        <w:rPr>
          <w:snapToGrid w:val="0"/>
        </w:rPr>
        <w:tab/>
        <w:t>Commencement</w:t>
      </w:r>
      <w:bookmarkEnd w:id="11"/>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2" w:name="_Toc2150388"/>
      <w:r>
        <w:rPr>
          <w:rStyle w:val="CharSectno"/>
        </w:rPr>
        <w:t>3</w:t>
      </w:r>
      <w:r>
        <w:t>.</w:t>
      </w:r>
      <w:r>
        <w:tab/>
        <w:t>Taxation Acts</w:t>
      </w:r>
      <w:bookmarkEnd w:id="12"/>
    </w:p>
    <w:p>
      <w:pPr>
        <w:pStyle w:val="Subsection"/>
      </w:pPr>
      <w:r>
        <w:tab/>
        <w:t>(1)</w:t>
      </w:r>
      <w:r>
        <w:tab/>
        <w:t>The following enactments are taxation Acts for the purposes of this Act — </w:t>
      </w:r>
    </w:p>
    <w:p>
      <w:pPr>
        <w:pStyle w:val="Indenta"/>
      </w:pPr>
      <w:r>
        <w:tab/>
        <w:t>(a)</w:t>
      </w:r>
      <w:r>
        <w:tab/>
        <w:t>this Act;</w:t>
      </w:r>
    </w:p>
    <w:p>
      <w:pPr>
        <w:pStyle w:val="Ednotepara"/>
        <w:tabs>
          <w:tab w:val="left" w:pos="993"/>
        </w:tabs>
        <w:spacing w:before="80"/>
      </w:pPr>
      <w:r>
        <w:tab/>
        <w:t>[(b), (c)  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 Act;</w:t>
      </w:r>
    </w:p>
    <w:p>
      <w:pPr>
        <w:pStyle w:val="Indenta"/>
        <w:keepNext/>
      </w:pPr>
      <w:r>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Indenta"/>
      </w:pPr>
      <w:r>
        <w:tab/>
        <w:t>(jc)</w:t>
      </w:r>
      <w:r>
        <w:tab/>
        <w:t xml:space="preserve">the </w:t>
      </w:r>
      <w:r>
        <w:rPr>
          <w:i/>
        </w:rPr>
        <w:t>Betting Tax Act 2018</w:t>
      </w:r>
      <w:r>
        <w:t>;</w:t>
      </w:r>
    </w:p>
    <w:p>
      <w:pPr>
        <w:pStyle w:val="Indenta"/>
      </w:pPr>
      <w:r>
        <w:tab/>
        <w:t>(jd)</w:t>
      </w:r>
      <w:r>
        <w:tab/>
        <w:t xml:space="preserve">the </w:t>
      </w:r>
      <w:r>
        <w:rPr>
          <w:i/>
        </w:rPr>
        <w:t>Betting Tax Assessment Act 2018</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No. 38 of 2005 s. 15; No. 24 of 2007 s. 94; No. 12 of 2008 s. 34; No. 17 of 2010 s. 30(2); No. 37 of 2018 s. 45.]</w:t>
      </w:r>
    </w:p>
    <w:p>
      <w:pPr>
        <w:pStyle w:val="Footnotesection"/>
      </w:pPr>
      <w:r>
        <w:tab/>
        <w:t>[Section 3, modifications have effect under the Commonwealth Places (Mirror Taxes Administration) Act 1999, see note 1M.]</w:t>
      </w:r>
    </w:p>
    <w:p>
      <w:pPr>
        <w:pStyle w:val="Footnotesection"/>
      </w:pPr>
      <w:r>
        <w:tab/>
        <w:t>[Section 3, modifications have effect under the Commonwealth Places (Mirror Taxes) Act 1998 (Cth), see note 1MC.]</w:t>
      </w:r>
    </w:p>
    <w:p>
      <w:pPr>
        <w:pStyle w:val="Heading5"/>
      </w:pPr>
      <w:bookmarkStart w:id="13" w:name="_Toc2150389"/>
      <w:r>
        <w:rPr>
          <w:rStyle w:val="CharSectno"/>
        </w:rPr>
        <w:t>4</w:t>
      </w:r>
      <w:r>
        <w:rPr>
          <w:b w:val="0"/>
        </w:rPr>
        <w:t>.</w:t>
      </w:r>
      <w:r>
        <w:rPr>
          <w:snapToGrid w:val="0"/>
        </w:rPr>
        <w:tab/>
      </w:r>
      <w:r>
        <w:t>Terms used (Glossary)</w:t>
      </w:r>
      <w:bookmarkEnd w:id="13"/>
    </w:p>
    <w:p>
      <w:pPr>
        <w:pStyle w:val="Subsection"/>
      </w:pPr>
      <w:r>
        <w:tab/>
      </w:r>
      <w:r>
        <w:tab/>
        <w:t>The Glossary at the end of this Act defines or affects the meaning of some of the words and expressions used in this Act.</w:t>
      </w:r>
    </w:p>
    <w:p>
      <w:pPr>
        <w:pStyle w:val="Heading5"/>
      </w:pPr>
      <w:bookmarkStart w:id="14" w:name="_Toc2150390"/>
      <w:r>
        <w:rPr>
          <w:rStyle w:val="CharSectno"/>
        </w:rPr>
        <w:t>5</w:t>
      </w:r>
      <w:r>
        <w:t>.</w:t>
      </w:r>
      <w:r>
        <w:tab/>
        <w:t>Crown bound</w:t>
      </w:r>
      <w:bookmarkEnd w:id="14"/>
    </w:p>
    <w:p>
      <w:pPr>
        <w:pStyle w:val="Subsection"/>
      </w:pPr>
      <w:r>
        <w:tab/>
      </w:r>
      <w:r>
        <w:tab/>
        <w:t xml:space="preserve">Subject to any express provision to the contrary, each taxation Act binds the Crown in right of </w:t>
      </w:r>
      <w:smartTag w:uri="urn:schemas-microsoft-com:office:smarttags" w:element="place">
        <w:smartTag w:uri="urn:schemas-microsoft-com:office:smarttags" w:element="State">
          <w:r>
            <w:t>Western Australia</w:t>
          </w:r>
        </w:smartTag>
      </w:smartTag>
      <w:r>
        <w:t xml:space="preserve"> and, as far as the legislative power of Parliament permits, in all its other capacities.</w:t>
      </w:r>
    </w:p>
    <w:p>
      <w:pPr>
        <w:pStyle w:val="Footnotesection"/>
      </w:pPr>
      <w:r>
        <w:tab/>
        <w:t>[Section 5, modifications have effect under the Commonwealth Places (Mirror Taxes) Act 1998 (Cth), see note 1MC.]</w:t>
      </w:r>
    </w:p>
    <w:p>
      <w:pPr>
        <w:pStyle w:val="Footnotesection"/>
      </w:pPr>
      <w:r>
        <w:t>[</w:t>
      </w:r>
      <w:r>
        <w:rPr>
          <w:b/>
        </w:rPr>
        <w:t>5A.</w:t>
      </w:r>
      <w:r>
        <w:rPr>
          <w:vertAlign w:val="superscript"/>
        </w:rPr>
        <w:t> 1M</w:t>
      </w:r>
      <w:r>
        <w:tab/>
        <w:t>A modification, to insert section 5A, has effect under the Commonwealth Places (Mirror Taxes Administration) Act 1999, see note 1M.]</w:t>
      </w:r>
    </w:p>
    <w:p>
      <w:pPr>
        <w:pStyle w:val="Footnotesection"/>
      </w:pPr>
      <w:r>
        <w:t>[</w:t>
      </w:r>
      <w:r>
        <w:rPr>
          <w:b/>
        </w:rPr>
        <w:t>5A.</w:t>
      </w:r>
      <w:r>
        <w:rPr>
          <w:vertAlign w:val="superscript"/>
        </w:rPr>
        <w:t> 1MC</w:t>
      </w:r>
      <w:r>
        <w:tab/>
        <w:t>A modification, to insert section 5A, has effect under the Commonwealth Places (Mirror Taxes) Act 1998 (Cth), see note 1MC.]</w:t>
      </w:r>
    </w:p>
    <w:p>
      <w:pPr>
        <w:pStyle w:val="Footnotesection"/>
      </w:pPr>
      <w:r>
        <w:t xml:space="preserve"> [</w:t>
      </w:r>
      <w:r>
        <w:rPr>
          <w:b/>
        </w:rPr>
        <w:t>5B.</w:t>
      </w:r>
      <w:r>
        <w:rPr>
          <w:vertAlign w:val="superscript"/>
        </w:rPr>
        <w:t> 1M</w:t>
      </w:r>
      <w:r>
        <w:tab/>
        <w:t>A modification, to insert section 5B, has effect under the Commonwealth Places (Mirror Taxes Administration) Act 1999, see note 1M.]</w:t>
      </w:r>
    </w:p>
    <w:p>
      <w:pPr>
        <w:pStyle w:val="Footnotesection"/>
      </w:pPr>
      <w:r>
        <w:t>[</w:t>
      </w:r>
      <w:r>
        <w:rPr>
          <w:b/>
        </w:rPr>
        <w:t>5B.</w:t>
      </w:r>
      <w:r>
        <w:rPr>
          <w:vertAlign w:val="superscript"/>
        </w:rPr>
        <w:t> 1MC</w:t>
      </w:r>
      <w:r>
        <w:tab/>
        <w:t>A modification, to insert section 5B, has effect under the Commonwealth Places (Mirror Taxes) Act 1998 (Cth), see note 1MC.]</w:t>
      </w:r>
    </w:p>
    <w:p>
      <w:pPr>
        <w:pStyle w:val="Heading2"/>
      </w:pPr>
      <w:bookmarkStart w:id="15" w:name="_Toc440362510"/>
      <w:bookmarkStart w:id="16" w:name="_Toc450559946"/>
      <w:bookmarkStart w:id="17" w:name="_Toc455399476"/>
      <w:bookmarkStart w:id="18" w:name="_Toc528769061"/>
      <w:bookmarkStart w:id="19" w:name="_Toc532472822"/>
      <w:bookmarkStart w:id="20" w:name="_Toc532812046"/>
      <w:bookmarkStart w:id="21" w:name="_Toc2150391"/>
      <w:r>
        <w:rPr>
          <w:rStyle w:val="CharPartNo"/>
        </w:rPr>
        <w:t>Part 2</w:t>
      </w:r>
      <w:r>
        <w:rPr>
          <w:rStyle w:val="CharDivNo"/>
        </w:rPr>
        <w:t xml:space="preserve"> </w:t>
      </w:r>
      <w:r>
        <w:t>—</w:t>
      </w:r>
      <w:r>
        <w:rPr>
          <w:rStyle w:val="CharDivText"/>
        </w:rPr>
        <w:t xml:space="preserve"> </w:t>
      </w:r>
      <w:r>
        <w:rPr>
          <w:rStyle w:val="CharPartText"/>
        </w:rPr>
        <w:t>Tax administration generally</w:t>
      </w:r>
      <w:bookmarkEnd w:id="15"/>
      <w:bookmarkEnd w:id="16"/>
      <w:bookmarkEnd w:id="17"/>
      <w:bookmarkEnd w:id="18"/>
      <w:bookmarkEnd w:id="19"/>
      <w:bookmarkEnd w:id="20"/>
      <w:bookmarkEnd w:id="21"/>
    </w:p>
    <w:p>
      <w:pPr>
        <w:pStyle w:val="Heading5"/>
        <w:spacing w:before="180"/>
      </w:pPr>
      <w:bookmarkStart w:id="22" w:name="_Toc2150392"/>
      <w:r>
        <w:rPr>
          <w:rStyle w:val="CharSectno"/>
        </w:rPr>
        <w:t>6</w:t>
      </w:r>
      <w:r>
        <w:t>.</w:t>
      </w:r>
      <w:r>
        <w:tab/>
        <w:t>Commissioner of State Revenue</w:t>
      </w:r>
      <w:bookmarkEnd w:id="22"/>
    </w:p>
    <w:p>
      <w:pPr>
        <w:pStyle w:val="Subsection"/>
        <w:spacing w:before="120"/>
      </w:pPr>
      <w:r>
        <w:tab/>
      </w:r>
      <w:r>
        <w:tab/>
        <w:t xml:space="preserve">A Commissioner of State Revenue is to be appointed under Part 3 of the </w:t>
      </w:r>
      <w:r>
        <w:rPr>
          <w:i/>
        </w:rPr>
        <w:t>Public Sector Management Act 1994</w:t>
      </w:r>
      <w:r>
        <w:t>.</w:t>
      </w:r>
    </w:p>
    <w:p>
      <w:pPr>
        <w:pStyle w:val="Footnotesection"/>
        <w:spacing w:before="80"/>
        <w:ind w:left="890" w:hanging="890"/>
      </w:pPr>
      <w:r>
        <w:tab/>
        <w:t>[A modification, to repeal section 6, has effect under the Commonwealth Places (Mirror Taxes) Act 1998 (Cth), see note 1MC.]</w:t>
      </w:r>
    </w:p>
    <w:p>
      <w:pPr>
        <w:pStyle w:val="Heading5"/>
        <w:spacing w:before="160"/>
      </w:pPr>
      <w:bookmarkStart w:id="23" w:name="_Toc2150393"/>
      <w:r>
        <w:rPr>
          <w:rStyle w:val="CharSectno"/>
        </w:rPr>
        <w:t>7</w:t>
      </w:r>
      <w:r>
        <w:t>.</w:t>
      </w:r>
      <w:r>
        <w:tab/>
        <w:t>Commissioner’s functions as to taxation Acts</w:t>
      </w:r>
      <w:bookmarkEnd w:id="23"/>
    </w:p>
    <w:p>
      <w:pPr>
        <w:pStyle w:val="Subsection"/>
        <w:spacing w:before="120"/>
      </w:pPr>
      <w:r>
        <w:tab/>
        <w:t>(1)</w:t>
      </w:r>
      <w:r>
        <w:tab/>
        <w:t>The Commissioner has the general administration of the taxation Acts and may do anything necessary or convenient to be done for that purpose.</w:t>
      </w:r>
    </w:p>
    <w:p>
      <w:pPr>
        <w:pStyle w:val="Subsection"/>
        <w:spacing w:before="120"/>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spacing w:before="120"/>
      </w:pPr>
      <w:r>
        <w:tab/>
      </w:r>
      <w:r>
        <w:tab/>
        <w:t xml:space="preserve">that the Commissioner considers appropriate in the interests of good management. </w:t>
      </w:r>
    </w:p>
    <w:p>
      <w:pPr>
        <w:pStyle w:val="Subsection"/>
        <w:spacing w:before="120"/>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spacing w:before="80"/>
        <w:ind w:left="890" w:hanging="890"/>
      </w:pPr>
      <w:r>
        <w:tab/>
        <w:t>[Section 7 inserted: No. 31 of 2008 s. 23.]</w:t>
      </w:r>
    </w:p>
    <w:p>
      <w:pPr>
        <w:pStyle w:val="Heading5"/>
        <w:spacing w:before="160"/>
      </w:pPr>
      <w:bookmarkStart w:id="24" w:name="_Toc2150394"/>
      <w:r>
        <w:rPr>
          <w:rStyle w:val="CharSectno"/>
        </w:rPr>
        <w:t>8</w:t>
      </w:r>
      <w:r>
        <w:t>.</w:t>
      </w:r>
      <w:r>
        <w:tab/>
        <w:t>Commissioner may perform investigators’ functions</w:t>
      </w:r>
      <w:bookmarkEnd w:id="24"/>
    </w:p>
    <w:p>
      <w:pPr>
        <w:pStyle w:val="Subsection"/>
        <w:spacing w:before="120"/>
      </w:pPr>
      <w:r>
        <w:tab/>
      </w:r>
      <w:r>
        <w:tab/>
        <w:t>In addition to performing the functions conferred on the Commissioner under a taxation Act, the Commissioner may perform any function conferred on an investigator under a taxation Act.</w:t>
      </w:r>
    </w:p>
    <w:p>
      <w:pPr>
        <w:pStyle w:val="Heading5"/>
        <w:spacing w:before="160"/>
      </w:pPr>
      <w:bookmarkStart w:id="25" w:name="_Toc2150395"/>
      <w:r>
        <w:rPr>
          <w:rStyle w:val="CharSectno"/>
        </w:rPr>
        <w:t>9</w:t>
      </w:r>
      <w:r>
        <w:t>.</w:t>
      </w:r>
      <w:r>
        <w:tab/>
        <w:t>Commissioner, judicial notice of appointment and signature</w:t>
      </w:r>
      <w:bookmarkEnd w:id="25"/>
    </w:p>
    <w:p>
      <w:pPr>
        <w:pStyle w:val="Subsection"/>
        <w:spacing w:before="120"/>
      </w:pPr>
      <w:r>
        <w:rPr>
          <w:b/>
        </w:rPr>
        <w:tab/>
      </w:r>
      <w:r>
        <w:rPr>
          <w:b/>
        </w:rPr>
        <w:tab/>
      </w:r>
      <w:r>
        <w:t>All courts and persons acting judicially are to take judicial notice — </w:t>
      </w:r>
    </w:p>
    <w:p>
      <w:pPr>
        <w:pStyle w:val="Indenta"/>
        <w:spacing w:before="60"/>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26" w:name="_Toc2150396"/>
      <w:r>
        <w:rPr>
          <w:rStyle w:val="CharSectno"/>
        </w:rPr>
        <w:t>10</w:t>
      </w:r>
      <w:r>
        <w:t>.</w:t>
      </w:r>
      <w:r>
        <w:tab/>
        <w:t>Delegation by Commissioner</w:t>
      </w:r>
      <w:bookmarkEnd w:id="26"/>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Footnotesection"/>
        <w:keepLines w:val="0"/>
        <w:ind w:left="890" w:hanging="890"/>
      </w:pPr>
      <w:r>
        <w:tab/>
        <w:t>[Section 10, modifications have effect under the Commonwealth Places (Mirror Taxes Administration) Act 1999, see note 1M.]</w:t>
      </w:r>
    </w:p>
    <w:p>
      <w:pPr>
        <w:pStyle w:val="Footnotesection"/>
      </w:pPr>
      <w:r>
        <w:tab/>
        <w:t>[A modification, to replace section 10, has effect under the Commonwealth Places (Mirror Taxes) Act 1998 (Cth), see note 1MC.]</w:t>
      </w:r>
    </w:p>
    <w:p>
      <w:pPr>
        <w:pStyle w:val="Heading5"/>
      </w:pPr>
      <w:bookmarkStart w:id="27" w:name="_Toc2150397"/>
      <w:r>
        <w:rPr>
          <w:rStyle w:val="CharSectno"/>
        </w:rPr>
        <w:t>11</w:t>
      </w:r>
      <w:r>
        <w:t>.</w:t>
      </w:r>
      <w:r>
        <w:tab/>
        <w:t>Tax investigators</w:t>
      </w:r>
      <w:bookmarkEnd w:id="27"/>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keepNext/>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Footnotesection"/>
      </w:pPr>
      <w:r>
        <w:tab/>
        <w:t>[A modification, to replace section 11, has effect under the Commonwealth Places (Mirror Taxes) Act 1998 (Cth), see note 1MC.]</w:t>
      </w:r>
    </w:p>
    <w:p>
      <w:pPr>
        <w:pStyle w:val="Heading5"/>
      </w:pPr>
      <w:bookmarkStart w:id="28" w:name="_Toc2150398"/>
      <w:r>
        <w:rPr>
          <w:rStyle w:val="CharSectno"/>
        </w:rPr>
        <w:t>12</w:t>
      </w:r>
      <w:r>
        <w:t>.</w:t>
      </w:r>
      <w:r>
        <w:tab/>
        <w:t>Appointed representatives for court proceedings</w:t>
      </w:r>
      <w:bookmarkEnd w:id="28"/>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29" w:name="_Toc440362518"/>
      <w:bookmarkStart w:id="30" w:name="_Toc450559954"/>
      <w:bookmarkStart w:id="31" w:name="_Toc455399484"/>
      <w:bookmarkStart w:id="32" w:name="_Toc528769069"/>
      <w:bookmarkStart w:id="33" w:name="_Toc532472830"/>
      <w:bookmarkStart w:id="34" w:name="_Toc532812054"/>
      <w:bookmarkStart w:id="35" w:name="_Toc2150399"/>
      <w:r>
        <w:rPr>
          <w:rStyle w:val="CharPartNo"/>
        </w:rPr>
        <w:t>Part 3</w:t>
      </w:r>
      <w:r>
        <w:t xml:space="preserve"> — </w:t>
      </w:r>
      <w:r>
        <w:rPr>
          <w:rStyle w:val="CharPartText"/>
        </w:rPr>
        <w:t>Assessments of tax</w:t>
      </w:r>
      <w:bookmarkEnd w:id="29"/>
      <w:bookmarkEnd w:id="30"/>
      <w:bookmarkEnd w:id="31"/>
      <w:bookmarkEnd w:id="32"/>
      <w:bookmarkEnd w:id="33"/>
      <w:bookmarkEnd w:id="34"/>
      <w:bookmarkEnd w:id="35"/>
    </w:p>
    <w:p>
      <w:pPr>
        <w:pStyle w:val="Heading3"/>
      </w:pPr>
      <w:bookmarkStart w:id="36" w:name="_Toc440362519"/>
      <w:bookmarkStart w:id="37" w:name="_Toc450559955"/>
      <w:bookmarkStart w:id="38" w:name="_Toc455399485"/>
      <w:bookmarkStart w:id="39" w:name="_Toc528769070"/>
      <w:bookmarkStart w:id="40" w:name="_Toc532472831"/>
      <w:bookmarkStart w:id="41" w:name="_Toc532812055"/>
      <w:bookmarkStart w:id="42" w:name="_Toc2150400"/>
      <w:r>
        <w:rPr>
          <w:rStyle w:val="CharDivNo"/>
        </w:rPr>
        <w:t>Division 1</w:t>
      </w:r>
      <w:r>
        <w:t xml:space="preserve"> — </w:t>
      </w:r>
      <w:r>
        <w:rPr>
          <w:rStyle w:val="CharDivText"/>
        </w:rPr>
        <w:t>Assessments</w:t>
      </w:r>
      <w:bookmarkEnd w:id="36"/>
      <w:bookmarkEnd w:id="37"/>
      <w:bookmarkEnd w:id="38"/>
      <w:bookmarkEnd w:id="39"/>
      <w:bookmarkEnd w:id="40"/>
      <w:bookmarkEnd w:id="41"/>
      <w:bookmarkEnd w:id="42"/>
    </w:p>
    <w:p>
      <w:pPr>
        <w:pStyle w:val="Heading5"/>
      </w:pPr>
      <w:bookmarkStart w:id="43" w:name="_Toc2150401"/>
      <w:r>
        <w:rPr>
          <w:rStyle w:val="CharSectno"/>
        </w:rPr>
        <w:t>13</w:t>
      </w:r>
      <w:r>
        <w:t>.</w:t>
      </w:r>
      <w:r>
        <w:tab/>
        <w:t>Assessments</w:t>
      </w:r>
      <w:bookmarkEnd w:id="43"/>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No. 10 of 2013 s. 11.]</w:t>
      </w:r>
    </w:p>
    <w:p>
      <w:pPr>
        <w:pStyle w:val="Heading5"/>
      </w:pPr>
      <w:bookmarkStart w:id="44" w:name="_Toc2150402"/>
      <w:r>
        <w:rPr>
          <w:rStyle w:val="CharSectno"/>
        </w:rPr>
        <w:t>14</w:t>
      </w:r>
      <w:r>
        <w:t>.</w:t>
      </w:r>
      <w:r>
        <w:tab/>
        <w:t>Self</w:t>
      </w:r>
      <w:r>
        <w:noBreakHyphen/>
        <w:t>assessments</w:t>
      </w:r>
      <w:bookmarkEnd w:id="44"/>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45" w:name="_Toc2150403"/>
      <w:r>
        <w:rPr>
          <w:rStyle w:val="CharSectno"/>
        </w:rPr>
        <w:t>15</w:t>
      </w:r>
      <w:r>
        <w:t>.</w:t>
      </w:r>
      <w:r>
        <w:tab/>
        <w:t>Official assessments</w:t>
      </w:r>
      <w:bookmarkEnd w:id="45"/>
    </w:p>
    <w:p>
      <w:pPr>
        <w:pStyle w:val="Subsection"/>
      </w:pPr>
      <w:r>
        <w:tab/>
        <w:t>(1)</w:t>
      </w:r>
      <w:r>
        <w:tab/>
        <w:t>An official assessment is an assessment made by the Commissioner.</w:t>
      </w:r>
    </w:p>
    <w:p>
      <w:pPr>
        <w:pStyle w:val="Subsection"/>
        <w:keepNext/>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46" w:name="_Toc2150404"/>
      <w:r>
        <w:rPr>
          <w:rStyle w:val="CharSectno"/>
        </w:rPr>
        <w:t>16A</w:t>
      </w:r>
      <w:r>
        <w:t>.</w:t>
      </w:r>
      <w:r>
        <w:tab/>
        <w:t>Interim assessments</w:t>
      </w:r>
      <w:bookmarkEnd w:id="46"/>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No. 10 of 2013 s. 12.]</w:t>
      </w:r>
    </w:p>
    <w:p>
      <w:pPr>
        <w:pStyle w:val="Heading5"/>
        <w:spacing w:before="240"/>
      </w:pPr>
      <w:bookmarkStart w:id="47" w:name="_Toc2150405"/>
      <w:r>
        <w:rPr>
          <w:rStyle w:val="CharSectno"/>
        </w:rPr>
        <w:t>16</w:t>
      </w:r>
      <w:r>
        <w:t>.</w:t>
      </w:r>
      <w:r>
        <w:tab/>
        <w:t>Reassessments</w:t>
      </w:r>
      <w:bookmarkEnd w:id="47"/>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No. 55 of 2004 s. 1165; No. 10 of 2013 s. 13.]</w:t>
      </w:r>
    </w:p>
    <w:p>
      <w:pPr>
        <w:pStyle w:val="Heading5"/>
      </w:pPr>
      <w:bookmarkStart w:id="48" w:name="_Toc2150406"/>
      <w:r>
        <w:rPr>
          <w:rStyle w:val="CharSectno"/>
        </w:rPr>
        <w:t>17</w:t>
      </w:r>
      <w:r>
        <w:t>.</w:t>
      </w:r>
      <w:r>
        <w:tab/>
        <w:t>Time limits on reassessments</w:t>
      </w:r>
      <w:bookmarkEnd w:id="48"/>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or betting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No. 55 of 2004 s. 1166; No. 37 of 2018 s. 46.]</w:t>
      </w:r>
    </w:p>
    <w:p>
      <w:pPr>
        <w:pStyle w:val="Heading5"/>
      </w:pPr>
      <w:bookmarkStart w:id="49" w:name="_Toc2150407"/>
      <w:r>
        <w:rPr>
          <w:rStyle w:val="CharSectno"/>
        </w:rPr>
        <w:t>18</w:t>
      </w:r>
      <w:r>
        <w:t>.</w:t>
      </w:r>
      <w:r>
        <w:tab/>
        <w:t>Effect of reassessment</w:t>
      </w:r>
      <w:bookmarkEnd w:id="49"/>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No. 12 of 2008 s. 35; No. 10 of 2013 s. 14.]</w:t>
      </w:r>
    </w:p>
    <w:p>
      <w:pPr>
        <w:pStyle w:val="Heading5"/>
        <w:spacing w:before="180"/>
      </w:pPr>
      <w:bookmarkStart w:id="50" w:name="_Toc2150408"/>
      <w:r>
        <w:rPr>
          <w:rStyle w:val="CharSectno"/>
        </w:rPr>
        <w:t>18A</w:t>
      </w:r>
      <w:r>
        <w:rPr>
          <w:color w:val="000000"/>
        </w:rPr>
        <w:t>.</w:t>
      </w:r>
      <w:r>
        <w:rPr>
          <w:color w:val="000000"/>
        </w:rPr>
        <w:tab/>
        <w:t>Withdrawal of assessments</w:t>
      </w:r>
      <w:bookmarkEnd w:id="50"/>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No. 66 of 2003 s. 95(2).]</w:t>
      </w:r>
    </w:p>
    <w:p>
      <w:pPr>
        <w:pStyle w:val="Heading5"/>
        <w:spacing w:before="180"/>
      </w:pPr>
      <w:bookmarkStart w:id="51" w:name="_Toc2150409"/>
      <w:r>
        <w:rPr>
          <w:rStyle w:val="CharSectno"/>
        </w:rPr>
        <w:t>19</w:t>
      </w:r>
      <w:r>
        <w:t>.</w:t>
      </w:r>
      <w:r>
        <w:tab/>
        <w:t>Assessments based on estimated or suspected liability</w:t>
      </w:r>
      <w:bookmarkEnd w:id="51"/>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No. 10 of 2013 s. 15.]</w:t>
      </w:r>
    </w:p>
    <w:p>
      <w:pPr>
        <w:pStyle w:val="Heading5"/>
      </w:pPr>
      <w:bookmarkStart w:id="52" w:name="_Toc2150410"/>
      <w:r>
        <w:rPr>
          <w:rStyle w:val="CharSectno"/>
        </w:rPr>
        <w:t>20A</w:t>
      </w:r>
      <w:r>
        <w:t>.</w:t>
      </w:r>
      <w:r>
        <w:tab/>
        <w:t>Compromise assessments</w:t>
      </w:r>
      <w:bookmarkEnd w:id="52"/>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spacing w:before="120"/>
      </w:pPr>
      <w:r>
        <w:tab/>
        <w:t>(4)</w:t>
      </w:r>
      <w:r>
        <w:tab/>
        <w:t>No action can be brought in any court or tribunal to compel the Commissioner to make a compromise agreement.</w:t>
      </w:r>
    </w:p>
    <w:p>
      <w:pPr>
        <w:pStyle w:val="Subsection"/>
        <w:spacing w:before="120"/>
      </w:pPr>
      <w:r>
        <w:tab/>
        <w:t>(5)</w:t>
      </w:r>
      <w:r>
        <w:tab/>
        <w:t>This section does not limit the Commissioner’s powers under section 19.</w:t>
      </w:r>
    </w:p>
    <w:p>
      <w:pPr>
        <w:pStyle w:val="Footnotesection"/>
      </w:pPr>
      <w:r>
        <w:tab/>
        <w:t>[Section 20A inserted: No. 31 of 2008 s. 29; amended: No. 17 of 2010 s. 23; No. 10 of 2013 s. 16.]</w:t>
      </w:r>
    </w:p>
    <w:p>
      <w:pPr>
        <w:pStyle w:val="Heading5"/>
        <w:spacing w:before="180"/>
      </w:pPr>
      <w:bookmarkStart w:id="53" w:name="_Toc2150411"/>
      <w:r>
        <w:rPr>
          <w:rStyle w:val="CharSectno"/>
        </w:rPr>
        <w:t>20</w:t>
      </w:r>
      <w:r>
        <w:t>.</w:t>
      </w:r>
      <w:r>
        <w:tab/>
        <w:t>Assessments when instrument misleading or unavailable</w:t>
      </w:r>
      <w:bookmarkEnd w:id="53"/>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spacing w:before="120"/>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spacing w:before="120"/>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No. 66 of 2003 s. 95(3); No. 12 of 2008 s. 36.]</w:t>
      </w:r>
    </w:p>
    <w:p>
      <w:pPr>
        <w:pStyle w:val="Heading5"/>
        <w:spacing w:before="240"/>
      </w:pPr>
      <w:bookmarkStart w:id="54" w:name="_Toc2150412"/>
      <w:r>
        <w:rPr>
          <w:rStyle w:val="CharSectno"/>
        </w:rPr>
        <w:t>21</w:t>
      </w:r>
      <w:r>
        <w:t>.</w:t>
      </w:r>
      <w:r>
        <w:tab/>
        <w:t>Ascertaining value of property, consideration or benefit</w:t>
      </w:r>
      <w:bookmarkEnd w:id="54"/>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if methods, models and assumptions must be provided electronically — they be provided in a form that allows 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No. 10 of 2013 s. 29.]</w:t>
      </w:r>
    </w:p>
    <w:p>
      <w:pPr>
        <w:pStyle w:val="Heading5"/>
        <w:spacing w:before="240"/>
      </w:pPr>
      <w:bookmarkStart w:id="55" w:name="_Toc2150413"/>
      <w:r>
        <w:rPr>
          <w:rStyle w:val="CharSectno"/>
        </w:rPr>
        <w:t>22</w:t>
      </w:r>
      <w:r>
        <w:t>.</w:t>
      </w:r>
      <w:r>
        <w:tab/>
        <w:t>Commissioner’s power to have valuation made</w:t>
      </w:r>
      <w:bookmarkEnd w:id="55"/>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56" w:name="_Toc2150414"/>
      <w:r>
        <w:rPr>
          <w:rStyle w:val="CharSectno"/>
        </w:rPr>
        <w:t>23A</w:t>
      </w:r>
      <w:r>
        <w:t>.</w:t>
      </w:r>
      <w:r>
        <w:tab/>
        <w:t>Recovery of valuation costs</w:t>
      </w:r>
      <w:bookmarkEnd w:id="56"/>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spacing w:before="120"/>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spacing w:before="120"/>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spacing w:before="120"/>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spacing w:before="120"/>
      </w:pPr>
      <w:r>
        <w:tab/>
        <w:t>(5)</w:t>
      </w:r>
      <w:r>
        <w:tab/>
        <w:t>The nomination must be in writing.</w:t>
      </w:r>
    </w:p>
    <w:p>
      <w:pPr>
        <w:pStyle w:val="Subsection"/>
        <w:spacing w:before="120"/>
      </w:pPr>
      <w:r>
        <w:tab/>
        <w:t>(6)</w:t>
      </w:r>
      <w:r>
        <w:tab/>
        <w:t>Subsection (1)(b) does not apply if the Commissioner has not sought a nomination from the taxpayer in relation to the valuation.</w:t>
      </w:r>
    </w:p>
    <w:p>
      <w:pPr>
        <w:pStyle w:val="Subsection"/>
      </w:pPr>
      <w:r>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No. 10 of 2013 s. 30.]</w:t>
      </w:r>
    </w:p>
    <w:p>
      <w:pPr>
        <w:pStyle w:val="Heading3"/>
        <w:spacing w:before="180"/>
      </w:pPr>
      <w:bookmarkStart w:id="57" w:name="_Toc440362534"/>
      <w:bookmarkStart w:id="58" w:name="_Toc450559970"/>
      <w:bookmarkStart w:id="59" w:name="_Toc455399500"/>
      <w:bookmarkStart w:id="60" w:name="_Toc528769085"/>
      <w:bookmarkStart w:id="61" w:name="_Toc532472846"/>
      <w:bookmarkStart w:id="62" w:name="_Toc532812070"/>
      <w:bookmarkStart w:id="63" w:name="_Toc2150415"/>
      <w:r>
        <w:rPr>
          <w:rStyle w:val="CharDivNo"/>
        </w:rPr>
        <w:t>Division 2</w:t>
      </w:r>
      <w:r>
        <w:t xml:space="preserve"> — </w:t>
      </w:r>
      <w:r>
        <w:rPr>
          <w:rStyle w:val="CharDivText"/>
        </w:rPr>
        <w:t>Assessment notices and returns</w:t>
      </w:r>
      <w:bookmarkEnd w:id="57"/>
      <w:bookmarkEnd w:id="58"/>
      <w:bookmarkEnd w:id="59"/>
      <w:bookmarkEnd w:id="60"/>
      <w:bookmarkEnd w:id="61"/>
      <w:bookmarkEnd w:id="62"/>
      <w:bookmarkEnd w:id="63"/>
    </w:p>
    <w:p>
      <w:pPr>
        <w:pStyle w:val="Heading5"/>
        <w:spacing w:before="180"/>
      </w:pPr>
      <w:bookmarkStart w:id="64" w:name="_Toc2150416"/>
      <w:r>
        <w:rPr>
          <w:rStyle w:val="CharSectno"/>
        </w:rPr>
        <w:t>23</w:t>
      </w:r>
      <w:r>
        <w:t>.</w:t>
      </w:r>
      <w:r>
        <w:tab/>
        <w:t>Assessment notices</w:t>
      </w:r>
      <w:bookmarkEnd w:id="64"/>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ind w:left="890" w:hanging="890"/>
      </w:pPr>
      <w:r>
        <w:tab/>
        <w:t>[Section 23 amended: No. 66 of 2003 s. 108(2); No. 82 of 2004 s. 19; No. 13 of 2007 s. 14; No. 12 of 2008 s. 37.]</w:t>
      </w:r>
    </w:p>
    <w:p>
      <w:pPr>
        <w:pStyle w:val="Heading5"/>
        <w:spacing w:before="180"/>
      </w:pPr>
      <w:bookmarkStart w:id="65" w:name="_Toc2150417"/>
      <w:r>
        <w:rPr>
          <w:rStyle w:val="CharSectno"/>
        </w:rPr>
        <w:t>24</w:t>
      </w:r>
      <w:r>
        <w:t>.</w:t>
      </w:r>
      <w:r>
        <w:tab/>
        <w:t>Form of assessment notice</w:t>
      </w:r>
      <w:bookmarkEnd w:id="65"/>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spacing w:before="140"/>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spacing w:before="140"/>
      </w:pPr>
      <w:r>
        <w:tab/>
        <w:t>(5)</w:t>
      </w:r>
      <w:r>
        <w:tab/>
        <w:t>The date specified in an assessment notice in relation to an assessment other than a reassessment as the due date for payment must be at least 14 days after the date of the assessment notice.</w:t>
      </w:r>
    </w:p>
    <w:p>
      <w:pPr>
        <w:pStyle w:val="Subsection"/>
        <w:spacing w:before="140"/>
      </w:pPr>
      <w:r>
        <w:tab/>
        <w:t>(5a)</w:t>
      </w:r>
      <w:r>
        <w:tab/>
        <w:t>The date specified in an assessment notice in relation to a reassessment as the due date for payment must be at least 28 days after the date of the assessment notice.</w:t>
      </w:r>
    </w:p>
    <w:p>
      <w:pPr>
        <w:pStyle w:val="Subsection"/>
        <w:spacing w:before="140"/>
      </w:pPr>
      <w:r>
        <w:tab/>
        <w:t>(6)</w:t>
      </w:r>
      <w:r>
        <w:tab/>
        <w:t>More than one assessment of primary tax, penalty tax or costs of valuation, or any of them, may be included in an assessment notice, whether or not the assessments are made in respect of the same matter.</w:t>
      </w:r>
    </w:p>
    <w:p>
      <w:pPr>
        <w:pStyle w:val="Subsection"/>
        <w:spacing w:before="140"/>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spacing w:before="80"/>
        <w:ind w:left="890" w:hanging="890"/>
      </w:pPr>
      <w:r>
        <w:tab/>
        <w:t>[Section 24 amended: No. 12 of 2004 s. 9; No. 12 of 2008 s. 38; No. 10 of 2013 s. 17 and 31.]</w:t>
      </w:r>
    </w:p>
    <w:p>
      <w:pPr>
        <w:pStyle w:val="Heading5"/>
      </w:pPr>
      <w:bookmarkStart w:id="66" w:name="_Toc2150418"/>
      <w:r>
        <w:rPr>
          <w:rStyle w:val="CharSectno"/>
        </w:rPr>
        <w:t>25</w:t>
      </w:r>
      <w:r>
        <w:t>.</w:t>
      </w:r>
      <w:r>
        <w:tab/>
        <w:t>Statement of grounds of assessment</w:t>
      </w:r>
      <w:bookmarkEnd w:id="66"/>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No. 10 of 2013 s. 18 and 32.]</w:t>
      </w:r>
    </w:p>
    <w:p>
      <w:pPr>
        <w:pStyle w:val="Heading3"/>
        <w:spacing w:before="180"/>
      </w:pPr>
      <w:bookmarkStart w:id="67" w:name="_Toc440362538"/>
      <w:bookmarkStart w:id="68" w:name="_Toc450559974"/>
      <w:bookmarkStart w:id="69" w:name="_Toc455399504"/>
      <w:bookmarkStart w:id="70" w:name="_Toc528769089"/>
      <w:bookmarkStart w:id="71" w:name="_Toc532472850"/>
      <w:bookmarkStart w:id="72" w:name="_Toc532812074"/>
      <w:bookmarkStart w:id="73" w:name="_Toc2150419"/>
      <w:r>
        <w:rPr>
          <w:rStyle w:val="CharDivNo"/>
        </w:rPr>
        <w:t>Division 3</w:t>
      </w:r>
      <w:r>
        <w:t xml:space="preserve"> — </w:t>
      </w:r>
      <w:r>
        <w:rPr>
          <w:rStyle w:val="CharDivText"/>
        </w:rPr>
        <w:t>Penalty tax</w:t>
      </w:r>
      <w:bookmarkEnd w:id="67"/>
      <w:bookmarkEnd w:id="68"/>
      <w:bookmarkEnd w:id="69"/>
      <w:bookmarkEnd w:id="70"/>
      <w:bookmarkEnd w:id="71"/>
      <w:bookmarkEnd w:id="72"/>
      <w:bookmarkEnd w:id="73"/>
    </w:p>
    <w:p>
      <w:pPr>
        <w:pStyle w:val="Heading5"/>
        <w:spacing w:before="180"/>
      </w:pPr>
      <w:bookmarkStart w:id="74" w:name="_Toc2150420"/>
      <w:r>
        <w:rPr>
          <w:rStyle w:val="CharSectno"/>
        </w:rPr>
        <w:t>26</w:t>
      </w:r>
      <w:r>
        <w:t>.</w:t>
      </w:r>
      <w:r>
        <w:tab/>
        <w:t>Penalty tax for contravention of taxation Act</w:t>
      </w:r>
      <w:bookmarkEnd w:id="74"/>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No. 66 of 2003 s. 95(4).]</w:t>
      </w:r>
    </w:p>
    <w:p>
      <w:pPr>
        <w:pStyle w:val="Heading5"/>
      </w:pPr>
      <w:bookmarkStart w:id="75" w:name="_Toc2150421"/>
      <w:r>
        <w:rPr>
          <w:rStyle w:val="CharSectno"/>
        </w:rPr>
        <w:t>27A</w:t>
      </w:r>
      <w:r>
        <w:t>.</w:t>
      </w:r>
      <w:r>
        <w:tab/>
        <w:t>Penalty tax for undervaluation</w:t>
      </w:r>
      <w:bookmarkEnd w:id="75"/>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keepNext/>
      </w:pPr>
      <w:r>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No. 10 of 2013 s. 33.]</w:t>
      </w:r>
    </w:p>
    <w:p>
      <w:pPr>
        <w:pStyle w:val="Heading5"/>
      </w:pPr>
      <w:bookmarkStart w:id="76" w:name="_Toc2150422"/>
      <w:r>
        <w:rPr>
          <w:rStyle w:val="CharSectno"/>
        </w:rPr>
        <w:t>27</w:t>
      </w:r>
      <w:r>
        <w:t>.</w:t>
      </w:r>
      <w:r>
        <w:tab/>
        <w:t>Penalty tax for late payment</w:t>
      </w:r>
      <w:bookmarkEnd w:id="76"/>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77" w:name="_Toc2150423"/>
      <w:r>
        <w:rPr>
          <w:rStyle w:val="CharSectno"/>
        </w:rPr>
        <w:t>28</w:t>
      </w:r>
      <w:r>
        <w:t>.</w:t>
      </w:r>
      <w:r>
        <w:tab/>
        <w:t>Limitation on amount of penalty tax</w:t>
      </w:r>
      <w:bookmarkEnd w:id="77"/>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78" w:name="_Toc2150424"/>
      <w:r>
        <w:rPr>
          <w:rStyle w:val="CharSectno"/>
        </w:rPr>
        <w:t>29</w:t>
      </w:r>
      <w:r>
        <w:t>.</w:t>
      </w:r>
      <w:r>
        <w:tab/>
        <w:t>Remitting penalty tax</w:t>
      </w:r>
      <w:bookmarkEnd w:id="78"/>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79" w:name="_Toc2150425"/>
      <w:r>
        <w:rPr>
          <w:rStyle w:val="CharSectno"/>
        </w:rPr>
        <w:t>30</w:t>
      </w:r>
      <w:r>
        <w:t>.</w:t>
      </w:r>
      <w:r>
        <w:tab/>
        <w:t>Guidelines for remitting penalty tax</w:t>
      </w:r>
      <w:bookmarkEnd w:id="79"/>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80" w:name="_Toc440362545"/>
      <w:bookmarkStart w:id="81" w:name="_Toc450559981"/>
      <w:bookmarkStart w:id="82" w:name="_Toc455399511"/>
      <w:bookmarkStart w:id="83" w:name="_Toc528769096"/>
      <w:bookmarkStart w:id="84" w:name="_Toc532472857"/>
      <w:bookmarkStart w:id="85" w:name="_Toc532812081"/>
      <w:bookmarkStart w:id="86" w:name="_Toc2150426"/>
      <w:r>
        <w:rPr>
          <w:rStyle w:val="CharPartNo"/>
        </w:rPr>
        <w:t>Part 4</w:t>
      </w:r>
      <w:r>
        <w:t xml:space="preserve"> — </w:t>
      </w:r>
      <w:r>
        <w:rPr>
          <w:rStyle w:val="CharPartText"/>
        </w:rPr>
        <w:t>Objections and review proceedings</w:t>
      </w:r>
      <w:bookmarkEnd w:id="80"/>
      <w:bookmarkEnd w:id="81"/>
      <w:bookmarkEnd w:id="82"/>
      <w:bookmarkEnd w:id="83"/>
      <w:bookmarkEnd w:id="84"/>
      <w:bookmarkEnd w:id="85"/>
      <w:bookmarkEnd w:id="86"/>
    </w:p>
    <w:p>
      <w:pPr>
        <w:pStyle w:val="Footnoteheading"/>
        <w:tabs>
          <w:tab w:val="left" w:pos="851"/>
        </w:tabs>
      </w:pPr>
      <w:r>
        <w:tab/>
        <w:t>[Heading amended: No. 55 of 2004 s. 1167.]</w:t>
      </w:r>
    </w:p>
    <w:p>
      <w:pPr>
        <w:pStyle w:val="Heading3"/>
      </w:pPr>
      <w:bookmarkStart w:id="87" w:name="_Toc440362546"/>
      <w:bookmarkStart w:id="88" w:name="_Toc450559982"/>
      <w:bookmarkStart w:id="89" w:name="_Toc455399512"/>
      <w:bookmarkStart w:id="90" w:name="_Toc528769097"/>
      <w:bookmarkStart w:id="91" w:name="_Toc532472858"/>
      <w:bookmarkStart w:id="92" w:name="_Toc532812082"/>
      <w:bookmarkStart w:id="93" w:name="_Toc2150427"/>
      <w:r>
        <w:rPr>
          <w:rStyle w:val="CharDivNo"/>
        </w:rPr>
        <w:t>Division 1</w:t>
      </w:r>
      <w:r>
        <w:t xml:space="preserve"> — </w:t>
      </w:r>
      <w:r>
        <w:rPr>
          <w:rStyle w:val="CharDivText"/>
        </w:rPr>
        <w:t>Procedures and restrictions</w:t>
      </w:r>
      <w:bookmarkEnd w:id="87"/>
      <w:bookmarkEnd w:id="88"/>
      <w:bookmarkEnd w:id="89"/>
      <w:bookmarkEnd w:id="90"/>
      <w:bookmarkEnd w:id="91"/>
      <w:bookmarkEnd w:id="92"/>
      <w:bookmarkEnd w:id="93"/>
    </w:p>
    <w:p>
      <w:pPr>
        <w:pStyle w:val="Heading5"/>
      </w:pPr>
      <w:bookmarkStart w:id="94" w:name="_Toc2150428"/>
      <w:r>
        <w:rPr>
          <w:rStyle w:val="CharSectno"/>
        </w:rPr>
        <w:t>31</w:t>
      </w:r>
      <w:r>
        <w:t>.</w:t>
      </w:r>
      <w:r>
        <w:tab/>
        <w:t>Procedure for challenging assessments</w:t>
      </w:r>
      <w:bookmarkEnd w:id="94"/>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No. 55 of 2004 s. 1168.]</w:t>
      </w:r>
    </w:p>
    <w:p>
      <w:pPr>
        <w:pStyle w:val="Heading5"/>
      </w:pPr>
      <w:bookmarkStart w:id="95" w:name="_Toc2150429"/>
      <w:r>
        <w:rPr>
          <w:rStyle w:val="CharSectno"/>
        </w:rPr>
        <w:t>32</w:t>
      </w:r>
      <w:r>
        <w:t>.</w:t>
      </w:r>
      <w:r>
        <w:tab/>
        <w:t>Objections to land valuations</w:t>
      </w:r>
      <w:bookmarkEnd w:id="95"/>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No. 55 of 2004 s. 1169.]</w:t>
      </w:r>
    </w:p>
    <w:p>
      <w:pPr>
        <w:pStyle w:val="Heading5"/>
      </w:pPr>
      <w:bookmarkStart w:id="96" w:name="_Toc2150430"/>
      <w:r>
        <w:t>33.</w:t>
      </w:r>
      <w:r>
        <w:tab/>
        <w:t>Continuing obligation to pay assessed tax</w:t>
      </w:r>
      <w:bookmarkEnd w:id="96"/>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No. 55 of 2004 s. 1170.]</w:t>
      </w:r>
    </w:p>
    <w:p>
      <w:pPr>
        <w:pStyle w:val="Heading5"/>
      </w:pPr>
      <w:bookmarkStart w:id="97" w:name="_Toc2150431"/>
      <w:r>
        <w:t>34A.</w:t>
      </w:r>
      <w:r>
        <w:tab/>
        <w:t>Beneficial body determinations</w:t>
      </w:r>
      <w:bookmarkEnd w:id="97"/>
    </w:p>
    <w:p>
      <w:pPr>
        <w:pStyle w:val="Subsection"/>
      </w:pPr>
      <w:r>
        <w:tab/>
        <w:t>(1)</w:t>
      </w:r>
      <w:r>
        <w:tab/>
        <w:t>A decision to make, or not to make, or to revoke or amend, a beneficial body determination is final and not subject to objection or review under this Act or to any other form of appeal or review.</w:t>
      </w:r>
    </w:p>
    <w:p>
      <w:pPr>
        <w:pStyle w:val="Subsection"/>
      </w:pPr>
      <w:r>
        <w:tab/>
        <w:t>(2)</w:t>
      </w:r>
      <w:r>
        <w:tab/>
        <w:t>No action can be brought in any court or tribunal to compel the Minister to make a beneficial body determination.</w:t>
      </w:r>
    </w:p>
    <w:p>
      <w:pPr>
        <w:pStyle w:val="Footnotesection"/>
      </w:pPr>
      <w:r>
        <w:tab/>
        <w:t>[Section 34A inserted: No. 8 of 2015 s. 18.]</w:t>
      </w:r>
    </w:p>
    <w:p>
      <w:pPr>
        <w:pStyle w:val="Heading5"/>
      </w:pPr>
      <w:bookmarkStart w:id="98" w:name="_Toc2150432"/>
      <w:r>
        <w:rPr>
          <w:rStyle w:val="CharSectno"/>
        </w:rPr>
        <w:t>34B</w:t>
      </w:r>
      <w:r>
        <w:t>.</w:t>
      </w:r>
      <w:r>
        <w:tab/>
        <w:t>Surrender of right of objection or review</w:t>
      </w:r>
      <w:bookmarkEnd w:id="98"/>
    </w:p>
    <w:p>
      <w:pPr>
        <w:pStyle w:val="Subsection"/>
      </w:pPr>
      <w:r>
        <w:tab/>
        <w:t>(1)</w:t>
      </w:r>
      <w:r>
        <w:tab/>
        <w:t>This section applies to a decision in respect of which an application may be made for a beneficial body determination.</w:t>
      </w:r>
    </w:p>
    <w:p>
      <w:pPr>
        <w:pStyle w:val="Subsection"/>
      </w:pPr>
      <w:r>
        <w:tab/>
        <w:t>(2)</w:t>
      </w:r>
      <w:r>
        <w:tab/>
        <w:t xml:space="preserve">If a taxpayer gives written notice in respect of a decision to which this section applies to the Commissioner to the effect that — </w:t>
      </w:r>
    </w:p>
    <w:p>
      <w:pPr>
        <w:pStyle w:val="Indenta"/>
      </w:pPr>
      <w:r>
        <w:tab/>
        <w:t>(a)</w:t>
      </w:r>
      <w:r>
        <w:tab/>
        <w:t>the taxpayer surrenders all rights of objection or review conferred by this Act in respect of the decision, then the decision is not subject to objection or review under this Act or to any other form of appeal or review; or</w:t>
      </w:r>
    </w:p>
    <w:p>
      <w:pPr>
        <w:pStyle w:val="Indenta"/>
      </w:pPr>
      <w:r>
        <w:tab/>
        <w:t>(b)</w:t>
      </w:r>
      <w:r>
        <w:tab/>
        <w:t>an objection to the decision having been determined, the taxpayer surrenders all subsequent rights of review conferred by this Act in respect of the decision, then the decision is not subject to review under this Act or to any other form of appeal or review.</w:t>
      </w:r>
    </w:p>
    <w:p>
      <w:pPr>
        <w:pStyle w:val="Subsection"/>
      </w:pPr>
      <w:r>
        <w:tab/>
        <w:t>(3)</w:t>
      </w:r>
      <w:r>
        <w:tab/>
        <w:t xml:space="preserve">Notice about a decision cannot be given — </w:t>
      </w:r>
    </w:p>
    <w:p>
      <w:pPr>
        <w:pStyle w:val="Indenta"/>
      </w:pPr>
      <w:r>
        <w:tab/>
        <w:t>(a)</w:t>
      </w:r>
      <w:r>
        <w:tab/>
        <w:t>under subsection (2)(a) after the right to object to the decision under this Act has expired; or</w:t>
      </w:r>
    </w:p>
    <w:p>
      <w:pPr>
        <w:pStyle w:val="Indenta"/>
      </w:pPr>
      <w:r>
        <w:tab/>
        <w:t>(b)</w:t>
      </w:r>
      <w:r>
        <w:tab/>
        <w:t>under subsection (2)(b) after the right to take review proceedings in respect of the decision has expired.</w:t>
      </w:r>
    </w:p>
    <w:p>
      <w:pPr>
        <w:pStyle w:val="Footnotesection"/>
      </w:pPr>
      <w:r>
        <w:tab/>
        <w:t>[Section 34B inserted: No. 8 of 2015 s. 18.]</w:t>
      </w:r>
    </w:p>
    <w:p>
      <w:pPr>
        <w:pStyle w:val="Heading3"/>
      </w:pPr>
      <w:bookmarkStart w:id="99" w:name="_Toc440362552"/>
      <w:bookmarkStart w:id="100" w:name="_Toc450559988"/>
      <w:bookmarkStart w:id="101" w:name="_Toc455399518"/>
      <w:bookmarkStart w:id="102" w:name="_Toc528769103"/>
      <w:bookmarkStart w:id="103" w:name="_Toc532472864"/>
      <w:bookmarkStart w:id="104" w:name="_Toc532812088"/>
      <w:bookmarkStart w:id="105" w:name="_Toc2150433"/>
      <w:r>
        <w:rPr>
          <w:rStyle w:val="CharDivNo"/>
        </w:rPr>
        <w:t>Division 2</w:t>
      </w:r>
      <w:r>
        <w:t xml:space="preserve"> — </w:t>
      </w:r>
      <w:r>
        <w:rPr>
          <w:rStyle w:val="CharDivText"/>
        </w:rPr>
        <w:t>Objections</w:t>
      </w:r>
      <w:bookmarkEnd w:id="99"/>
      <w:bookmarkEnd w:id="100"/>
      <w:bookmarkEnd w:id="101"/>
      <w:bookmarkEnd w:id="102"/>
      <w:bookmarkEnd w:id="103"/>
      <w:bookmarkEnd w:id="104"/>
      <w:bookmarkEnd w:id="105"/>
    </w:p>
    <w:p>
      <w:pPr>
        <w:pStyle w:val="Heading5"/>
        <w:spacing w:before="200"/>
      </w:pPr>
      <w:bookmarkStart w:id="106" w:name="_Toc2150434"/>
      <w:r>
        <w:rPr>
          <w:rStyle w:val="CharSectno"/>
        </w:rPr>
        <w:t>34</w:t>
      </w:r>
      <w:r>
        <w:t>.</w:t>
      </w:r>
      <w:r>
        <w:tab/>
        <w:t>Right to object</w:t>
      </w:r>
      <w:bookmarkEnd w:id="106"/>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an infringement notice as defined in the </w:t>
      </w:r>
      <w:r>
        <w:rPr>
          <w:i/>
          <w:iCs/>
        </w:rPr>
        <w:t xml:space="preserve">Road Traffic (Administration) Act 2008 </w:t>
      </w:r>
      <w:r>
        <w:t>section 4, unless the amount has been paid;</w:t>
      </w:r>
    </w:p>
    <w:p>
      <w:pPr>
        <w:pStyle w:val="Indenta"/>
      </w:pPr>
      <w:r>
        <w:tab/>
        <w:t>(ca)</w:t>
      </w:r>
      <w:r>
        <w:tab/>
        <w:t>an interim assessment within 3 years after the date on which the assessment notice for the interim assessment is issued;</w:t>
      </w:r>
    </w:p>
    <w:p>
      <w:pPr>
        <w:pStyle w:val="Indenta"/>
      </w:pPr>
      <w:r>
        <w:tab/>
        <w:t>(cb)</w:t>
      </w:r>
      <w:r>
        <w:tab/>
        <w:t>a decision to make, or not to make, or to revoke or amend, a beneficial body determination;</w:t>
      </w:r>
    </w:p>
    <w:p>
      <w:pPr>
        <w:pStyle w:val="Indenta"/>
      </w:pPr>
      <w:r>
        <w:tab/>
        <w:t>(cc)</w:t>
      </w:r>
      <w:r>
        <w:tab/>
        <w:t>a decision which, under section 34B(2)(a), is not subject to objection under this Act;</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ind w:left="890" w:hanging="890"/>
      </w:pPr>
      <w:r>
        <w:tab/>
        <w:t>[Section 34 amended: No. 55 of 2004 s. 1171; No. 12 of 2008 s. 39; No. 31 of 2008 s. 24 and 30; No. 8 of 2012 s. 178; No. 10 of 2013 s. 19 and 34; No. 8 of 2015 s. 19.]</w:t>
      </w:r>
    </w:p>
    <w:p>
      <w:pPr>
        <w:pStyle w:val="Heading5"/>
        <w:spacing w:before="240"/>
      </w:pPr>
      <w:bookmarkStart w:id="107" w:name="_Toc2150435"/>
      <w:r>
        <w:rPr>
          <w:rStyle w:val="CharSectno"/>
        </w:rPr>
        <w:t>35</w:t>
      </w:r>
      <w:r>
        <w:t>.</w:t>
      </w:r>
      <w:r>
        <w:tab/>
        <w:t>Form of objection</w:t>
      </w:r>
      <w:bookmarkEnd w:id="107"/>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spacing w:before="240"/>
      </w:pPr>
      <w:bookmarkStart w:id="108" w:name="_Toc2150436"/>
      <w:r>
        <w:rPr>
          <w:rStyle w:val="CharSectno"/>
        </w:rPr>
        <w:t>36</w:t>
      </w:r>
      <w:r>
        <w:t>.</w:t>
      </w:r>
      <w:r>
        <w:tab/>
        <w:t>Time for lodging objection</w:t>
      </w:r>
      <w:bookmarkEnd w:id="108"/>
    </w:p>
    <w:p>
      <w:pPr>
        <w:pStyle w:val="Subsection"/>
      </w:pPr>
      <w:r>
        <w:tab/>
        <w:t>(1)</w:t>
      </w:r>
      <w:r>
        <w:tab/>
        <w:t xml:space="preserve">An objection to an official assessment must be lodged within 60 days after — </w:t>
      </w:r>
    </w:p>
    <w:p>
      <w:pPr>
        <w:pStyle w:val="Indenta"/>
      </w:pPr>
      <w:r>
        <w:tab/>
        <w:t>(a)</w:t>
      </w:r>
      <w:r>
        <w:tab/>
        <w:t>the assessment notice is issued; or</w:t>
      </w:r>
    </w:p>
    <w:p>
      <w:pPr>
        <w:pStyle w:val="Indenta"/>
        <w:keepNext/>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No. 12 of 2008 s. 40; No. 10 of 2013 s. 20.]</w:t>
      </w:r>
    </w:p>
    <w:p>
      <w:pPr>
        <w:pStyle w:val="Heading5"/>
      </w:pPr>
      <w:bookmarkStart w:id="109" w:name="_Toc2150437"/>
      <w:r>
        <w:rPr>
          <w:rStyle w:val="CharSectno"/>
        </w:rPr>
        <w:t>37</w:t>
      </w:r>
      <w:r>
        <w:t>.</w:t>
      </w:r>
      <w:r>
        <w:tab/>
        <w:t>Consideration of objections</w:t>
      </w:r>
      <w:bookmarkEnd w:id="109"/>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keepNext/>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No. 10 of 2013 s. 21.]</w:t>
      </w:r>
    </w:p>
    <w:p>
      <w:pPr>
        <w:pStyle w:val="Heading5"/>
      </w:pPr>
      <w:bookmarkStart w:id="110" w:name="_Toc2150438"/>
      <w:r>
        <w:rPr>
          <w:rStyle w:val="CharSectno"/>
        </w:rPr>
        <w:t>38</w:t>
      </w:r>
      <w:r>
        <w:t>.</w:t>
      </w:r>
      <w:r>
        <w:tab/>
        <w:t>Time limit for determining objections</w:t>
      </w:r>
      <w:bookmarkEnd w:id="110"/>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No. 55 of 2004 s. 1172; No. 12 of 2005 s. 9.]</w:t>
      </w:r>
    </w:p>
    <w:p>
      <w:pPr>
        <w:pStyle w:val="Heading5"/>
      </w:pPr>
      <w:bookmarkStart w:id="111" w:name="_Toc2150439"/>
      <w:r>
        <w:rPr>
          <w:rStyle w:val="CharSectno"/>
        </w:rPr>
        <w:t>39</w:t>
      </w:r>
      <w:r>
        <w:t>.</w:t>
      </w:r>
      <w:r>
        <w:tab/>
        <w:t>Reassessment on determination of objection</w:t>
      </w:r>
      <w:bookmarkEnd w:id="111"/>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keepNext/>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No. 17 of 2010 s. 24.]</w:t>
      </w:r>
    </w:p>
    <w:p>
      <w:pPr>
        <w:pStyle w:val="Heading3"/>
      </w:pPr>
      <w:bookmarkStart w:id="112" w:name="_Toc440362559"/>
      <w:bookmarkStart w:id="113" w:name="_Toc450559995"/>
      <w:bookmarkStart w:id="114" w:name="_Toc455399525"/>
      <w:bookmarkStart w:id="115" w:name="_Toc528769110"/>
      <w:bookmarkStart w:id="116" w:name="_Toc532472871"/>
      <w:bookmarkStart w:id="117" w:name="_Toc532812095"/>
      <w:bookmarkStart w:id="118" w:name="_Toc2150440"/>
      <w:r>
        <w:rPr>
          <w:rStyle w:val="CharDivNo"/>
        </w:rPr>
        <w:t>Division 3</w:t>
      </w:r>
      <w:r>
        <w:t> — </w:t>
      </w:r>
      <w:r>
        <w:rPr>
          <w:rStyle w:val="CharDivText"/>
        </w:rPr>
        <w:t>Reviews and stated cases</w:t>
      </w:r>
      <w:bookmarkEnd w:id="112"/>
      <w:bookmarkEnd w:id="113"/>
      <w:bookmarkEnd w:id="114"/>
      <w:bookmarkEnd w:id="115"/>
      <w:bookmarkEnd w:id="116"/>
      <w:bookmarkEnd w:id="117"/>
      <w:bookmarkEnd w:id="118"/>
    </w:p>
    <w:p>
      <w:pPr>
        <w:pStyle w:val="Footnoteheading"/>
        <w:tabs>
          <w:tab w:val="left" w:pos="851"/>
        </w:tabs>
      </w:pPr>
      <w:r>
        <w:rPr>
          <w:i w:val="0"/>
        </w:rPr>
        <w:tab/>
      </w:r>
      <w:r>
        <w:t>[Heading amended: No. 55 of 2004 s. 1173.]</w:t>
      </w:r>
    </w:p>
    <w:p>
      <w:pPr>
        <w:pStyle w:val="Heading5"/>
      </w:pPr>
      <w:bookmarkStart w:id="119" w:name="_Toc2150441"/>
      <w:r>
        <w:rPr>
          <w:rStyle w:val="CharSectno"/>
        </w:rPr>
        <w:t>40</w:t>
      </w:r>
      <w:r>
        <w:t>.</w:t>
      </w:r>
      <w:r>
        <w:tab/>
        <w:t xml:space="preserve">Right of review by State </w:t>
      </w:r>
      <w:r>
        <w:rPr>
          <w:snapToGrid w:val="0"/>
        </w:rPr>
        <w:t>Administrative Tribunal</w:t>
      </w:r>
      <w:bookmarkEnd w:id="119"/>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Subsection"/>
        <w:keepNext/>
      </w:pPr>
      <w:r>
        <w:tab/>
        <w:t>(3)</w:t>
      </w:r>
      <w:r>
        <w:tab/>
        <w:t>Subsection (1) does not apply to, or in respect of, a decision if this Act expressly provides that the decision is not subject to review under this Act.</w:t>
      </w:r>
    </w:p>
    <w:p>
      <w:pPr>
        <w:pStyle w:val="Footnotesection"/>
        <w:ind w:left="890" w:hanging="890"/>
        <w:rPr>
          <w:i w:val="0"/>
        </w:rPr>
      </w:pPr>
      <w:r>
        <w:tab/>
        <w:t>[Section 40 amended: No. 55 of 2004 s. 1174; No. 10 of 2013 s. 22; No. 8 of 2015 s. 20.]</w:t>
      </w:r>
    </w:p>
    <w:p>
      <w:pPr>
        <w:pStyle w:val="Ednotesection"/>
        <w:rPr>
          <w:i w:val="0"/>
        </w:rPr>
      </w:pPr>
      <w:r>
        <w:t>[</w:t>
      </w:r>
      <w:r>
        <w:rPr>
          <w:b/>
        </w:rPr>
        <w:t>41.</w:t>
      </w:r>
      <w:r>
        <w:tab/>
        <w:t>Deleted: No. 55 of 2004 s. 1175.]</w:t>
      </w:r>
    </w:p>
    <w:p>
      <w:pPr>
        <w:pStyle w:val="Heading5"/>
      </w:pPr>
      <w:bookmarkStart w:id="120" w:name="_Toc2150442"/>
      <w:r>
        <w:rPr>
          <w:rStyle w:val="CharSectno"/>
        </w:rPr>
        <w:t>42</w:t>
      </w:r>
      <w:r>
        <w:t>.</w:t>
      </w:r>
      <w:r>
        <w:tab/>
        <w:t>Time for review</w:t>
      </w:r>
      <w:bookmarkEnd w:id="120"/>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No. 55 of 2004 s. 1176.]</w:t>
      </w:r>
    </w:p>
    <w:p>
      <w:pPr>
        <w:pStyle w:val="Heading5"/>
      </w:pPr>
      <w:bookmarkStart w:id="121" w:name="_Toc2150443"/>
      <w:r>
        <w:rPr>
          <w:rStyle w:val="CharSectno"/>
        </w:rPr>
        <w:t>43</w:t>
      </w:r>
      <w:r>
        <w:t>.</w:t>
      </w:r>
      <w:r>
        <w:tab/>
        <w:t xml:space="preserve">Proceedings before State </w:t>
      </w:r>
      <w:r>
        <w:rPr>
          <w:snapToGrid w:val="0"/>
        </w:rPr>
        <w:t>Administrative Tribunal</w:t>
      </w:r>
      <w:bookmarkEnd w:id="121"/>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pPr>
      <w:r>
        <w:tab/>
        <w:t>(a)</w:t>
      </w:r>
      <w:r>
        <w:tab/>
        <w:t>its President or a Deputy President of it; or</w:t>
      </w:r>
    </w:p>
    <w:p>
      <w:pPr>
        <w:pStyle w:val="Indenta"/>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spacing w:before="180"/>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spacing w:before="180"/>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No. 55 of 2004 s. 1177; No. 12 of 2008 s. 41; No. 17 of 2010 s. 25 and 30(3); No. 29 of 2012 s. 41; No. 10 of 2013 s. 23.]</w:t>
      </w:r>
    </w:p>
    <w:p>
      <w:pPr>
        <w:pStyle w:val="Footnotesection"/>
      </w:pPr>
      <w:r>
        <w:tab/>
        <w:t>[Section 43, modifications have effect under the Commonwealth Places (Mirror Taxes) Act 1998 (Cth), see note 1MC.]</w:t>
      </w:r>
    </w:p>
    <w:p>
      <w:pPr>
        <w:pStyle w:val="Heading5"/>
      </w:pPr>
      <w:bookmarkStart w:id="122" w:name="_Toc2150444"/>
      <w:r>
        <w:rPr>
          <w:rStyle w:val="CharSectno"/>
        </w:rPr>
        <w:t>43A</w:t>
      </w:r>
      <w:r>
        <w:t>.</w:t>
      </w:r>
      <w:r>
        <w:tab/>
        <w:t xml:space="preserve">Appeal from decision of State </w:t>
      </w:r>
      <w:r>
        <w:rPr>
          <w:snapToGrid w:val="0"/>
        </w:rPr>
        <w:t>Administrative Tribunal</w:t>
      </w:r>
      <w:bookmarkEnd w:id="122"/>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No. 55 of 2004 s. 1178.]</w:t>
      </w:r>
    </w:p>
    <w:p>
      <w:pPr>
        <w:pStyle w:val="Heading5"/>
      </w:pPr>
      <w:bookmarkStart w:id="123" w:name="_Toc2150445"/>
      <w:r>
        <w:rPr>
          <w:rStyle w:val="CharSectno"/>
        </w:rPr>
        <w:t>44</w:t>
      </w:r>
      <w:r>
        <w:t>.</w:t>
      </w:r>
      <w:r>
        <w:tab/>
        <w:t>Cases stated by Commissioner</w:t>
      </w:r>
      <w:bookmarkEnd w:id="123"/>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124" w:name="_Toc440362565"/>
      <w:bookmarkStart w:id="125" w:name="_Toc450560001"/>
      <w:bookmarkStart w:id="126" w:name="_Toc455399531"/>
      <w:bookmarkStart w:id="127" w:name="_Toc528769116"/>
      <w:bookmarkStart w:id="128" w:name="_Toc532472877"/>
      <w:bookmarkStart w:id="129" w:name="_Toc532812101"/>
      <w:bookmarkStart w:id="130" w:name="_Toc2150446"/>
      <w:r>
        <w:rPr>
          <w:rStyle w:val="CharPartNo"/>
        </w:rPr>
        <w:t>Part 5</w:t>
      </w:r>
      <w:r>
        <w:t xml:space="preserve"> — </w:t>
      </w:r>
      <w:r>
        <w:rPr>
          <w:rStyle w:val="CharPartText"/>
        </w:rPr>
        <w:t>Payment and refund of tax</w:t>
      </w:r>
      <w:bookmarkEnd w:id="124"/>
      <w:bookmarkEnd w:id="125"/>
      <w:bookmarkEnd w:id="126"/>
      <w:bookmarkEnd w:id="127"/>
      <w:bookmarkEnd w:id="128"/>
      <w:bookmarkEnd w:id="129"/>
      <w:bookmarkEnd w:id="130"/>
    </w:p>
    <w:p>
      <w:pPr>
        <w:pStyle w:val="Heading3"/>
      </w:pPr>
      <w:bookmarkStart w:id="131" w:name="_Toc440362566"/>
      <w:bookmarkStart w:id="132" w:name="_Toc450560002"/>
      <w:bookmarkStart w:id="133" w:name="_Toc455399532"/>
      <w:bookmarkStart w:id="134" w:name="_Toc528769117"/>
      <w:bookmarkStart w:id="135" w:name="_Toc532472878"/>
      <w:bookmarkStart w:id="136" w:name="_Toc532812102"/>
      <w:bookmarkStart w:id="137" w:name="_Toc2150447"/>
      <w:r>
        <w:rPr>
          <w:rStyle w:val="CharDivNo"/>
        </w:rPr>
        <w:t>Division 1</w:t>
      </w:r>
      <w:r>
        <w:t xml:space="preserve"> — </w:t>
      </w:r>
      <w:r>
        <w:rPr>
          <w:rStyle w:val="CharDivText"/>
        </w:rPr>
        <w:t>Payment</w:t>
      </w:r>
      <w:bookmarkEnd w:id="131"/>
      <w:bookmarkEnd w:id="132"/>
      <w:bookmarkEnd w:id="133"/>
      <w:bookmarkEnd w:id="134"/>
      <w:bookmarkEnd w:id="135"/>
      <w:bookmarkEnd w:id="136"/>
      <w:bookmarkEnd w:id="137"/>
    </w:p>
    <w:p>
      <w:pPr>
        <w:pStyle w:val="Heading5"/>
      </w:pPr>
      <w:bookmarkStart w:id="138" w:name="_Toc2150448"/>
      <w:r>
        <w:rPr>
          <w:rStyle w:val="CharSectno"/>
        </w:rPr>
        <w:t>45</w:t>
      </w:r>
      <w:r>
        <w:t>.</w:t>
      </w:r>
      <w:r>
        <w:tab/>
        <w:t>When tax is due for payment</w:t>
      </w:r>
      <w:bookmarkEnd w:id="138"/>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No. 12 of 2004 s. 10.]</w:t>
      </w:r>
    </w:p>
    <w:p>
      <w:pPr>
        <w:pStyle w:val="Heading5"/>
      </w:pPr>
      <w:bookmarkStart w:id="139" w:name="_Toc2150449"/>
      <w:r>
        <w:rPr>
          <w:rStyle w:val="CharSectno"/>
        </w:rPr>
        <w:t>46</w:t>
      </w:r>
      <w:r>
        <w:t>.</w:t>
      </w:r>
      <w:r>
        <w:tab/>
        <w:t>Allocation of payment</w:t>
      </w:r>
      <w:bookmarkEnd w:id="139"/>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140" w:name="_Toc2150450"/>
      <w:r>
        <w:rPr>
          <w:rStyle w:val="CharSectno"/>
        </w:rPr>
        <w:t>47</w:t>
      </w:r>
      <w:r>
        <w:t>.</w:t>
      </w:r>
      <w:r>
        <w:tab/>
        <w:t>Arrangements for instalments and extensions of time</w:t>
      </w:r>
      <w:bookmarkEnd w:id="140"/>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No. 55 of 2004 s. 1179.]</w:t>
      </w:r>
    </w:p>
    <w:p>
      <w:pPr>
        <w:pStyle w:val="Heading5"/>
      </w:pPr>
      <w:bookmarkStart w:id="141" w:name="_Toc2150451"/>
      <w:r>
        <w:rPr>
          <w:rStyle w:val="CharSectno"/>
        </w:rPr>
        <w:t>48</w:t>
      </w:r>
      <w:r>
        <w:t>.</w:t>
      </w:r>
      <w:r>
        <w:tab/>
        <w:t>No action to compel approval of tax payment arrangement</w:t>
      </w:r>
      <w:bookmarkEnd w:id="141"/>
    </w:p>
    <w:p>
      <w:pPr>
        <w:pStyle w:val="Subsection"/>
      </w:pPr>
      <w:r>
        <w:tab/>
      </w:r>
      <w:r>
        <w:tab/>
        <w:t>No action can be brought in a court to compel the Commissioner to approve a tax payment arrangement.</w:t>
      </w:r>
    </w:p>
    <w:p>
      <w:pPr>
        <w:pStyle w:val="Heading3"/>
      </w:pPr>
      <w:bookmarkStart w:id="142" w:name="_Toc440362571"/>
      <w:bookmarkStart w:id="143" w:name="_Toc450560007"/>
      <w:bookmarkStart w:id="144" w:name="_Toc455399537"/>
      <w:bookmarkStart w:id="145" w:name="_Toc528769122"/>
      <w:bookmarkStart w:id="146" w:name="_Toc532472883"/>
      <w:bookmarkStart w:id="147" w:name="_Toc532812107"/>
      <w:bookmarkStart w:id="148" w:name="_Toc2150452"/>
      <w:r>
        <w:rPr>
          <w:rStyle w:val="CharDivNo"/>
        </w:rPr>
        <w:t>Division 2</w:t>
      </w:r>
      <w:r>
        <w:t xml:space="preserve"> — </w:t>
      </w:r>
      <w:r>
        <w:rPr>
          <w:rStyle w:val="CharDivText"/>
        </w:rPr>
        <w:t>Special tax return arrangements</w:t>
      </w:r>
      <w:bookmarkEnd w:id="142"/>
      <w:bookmarkEnd w:id="143"/>
      <w:bookmarkEnd w:id="144"/>
      <w:bookmarkEnd w:id="145"/>
      <w:bookmarkEnd w:id="146"/>
      <w:bookmarkEnd w:id="147"/>
      <w:bookmarkEnd w:id="148"/>
    </w:p>
    <w:p>
      <w:pPr>
        <w:pStyle w:val="Heading5"/>
      </w:pPr>
      <w:bookmarkStart w:id="149" w:name="_Toc2150453"/>
      <w:r>
        <w:rPr>
          <w:rStyle w:val="CharSectno"/>
        </w:rPr>
        <w:t>49</w:t>
      </w:r>
      <w:r>
        <w:t>.</w:t>
      </w:r>
      <w:r>
        <w:tab/>
        <w:t>Approval of special tax return arrangements</w:t>
      </w:r>
      <w:bookmarkEnd w:id="149"/>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150" w:name="_Toc2150454"/>
      <w:r>
        <w:rPr>
          <w:rStyle w:val="CharSectno"/>
        </w:rPr>
        <w:t>50</w:t>
      </w:r>
      <w:r>
        <w:t>.</w:t>
      </w:r>
      <w:r>
        <w:tab/>
        <w:t>Content of special tax return arrangement</w:t>
      </w:r>
      <w:bookmarkEnd w:id="150"/>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No. 12 of 2005 s. 10; No. 12 of 2008 s. 42.]</w:t>
      </w:r>
    </w:p>
    <w:p>
      <w:pPr>
        <w:pStyle w:val="Heading5"/>
      </w:pPr>
      <w:bookmarkStart w:id="151" w:name="_Toc2150455"/>
      <w:r>
        <w:rPr>
          <w:rStyle w:val="CharSectno"/>
        </w:rPr>
        <w:t>51</w:t>
      </w:r>
      <w:r>
        <w:t>.</w:t>
      </w:r>
      <w:r>
        <w:tab/>
        <w:t>Improper endorsement or certification of instrument</w:t>
      </w:r>
      <w:bookmarkEnd w:id="151"/>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No. 12 of 2008 s. 43.]</w:t>
      </w:r>
    </w:p>
    <w:p>
      <w:pPr>
        <w:pStyle w:val="Heading5"/>
      </w:pPr>
      <w:bookmarkStart w:id="152" w:name="_Toc2150456"/>
      <w:r>
        <w:rPr>
          <w:rStyle w:val="CharSectno"/>
        </w:rPr>
        <w:t>52</w:t>
      </w:r>
      <w:r>
        <w:t>.</w:t>
      </w:r>
      <w:r>
        <w:tab/>
        <w:t>Lodging returns under special tax return arrangement</w:t>
      </w:r>
      <w:bookmarkEnd w:id="152"/>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153" w:name="_Toc2150457"/>
      <w:r>
        <w:rPr>
          <w:rStyle w:val="CharSectno"/>
        </w:rPr>
        <w:t>53</w:t>
      </w:r>
      <w:r>
        <w:t>.</w:t>
      </w:r>
      <w:r>
        <w:tab/>
        <w:t>Amendment or cancellation of arrangement</w:t>
      </w:r>
      <w:bookmarkEnd w:id="153"/>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ageBreakBefore/>
        <w:spacing w:before="0"/>
      </w:pPr>
      <w:bookmarkStart w:id="154" w:name="_Toc440362577"/>
      <w:bookmarkStart w:id="155" w:name="_Toc450560013"/>
      <w:bookmarkStart w:id="156" w:name="_Toc455399543"/>
      <w:bookmarkStart w:id="157" w:name="_Toc528769128"/>
      <w:bookmarkStart w:id="158" w:name="_Toc532472889"/>
      <w:bookmarkStart w:id="159" w:name="_Toc532812113"/>
      <w:bookmarkStart w:id="160" w:name="_Toc2150458"/>
      <w:r>
        <w:rPr>
          <w:rStyle w:val="CharDivNo"/>
        </w:rPr>
        <w:t>Division 3</w:t>
      </w:r>
      <w:r>
        <w:t xml:space="preserve"> — </w:t>
      </w:r>
      <w:r>
        <w:rPr>
          <w:rStyle w:val="CharDivText"/>
        </w:rPr>
        <w:t>Refunds of tax</w:t>
      </w:r>
      <w:bookmarkEnd w:id="154"/>
      <w:bookmarkEnd w:id="155"/>
      <w:bookmarkEnd w:id="156"/>
      <w:bookmarkEnd w:id="157"/>
      <w:bookmarkEnd w:id="158"/>
      <w:bookmarkEnd w:id="159"/>
      <w:bookmarkEnd w:id="160"/>
    </w:p>
    <w:p>
      <w:pPr>
        <w:pStyle w:val="Heading5"/>
      </w:pPr>
      <w:bookmarkStart w:id="161" w:name="_Toc2150459"/>
      <w:r>
        <w:rPr>
          <w:rStyle w:val="CharSectno"/>
        </w:rPr>
        <w:t>54</w:t>
      </w:r>
      <w:r>
        <w:t>.</w:t>
      </w:r>
      <w:r>
        <w:tab/>
        <w:t>Refunds</w:t>
      </w:r>
      <w:bookmarkEnd w:id="161"/>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No. 10 of 2013 s. 24.]</w:t>
      </w:r>
    </w:p>
    <w:p>
      <w:pPr>
        <w:pStyle w:val="Heading5"/>
      </w:pPr>
      <w:bookmarkStart w:id="162" w:name="_Toc2150460"/>
      <w:r>
        <w:rPr>
          <w:rStyle w:val="CharSectno"/>
        </w:rPr>
        <w:t>55A</w:t>
      </w:r>
      <w:r>
        <w:t>.</w:t>
      </w:r>
      <w:r>
        <w:tab/>
        <w:t>Unused credit</w:t>
      </w:r>
      <w:bookmarkEnd w:id="162"/>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No. 31 of 2008 s. 25.]</w:t>
      </w:r>
    </w:p>
    <w:p>
      <w:pPr>
        <w:pStyle w:val="Heading5"/>
        <w:keepLines w:val="0"/>
        <w:pageBreakBefore/>
        <w:spacing w:before="0"/>
      </w:pPr>
      <w:bookmarkStart w:id="163" w:name="_Toc2150461"/>
      <w:r>
        <w:rPr>
          <w:rStyle w:val="CharSectno"/>
        </w:rPr>
        <w:t>55</w:t>
      </w:r>
      <w:r>
        <w:t>.</w:t>
      </w:r>
      <w:r>
        <w:tab/>
        <w:t>Refunds or credits to be passed on to third parties in some cases</w:t>
      </w:r>
      <w:bookmarkEnd w:id="163"/>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No. 12 of 2008 s. 44; No. 17 of 2010 s. 30(4).]</w:t>
      </w:r>
    </w:p>
    <w:p>
      <w:pPr>
        <w:pStyle w:val="Heading3"/>
        <w:spacing w:before="280"/>
      </w:pPr>
      <w:bookmarkStart w:id="164" w:name="_Toc440362581"/>
      <w:bookmarkStart w:id="165" w:name="_Toc450560017"/>
      <w:bookmarkStart w:id="166" w:name="_Toc455399547"/>
      <w:bookmarkStart w:id="167" w:name="_Toc528769132"/>
      <w:bookmarkStart w:id="168" w:name="_Toc532472893"/>
      <w:bookmarkStart w:id="169" w:name="_Toc532812117"/>
      <w:bookmarkStart w:id="170" w:name="_Toc2150462"/>
      <w:r>
        <w:rPr>
          <w:rStyle w:val="CharDivNo"/>
        </w:rPr>
        <w:t>Division 4</w:t>
      </w:r>
      <w:r>
        <w:t xml:space="preserve"> — </w:t>
      </w:r>
      <w:r>
        <w:rPr>
          <w:rStyle w:val="CharDivText"/>
        </w:rPr>
        <w:t>Power to waive or write off liability</w:t>
      </w:r>
      <w:bookmarkEnd w:id="164"/>
      <w:bookmarkEnd w:id="165"/>
      <w:bookmarkEnd w:id="166"/>
      <w:bookmarkEnd w:id="167"/>
      <w:bookmarkEnd w:id="168"/>
      <w:bookmarkEnd w:id="169"/>
      <w:bookmarkEnd w:id="170"/>
    </w:p>
    <w:p>
      <w:pPr>
        <w:pStyle w:val="Heading5"/>
      </w:pPr>
      <w:bookmarkStart w:id="171" w:name="_Toc2150463"/>
      <w:r>
        <w:rPr>
          <w:rStyle w:val="CharSectno"/>
        </w:rPr>
        <w:t>56</w:t>
      </w:r>
      <w:r>
        <w:t>.</w:t>
      </w:r>
      <w:r>
        <w:tab/>
        <w:t>Waiving tax</w:t>
      </w:r>
      <w:bookmarkEnd w:id="171"/>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Subsection"/>
      </w:pPr>
      <w:r>
        <w:tab/>
        <w:t>(3)</w:t>
      </w:r>
      <w:r>
        <w:tab/>
        <w:t>A decision by the Commissioner to waive tax, or not to waive tax, is directly reviewable.</w:t>
      </w:r>
    </w:p>
    <w:p>
      <w:pPr>
        <w:pStyle w:val="Footnotesection"/>
      </w:pPr>
      <w:r>
        <w:tab/>
        <w:t>[Section 56 amended: No. 55 of 2004 s. 1180.]</w:t>
      </w:r>
    </w:p>
    <w:p>
      <w:pPr>
        <w:pStyle w:val="Heading5"/>
      </w:pPr>
      <w:bookmarkStart w:id="172" w:name="_Toc2150464"/>
      <w:r>
        <w:rPr>
          <w:rStyle w:val="CharSectno"/>
        </w:rPr>
        <w:t>57</w:t>
      </w:r>
      <w:r>
        <w:t>.</w:t>
      </w:r>
      <w:r>
        <w:tab/>
        <w:t>Writing off tax liability</w:t>
      </w:r>
      <w:bookmarkEnd w:id="172"/>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keepNext/>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No. 55 of 2004 s. 1181.]</w:t>
      </w:r>
    </w:p>
    <w:p>
      <w:pPr>
        <w:pStyle w:val="Heading5"/>
      </w:pPr>
      <w:bookmarkStart w:id="173" w:name="_Toc2150465"/>
      <w:r>
        <w:rPr>
          <w:rStyle w:val="CharSectno"/>
        </w:rPr>
        <w:t>58</w:t>
      </w:r>
      <w:r>
        <w:t>.</w:t>
      </w:r>
      <w:r>
        <w:tab/>
        <w:t>Powers subject to</w:t>
      </w:r>
      <w:r>
        <w:rPr>
          <w:i/>
        </w:rPr>
        <w:t xml:space="preserve"> Financial Management Act 2006</w:t>
      </w:r>
      <w:bookmarkEnd w:id="173"/>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No. 77 of 2006 Sch. 1 cl. 166.]</w:t>
      </w:r>
    </w:p>
    <w:p>
      <w:pPr>
        <w:pStyle w:val="Heading5"/>
      </w:pPr>
      <w:bookmarkStart w:id="174" w:name="_Toc2150466"/>
      <w:r>
        <w:rPr>
          <w:rStyle w:val="CharSectno"/>
        </w:rPr>
        <w:t>59.</w:t>
      </w:r>
      <w:r>
        <w:tab/>
        <w:t>No action to compel waiver or writing off</w:t>
      </w:r>
      <w:bookmarkEnd w:id="174"/>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No. 55 of 2004 s. 1182.]</w:t>
      </w:r>
    </w:p>
    <w:p>
      <w:pPr>
        <w:pStyle w:val="Heading2"/>
      </w:pPr>
      <w:bookmarkStart w:id="175" w:name="_Toc440362586"/>
      <w:bookmarkStart w:id="176" w:name="_Toc450560022"/>
      <w:bookmarkStart w:id="177" w:name="_Toc455399552"/>
      <w:bookmarkStart w:id="178" w:name="_Toc528769137"/>
      <w:bookmarkStart w:id="179" w:name="_Toc532472898"/>
      <w:bookmarkStart w:id="180" w:name="_Toc532812122"/>
      <w:bookmarkStart w:id="181" w:name="_Toc2150467"/>
      <w:r>
        <w:rPr>
          <w:rStyle w:val="CharPartNo"/>
        </w:rPr>
        <w:t>Part 6</w:t>
      </w:r>
      <w:r>
        <w:t xml:space="preserve"> — </w:t>
      </w:r>
      <w:r>
        <w:rPr>
          <w:rStyle w:val="CharPartText"/>
        </w:rPr>
        <w:t>Recovery of tax</w:t>
      </w:r>
      <w:bookmarkEnd w:id="175"/>
      <w:bookmarkEnd w:id="176"/>
      <w:bookmarkEnd w:id="177"/>
      <w:bookmarkEnd w:id="178"/>
      <w:bookmarkEnd w:id="179"/>
      <w:bookmarkEnd w:id="180"/>
      <w:bookmarkEnd w:id="181"/>
    </w:p>
    <w:p>
      <w:pPr>
        <w:pStyle w:val="Heading3"/>
      </w:pPr>
      <w:bookmarkStart w:id="182" w:name="_Toc440362587"/>
      <w:bookmarkStart w:id="183" w:name="_Toc450560023"/>
      <w:bookmarkStart w:id="184" w:name="_Toc455399553"/>
      <w:bookmarkStart w:id="185" w:name="_Toc528769138"/>
      <w:bookmarkStart w:id="186" w:name="_Toc532472899"/>
      <w:bookmarkStart w:id="187" w:name="_Toc532812123"/>
      <w:bookmarkStart w:id="188" w:name="_Toc2150468"/>
      <w:r>
        <w:rPr>
          <w:rStyle w:val="CharDivNo"/>
        </w:rPr>
        <w:t>Division 1</w:t>
      </w:r>
      <w:r>
        <w:t xml:space="preserve"> — </w:t>
      </w:r>
      <w:r>
        <w:rPr>
          <w:rStyle w:val="CharDivText"/>
        </w:rPr>
        <w:t>Recovery generally</w:t>
      </w:r>
      <w:bookmarkEnd w:id="182"/>
      <w:bookmarkEnd w:id="183"/>
      <w:bookmarkEnd w:id="184"/>
      <w:bookmarkEnd w:id="185"/>
      <w:bookmarkEnd w:id="186"/>
      <w:bookmarkEnd w:id="187"/>
      <w:bookmarkEnd w:id="188"/>
    </w:p>
    <w:p>
      <w:pPr>
        <w:pStyle w:val="Heading5"/>
      </w:pPr>
      <w:bookmarkStart w:id="189" w:name="_Toc2150469"/>
      <w:r>
        <w:rPr>
          <w:rStyle w:val="CharSectno"/>
        </w:rPr>
        <w:t>60</w:t>
      </w:r>
      <w:r>
        <w:t>.</w:t>
      </w:r>
      <w:r>
        <w:tab/>
        <w:t>Recovery of unpaid tax</w:t>
      </w:r>
      <w:bookmarkEnd w:id="189"/>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Footnotesection"/>
      </w:pPr>
      <w:r>
        <w:tab/>
        <w:t>[Section 60, modifications have effect under the Commonwealth Places (Mirror Taxes) Act 1998 (Cth), see note 1MC.]</w:t>
      </w:r>
    </w:p>
    <w:p>
      <w:pPr>
        <w:pStyle w:val="Heading5"/>
      </w:pPr>
      <w:bookmarkStart w:id="190" w:name="_Toc2150470"/>
      <w:r>
        <w:rPr>
          <w:rStyle w:val="CharSectno"/>
        </w:rPr>
        <w:t>61</w:t>
      </w:r>
      <w:r>
        <w:t>.</w:t>
      </w:r>
      <w:r>
        <w:tab/>
        <w:t>Power of court to order payment of tax</w:t>
      </w:r>
      <w:bookmarkEnd w:id="190"/>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91" w:name="_Toc2150471"/>
      <w:r>
        <w:rPr>
          <w:rStyle w:val="CharSectno"/>
        </w:rPr>
        <w:t>62</w:t>
      </w:r>
      <w:r>
        <w:t>.</w:t>
      </w:r>
      <w:r>
        <w:tab/>
        <w:t>This Part applies to tax and also costs and interest</w:t>
      </w:r>
      <w:bookmarkEnd w:id="191"/>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No. 17 of 2010 s. 26.]</w:t>
      </w:r>
    </w:p>
    <w:p>
      <w:pPr>
        <w:pStyle w:val="Heading5"/>
      </w:pPr>
      <w:bookmarkStart w:id="192" w:name="_Toc2150472"/>
      <w:r>
        <w:rPr>
          <w:rStyle w:val="CharSectno"/>
        </w:rPr>
        <w:t>63</w:t>
      </w:r>
      <w:r>
        <w:t>.</w:t>
      </w:r>
      <w:r>
        <w:tab/>
        <w:t>Recovery in cases of joint liability</w:t>
      </w:r>
      <w:bookmarkEnd w:id="192"/>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93" w:name="_Toc2150473"/>
      <w:r>
        <w:rPr>
          <w:rStyle w:val="CharSectno"/>
        </w:rPr>
        <w:t>64</w:t>
      </w:r>
      <w:r>
        <w:t>.</w:t>
      </w:r>
      <w:r>
        <w:tab/>
        <w:t>Notice of administrator’s appointment</w:t>
      </w:r>
      <w:bookmarkEnd w:id="193"/>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94" w:name="_Toc2150474"/>
      <w:r>
        <w:rPr>
          <w:rStyle w:val="CharSectno"/>
        </w:rPr>
        <w:t>65</w:t>
      </w:r>
      <w:r>
        <w:t>.</w:t>
      </w:r>
      <w:r>
        <w:tab/>
        <w:t>Recovery from garnishee</w:t>
      </w:r>
      <w:bookmarkEnd w:id="194"/>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spacing w:before="120"/>
      </w:pPr>
      <w:r>
        <w:tab/>
        <w:t>(3)</w:t>
      </w:r>
      <w:r>
        <w:tab/>
        <w:t>The Commissioner may serve a garnishee notice even though the taxpayer’s entitlement to the money may be subject to unfulfilled conditions.</w:t>
      </w:r>
    </w:p>
    <w:p>
      <w:pPr>
        <w:pStyle w:val="Subsection"/>
        <w:spacing w:before="120"/>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spacing w:before="120"/>
      </w:pPr>
      <w:r>
        <w:tab/>
        <w:t>(5)</w:t>
      </w:r>
      <w:r>
        <w:tab/>
        <w:t>The Commissioner must serve a copy of the garnishee notice on the taxpayer.</w:t>
      </w:r>
    </w:p>
    <w:p>
      <w:pPr>
        <w:pStyle w:val="Subsection"/>
        <w:spacing w:before="120"/>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spacing w:before="140"/>
      </w:pPr>
      <w:r>
        <w:tab/>
        <w:t>(7)</w:t>
      </w:r>
      <w:r>
        <w:tab/>
        <w:t>A garnishee who does not comply with a garnishee notice commits an offence.</w:t>
      </w:r>
    </w:p>
    <w:p>
      <w:pPr>
        <w:pStyle w:val="Penstart"/>
      </w:pPr>
      <w:r>
        <w:tab/>
        <w:t>Penalty: $20 000.</w:t>
      </w:r>
    </w:p>
    <w:p>
      <w:pPr>
        <w:pStyle w:val="Subsection"/>
        <w:spacing w:before="140"/>
      </w:pPr>
      <w:r>
        <w:tab/>
        <w:t>(8)</w:t>
      </w:r>
      <w:r>
        <w:tab/>
        <w:t>A garnishee who is under an obligation to pay money to the taxpayer is taken to have satisfied that obligation to the extent of the payment made under the garnishee notice.</w:t>
      </w:r>
    </w:p>
    <w:p>
      <w:pPr>
        <w:pStyle w:val="Heading5"/>
        <w:keepNext w:val="0"/>
        <w:keepLines w:val="0"/>
        <w:pageBreakBefore/>
      </w:pPr>
      <w:bookmarkStart w:id="195" w:name="_Toc2150475"/>
      <w:r>
        <w:rPr>
          <w:rStyle w:val="CharSectno"/>
        </w:rPr>
        <w:t>66</w:t>
      </w:r>
      <w:r>
        <w:t>.</w:t>
      </w:r>
      <w:r>
        <w:tab/>
        <w:t>Recovery from partnerships</w:t>
      </w:r>
      <w:bookmarkEnd w:id="195"/>
    </w:p>
    <w:p>
      <w:pPr>
        <w:pStyle w:val="Subsection"/>
        <w:spacing w:before="120"/>
      </w:pPr>
      <w:r>
        <w:tab/>
      </w:r>
      <w:r>
        <w:tab/>
        <w:t>If a tax liability is incurred by or on behalf of a partnership, the tax is recoverable jointly and severally from any one or more of the partners.</w:t>
      </w:r>
    </w:p>
    <w:p>
      <w:pPr>
        <w:pStyle w:val="Heading5"/>
      </w:pPr>
      <w:bookmarkStart w:id="196" w:name="_Toc2150476"/>
      <w:r>
        <w:rPr>
          <w:rStyle w:val="CharSectno"/>
        </w:rPr>
        <w:t>67</w:t>
      </w:r>
      <w:r>
        <w:t>.</w:t>
      </w:r>
      <w:r>
        <w:tab/>
        <w:t>Recovery from directors of body corporate</w:t>
      </w:r>
      <w:bookmarkEnd w:id="196"/>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pPr>
      <w:r>
        <w:tab/>
        <w:t>(b)</w:t>
      </w:r>
      <w:r>
        <w:tab/>
        <w:t xml:space="preserve">a director of a body that is incorporated or taken to be incorporated under the </w:t>
      </w:r>
      <w:r>
        <w:rPr>
          <w:i/>
        </w:rPr>
        <w:t>Associations Incorporation Act 2015</w:t>
      </w:r>
      <w:r>
        <w:t>.</w:t>
      </w:r>
    </w:p>
    <w:p>
      <w:pPr>
        <w:pStyle w:val="Footnotesection"/>
      </w:pPr>
      <w:r>
        <w:tab/>
        <w:t>[Section 67 amended: No. 30 of 2015 s. 229.]</w:t>
      </w:r>
    </w:p>
    <w:p>
      <w:pPr>
        <w:pStyle w:val="Heading5"/>
        <w:spacing w:before="180"/>
      </w:pPr>
      <w:bookmarkStart w:id="197" w:name="_Toc2150477"/>
      <w:r>
        <w:rPr>
          <w:rStyle w:val="CharSectno"/>
        </w:rPr>
        <w:t>68</w:t>
      </w:r>
      <w:r>
        <w:t>.</w:t>
      </w:r>
      <w:r>
        <w:tab/>
        <w:t>Director or body corporate may apply to Supreme Court to set aside s. 67 notice</w:t>
      </w:r>
      <w:bookmarkEnd w:id="197"/>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spacing w:before="180"/>
      </w:pPr>
      <w:bookmarkStart w:id="198" w:name="_Toc2150478"/>
      <w:r>
        <w:rPr>
          <w:rStyle w:val="CharSectno"/>
        </w:rPr>
        <w:t>69</w:t>
      </w:r>
      <w:r>
        <w:t>.</w:t>
      </w:r>
      <w:r>
        <w:tab/>
        <w:t>Proceedings on s. 68 application where genuine dispute as to assessment of pay-roll tax</w:t>
      </w:r>
      <w:bookmarkEnd w:id="198"/>
    </w:p>
    <w:p>
      <w:pPr>
        <w:pStyle w:val="Subsection"/>
        <w:spacing w:before="120"/>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199" w:name="_Toc2150479"/>
      <w:r>
        <w:rPr>
          <w:rStyle w:val="CharSectno"/>
        </w:rPr>
        <w:t>70</w:t>
      </w:r>
      <w:r>
        <w:t>.</w:t>
      </w:r>
      <w:r>
        <w:tab/>
        <w:t>On s. 68 application, court may set aside s. 67 notice etc.</w:t>
      </w:r>
      <w:bookmarkEnd w:id="199"/>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200" w:name="_Toc2150480"/>
      <w:r>
        <w:rPr>
          <w:rStyle w:val="CharSectno"/>
        </w:rPr>
        <w:t>71</w:t>
      </w:r>
      <w:r>
        <w:t>.</w:t>
      </w:r>
      <w:r>
        <w:tab/>
        <w:t>Effect of order setting aside s. 67 notice</w:t>
      </w:r>
      <w:bookmarkEnd w:id="200"/>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201" w:name="_Toc2150481"/>
      <w:r>
        <w:rPr>
          <w:rStyle w:val="CharSectno"/>
        </w:rPr>
        <w:t>72</w:t>
      </w:r>
      <w:r>
        <w:t>.</w:t>
      </w:r>
      <w:r>
        <w:tab/>
        <w:t>Dismissal of s. 68 application</w:t>
      </w:r>
      <w:bookmarkEnd w:id="201"/>
    </w:p>
    <w:p>
      <w:pPr>
        <w:pStyle w:val="Subsection"/>
      </w:pPr>
      <w:r>
        <w:tab/>
      </w:r>
      <w:r>
        <w:tab/>
        <w:t>Unless the court makes, on an application under section 68, an order under section 69 or 70, the court is to dismiss the application.</w:t>
      </w:r>
    </w:p>
    <w:p>
      <w:pPr>
        <w:pStyle w:val="Heading5"/>
      </w:pPr>
      <w:bookmarkStart w:id="202" w:name="_Toc2150482"/>
      <w:r>
        <w:rPr>
          <w:rStyle w:val="CharSectno"/>
        </w:rPr>
        <w:t>73</w:t>
      </w:r>
      <w:r>
        <w:t>.</w:t>
      </w:r>
      <w:r>
        <w:tab/>
        <w:t>Order under s. 69 or 70 may be subject to conditions</w:t>
      </w:r>
      <w:bookmarkEnd w:id="202"/>
    </w:p>
    <w:p>
      <w:pPr>
        <w:pStyle w:val="Subsection"/>
      </w:pPr>
      <w:r>
        <w:tab/>
      </w:r>
      <w:r>
        <w:tab/>
        <w:t>An order under section 69 or 70 may be made subject to conditions.</w:t>
      </w:r>
    </w:p>
    <w:p>
      <w:pPr>
        <w:pStyle w:val="Heading5"/>
      </w:pPr>
      <w:bookmarkStart w:id="203" w:name="_Toc2150483"/>
      <w:r>
        <w:rPr>
          <w:rStyle w:val="CharSectno"/>
        </w:rPr>
        <w:t>74</w:t>
      </w:r>
      <w:r>
        <w:t>.</w:t>
      </w:r>
      <w:r>
        <w:tab/>
        <w:t>Costs where applicant successful</w:t>
      </w:r>
      <w:bookmarkEnd w:id="203"/>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204" w:name="_Toc2150484"/>
      <w:r>
        <w:rPr>
          <w:rStyle w:val="CharSectno"/>
        </w:rPr>
        <w:t>75</w:t>
      </w:r>
      <w:r>
        <w:t>.</w:t>
      </w:r>
      <w:r>
        <w:tab/>
        <w:t>Period for complying with s. 67 notice if s. 68 application made</w:t>
      </w:r>
      <w:bookmarkEnd w:id="204"/>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205" w:name="_Toc440362604"/>
      <w:bookmarkStart w:id="206" w:name="_Toc450560040"/>
      <w:bookmarkStart w:id="207" w:name="_Toc455399570"/>
      <w:bookmarkStart w:id="208" w:name="_Toc528769155"/>
      <w:bookmarkStart w:id="209" w:name="_Toc532472916"/>
      <w:bookmarkStart w:id="210" w:name="_Toc532812140"/>
      <w:bookmarkStart w:id="211" w:name="_Toc2150485"/>
      <w:r>
        <w:rPr>
          <w:rStyle w:val="CharDivNo"/>
        </w:rPr>
        <w:t>Division 2</w:t>
      </w:r>
      <w:r>
        <w:t xml:space="preserve"> — </w:t>
      </w:r>
      <w:r>
        <w:rPr>
          <w:rStyle w:val="CharDivText"/>
        </w:rPr>
        <w:t>Charges on land</w:t>
      </w:r>
      <w:bookmarkEnd w:id="205"/>
      <w:bookmarkEnd w:id="206"/>
      <w:bookmarkEnd w:id="207"/>
      <w:bookmarkEnd w:id="208"/>
      <w:bookmarkEnd w:id="209"/>
      <w:bookmarkEnd w:id="210"/>
      <w:bookmarkEnd w:id="211"/>
    </w:p>
    <w:p>
      <w:pPr>
        <w:pStyle w:val="Heading5"/>
        <w:spacing w:before="180"/>
      </w:pPr>
      <w:bookmarkStart w:id="212" w:name="_Toc2150486"/>
      <w:r>
        <w:rPr>
          <w:rStyle w:val="CharSectno"/>
        </w:rPr>
        <w:t>76A</w:t>
      </w:r>
      <w:r>
        <w:t>.</w:t>
      </w:r>
      <w:r>
        <w:tab/>
        <w:t>Terms used</w:t>
      </w:r>
      <w:bookmarkEnd w:id="212"/>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Footnotesection"/>
      </w:pPr>
      <w:r>
        <w:tab/>
        <w:t>[Section 76A inserted: No. 31 of 2008 s. 4; amended: No. 31 of 2008 s. 18; No. 10 of 2013 s. 35.]</w:t>
      </w:r>
    </w:p>
    <w:p>
      <w:pPr>
        <w:pStyle w:val="Heading5"/>
      </w:pPr>
      <w:bookmarkStart w:id="213" w:name="_Toc2150487"/>
      <w:r>
        <w:rPr>
          <w:rStyle w:val="CharSectno"/>
        </w:rPr>
        <w:t>76</w:t>
      </w:r>
      <w:r>
        <w:t>.</w:t>
      </w:r>
      <w:r>
        <w:tab/>
        <w:t>Charge on land to secure land tax</w:t>
      </w:r>
      <w:bookmarkEnd w:id="213"/>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Ednotesubsection"/>
        <w:spacing w:before="120"/>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spacing w:before="120"/>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spacing w:before="120"/>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No. 31 of 2008 s. 5 and 26; No. 29 of 2012 s. 42 </w:t>
      </w:r>
      <w:r>
        <w:rPr>
          <w:vertAlign w:val="superscript"/>
        </w:rPr>
        <w:t>3</w:t>
      </w:r>
      <w:r>
        <w:t>.]</w:t>
      </w:r>
    </w:p>
    <w:p>
      <w:pPr>
        <w:pStyle w:val="Footnotesection"/>
      </w:pPr>
      <w:r>
        <w:tab/>
        <w:t>[Section 76, modifications have effect under the Commonwealth Places (Mirror Taxes) Act 1998 (Cth), see note 1MC.]</w:t>
      </w:r>
    </w:p>
    <w:p>
      <w:pPr>
        <w:pStyle w:val="Heading5"/>
        <w:keepNext w:val="0"/>
        <w:keepLines w:val="0"/>
        <w:spacing w:before="180"/>
      </w:pPr>
      <w:bookmarkStart w:id="214" w:name="_Toc2150488"/>
      <w:r>
        <w:rPr>
          <w:rStyle w:val="CharSectno"/>
        </w:rPr>
        <w:t>77</w:t>
      </w:r>
      <w:r>
        <w:t>.</w:t>
      </w:r>
      <w:r>
        <w:tab/>
        <w:t>Charge on land to secure stamp duty</w:t>
      </w:r>
      <w:bookmarkEnd w:id="214"/>
    </w:p>
    <w:p>
      <w:pPr>
        <w:pStyle w:val="Subsection"/>
        <w:spacing w:before="120"/>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No. 12 of 2004 s. 11; No. 31 of 2008 s. 6.]</w:t>
      </w:r>
    </w:p>
    <w:p>
      <w:pPr>
        <w:pStyle w:val="Footnotesection"/>
        <w:ind w:left="890" w:hanging="890"/>
      </w:pPr>
      <w:r>
        <w:tab/>
        <w:t>[Section 77, modifications have effect under the Commonwealth Places (Mirror Taxes) Act 1998 (Cth), see note 1MC.]</w:t>
      </w:r>
    </w:p>
    <w:p>
      <w:pPr>
        <w:pStyle w:val="Heading5"/>
      </w:pPr>
      <w:bookmarkStart w:id="215" w:name="_Toc2150489"/>
      <w:r>
        <w:rPr>
          <w:rStyle w:val="CharSectno"/>
        </w:rPr>
        <w:t>77A</w:t>
      </w:r>
      <w:r>
        <w:t>.</w:t>
      </w:r>
      <w:r>
        <w:tab/>
        <w:t>Charge on land to secure transfer duty or landholder duty</w:t>
      </w:r>
      <w:bookmarkEnd w:id="215"/>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spacing w:before="180"/>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spacing w:before="180"/>
      </w:pPr>
      <w:r>
        <w:tab/>
        <w:t>(5)</w:t>
      </w:r>
      <w:r>
        <w:tab/>
        <w:t xml:space="preserve">The charge arises on the land when the memorial is registered. </w:t>
      </w:r>
    </w:p>
    <w:p>
      <w:pPr>
        <w:pStyle w:val="Subsection"/>
        <w:spacing w:before="180"/>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spacing w:before="180"/>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ind w:left="890" w:hanging="890"/>
      </w:pPr>
      <w:r>
        <w:tab/>
        <w:t>[Section 77A inserted: No. 12 of 2008 s. 45; amended: No. 31 of 2008 s. 19; No. 17 of 2010 s. 27.]</w:t>
      </w:r>
    </w:p>
    <w:p>
      <w:pPr>
        <w:pStyle w:val="Heading5"/>
        <w:spacing w:before="240"/>
      </w:pPr>
      <w:bookmarkStart w:id="216" w:name="_Toc2150490"/>
      <w:r>
        <w:rPr>
          <w:rStyle w:val="CharSectno"/>
        </w:rPr>
        <w:t>78</w:t>
      </w:r>
      <w:r>
        <w:t>.</w:t>
      </w:r>
      <w:r>
        <w:tab/>
        <w:t>Charge on subsequent mining tenement</w:t>
      </w:r>
      <w:bookmarkEnd w:id="216"/>
    </w:p>
    <w:p>
      <w:pPr>
        <w:pStyle w:val="Subsection"/>
        <w:spacing w:before="180"/>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spacing w:before="180"/>
      </w:pPr>
      <w:r>
        <w:tab/>
      </w:r>
      <w:r>
        <w:tab/>
        <w:t>the registration of the memorial against the later tenement creates a charge on that later tenement for the unpaid tax secured by the charge referred to in paragraph (a).</w:t>
      </w:r>
    </w:p>
    <w:p>
      <w:pPr>
        <w:pStyle w:val="Footnotesection"/>
        <w:ind w:left="890" w:hanging="890"/>
      </w:pPr>
      <w:r>
        <w:tab/>
        <w:t>[Section 78 inserted: No. 31 of 2008 s. 7.]</w:t>
      </w:r>
    </w:p>
    <w:p>
      <w:pPr>
        <w:pStyle w:val="Heading5"/>
        <w:keepNext w:val="0"/>
        <w:keepLines w:val="0"/>
        <w:spacing w:before="240"/>
      </w:pPr>
      <w:bookmarkStart w:id="217" w:name="_Toc2150491"/>
      <w:r>
        <w:rPr>
          <w:rStyle w:val="CharSectno"/>
        </w:rPr>
        <w:t>79</w:t>
      </w:r>
      <w:r>
        <w:t>.</w:t>
      </w:r>
      <w:r>
        <w:tab/>
        <w:t>Priority of charge</w:t>
      </w:r>
      <w:bookmarkEnd w:id="217"/>
    </w:p>
    <w:p>
      <w:pPr>
        <w:pStyle w:val="Subsection"/>
      </w:pPr>
      <w:r>
        <w:tab/>
        <w:t>(1)</w:t>
      </w:r>
      <w:r>
        <w:tab/>
        <w:t>A charge arising under this Division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No. 31 of 2008 s. 8.]</w:t>
      </w:r>
    </w:p>
    <w:p>
      <w:pPr>
        <w:pStyle w:val="Heading5"/>
      </w:pPr>
      <w:bookmarkStart w:id="218" w:name="_Toc2150492"/>
      <w:r>
        <w:rPr>
          <w:rStyle w:val="CharSectno"/>
        </w:rPr>
        <w:t>80</w:t>
      </w:r>
      <w:r>
        <w:t>.</w:t>
      </w:r>
      <w:r>
        <w:tab/>
        <w:t>Certificate as to charge to secure unpaid land tax</w:t>
      </w:r>
      <w:bookmarkEnd w:id="218"/>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keepNext/>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No. 29 of 2012 s. 43.]</w:t>
      </w:r>
    </w:p>
    <w:p>
      <w:pPr>
        <w:pStyle w:val="Heading5"/>
      </w:pPr>
      <w:bookmarkStart w:id="219" w:name="_Toc2150493"/>
      <w:r>
        <w:rPr>
          <w:rStyle w:val="CharSectno"/>
        </w:rPr>
        <w:t>81</w:t>
      </w:r>
      <w:r>
        <w:t>.</w:t>
      </w:r>
      <w:r>
        <w:tab/>
        <w:t>Withdrawal of memorial to be given when tax paid</w:t>
      </w:r>
      <w:bookmarkEnd w:id="219"/>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No. 31 of 2008 s. 9; amended: No. 31 of 2008 s. 20.]</w:t>
      </w:r>
    </w:p>
    <w:p>
      <w:pPr>
        <w:pStyle w:val="Heading5"/>
        <w:spacing w:before="180"/>
      </w:pPr>
      <w:bookmarkStart w:id="220" w:name="_Toc2150494"/>
      <w:r>
        <w:rPr>
          <w:rStyle w:val="CharSectno"/>
        </w:rPr>
        <w:t>82</w:t>
      </w:r>
      <w:r>
        <w:t>.</w:t>
      </w:r>
      <w:r>
        <w:tab/>
        <w:t>Memorials etc. affecting TLA land or real property, lodging etc.</w:t>
      </w:r>
      <w:bookmarkEnd w:id="220"/>
    </w:p>
    <w:p>
      <w:pPr>
        <w:pStyle w:val="Subsection"/>
        <w:spacing w:before="120"/>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No. 31 of 2008 s. 9.]</w:t>
      </w:r>
    </w:p>
    <w:p>
      <w:pPr>
        <w:pStyle w:val="Heading5"/>
      </w:pPr>
      <w:bookmarkStart w:id="221" w:name="_Toc2150495"/>
      <w:r>
        <w:rPr>
          <w:rStyle w:val="CharSectno"/>
        </w:rPr>
        <w:t>83</w:t>
      </w:r>
      <w:r>
        <w:t>.</w:t>
      </w:r>
      <w:r>
        <w:tab/>
        <w:t>Memorials affecting mining tenements, lodging etc.</w:t>
      </w:r>
      <w:bookmarkEnd w:id="221"/>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No. 31 of 2008 s. 9.]</w:t>
      </w:r>
    </w:p>
    <w:p>
      <w:pPr>
        <w:pStyle w:val="Heading5"/>
      </w:pPr>
      <w:bookmarkStart w:id="222" w:name="_Toc2150496"/>
      <w:r>
        <w:rPr>
          <w:rStyle w:val="CharSectno"/>
        </w:rPr>
        <w:t>84</w:t>
      </w:r>
      <w:r>
        <w:t>.</w:t>
      </w:r>
      <w:r>
        <w:tab/>
        <w:t>Mortgagees to be notified if memorial registered</w:t>
      </w:r>
      <w:bookmarkEnd w:id="222"/>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No. 31 of 2008 s. 10.]</w:t>
      </w:r>
    </w:p>
    <w:p>
      <w:pPr>
        <w:pStyle w:val="Heading5"/>
      </w:pPr>
      <w:bookmarkStart w:id="223" w:name="_Toc2150497"/>
      <w:r>
        <w:rPr>
          <w:rStyle w:val="CharSectno"/>
        </w:rPr>
        <w:t>85</w:t>
      </w:r>
      <w:r>
        <w:t>.</w:t>
      </w:r>
      <w:r>
        <w:tab/>
        <w:t>Orders for sale of land</w:t>
      </w:r>
      <w:bookmarkEnd w:id="223"/>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place">
        <w:smartTag w:uri="urn:schemas-microsoft-com:office:smarttags" w:element="State">
          <w:r>
            <w:t>Western Australia</w:t>
          </w:r>
        </w:smartTag>
      </w:smartTag>
      <w:r>
        <w:t>;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No. 31 of 2008 s. 11 and 21.]</w:t>
      </w:r>
    </w:p>
    <w:p>
      <w:pPr>
        <w:pStyle w:val="Heading5"/>
      </w:pPr>
      <w:bookmarkStart w:id="224" w:name="_Toc2150498"/>
      <w:r>
        <w:rPr>
          <w:rStyle w:val="CharSectno"/>
        </w:rPr>
        <w:t>86</w:t>
      </w:r>
      <w:r>
        <w:t>.</w:t>
      </w:r>
      <w:r>
        <w:tab/>
        <w:t>Means of enforcement not limited to charge</w:t>
      </w:r>
      <w:bookmarkEnd w:id="224"/>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No. 31 of 2008 s. 12.]</w:t>
      </w:r>
    </w:p>
    <w:p>
      <w:pPr>
        <w:pStyle w:val="Heading2"/>
      </w:pPr>
      <w:bookmarkStart w:id="225" w:name="_Toc440362618"/>
      <w:bookmarkStart w:id="226" w:name="_Toc450560054"/>
      <w:bookmarkStart w:id="227" w:name="_Toc455399584"/>
      <w:bookmarkStart w:id="228" w:name="_Toc528769169"/>
      <w:bookmarkStart w:id="229" w:name="_Toc532472930"/>
      <w:bookmarkStart w:id="230" w:name="_Toc532812154"/>
      <w:bookmarkStart w:id="231" w:name="_Toc2150499"/>
      <w:r>
        <w:rPr>
          <w:rStyle w:val="CharPartNo"/>
        </w:rPr>
        <w:t>Part 7</w:t>
      </w:r>
      <w:r>
        <w:rPr>
          <w:rStyle w:val="CharDivNo"/>
        </w:rPr>
        <w:t xml:space="preserve"> </w:t>
      </w:r>
      <w:r>
        <w:t>—</w:t>
      </w:r>
      <w:r>
        <w:rPr>
          <w:rStyle w:val="CharDivText"/>
        </w:rPr>
        <w:t xml:space="preserve"> </w:t>
      </w:r>
      <w:r>
        <w:rPr>
          <w:rStyle w:val="CharPartText"/>
        </w:rPr>
        <w:t>Tax records</w:t>
      </w:r>
      <w:bookmarkEnd w:id="225"/>
      <w:bookmarkEnd w:id="226"/>
      <w:bookmarkEnd w:id="227"/>
      <w:bookmarkEnd w:id="228"/>
      <w:bookmarkEnd w:id="229"/>
      <w:bookmarkEnd w:id="230"/>
      <w:bookmarkEnd w:id="231"/>
    </w:p>
    <w:p>
      <w:pPr>
        <w:pStyle w:val="Heading5"/>
      </w:pPr>
      <w:bookmarkStart w:id="232" w:name="_Toc2150500"/>
      <w:r>
        <w:rPr>
          <w:rStyle w:val="CharSectno"/>
        </w:rPr>
        <w:t>87</w:t>
      </w:r>
      <w:r>
        <w:t>.</w:t>
      </w:r>
      <w:r>
        <w:tab/>
        <w:t>How long tax records to be kept</w:t>
      </w:r>
      <w:bookmarkEnd w:id="232"/>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233" w:name="_Toc2150501"/>
      <w:r>
        <w:rPr>
          <w:rStyle w:val="CharSectno"/>
        </w:rPr>
        <w:t>88</w:t>
      </w:r>
      <w:r>
        <w:t>.</w:t>
      </w:r>
      <w:r>
        <w:tab/>
        <w:t>Form of tax records</w:t>
      </w:r>
      <w:bookmarkEnd w:id="233"/>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234" w:name="_Toc2150502"/>
      <w:r>
        <w:rPr>
          <w:rStyle w:val="CharSectno"/>
        </w:rPr>
        <w:t>89</w:t>
      </w:r>
      <w:r>
        <w:t>.</w:t>
      </w:r>
      <w:r>
        <w:tab/>
        <w:t>Where tax records to be kept</w:t>
      </w:r>
      <w:bookmarkEnd w:id="234"/>
    </w:p>
    <w:p>
      <w:pPr>
        <w:pStyle w:val="Subsection"/>
      </w:pPr>
      <w:r>
        <w:tab/>
        <w:t>(1)</w:t>
      </w:r>
      <w:r>
        <w:tab/>
        <w:t xml:space="preserve">A person required to keep a tax record must keep it in </w:t>
      </w:r>
      <w:smartTag w:uri="urn:schemas-microsoft-com:office:smarttags" w:element="place">
        <w:smartTag w:uri="urn:schemas-microsoft-com:office:smarttags" w:element="State">
          <w:r>
            <w:t>Western Australia</w:t>
          </w:r>
        </w:smartTag>
      </w:smartTag>
      <w:r>
        <w:t xml:space="preserve">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place">
        <w:smartTag w:uri="urn:schemas-microsoft-com:office:smarttags" w:element="Stat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place">
        <w:smartTag w:uri="urn:schemas-microsoft-com:office:smarttags" w:element="State">
          <w:r>
            <w:t>Western Australia</w:t>
          </w:r>
        </w:smartTag>
      </w:smartTag>
      <w:r>
        <w:t>.</w:t>
      </w:r>
    </w:p>
    <w:p>
      <w:pPr>
        <w:pStyle w:val="Heading5"/>
      </w:pPr>
      <w:bookmarkStart w:id="235" w:name="_Toc2150503"/>
      <w:r>
        <w:rPr>
          <w:rStyle w:val="CharSectno"/>
        </w:rPr>
        <w:t>90</w:t>
      </w:r>
      <w:r>
        <w:t>.</w:t>
      </w:r>
      <w:r>
        <w:tab/>
        <w:t>Failure to keep proper tax records</w:t>
      </w:r>
      <w:bookmarkEnd w:id="235"/>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236" w:name="_Toc2150504"/>
      <w:r>
        <w:rPr>
          <w:rStyle w:val="CharSectno"/>
        </w:rPr>
        <w:t>91</w:t>
      </w:r>
      <w:r>
        <w:t>.</w:t>
      </w:r>
      <w:r>
        <w:tab/>
        <w:t>General and specific exemptions</w:t>
      </w:r>
      <w:bookmarkEnd w:id="236"/>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237" w:name="_Toc440362624"/>
      <w:bookmarkStart w:id="238" w:name="_Toc450560060"/>
      <w:bookmarkStart w:id="239" w:name="_Toc455399590"/>
      <w:bookmarkStart w:id="240" w:name="_Toc528769175"/>
      <w:bookmarkStart w:id="241" w:name="_Toc532472936"/>
      <w:bookmarkStart w:id="242" w:name="_Toc532812160"/>
      <w:bookmarkStart w:id="243" w:name="_Toc2150505"/>
      <w:r>
        <w:rPr>
          <w:rStyle w:val="CharPartNo"/>
        </w:rPr>
        <w:t>Part 8</w:t>
      </w:r>
      <w:r>
        <w:t xml:space="preserve"> — </w:t>
      </w:r>
      <w:r>
        <w:rPr>
          <w:rStyle w:val="CharPartText"/>
        </w:rPr>
        <w:t>Investigations</w:t>
      </w:r>
      <w:bookmarkEnd w:id="237"/>
      <w:bookmarkEnd w:id="238"/>
      <w:bookmarkEnd w:id="239"/>
      <w:bookmarkEnd w:id="240"/>
      <w:bookmarkEnd w:id="241"/>
      <w:bookmarkEnd w:id="242"/>
      <w:bookmarkEnd w:id="243"/>
    </w:p>
    <w:p>
      <w:pPr>
        <w:pStyle w:val="Heading3"/>
      </w:pPr>
      <w:bookmarkStart w:id="244" w:name="_Toc440362625"/>
      <w:bookmarkStart w:id="245" w:name="_Toc450560061"/>
      <w:bookmarkStart w:id="246" w:name="_Toc455399591"/>
      <w:bookmarkStart w:id="247" w:name="_Toc528769176"/>
      <w:bookmarkStart w:id="248" w:name="_Toc532472937"/>
      <w:bookmarkStart w:id="249" w:name="_Toc532812161"/>
      <w:bookmarkStart w:id="250" w:name="_Toc2150506"/>
      <w:r>
        <w:rPr>
          <w:rStyle w:val="CharDivNo"/>
        </w:rPr>
        <w:t>Division 1</w:t>
      </w:r>
      <w:r>
        <w:t xml:space="preserve"> — </w:t>
      </w:r>
      <w:r>
        <w:rPr>
          <w:rStyle w:val="CharDivText"/>
        </w:rPr>
        <w:t>Investigations</w:t>
      </w:r>
      <w:bookmarkEnd w:id="244"/>
      <w:bookmarkEnd w:id="245"/>
      <w:bookmarkEnd w:id="246"/>
      <w:bookmarkEnd w:id="247"/>
      <w:bookmarkEnd w:id="248"/>
      <w:bookmarkEnd w:id="249"/>
      <w:bookmarkEnd w:id="250"/>
    </w:p>
    <w:p>
      <w:pPr>
        <w:pStyle w:val="Heading5"/>
      </w:pPr>
      <w:bookmarkStart w:id="251" w:name="_Toc2150507"/>
      <w:r>
        <w:rPr>
          <w:rStyle w:val="CharSectno"/>
        </w:rPr>
        <w:t>92</w:t>
      </w:r>
      <w:r>
        <w:t>.</w:t>
      </w:r>
      <w:r>
        <w:tab/>
        <w:t>Investigations, purposes of</w:t>
      </w:r>
      <w:bookmarkEnd w:id="251"/>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252" w:name="_Toc2150508"/>
      <w:r>
        <w:rPr>
          <w:rStyle w:val="CharSectno"/>
        </w:rPr>
        <w:t>93</w:t>
      </w:r>
      <w:r>
        <w:t>.</w:t>
      </w:r>
      <w:r>
        <w:tab/>
        <w:t>Investigations for purposes of recognised revenue laws</w:t>
      </w:r>
      <w:bookmarkEnd w:id="252"/>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253" w:name="_Toc440362628"/>
      <w:bookmarkStart w:id="254" w:name="_Toc450560064"/>
      <w:bookmarkStart w:id="255" w:name="_Toc455399594"/>
      <w:bookmarkStart w:id="256" w:name="_Toc528769179"/>
      <w:bookmarkStart w:id="257" w:name="_Toc532472940"/>
      <w:bookmarkStart w:id="258" w:name="_Toc532812164"/>
      <w:bookmarkStart w:id="259" w:name="_Toc2150509"/>
      <w:r>
        <w:rPr>
          <w:rStyle w:val="CharDivNo"/>
        </w:rPr>
        <w:t>Division 2</w:t>
      </w:r>
      <w:r>
        <w:t xml:space="preserve"> — </w:t>
      </w:r>
      <w:r>
        <w:rPr>
          <w:rStyle w:val="CharDivText"/>
        </w:rPr>
        <w:t>Obtaining tax records and other information</w:t>
      </w:r>
      <w:bookmarkEnd w:id="253"/>
      <w:bookmarkEnd w:id="254"/>
      <w:bookmarkEnd w:id="255"/>
      <w:bookmarkEnd w:id="256"/>
      <w:bookmarkEnd w:id="257"/>
      <w:bookmarkEnd w:id="258"/>
      <w:bookmarkEnd w:id="259"/>
    </w:p>
    <w:p>
      <w:pPr>
        <w:pStyle w:val="Heading5"/>
      </w:pPr>
      <w:bookmarkStart w:id="260" w:name="_Toc2150510"/>
      <w:r>
        <w:rPr>
          <w:rStyle w:val="CharSectno"/>
        </w:rPr>
        <w:t>94</w:t>
      </w:r>
      <w:r>
        <w:t>.</w:t>
      </w:r>
      <w:r>
        <w:tab/>
        <w:t>Power to require person to provide information</w:t>
      </w:r>
      <w:bookmarkEnd w:id="260"/>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spacing w:before="120"/>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spacing w:before="120"/>
      </w:pPr>
      <w:r>
        <w:tab/>
        <w:t>(3)</w:t>
      </w:r>
      <w:r>
        <w:tab/>
        <w:t>The Commissioner may require a person to verify written answers to questions by statutory declaration.</w:t>
      </w:r>
    </w:p>
    <w:p>
      <w:pPr>
        <w:pStyle w:val="Subsection"/>
        <w:spacing w:before="120"/>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spacing w:before="120"/>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spacing w:before="180"/>
      </w:pPr>
      <w:bookmarkStart w:id="261" w:name="_Toc2150511"/>
      <w:r>
        <w:rPr>
          <w:rStyle w:val="CharSectno"/>
        </w:rPr>
        <w:t>95</w:t>
      </w:r>
      <w:r>
        <w:t>.</w:t>
      </w:r>
      <w:r>
        <w:tab/>
        <w:t>Power to require person to attend for examination</w:t>
      </w:r>
      <w:bookmarkEnd w:id="261"/>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262" w:name="_Toc2150512"/>
      <w:r>
        <w:rPr>
          <w:rStyle w:val="CharSectno"/>
        </w:rPr>
        <w:t>96</w:t>
      </w:r>
      <w:r>
        <w:t>.</w:t>
      </w:r>
      <w:r>
        <w:tab/>
        <w:t>Power to retain documents and other records</w:t>
      </w:r>
      <w:bookmarkEnd w:id="262"/>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No. 12 of 2008 s. 48; No. 10 of 2013 s. 25 and 36.]</w:t>
      </w:r>
    </w:p>
    <w:p>
      <w:pPr>
        <w:pStyle w:val="Heading5"/>
      </w:pPr>
      <w:bookmarkStart w:id="263" w:name="_Toc2150513"/>
      <w:r>
        <w:rPr>
          <w:rStyle w:val="CharSectno"/>
        </w:rPr>
        <w:t>97</w:t>
      </w:r>
      <w:r>
        <w:t>.</w:t>
      </w:r>
      <w:r>
        <w:tab/>
        <w:t>Recording proceedings under s. 95</w:t>
      </w:r>
      <w:bookmarkEnd w:id="263"/>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keepNext w:val="0"/>
      </w:pPr>
      <w:bookmarkStart w:id="264" w:name="_Toc440362633"/>
      <w:bookmarkStart w:id="265" w:name="_Toc450560069"/>
      <w:bookmarkStart w:id="266" w:name="_Toc455399599"/>
      <w:bookmarkStart w:id="267" w:name="_Toc528769184"/>
      <w:bookmarkStart w:id="268" w:name="_Toc532472945"/>
      <w:bookmarkStart w:id="269" w:name="_Toc532812169"/>
      <w:bookmarkStart w:id="270" w:name="_Toc2150514"/>
      <w:r>
        <w:rPr>
          <w:rStyle w:val="CharDivNo"/>
        </w:rPr>
        <w:t>Division 3</w:t>
      </w:r>
      <w:r>
        <w:t xml:space="preserve"> — </w:t>
      </w:r>
      <w:r>
        <w:rPr>
          <w:rStyle w:val="CharDivText"/>
        </w:rPr>
        <w:t>Access to premises</w:t>
      </w:r>
      <w:bookmarkEnd w:id="264"/>
      <w:bookmarkEnd w:id="265"/>
      <w:bookmarkEnd w:id="266"/>
      <w:bookmarkEnd w:id="267"/>
      <w:bookmarkEnd w:id="268"/>
      <w:bookmarkEnd w:id="269"/>
      <w:bookmarkEnd w:id="270"/>
    </w:p>
    <w:p>
      <w:pPr>
        <w:pStyle w:val="Heading5"/>
      </w:pPr>
      <w:bookmarkStart w:id="271" w:name="_Toc2150515"/>
      <w:r>
        <w:rPr>
          <w:rStyle w:val="CharSectno"/>
        </w:rPr>
        <w:t>98</w:t>
      </w:r>
      <w:r>
        <w:t>.</w:t>
      </w:r>
      <w:r>
        <w:tab/>
        <w:t>Power to enter premises</w:t>
      </w:r>
      <w:bookmarkEnd w:id="271"/>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keepNext w:val="0"/>
        <w:keepLines w:val="0"/>
        <w:spacing w:before="180"/>
      </w:pPr>
      <w:bookmarkStart w:id="272" w:name="_Toc2150516"/>
      <w:r>
        <w:rPr>
          <w:rStyle w:val="CharSectno"/>
        </w:rPr>
        <w:t>99</w:t>
      </w:r>
      <w:r>
        <w:t>.</w:t>
      </w:r>
      <w:r>
        <w:tab/>
        <w:t>Powers of investigator while on premises</w:t>
      </w:r>
      <w:bookmarkEnd w:id="272"/>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pPr>
      <w:r>
        <w:tab/>
        <w:t>(d)</w:t>
      </w:r>
      <w:r>
        <w:tab/>
        <w:t>photograph or film anything on the premises;</w:t>
      </w:r>
    </w:p>
    <w:p>
      <w:pPr>
        <w:pStyle w:val="Indenta"/>
      </w:pPr>
      <w:r>
        <w:tab/>
        <w:t>(e)</w:t>
      </w:r>
      <w:r>
        <w:tab/>
        <w:t xml:space="preserve">if anything on the premises that is relevant to the investigation cannot be conveniently removed — secure it against interference; </w:t>
      </w:r>
    </w:p>
    <w:p>
      <w:pPr>
        <w:pStyle w:val="Indenta"/>
      </w:pPr>
      <w:r>
        <w:tab/>
        <w:t>(f)</w:t>
      </w:r>
      <w:r>
        <w:tab/>
        <w:t>require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investigator that are relevant to the investigation; </w:t>
      </w:r>
    </w:p>
    <w:p>
      <w:pPr>
        <w:pStyle w:val="Indenti"/>
      </w:pPr>
      <w:r>
        <w:tab/>
        <w:t>(iii)</w:t>
      </w:r>
      <w:r>
        <w:tab/>
        <w:t xml:space="preserve">to give the investigator any information in the person’s possession or control that is relevant to the investigation; </w:t>
      </w:r>
    </w:p>
    <w:p>
      <w:pPr>
        <w:pStyle w:val="Indenti"/>
      </w:pPr>
      <w:r>
        <w:tab/>
        <w:t>(iv)</w:t>
      </w:r>
      <w:r>
        <w:tab/>
        <w:t xml:space="preserve">to operate or allow the investigator to operate equipment or facilities on the premises for investigation purposes; </w:t>
      </w:r>
    </w:p>
    <w:p>
      <w:pPr>
        <w:pStyle w:val="Indenti"/>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pPr>
      <w:r>
        <w:tab/>
        <w:t>(vi)</w:t>
      </w:r>
      <w:r>
        <w:tab/>
        <w:t>to give other assistance that the investigator reasonably requires to carry out the investigation.</w:t>
      </w:r>
    </w:p>
    <w:p>
      <w:pPr>
        <w:pStyle w:val="Subsection"/>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pPr>
      <w:r>
        <w:tab/>
        <w:t>(a)</w:t>
      </w:r>
      <w:r>
        <w:tab/>
        <w:t>does not comply with a requirement under subsection (1)(f); or</w:t>
      </w:r>
    </w:p>
    <w:p>
      <w:pPr>
        <w:pStyle w:val="Indenta"/>
      </w:pPr>
      <w:r>
        <w:tab/>
        <w:t>(b)</w:t>
      </w:r>
      <w:r>
        <w:tab/>
        <w:t>gives an investigator information that the person knows to be false or misleading,</w:t>
      </w:r>
    </w:p>
    <w:p>
      <w:pPr>
        <w:pStyle w:val="Subsection"/>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No. 10 of 2013 s. 37.]</w:t>
      </w:r>
    </w:p>
    <w:p>
      <w:pPr>
        <w:pStyle w:val="Heading5"/>
        <w:spacing w:before="180"/>
      </w:pPr>
      <w:bookmarkStart w:id="273" w:name="_Toc2150517"/>
      <w:r>
        <w:rPr>
          <w:rStyle w:val="CharSectno"/>
        </w:rPr>
        <w:t>100</w:t>
      </w:r>
      <w:r>
        <w:t>.</w:t>
      </w:r>
      <w:r>
        <w:tab/>
        <w:t>Warrants to enter premises</w:t>
      </w:r>
      <w:bookmarkEnd w:id="273"/>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No. 84 of 2004 s. 80.] </w:t>
      </w:r>
    </w:p>
    <w:p>
      <w:pPr>
        <w:pStyle w:val="Heading5"/>
        <w:spacing w:before="180"/>
      </w:pPr>
      <w:bookmarkStart w:id="274" w:name="_Toc2150518"/>
      <w:r>
        <w:rPr>
          <w:rStyle w:val="CharSectno"/>
        </w:rPr>
        <w:t>101</w:t>
      </w:r>
      <w:r>
        <w:t>.</w:t>
      </w:r>
      <w:r>
        <w:tab/>
        <w:t>Use of force</w:t>
      </w:r>
      <w:bookmarkEnd w:id="274"/>
    </w:p>
    <w:p>
      <w:pPr>
        <w:pStyle w:val="Subsection"/>
        <w:spacing w:before="120"/>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spacing w:before="120"/>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275" w:name="_Toc440362638"/>
      <w:bookmarkStart w:id="276" w:name="_Toc450560074"/>
      <w:bookmarkStart w:id="277" w:name="_Toc455399604"/>
      <w:bookmarkStart w:id="278" w:name="_Toc528769189"/>
      <w:bookmarkStart w:id="279" w:name="_Toc532472950"/>
      <w:bookmarkStart w:id="280" w:name="_Toc532812174"/>
      <w:bookmarkStart w:id="281" w:name="_Toc2150519"/>
      <w:r>
        <w:rPr>
          <w:rStyle w:val="CharDivNo"/>
        </w:rPr>
        <w:t>Division 4</w:t>
      </w:r>
      <w:r>
        <w:t xml:space="preserve"> — </w:t>
      </w:r>
      <w:r>
        <w:rPr>
          <w:rStyle w:val="CharDivText"/>
        </w:rPr>
        <w:t>General provisions</w:t>
      </w:r>
      <w:bookmarkEnd w:id="275"/>
      <w:bookmarkEnd w:id="276"/>
      <w:bookmarkEnd w:id="277"/>
      <w:bookmarkEnd w:id="278"/>
      <w:bookmarkEnd w:id="279"/>
      <w:bookmarkEnd w:id="280"/>
      <w:bookmarkEnd w:id="281"/>
    </w:p>
    <w:p>
      <w:pPr>
        <w:pStyle w:val="Heading5"/>
      </w:pPr>
      <w:bookmarkStart w:id="282" w:name="_Toc2150520"/>
      <w:r>
        <w:rPr>
          <w:rStyle w:val="CharSectno"/>
        </w:rPr>
        <w:t>102</w:t>
      </w:r>
      <w:r>
        <w:t>.</w:t>
      </w:r>
      <w:r>
        <w:tab/>
        <w:t>Complying with requirements to provide information</w:t>
      </w:r>
      <w:bookmarkEnd w:id="282"/>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283" w:name="_Toc2150521"/>
      <w:r>
        <w:rPr>
          <w:rStyle w:val="CharSectno"/>
        </w:rPr>
        <w:t>103</w:t>
      </w:r>
      <w:r>
        <w:t>.</w:t>
      </w:r>
      <w:r>
        <w:tab/>
        <w:t>Legal professional privilege</w:t>
      </w:r>
      <w:bookmarkEnd w:id="283"/>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keepNext/>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284" w:name="_Toc2150522"/>
      <w:r>
        <w:rPr>
          <w:rStyle w:val="CharSectno"/>
        </w:rPr>
        <w:t>104</w:t>
      </w:r>
      <w:r>
        <w:t>.</w:t>
      </w:r>
      <w:r>
        <w:tab/>
        <w:t>Interaction with other Acts</w:t>
      </w:r>
      <w:bookmarkEnd w:id="284"/>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285" w:name="_Toc440362642"/>
      <w:bookmarkStart w:id="286" w:name="_Toc450560078"/>
      <w:bookmarkStart w:id="287" w:name="_Toc455399608"/>
      <w:bookmarkStart w:id="288" w:name="_Toc528769193"/>
      <w:bookmarkStart w:id="289" w:name="_Toc532472954"/>
      <w:bookmarkStart w:id="290" w:name="_Toc532812178"/>
      <w:bookmarkStart w:id="291" w:name="_Toc2150523"/>
      <w:r>
        <w:rPr>
          <w:rStyle w:val="CharPartNo"/>
        </w:rPr>
        <w:t>Part 9</w:t>
      </w:r>
      <w:r>
        <w:rPr>
          <w:rStyle w:val="CharDivNo"/>
        </w:rPr>
        <w:t xml:space="preserve"> </w:t>
      </w:r>
      <w:r>
        <w:t>—</w:t>
      </w:r>
      <w:r>
        <w:rPr>
          <w:rStyle w:val="CharDivText"/>
        </w:rPr>
        <w:t xml:space="preserve"> </w:t>
      </w:r>
      <w:r>
        <w:rPr>
          <w:rStyle w:val="CharPartText"/>
        </w:rPr>
        <w:t>Offences</w:t>
      </w:r>
      <w:bookmarkEnd w:id="285"/>
      <w:bookmarkEnd w:id="286"/>
      <w:bookmarkEnd w:id="287"/>
      <w:bookmarkEnd w:id="288"/>
      <w:bookmarkEnd w:id="289"/>
      <w:bookmarkEnd w:id="290"/>
      <w:bookmarkEnd w:id="291"/>
    </w:p>
    <w:p>
      <w:pPr>
        <w:pStyle w:val="Heading5"/>
        <w:spacing w:before="180"/>
      </w:pPr>
      <w:bookmarkStart w:id="292" w:name="_Toc2150524"/>
      <w:r>
        <w:rPr>
          <w:rStyle w:val="CharSectno"/>
        </w:rPr>
        <w:t>105</w:t>
      </w:r>
      <w:r>
        <w:t>.</w:t>
      </w:r>
      <w:r>
        <w:tab/>
        <w:t>General penalty provision</w:t>
      </w:r>
      <w:bookmarkEnd w:id="292"/>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293" w:name="_Toc2150525"/>
      <w:r>
        <w:rPr>
          <w:rStyle w:val="CharSectno"/>
        </w:rPr>
        <w:t>106</w:t>
      </w:r>
      <w:r>
        <w:t>.</w:t>
      </w:r>
      <w:r>
        <w:tab/>
        <w:t>Evasion of tax</w:t>
      </w:r>
      <w:bookmarkEnd w:id="293"/>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No. 84 of 2004 s. 82.] </w:t>
      </w:r>
    </w:p>
    <w:p>
      <w:pPr>
        <w:pStyle w:val="Heading5"/>
        <w:spacing w:before="180"/>
      </w:pPr>
      <w:bookmarkStart w:id="294" w:name="_Toc2150526"/>
      <w:r>
        <w:rPr>
          <w:rStyle w:val="CharSectno"/>
        </w:rPr>
        <w:t>107</w:t>
      </w:r>
      <w:r>
        <w:t>.</w:t>
      </w:r>
      <w:r>
        <w:tab/>
        <w:t>False or misleading information</w:t>
      </w:r>
      <w:bookmarkEnd w:id="294"/>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295" w:name="_Toc2150527"/>
      <w:r>
        <w:rPr>
          <w:rStyle w:val="CharSectno"/>
        </w:rPr>
        <w:t>108</w:t>
      </w:r>
      <w:r>
        <w:t>.</w:t>
      </w:r>
      <w:r>
        <w:tab/>
        <w:t>Obstructing or misleading investigator</w:t>
      </w:r>
      <w:bookmarkEnd w:id="295"/>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296" w:name="_Toc2150528"/>
      <w:r>
        <w:rPr>
          <w:rStyle w:val="CharSectno"/>
        </w:rPr>
        <w:t>109</w:t>
      </w:r>
      <w:r>
        <w:t>.</w:t>
      </w:r>
      <w:r>
        <w:tab/>
        <w:t>Offence by body corporate</w:t>
      </w:r>
      <w:bookmarkEnd w:id="296"/>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No. 84 of 2004 s. 82.] </w:t>
      </w:r>
    </w:p>
    <w:p>
      <w:pPr>
        <w:pStyle w:val="Heading5"/>
      </w:pPr>
      <w:bookmarkStart w:id="297" w:name="_Toc2150529"/>
      <w:r>
        <w:rPr>
          <w:rStyle w:val="CharSectno"/>
        </w:rPr>
        <w:t>110</w:t>
      </w:r>
      <w:r>
        <w:t>.</w:t>
      </w:r>
      <w:r>
        <w:tab/>
        <w:t>Criminal penalties not to affect civil liabilities</w:t>
      </w:r>
      <w:bookmarkEnd w:id="297"/>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298" w:name="_Toc2150530"/>
      <w:r>
        <w:rPr>
          <w:rStyle w:val="CharSectno"/>
        </w:rPr>
        <w:t>111</w:t>
      </w:r>
      <w:r>
        <w:t>.</w:t>
      </w:r>
      <w:r>
        <w:tab/>
        <w:t>Time for commencing prosecutions</w:t>
      </w:r>
      <w:bookmarkEnd w:id="298"/>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299" w:name="_Toc2150531"/>
      <w:r>
        <w:rPr>
          <w:rStyle w:val="CharSectno"/>
        </w:rPr>
        <w:t>112</w:t>
      </w:r>
      <w:r>
        <w:t>.</w:t>
      </w:r>
      <w:r>
        <w:tab/>
        <w:t>Authority required for prosecution</w:t>
      </w:r>
      <w:bookmarkEnd w:id="299"/>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No. 84 of 2004 s. 80.] </w:t>
      </w:r>
    </w:p>
    <w:p>
      <w:pPr>
        <w:pStyle w:val="Heading5"/>
      </w:pPr>
      <w:bookmarkStart w:id="300" w:name="_Toc2150532"/>
      <w:r>
        <w:rPr>
          <w:rStyle w:val="CharSectno"/>
        </w:rPr>
        <w:t>113</w:t>
      </w:r>
      <w:r>
        <w:t>.</w:t>
      </w:r>
      <w:r>
        <w:tab/>
        <w:t>General defence</w:t>
      </w:r>
      <w:bookmarkEnd w:id="300"/>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No. 84 of 2004 s. 82.] </w:t>
      </w:r>
    </w:p>
    <w:p>
      <w:pPr>
        <w:pStyle w:val="Heading2"/>
      </w:pPr>
      <w:bookmarkStart w:id="301" w:name="_Toc440362652"/>
      <w:bookmarkStart w:id="302" w:name="_Toc450560088"/>
      <w:bookmarkStart w:id="303" w:name="_Toc455399618"/>
      <w:bookmarkStart w:id="304" w:name="_Toc528769203"/>
      <w:bookmarkStart w:id="305" w:name="_Toc532472964"/>
      <w:bookmarkStart w:id="306" w:name="_Toc532812188"/>
      <w:bookmarkStart w:id="307" w:name="_Toc2150533"/>
      <w:r>
        <w:rPr>
          <w:rStyle w:val="CharPartNo"/>
        </w:rPr>
        <w:t>Part 10</w:t>
      </w:r>
      <w:r>
        <w:t xml:space="preserve"> — </w:t>
      </w:r>
      <w:r>
        <w:rPr>
          <w:rStyle w:val="CharPartText"/>
        </w:rPr>
        <w:t>Miscellaneous</w:t>
      </w:r>
      <w:bookmarkEnd w:id="301"/>
      <w:bookmarkEnd w:id="302"/>
      <w:bookmarkEnd w:id="303"/>
      <w:bookmarkEnd w:id="304"/>
      <w:bookmarkEnd w:id="305"/>
      <w:bookmarkEnd w:id="306"/>
      <w:bookmarkEnd w:id="307"/>
    </w:p>
    <w:p>
      <w:pPr>
        <w:pStyle w:val="Heading3"/>
      </w:pPr>
      <w:bookmarkStart w:id="308" w:name="_Toc440362653"/>
      <w:bookmarkStart w:id="309" w:name="_Toc450560089"/>
      <w:bookmarkStart w:id="310" w:name="_Toc455399619"/>
      <w:bookmarkStart w:id="311" w:name="_Toc528769204"/>
      <w:bookmarkStart w:id="312" w:name="_Toc532472965"/>
      <w:bookmarkStart w:id="313" w:name="_Toc532812189"/>
      <w:bookmarkStart w:id="314" w:name="_Toc2150534"/>
      <w:r>
        <w:rPr>
          <w:rStyle w:val="CharDivNo"/>
        </w:rPr>
        <w:t>Division 1</w:t>
      </w:r>
      <w:r>
        <w:t xml:space="preserve"> — </w:t>
      </w:r>
      <w:r>
        <w:rPr>
          <w:rStyle w:val="CharDivText"/>
        </w:rPr>
        <w:t>Confidentiality</w:t>
      </w:r>
      <w:bookmarkEnd w:id="308"/>
      <w:bookmarkEnd w:id="309"/>
      <w:bookmarkEnd w:id="310"/>
      <w:bookmarkEnd w:id="311"/>
      <w:bookmarkEnd w:id="312"/>
      <w:bookmarkEnd w:id="313"/>
      <w:bookmarkEnd w:id="314"/>
    </w:p>
    <w:p>
      <w:pPr>
        <w:pStyle w:val="Heading5"/>
      </w:pPr>
      <w:bookmarkStart w:id="315" w:name="_Toc2150535"/>
      <w:r>
        <w:rPr>
          <w:rStyle w:val="CharSectno"/>
        </w:rPr>
        <w:t>114</w:t>
      </w:r>
      <w:r>
        <w:t>.</w:t>
      </w:r>
      <w:r>
        <w:tab/>
        <w:t>Duty of confidentiality</w:t>
      </w:r>
      <w:bookmarkEnd w:id="315"/>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 or</w:t>
      </w:r>
    </w:p>
    <w:p>
      <w:pPr>
        <w:pStyle w:val="Indenti"/>
      </w:pPr>
      <w:r>
        <w:tab/>
        <w:t>(iii)</w:t>
      </w:r>
      <w:r>
        <w:tab/>
        <w:t xml:space="preserve">an officer of the department of the Public Service principally assisting in the administration of the </w:t>
      </w:r>
      <w:r>
        <w:rPr>
          <w:i/>
        </w:rPr>
        <w:t>Betting Control Act 1954</w:t>
      </w:r>
      <w:r>
        <w:t xml:space="preserve">, the </w:t>
      </w:r>
      <w:r>
        <w:rPr>
          <w:i/>
        </w:rPr>
        <w:t>Gaming and Wagering Commission Act 1987</w:t>
      </w:r>
      <w:r>
        <w:t xml:space="preserve"> or the </w:t>
      </w:r>
      <w:r>
        <w:rPr>
          <w:i/>
        </w:rPr>
        <w:t>Racing and Wagering Western Australia Act 2003</w:t>
      </w:r>
      <w:r>
        <w:t>;</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spacing w:before="120"/>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Subsection"/>
        <w:spacing w:before="120"/>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Subsection"/>
        <w:spacing w:before="120"/>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spacing w:before="120"/>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spacing w:before="120"/>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spacing w:before="120"/>
      </w:pPr>
      <w:r>
        <w:tab/>
        <w:t>(7)</w:t>
      </w:r>
      <w:r>
        <w:tab/>
        <w:t>This section does not create a right in any person to be given confidential information.</w:t>
      </w:r>
    </w:p>
    <w:p>
      <w:pPr>
        <w:pStyle w:val="Footnotesection"/>
      </w:pPr>
      <w:r>
        <w:tab/>
        <w:t>[Section 114 amended: No. 66 of 2003 s. 100; No. 31 of 2008 s. 27; No. 17 of 2010 s. 28; No. 29 of 2012 s. 44; No. 2 of 2014 s. 60; No. 37 of 2018 s. 47.]</w:t>
      </w:r>
    </w:p>
    <w:p>
      <w:pPr>
        <w:pStyle w:val="Footnotesection"/>
        <w:keepLines w:val="0"/>
        <w:ind w:left="890" w:hanging="890"/>
      </w:pPr>
      <w:r>
        <w:tab/>
        <w:t>[Section 114, modifications have effect under the Commonwealth Places (Mirror Taxes Administration) Act 1999, see note 1M.]</w:t>
      </w:r>
    </w:p>
    <w:p>
      <w:pPr>
        <w:pStyle w:val="Footnotesection"/>
      </w:pPr>
      <w:r>
        <w:tab/>
        <w:t>[Section 114, modifications have effect under the Commonwealth Places (Mirror Taxes) Act 1998 (Cth), see note 1MC.]</w:t>
      </w:r>
    </w:p>
    <w:p>
      <w:pPr>
        <w:pStyle w:val="Heading3"/>
      </w:pPr>
      <w:bookmarkStart w:id="316" w:name="_Toc440362655"/>
      <w:bookmarkStart w:id="317" w:name="_Toc450560091"/>
      <w:bookmarkStart w:id="318" w:name="_Toc455399621"/>
      <w:bookmarkStart w:id="319" w:name="_Toc528769206"/>
      <w:bookmarkStart w:id="320" w:name="_Toc532472967"/>
      <w:bookmarkStart w:id="321" w:name="_Toc532812191"/>
      <w:bookmarkStart w:id="322" w:name="_Toc2150536"/>
      <w:r>
        <w:rPr>
          <w:rStyle w:val="CharDivNo"/>
        </w:rPr>
        <w:t>Division 2</w:t>
      </w:r>
      <w:r>
        <w:t xml:space="preserve"> — </w:t>
      </w:r>
      <w:r>
        <w:rPr>
          <w:rStyle w:val="CharDivText"/>
        </w:rPr>
        <w:t>Service of documents</w:t>
      </w:r>
      <w:bookmarkEnd w:id="316"/>
      <w:bookmarkEnd w:id="317"/>
      <w:bookmarkEnd w:id="318"/>
      <w:bookmarkEnd w:id="319"/>
      <w:bookmarkEnd w:id="320"/>
      <w:bookmarkEnd w:id="321"/>
      <w:bookmarkEnd w:id="322"/>
    </w:p>
    <w:p>
      <w:pPr>
        <w:pStyle w:val="Heading5"/>
      </w:pPr>
      <w:bookmarkStart w:id="323" w:name="_Toc2150537"/>
      <w:r>
        <w:rPr>
          <w:rStyle w:val="CharSectno"/>
        </w:rPr>
        <w:t>115</w:t>
      </w:r>
      <w:r>
        <w:t>.</w:t>
      </w:r>
      <w:r>
        <w:tab/>
        <w:t>Service on Commissioner</w:t>
      </w:r>
      <w:bookmarkEnd w:id="323"/>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324" w:name="_Toc2150538"/>
      <w:r>
        <w:rPr>
          <w:rStyle w:val="CharSectno"/>
        </w:rPr>
        <w:t>116</w:t>
      </w:r>
      <w:r>
        <w:t>.</w:t>
      </w:r>
      <w:r>
        <w:tab/>
        <w:t>Service on agent or representative of taxpayer</w:t>
      </w:r>
      <w:bookmarkEnd w:id="324"/>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No. 17 of 2010 s. 30(5).]</w:t>
      </w:r>
    </w:p>
    <w:p>
      <w:pPr>
        <w:pStyle w:val="Heading5"/>
      </w:pPr>
      <w:bookmarkStart w:id="325" w:name="_Toc2150539"/>
      <w:r>
        <w:rPr>
          <w:rStyle w:val="CharSectno"/>
        </w:rPr>
        <w:t>117</w:t>
      </w:r>
      <w:r>
        <w:t>.</w:t>
      </w:r>
      <w:r>
        <w:tab/>
        <w:t>Method of service by Commissioner</w:t>
      </w:r>
      <w:bookmarkEnd w:id="325"/>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326" w:name="_Toc2150540"/>
      <w:r>
        <w:rPr>
          <w:rStyle w:val="CharSectno"/>
        </w:rPr>
        <w:t>118</w:t>
      </w:r>
      <w:r>
        <w:t>.</w:t>
      </w:r>
      <w:r>
        <w:tab/>
        <w:t>This Division in addition to other laws about service</w:t>
      </w:r>
      <w:bookmarkEnd w:id="326"/>
    </w:p>
    <w:p>
      <w:pPr>
        <w:pStyle w:val="Subsection"/>
      </w:pPr>
      <w:r>
        <w:tab/>
      </w:r>
      <w:r>
        <w:tab/>
        <w:t>The provisions of this Division are in addition to, and do not derogate from, other provisions of an enactment for facilitating service.</w:t>
      </w:r>
    </w:p>
    <w:p>
      <w:pPr>
        <w:pStyle w:val="Heading3"/>
      </w:pPr>
      <w:bookmarkStart w:id="327" w:name="_Toc440362660"/>
      <w:bookmarkStart w:id="328" w:name="_Toc450560096"/>
      <w:bookmarkStart w:id="329" w:name="_Toc455399626"/>
      <w:bookmarkStart w:id="330" w:name="_Toc528769211"/>
      <w:bookmarkStart w:id="331" w:name="_Toc532472972"/>
      <w:bookmarkStart w:id="332" w:name="_Toc532812196"/>
      <w:bookmarkStart w:id="333" w:name="_Toc2150541"/>
      <w:r>
        <w:rPr>
          <w:rStyle w:val="CharDivNo"/>
        </w:rPr>
        <w:t>Division 3</w:t>
      </w:r>
      <w:r>
        <w:t xml:space="preserve"> — </w:t>
      </w:r>
      <w:r>
        <w:rPr>
          <w:rStyle w:val="CharDivText"/>
        </w:rPr>
        <w:t>Evidentiary provisions</w:t>
      </w:r>
      <w:bookmarkEnd w:id="327"/>
      <w:bookmarkEnd w:id="328"/>
      <w:bookmarkEnd w:id="329"/>
      <w:bookmarkEnd w:id="330"/>
      <w:bookmarkEnd w:id="331"/>
      <w:bookmarkEnd w:id="332"/>
      <w:bookmarkEnd w:id="333"/>
    </w:p>
    <w:p>
      <w:pPr>
        <w:pStyle w:val="Heading5"/>
        <w:spacing w:before="240"/>
      </w:pPr>
      <w:bookmarkStart w:id="334" w:name="_Toc2150542"/>
      <w:r>
        <w:rPr>
          <w:rStyle w:val="CharSectno"/>
        </w:rPr>
        <w:t>119</w:t>
      </w:r>
      <w:r>
        <w:t>.</w:t>
      </w:r>
      <w:r>
        <w:tab/>
        <w:t>Evidentiary value of assessment notice</w:t>
      </w:r>
      <w:bookmarkEnd w:id="334"/>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335" w:name="_Toc2150543"/>
      <w:r>
        <w:rPr>
          <w:rStyle w:val="CharSectno"/>
        </w:rPr>
        <w:t>120</w:t>
      </w:r>
      <w:r>
        <w:t>.</w:t>
      </w:r>
      <w:r>
        <w:tab/>
        <w:t>Evidentiary value of copies and reproductions of documents</w:t>
      </w:r>
      <w:bookmarkEnd w:id="335"/>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336" w:name="_Toc2150544"/>
      <w:r>
        <w:rPr>
          <w:rStyle w:val="CharSectno"/>
        </w:rPr>
        <w:t>121</w:t>
      </w:r>
      <w:r>
        <w:t>.</w:t>
      </w:r>
      <w:r>
        <w:tab/>
        <w:t>Evidentiary certificates</w:t>
      </w:r>
      <w:bookmarkEnd w:id="336"/>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337" w:name="_Toc2150545"/>
      <w:r>
        <w:rPr>
          <w:rStyle w:val="CharSectno"/>
        </w:rPr>
        <w:t>122</w:t>
      </w:r>
      <w:r>
        <w:t>.</w:t>
      </w:r>
      <w:r>
        <w:tab/>
        <w:t>Extracts from register of delegates</w:t>
      </w:r>
      <w:bookmarkEnd w:id="337"/>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338" w:name="_Toc2150546"/>
      <w:r>
        <w:rPr>
          <w:rStyle w:val="CharSectno"/>
        </w:rPr>
        <w:t>123</w:t>
      </w:r>
      <w:r>
        <w:t>.</w:t>
      </w:r>
      <w:r>
        <w:tab/>
        <w:t>Averments in charges</w:t>
      </w:r>
      <w:bookmarkEnd w:id="338"/>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No. 84 of 2004 s. 80 and 82.] </w:t>
      </w:r>
    </w:p>
    <w:p>
      <w:pPr>
        <w:pStyle w:val="Heading5"/>
      </w:pPr>
      <w:bookmarkStart w:id="339" w:name="_Toc2150547"/>
      <w:r>
        <w:rPr>
          <w:rStyle w:val="CharSectno"/>
        </w:rPr>
        <w:t>124</w:t>
      </w:r>
      <w:r>
        <w:t>.</w:t>
      </w:r>
      <w:r>
        <w:tab/>
        <w:t>Presumption of regularity</w:t>
      </w:r>
      <w:bookmarkEnd w:id="339"/>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340" w:name="_Toc440362667"/>
      <w:bookmarkStart w:id="341" w:name="_Toc450560103"/>
      <w:bookmarkStart w:id="342" w:name="_Toc455399633"/>
      <w:bookmarkStart w:id="343" w:name="_Toc528769218"/>
      <w:bookmarkStart w:id="344" w:name="_Toc532472979"/>
      <w:bookmarkStart w:id="345" w:name="_Toc532812203"/>
      <w:bookmarkStart w:id="346" w:name="_Toc2150548"/>
      <w:r>
        <w:rPr>
          <w:rStyle w:val="CharDivNo"/>
        </w:rPr>
        <w:t>Division 4</w:t>
      </w:r>
      <w:r>
        <w:t xml:space="preserve"> — </w:t>
      </w:r>
      <w:r>
        <w:rPr>
          <w:rStyle w:val="CharDivText"/>
        </w:rPr>
        <w:t>Exemption from personal liability</w:t>
      </w:r>
      <w:bookmarkEnd w:id="340"/>
      <w:bookmarkEnd w:id="341"/>
      <w:bookmarkEnd w:id="342"/>
      <w:bookmarkEnd w:id="343"/>
      <w:bookmarkEnd w:id="344"/>
      <w:bookmarkEnd w:id="345"/>
      <w:bookmarkEnd w:id="346"/>
    </w:p>
    <w:p>
      <w:pPr>
        <w:pStyle w:val="Heading5"/>
      </w:pPr>
      <w:bookmarkStart w:id="347" w:name="_Toc2150549"/>
      <w:r>
        <w:rPr>
          <w:rStyle w:val="CharSectno"/>
        </w:rPr>
        <w:t>125</w:t>
      </w:r>
      <w:r>
        <w:t>.</w:t>
      </w:r>
      <w:r>
        <w:tab/>
        <w:t>Exemption from personal liability</w:t>
      </w:r>
      <w:bookmarkEnd w:id="347"/>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Footnotesection"/>
        <w:ind w:left="890" w:hanging="890"/>
      </w:pPr>
      <w:r>
        <w:tab/>
        <w:t>[Section 3, modifications have effect under the Commonwealth Places (Mirror Taxes) Act 1998 (Cth), see note 1MC.]</w:t>
      </w:r>
    </w:p>
    <w:p>
      <w:pPr>
        <w:pStyle w:val="Heading3"/>
      </w:pPr>
      <w:bookmarkStart w:id="348" w:name="_Toc440362669"/>
      <w:bookmarkStart w:id="349" w:name="_Toc450560105"/>
      <w:bookmarkStart w:id="350" w:name="_Toc455399635"/>
      <w:bookmarkStart w:id="351" w:name="_Toc528769220"/>
      <w:bookmarkStart w:id="352" w:name="_Toc532472981"/>
      <w:bookmarkStart w:id="353" w:name="_Toc532812205"/>
      <w:bookmarkStart w:id="354" w:name="_Toc2150550"/>
      <w:r>
        <w:rPr>
          <w:rStyle w:val="CharDivNo"/>
        </w:rPr>
        <w:t>Division 5</w:t>
      </w:r>
      <w:r>
        <w:t xml:space="preserve"> — </w:t>
      </w:r>
      <w:r>
        <w:rPr>
          <w:rStyle w:val="CharDivText"/>
        </w:rPr>
        <w:t>Regulations, practices and forms</w:t>
      </w:r>
      <w:bookmarkEnd w:id="348"/>
      <w:bookmarkEnd w:id="349"/>
      <w:bookmarkEnd w:id="350"/>
      <w:bookmarkEnd w:id="351"/>
      <w:bookmarkEnd w:id="352"/>
      <w:bookmarkEnd w:id="353"/>
      <w:bookmarkEnd w:id="354"/>
    </w:p>
    <w:p>
      <w:pPr>
        <w:pStyle w:val="Footnoteheading"/>
      </w:pPr>
      <w:r>
        <w:tab/>
        <w:t>[Heading amended: No. 12 of 2008 s. 49.]</w:t>
      </w:r>
    </w:p>
    <w:p>
      <w:pPr>
        <w:pStyle w:val="Heading5"/>
        <w:spacing w:before="240"/>
      </w:pPr>
      <w:bookmarkStart w:id="355" w:name="_Toc2150551"/>
      <w:r>
        <w:rPr>
          <w:rStyle w:val="CharSectno"/>
        </w:rPr>
        <w:t>126</w:t>
      </w:r>
      <w:r>
        <w:t>.</w:t>
      </w:r>
      <w:r>
        <w:tab/>
        <w:t>Regulations</w:t>
      </w:r>
      <w:bookmarkEnd w:id="35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356" w:name="_Toc2150552"/>
      <w:r>
        <w:rPr>
          <w:rStyle w:val="CharSectno"/>
        </w:rPr>
        <w:t>127</w:t>
      </w:r>
      <w:r>
        <w:t>.</w:t>
      </w:r>
      <w:r>
        <w:tab/>
        <w:t>Practices</w:t>
      </w:r>
      <w:bookmarkEnd w:id="356"/>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keepNext w:val="0"/>
        <w:keepLines w:val="0"/>
      </w:pPr>
      <w:bookmarkStart w:id="357" w:name="_Toc2150553"/>
      <w:r>
        <w:rPr>
          <w:rStyle w:val="CharSectno"/>
        </w:rPr>
        <w:t>128</w:t>
      </w:r>
      <w:r>
        <w:t>.</w:t>
      </w:r>
      <w:r>
        <w:tab/>
        <w:t>Forms</w:t>
      </w:r>
      <w:bookmarkEnd w:id="357"/>
    </w:p>
    <w:p>
      <w:pPr>
        <w:pStyle w:val="Subsection"/>
      </w:pPr>
      <w:r>
        <w:tab/>
      </w:r>
      <w:r>
        <w:tab/>
        <w:t>A form approved for use under a taxation Act may require information provided in the form to be verified by statutory declaration.</w:t>
      </w:r>
    </w:p>
    <w:p>
      <w:pPr>
        <w:pStyle w:val="Footnotesection"/>
        <w:ind w:left="890" w:hanging="890"/>
      </w:pPr>
      <w:r>
        <w:tab/>
        <w:t>[Section 128 inserted: No. 12 of 2008 s. 50.]</w:t>
      </w:r>
    </w:p>
    <w:p>
      <w:pPr>
        <w:pStyle w:val="Heading3"/>
        <w:pageBreakBefore/>
        <w:spacing w:before="0"/>
      </w:pPr>
      <w:bookmarkStart w:id="358" w:name="_Toc440362673"/>
      <w:bookmarkStart w:id="359" w:name="_Toc450560109"/>
      <w:bookmarkStart w:id="360" w:name="_Toc455399639"/>
      <w:bookmarkStart w:id="361" w:name="_Toc528769224"/>
      <w:bookmarkStart w:id="362" w:name="_Toc532472985"/>
      <w:bookmarkStart w:id="363" w:name="_Toc532812209"/>
      <w:bookmarkStart w:id="364" w:name="_Toc2150554"/>
      <w:r>
        <w:rPr>
          <w:rStyle w:val="CharDivNo"/>
        </w:rPr>
        <w:t>Division 6</w:t>
      </w:r>
      <w:r>
        <w:t> — </w:t>
      </w:r>
      <w:r>
        <w:rPr>
          <w:rStyle w:val="CharDivText"/>
        </w:rPr>
        <w:t>Early operation of certain amendments to taxation Acts</w:t>
      </w:r>
      <w:bookmarkEnd w:id="358"/>
      <w:bookmarkEnd w:id="359"/>
      <w:bookmarkEnd w:id="360"/>
      <w:bookmarkEnd w:id="361"/>
      <w:bookmarkEnd w:id="362"/>
      <w:bookmarkEnd w:id="363"/>
      <w:bookmarkEnd w:id="364"/>
    </w:p>
    <w:p>
      <w:pPr>
        <w:pStyle w:val="Footnoteheading"/>
        <w:spacing w:before="100"/>
      </w:pPr>
      <w:r>
        <w:tab/>
        <w:t>[Heading inserted: No. 31 of 2008 s. 28.]</w:t>
      </w:r>
    </w:p>
    <w:p>
      <w:pPr>
        <w:pStyle w:val="Heading5"/>
        <w:spacing w:before="180"/>
      </w:pPr>
      <w:bookmarkStart w:id="365" w:name="_Toc2150555"/>
      <w:r>
        <w:rPr>
          <w:rStyle w:val="CharSectno"/>
        </w:rPr>
        <w:t>129</w:t>
      </w:r>
      <w:r>
        <w:t>.</w:t>
      </w:r>
      <w:r>
        <w:tab/>
        <w:t>Terms used</w:t>
      </w:r>
      <w:bookmarkEnd w:id="365"/>
    </w:p>
    <w:p>
      <w:pPr>
        <w:pStyle w:val="Subsection"/>
        <w:spacing w:before="120"/>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spacing w:before="120"/>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No. 31 of 2008 s. 28.]</w:t>
      </w:r>
    </w:p>
    <w:p>
      <w:pPr>
        <w:pStyle w:val="Heading5"/>
        <w:spacing w:before="180"/>
      </w:pPr>
      <w:bookmarkStart w:id="366" w:name="_Toc2150556"/>
      <w:r>
        <w:rPr>
          <w:rStyle w:val="CharSectno"/>
        </w:rPr>
        <w:t>130</w:t>
      </w:r>
      <w:r>
        <w:t>.</w:t>
      </w:r>
      <w:r>
        <w:tab/>
        <w:t>Determination of pre</w:t>
      </w:r>
      <w:r>
        <w:noBreakHyphen/>
        <w:t>enactment provisions</w:t>
      </w:r>
      <w:bookmarkEnd w:id="366"/>
    </w:p>
    <w:p>
      <w:pPr>
        <w:pStyle w:val="Subsection"/>
        <w:spacing w:before="120"/>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spacing w:before="120"/>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No. 31 of 2008 s. 28.]</w:t>
      </w:r>
    </w:p>
    <w:p>
      <w:pPr>
        <w:pStyle w:val="Heading5"/>
      </w:pPr>
      <w:bookmarkStart w:id="367" w:name="_Toc2150557"/>
      <w:r>
        <w:rPr>
          <w:rStyle w:val="CharSectno"/>
        </w:rPr>
        <w:t>131</w:t>
      </w:r>
      <w:r>
        <w:t>.</w:t>
      </w:r>
      <w:r>
        <w:tab/>
        <w:t>Duration of determination notice</w:t>
      </w:r>
      <w:bookmarkEnd w:id="367"/>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No. 31 of 2008 s. 28.]</w:t>
      </w:r>
    </w:p>
    <w:p>
      <w:pPr>
        <w:pStyle w:val="Heading5"/>
      </w:pPr>
      <w:bookmarkStart w:id="368" w:name="_Toc2150558"/>
      <w:r>
        <w:rPr>
          <w:rStyle w:val="CharSectno"/>
        </w:rPr>
        <w:t>132</w:t>
      </w:r>
      <w:r>
        <w:t>.</w:t>
      </w:r>
      <w:r>
        <w:tab/>
        <w:t>Amendment and replacement of determination notice</w:t>
      </w:r>
      <w:bookmarkEnd w:id="368"/>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No. 31 of 2008 s. 28.]</w:t>
      </w:r>
    </w:p>
    <w:p>
      <w:pPr>
        <w:pStyle w:val="Heading5"/>
      </w:pPr>
      <w:bookmarkStart w:id="369" w:name="_Toc2150559"/>
      <w:r>
        <w:rPr>
          <w:rStyle w:val="CharSectno"/>
        </w:rPr>
        <w:t>133</w:t>
      </w:r>
      <w:r>
        <w:t>.</w:t>
      </w:r>
      <w:r>
        <w:tab/>
        <w:t>Effect of pre</w:t>
      </w:r>
      <w:r>
        <w:noBreakHyphen/>
        <w:t>enactment provisions</w:t>
      </w:r>
      <w:bookmarkEnd w:id="369"/>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No. 31 of 2008 s. 28.]</w:t>
      </w:r>
    </w:p>
    <w:p>
      <w:pPr>
        <w:pStyle w:val="Heading5"/>
      </w:pPr>
      <w:bookmarkStart w:id="370" w:name="_Toc2150560"/>
      <w:r>
        <w:rPr>
          <w:rStyle w:val="CharSectno"/>
        </w:rPr>
        <w:t>134</w:t>
      </w:r>
      <w:r>
        <w:t>.</w:t>
      </w:r>
      <w:r>
        <w:tab/>
        <w:t>Review of Division</w:t>
      </w:r>
      <w:bookmarkEnd w:id="370"/>
    </w:p>
    <w:p>
      <w:pPr>
        <w:pStyle w:val="Subsection"/>
      </w:pPr>
      <w:r>
        <w:tab/>
        <w:t>(1)</w:t>
      </w:r>
      <w:r>
        <w:tab/>
        <w:t>The Minister is to carry out a review of the operation and effectiveness of this Division as soon as is practicable after —</w:t>
      </w:r>
    </w:p>
    <w:p>
      <w:pPr>
        <w:pStyle w:val="Indenta"/>
      </w:pPr>
      <w:r>
        <w:tab/>
        <w:t>(a)</w:t>
      </w:r>
      <w:r>
        <w:tab/>
        <w:t>the 5</w:t>
      </w:r>
      <w:r>
        <w:rPr>
          <w:vertAlign w:val="superscript"/>
        </w:rPr>
        <w:t>th</w:t>
      </w:r>
      <w:r>
        <w:t xml:space="preserve"> anniversary of the commencement of the </w:t>
      </w:r>
      <w:r>
        <w:rPr>
          <w:i/>
        </w:rPr>
        <w:t>Revenue Laws Amendment Act (No. 2) 2008</w:t>
      </w:r>
      <w:r>
        <w:t xml:space="preserve"> section 28</w:t>
      </w:r>
      <w:r>
        <w:rPr>
          <w:vertAlign w:val="superscript"/>
        </w:rPr>
        <w:t> 1</w:t>
      </w:r>
      <w:r>
        <w: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No. 31 of 2008 s. 28.]</w:t>
      </w:r>
    </w:p>
    <w:p>
      <w:pPr>
        <w:pStyle w:val="Heading3"/>
        <w:keepNext w:val="0"/>
        <w:pageBreakBefore/>
        <w:spacing w:before="0"/>
      </w:pPr>
      <w:bookmarkStart w:id="371" w:name="_Toc440362680"/>
      <w:bookmarkStart w:id="372" w:name="_Toc450560116"/>
      <w:bookmarkStart w:id="373" w:name="_Toc455399646"/>
      <w:bookmarkStart w:id="374" w:name="_Toc528769231"/>
      <w:bookmarkStart w:id="375" w:name="_Toc532472992"/>
      <w:bookmarkStart w:id="376" w:name="_Toc532812216"/>
      <w:bookmarkStart w:id="377" w:name="_Toc2150561"/>
      <w:r>
        <w:rPr>
          <w:rStyle w:val="CharDivNo"/>
        </w:rPr>
        <w:t>Division 7</w:t>
      </w:r>
      <w:r>
        <w:t> — </w:t>
      </w:r>
      <w:r>
        <w:rPr>
          <w:rStyle w:val="CharDivText"/>
        </w:rPr>
        <w:t>Review of operation and effectiveness of interim assessments</w:t>
      </w:r>
      <w:bookmarkEnd w:id="371"/>
      <w:bookmarkEnd w:id="372"/>
      <w:bookmarkEnd w:id="373"/>
      <w:bookmarkEnd w:id="374"/>
      <w:bookmarkEnd w:id="375"/>
      <w:bookmarkEnd w:id="376"/>
      <w:bookmarkEnd w:id="377"/>
    </w:p>
    <w:p>
      <w:pPr>
        <w:pStyle w:val="Footnoteheading"/>
      </w:pPr>
      <w:r>
        <w:tab/>
        <w:t>[Heading inserted: No. 10 of 2013 s. 26.]</w:t>
      </w:r>
    </w:p>
    <w:p>
      <w:pPr>
        <w:pStyle w:val="Heading5"/>
      </w:pPr>
      <w:bookmarkStart w:id="378" w:name="_Toc2150562"/>
      <w:r>
        <w:rPr>
          <w:rStyle w:val="CharSectno"/>
        </w:rPr>
        <w:t>135</w:t>
      </w:r>
      <w:r>
        <w:t>.</w:t>
      </w:r>
      <w:r>
        <w:tab/>
        <w:t>Review of operation and effectiveness</w:t>
      </w:r>
      <w:bookmarkEnd w:id="378"/>
    </w:p>
    <w:p>
      <w:pPr>
        <w:pStyle w:val="Subsection"/>
        <w:rPr>
          <w:snapToGrid w:val="0"/>
        </w:rPr>
      </w:pPr>
      <w:r>
        <w:tab/>
        <w:t>(1)</w:t>
      </w:r>
      <w:r>
        <w:tab/>
        <w:t xml:space="preserve">The Minister must carry out a review of the operation and effectiveness of the provisions of this Act and the </w:t>
      </w:r>
      <w:r>
        <w:rPr>
          <w:i/>
        </w:rPr>
        <w:t>Duties Act 2008</w:t>
      </w:r>
      <w:r>
        <w:t xml:space="preserve"> relating to interim assessments as soon as practicable after the 3</w:t>
      </w:r>
      <w:r>
        <w:rPr>
          <w:vertAlign w:val="superscript"/>
        </w:rPr>
        <w:t>rd</w:t>
      </w:r>
      <w:r>
        <w:t xml:space="preserve"> anniversary of the commencement of the </w:t>
      </w:r>
      <w:r>
        <w:rPr>
          <w:i/>
          <w:snapToGrid w:val="0"/>
        </w:rPr>
        <w:t>Revenue Laws Amendment Act 2013</w:t>
      </w:r>
      <w:r>
        <w:rPr>
          <w:snapToGrid w:val="0"/>
        </w:rPr>
        <w:t xml:space="preserve"> Part 2</w:t>
      </w:r>
      <w:r>
        <w:rPr>
          <w:vertAlign w:val="superscript"/>
        </w:rPr>
        <w:t> 1</w:t>
      </w:r>
      <w:r>
        <w:rPr>
          <w:snapToGrid w:val="0"/>
        </w:rPr>
        <w:t>.</w:t>
      </w:r>
    </w:p>
    <w:p>
      <w:pPr>
        <w:pStyle w:val="Subsection"/>
      </w:pPr>
      <w:r>
        <w:tab/>
        <w:t>(2)</w:t>
      </w:r>
      <w:r>
        <w:tab/>
        <w:t>The Minister must prepare a report based on the review and, as soon as is practicable after the report is prepared, and in any event not more than 12 months after the anniversary referred to in subsection (1), cause it to be laid before each House of Parliament.</w:t>
      </w:r>
    </w:p>
    <w:p>
      <w:pPr>
        <w:pStyle w:val="Footnotesection"/>
      </w:pPr>
      <w:r>
        <w:tab/>
        <w:t>[Section 135 inserted: No. 10 of 2013 s. 26.]</w:t>
      </w:r>
    </w:p>
    <w:p>
      <w:pPr>
        <w:pStyle w:val="Heading2"/>
      </w:pPr>
      <w:bookmarkStart w:id="379" w:name="_Toc440362682"/>
      <w:bookmarkStart w:id="380" w:name="_Toc450560118"/>
      <w:bookmarkStart w:id="381" w:name="_Toc455399648"/>
      <w:bookmarkStart w:id="382" w:name="_Toc528769233"/>
      <w:bookmarkStart w:id="383" w:name="_Toc532472994"/>
      <w:bookmarkStart w:id="384" w:name="_Toc532812218"/>
      <w:bookmarkStart w:id="385" w:name="_Toc2150563"/>
      <w:r>
        <w:rPr>
          <w:rStyle w:val="CharPartNo"/>
        </w:rPr>
        <w:t>Part 11</w:t>
      </w:r>
      <w:r>
        <w:rPr>
          <w:rStyle w:val="CharDivNo"/>
        </w:rPr>
        <w:t> </w:t>
      </w:r>
      <w:r>
        <w:t>—</w:t>
      </w:r>
      <w:r>
        <w:rPr>
          <w:rStyle w:val="CharDivText"/>
        </w:rPr>
        <w:t> </w:t>
      </w:r>
      <w:r>
        <w:rPr>
          <w:rStyle w:val="CharPartText"/>
        </w:rPr>
        <w:t>Transitional matters</w:t>
      </w:r>
      <w:bookmarkEnd w:id="379"/>
      <w:bookmarkEnd w:id="380"/>
      <w:bookmarkEnd w:id="381"/>
      <w:bookmarkEnd w:id="382"/>
      <w:bookmarkEnd w:id="383"/>
      <w:bookmarkEnd w:id="384"/>
      <w:bookmarkEnd w:id="385"/>
    </w:p>
    <w:p>
      <w:pPr>
        <w:pStyle w:val="Footnoteheading"/>
      </w:pPr>
      <w:r>
        <w:tab/>
        <w:t>[Heading inserted: No. 10 of 2013 s. 38.]</w:t>
      </w:r>
    </w:p>
    <w:p>
      <w:pPr>
        <w:pStyle w:val="Heading5"/>
      </w:pPr>
      <w:bookmarkStart w:id="386" w:name="_Toc2150564"/>
      <w:r>
        <w:rPr>
          <w:rStyle w:val="CharSectno"/>
        </w:rPr>
        <w:t>136</w:t>
      </w:r>
      <w:r>
        <w:t>.</w:t>
      </w:r>
      <w:r>
        <w:tab/>
        <w:t xml:space="preserve">Provisions for </w:t>
      </w:r>
      <w:r>
        <w:rPr>
          <w:i/>
          <w:snapToGrid w:val="0"/>
        </w:rPr>
        <w:t>Revenue Laws Amendment Act 2013</w:t>
      </w:r>
      <w:r>
        <w:t xml:space="preserve"> Part 3</w:t>
      </w:r>
      <w:bookmarkEnd w:id="38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r>
        <w:rPr>
          <w:vertAlign w:val="superscript"/>
        </w:rPr>
        <w:t> 1</w:t>
      </w:r>
      <w:r>
        <w:t>.</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No. 10 of 2013 s. 38.]</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387" w:name="_Toc440362684"/>
      <w:bookmarkStart w:id="388" w:name="_Toc450560120"/>
      <w:bookmarkStart w:id="389" w:name="_Toc455399650"/>
      <w:bookmarkStart w:id="390" w:name="_Toc528769235"/>
      <w:bookmarkStart w:id="391" w:name="_Toc532472996"/>
      <w:bookmarkStart w:id="392" w:name="_Toc532812220"/>
      <w:bookmarkStart w:id="393" w:name="_Toc2150565"/>
      <w:r>
        <w:rPr>
          <w:rStyle w:val="CharSchNo"/>
        </w:rPr>
        <w:t>Glossary</w:t>
      </w:r>
      <w:bookmarkEnd w:id="387"/>
      <w:bookmarkEnd w:id="388"/>
      <w:bookmarkEnd w:id="389"/>
      <w:bookmarkEnd w:id="390"/>
      <w:bookmarkEnd w:id="391"/>
      <w:bookmarkEnd w:id="392"/>
      <w:bookmarkEnd w:id="393"/>
    </w:p>
    <w:p>
      <w:pPr>
        <w:pStyle w:val="yShoulderClause"/>
      </w:pPr>
      <w:r>
        <w:t>[s. 4]</w:t>
      </w:r>
    </w:p>
    <w:p>
      <w:pPr>
        <w:pStyle w:val="yHeading5"/>
      </w:pPr>
      <w:bookmarkStart w:id="394" w:name="_Toc2150566"/>
      <w:r>
        <w:rPr>
          <w:rStyle w:val="CharSClsNo"/>
        </w:rPr>
        <w:t>1</w:t>
      </w:r>
      <w:r>
        <w:t>.</w:t>
      </w:r>
      <w:r>
        <w:tab/>
        <w:t>Terms used</w:t>
      </w:r>
      <w:bookmarkEnd w:id="394"/>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beneficial body determination</w:t>
      </w:r>
      <w:r>
        <w:t xml:space="preserve"> means a determination that a relevant body is a beneficial body for the purposes of the taxation Acts made under any of the following — </w:t>
      </w:r>
    </w:p>
    <w:p>
      <w:pPr>
        <w:pStyle w:val="yDefpara"/>
      </w:pPr>
      <w:r>
        <w:tab/>
        <w:t>(a)</w:t>
      </w:r>
      <w:r>
        <w:tab/>
        <w:t xml:space="preserve">the </w:t>
      </w:r>
      <w:r>
        <w:rPr>
          <w:i/>
        </w:rPr>
        <w:t>Duties Act 2008</w:t>
      </w:r>
      <w:r>
        <w:t xml:space="preserve"> section 96C;</w:t>
      </w:r>
    </w:p>
    <w:p>
      <w:pPr>
        <w:pStyle w:val="yDefpara"/>
      </w:pPr>
      <w:r>
        <w:tab/>
        <w:t>(b)</w:t>
      </w:r>
      <w:r>
        <w:tab/>
        <w:t xml:space="preserve">the </w:t>
      </w:r>
      <w:r>
        <w:rPr>
          <w:i/>
        </w:rPr>
        <w:t>Land Tax Assessment Act 2002</w:t>
      </w:r>
      <w:r>
        <w:t xml:space="preserve"> section 38AC;</w:t>
      </w:r>
    </w:p>
    <w:p>
      <w:pPr>
        <w:pStyle w:val="yDefpara"/>
      </w:pPr>
      <w:r>
        <w:tab/>
        <w:t>(c)</w:t>
      </w:r>
      <w:r>
        <w:tab/>
        <w:t xml:space="preserve">the </w:t>
      </w:r>
      <w:r>
        <w:rPr>
          <w:i/>
        </w:rPr>
        <w:t>Pay</w:t>
      </w:r>
      <w:r>
        <w:rPr>
          <w:i/>
        </w:rPr>
        <w:noBreakHyphen/>
        <w:t>roll Tax Assessment Act 2002</w:t>
      </w:r>
      <w:r>
        <w:t xml:space="preserve"> section 42C;</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objection</w:t>
      </w:r>
      <w:r>
        <w:t xml:space="preserve"> means an objection under Part 4;</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No. 66 of 2003 s. 95(5) and 108(3); No. 12 of 2004 s. 12; No. 55 of 2004 s. 1183; No. 60 of 2006 s. 184; No. 12 of 2008 s. 51; No. 31 of 2008 s. 31; No. 19 of 2010 s. 51; No. 10 of 2013 s. 27 and 39; No. 8 of 2015 s. 21.]</w:t>
      </w:r>
    </w:p>
    <w:p>
      <w:pPr>
        <w:pStyle w:val="Footnotesection"/>
      </w:pPr>
      <w:r>
        <w:tab/>
        <w:t>[Glossary, modifications have effect under the Commonwealth Places (Mirror Taxes Administration) Act 1999, see note 1M.]</w:t>
      </w:r>
    </w:p>
    <w:p>
      <w:pPr>
        <w:pStyle w:val="Footnotesection"/>
      </w:pPr>
      <w:r>
        <w:tab/>
        <w:t>[Glossary, modifications have effect under the Commonwealth Places (Mirror Taxes) Act 1998 (Cth), see note 1MC.]</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96" w:name="_Toc440362686"/>
      <w:bookmarkStart w:id="397" w:name="_Toc450560122"/>
      <w:bookmarkStart w:id="398" w:name="_Toc455399652"/>
      <w:bookmarkStart w:id="399" w:name="_Toc528769237"/>
      <w:bookmarkStart w:id="400" w:name="_Toc532472998"/>
      <w:bookmarkStart w:id="401" w:name="_Toc532812222"/>
      <w:bookmarkStart w:id="402" w:name="_Toc2150567"/>
      <w:r>
        <w:t>Notes</w:t>
      </w:r>
      <w:bookmarkEnd w:id="396"/>
      <w:bookmarkEnd w:id="397"/>
      <w:bookmarkEnd w:id="398"/>
      <w:bookmarkEnd w:id="399"/>
      <w:bookmarkEnd w:id="400"/>
      <w:bookmarkEnd w:id="401"/>
      <w:bookmarkEnd w:id="402"/>
    </w:p>
    <w:p>
      <w:pPr>
        <w:pStyle w:val="nSubsection"/>
        <w:spacing w:before="40"/>
      </w:pPr>
      <w:r>
        <w:rPr>
          <w:vertAlign w:val="superscript"/>
        </w:rPr>
        <w:t>1</w:t>
      </w:r>
      <w:r>
        <w:tab/>
        <w:t xml:space="preserve">This is a compilation of the </w:t>
      </w:r>
      <w:r>
        <w:rPr>
          <w:i/>
          <w:noProof/>
        </w:rPr>
        <w:t>Taxation Administration Act 2003</w:t>
      </w:r>
      <w:r>
        <w:t xml:space="preserve"> and includes the amendments made by the other written laws referred to in the following table</w:t>
      </w:r>
      <w:r>
        <w:rPr>
          <w:vertAlign w:val="superscript"/>
        </w:rPr>
        <w:t> 1a, </w:t>
      </w:r>
      <w:r>
        <w:rPr>
          <w:snapToGrid w:val="0"/>
          <w:vertAlign w:val="superscript"/>
        </w:rPr>
        <w:t>1M, 1MC</w:t>
      </w:r>
      <w:r>
        <w:t>.  The table also contains information about any reprint.</w:t>
      </w:r>
    </w:p>
    <w:p>
      <w:pPr>
        <w:pStyle w:val="nHeading3"/>
      </w:pPr>
      <w:bookmarkStart w:id="403" w:name="_Toc2150568"/>
      <w:r>
        <w:t>Compilation table</w:t>
      </w:r>
      <w:bookmarkEnd w:id="403"/>
    </w:p>
    <w:tbl>
      <w:tblPr>
        <w:tblW w:w="0" w:type="auto"/>
        <w:tblInd w:w="28" w:type="dxa"/>
        <w:tblLayout w:type="fixed"/>
        <w:tblCellMar>
          <w:left w:w="56" w:type="dxa"/>
          <w:right w:w="56" w:type="dxa"/>
        </w:tblCellMar>
        <w:tblLook w:val="0000" w:firstRow="0" w:lastRow="0" w:firstColumn="0" w:lastColumn="0" w:noHBand="0" w:noVBand="0"/>
      </w:tblPr>
      <w:tblGrid>
        <w:gridCol w:w="28"/>
        <w:gridCol w:w="2245"/>
        <w:gridCol w:w="93"/>
        <w:gridCol w:w="1046"/>
        <w:gridCol w:w="18"/>
        <w:gridCol w:w="1118"/>
        <w:gridCol w:w="16"/>
        <w:gridCol w:w="2535"/>
        <w:gridCol w:w="12"/>
      </w:tblGrid>
      <w:tr>
        <w:trPr>
          <w:tblHeader/>
        </w:trPr>
        <w:tc>
          <w:tcPr>
            <w:tcW w:w="2273" w:type="dxa"/>
            <w:gridSpan w:val="2"/>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9" w:type="dxa"/>
            <w:gridSpan w:val="2"/>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62" w:type="dxa"/>
            <w:gridSpan w:val="3"/>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rPr>
          <w:gridAfter w:val="1"/>
          <w:wAfter w:w="12" w:type="dxa"/>
        </w:trPr>
        <w:tc>
          <w:tcPr>
            <w:tcW w:w="2273" w:type="dxa"/>
            <w:gridSpan w:val="2"/>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Taxation Administration Act 2003</w:t>
            </w:r>
            <w:r>
              <w:rPr>
                <w:rFonts w:ascii="Times New Roman" w:hAnsi="Times New Roman"/>
                <w:snapToGrid w:val="0"/>
                <w:szCs w:val="19"/>
                <w:vertAlign w:val="superscript"/>
              </w:rPr>
              <w:t> 4</w:t>
            </w:r>
          </w:p>
        </w:tc>
        <w:tc>
          <w:tcPr>
            <w:tcW w:w="1139" w:type="dxa"/>
            <w:gridSpan w:val="2"/>
            <w:tcBorders>
              <w:top w:val="single" w:sz="8" w:space="0" w:color="auto"/>
            </w:tcBorders>
          </w:tcPr>
          <w:p>
            <w:pPr>
              <w:pStyle w:val="nTable"/>
              <w:spacing w:after="40"/>
              <w:rPr>
                <w:rFonts w:ascii="Times New Roman" w:hAnsi="Times New Roman"/>
                <w:szCs w:val="19"/>
              </w:rPr>
            </w:pPr>
            <w:r>
              <w:rPr>
                <w:rFonts w:ascii="Times New Roman" w:hAnsi="Times New Roman"/>
                <w:szCs w:val="19"/>
              </w:rPr>
              <w:t xml:space="preserve">1 of 2003 </w:t>
            </w:r>
          </w:p>
        </w:tc>
        <w:tc>
          <w:tcPr>
            <w:tcW w:w="1136" w:type="dxa"/>
            <w:gridSpan w:val="2"/>
            <w:tcBorders>
              <w:top w:val="single" w:sz="8" w:space="0" w:color="auto"/>
            </w:tcBorders>
          </w:tcPr>
          <w:p>
            <w:pPr>
              <w:pStyle w:val="nTable"/>
              <w:spacing w:after="40"/>
              <w:rPr>
                <w:rFonts w:ascii="Times New Roman" w:hAnsi="Times New Roman"/>
                <w:szCs w:val="19"/>
              </w:rPr>
            </w:pPr>
            <w:r>
              <w:rPr>
                <w:rFonts w:ascii="Times New Roman" w:hAnsi="Times New Roman"/>
                <w:szCs w:val="19"/>
              </w:rPr>
              <w:t>20 Mar 2003</w:t>
            </w:r>
          </w:p>
        </w:tc>
        <w:tc>
          <w:tcPr>
            <w:tcW w:w="2551" w:type="dxa"/>
            <w:gridSpan w:val="2"/>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20 Mar 2003;</w:t>
            </w:r>
            <w:r>
              <w:rPr>
                <w:rFonts w:ascii="Times New Roman" w:hAnsi="Times New Roman"/>
                <w:szCs w:val="19"/>
              </w:rPr>
              <w:br/>
              <w:t xml:space="preserve">Act other than s. 1, 2, 34(2)(c), (4) and (5), 41(2) and (4), 47(8), 48, 56(3), 57(3), 59 and 127 and the definition of </w:t>
            </w:r>
            <w:r>
              <w:rPr>
                <w:rFonts w:ascii="Times New Roman" w:hAnsi="Times New Roman"/>
                <w:b/>
                <w:bCs/>
                <w:i/>
                <w:iCs/>
                <w:szCs w:val="19"/>
              </w:rPr>
              <w:t>non</w:t>
            </w:r>
            <w:r>
              <w:rPr>
                <w:rFonts w:ascii="Times New Roman" w:hAnsi="Times New Roman"/>
                <w:b/>
                <w:bCs/>
                <w:i/>
                <w:iCs/>
                <w:szCs w:val="19"/>
              </w:rPr>
              <w:noBreakHyphen/>
              <w:t>reviewable decision</w:t>
            </w:r>
            <w:r>
              <w:rPr>
                <w:rFonts w:ascii="Times New Roman" w:hAnsi="Times New Roman"/>
                <w:szCs w:val="19"/>
              </w:rPr>
              <w:t xml:space="preserve"> in the Glossary: 1 Jul 2003 (see s. 2 and </w:t>
            </w:r>
            <w:r>
              <w:rPr>
                <w:rFonts w:ascii="Times New Roman" w:hAnsi="Times New Roman"/>
                <w:i/>
                <w:szCs w:val="19"/>
              </w:rPr>
              <w:t>Gazette</w:t>
            </w:r>
            <w:r>
              <w:rPr>
                <w:rFonts w:ascii="Times New Roman" w:hAnsi="Times New Roman"/>
                <w:szCs w:val="19"/>
              </w:rPr>
              <w:t xml:space="preserve"> 27 Jun 2003 p. 2383);</w:t>
            </w:r>
            <w:r>
              <w:rPr>
                <w:rFonts w:ascii="Times New Roman" w:hAnsi="Times New Roman"/>
                <w:szCs w:val="19"/>
              </w:rPr>
              <w:br/>
            </w:r>
            <w:r>
              <w:rPr>
                <w:rFonts w:ascii="Times New Roman" w:hAnsi="Times New Roman"/>
                <w:spacing w:val="-2"/>
                <w:szCs w:val="19"/>
              </w:rPr>
              <w:t xml:space="preserve">s. 127: 2 Jan 2004 (see s. 2 and </w:t>
            </w:r>
            <w:r>
              <w:rPr>
                <w:rFonts w:ascii="Times New Roman" w:hAnsi="Times New Roman"/>
                <w:i/>
                <w:spacing w:val="-2"/>
                <w:szCs w:val="19"/>
              </w:rPr>
              <w:t>Gazette</w:t>
            </w:r>
            <w:r>
              <w:rPr>
                <w:rFonts w:ascii="Times New Roman" w:hAnsi="Times New Roman"/>
                <w:spacing w:val="-2"/>
                <w:szCs w:val="19"/>
              </w:rPr>
              <w:t xml:space="preserve"> 19 Dec 2003 p. 5137);</w:t>
            </w:r>
            <w:r>
              <w:rPr>
                <w:rFonts w:ascii="Times New Roman" w:hAnsi="Times New Roman"/>
                <w:spacing w:val="-2"/>
                <w:szCs w:val="19"/>
              </w:rPr>
              <w:br/>
            </w:r>
            <w:r>
              <w:rPr>
                <w:rFonts w:ascii="Times New Roman" w:hAnsi="Times New Roman"/>
                <w:szCs w:val="19"/>
              </w:rPr>
              <w:t xml:space="preserve">s. 34(2)(c) and (4), 47(8), 48, 56(3), 57(3) and 59: 2 Mar 2009 (see s. 2 and </w:t>
            </w:r>
            <w:r>
              <w:rPr>
                <w:rFonts w:ascii="Times New Roman" w:hAnsi="Times New Roman"/>
                <w:i/>
                <w:iCs/>
                <w:szCs w:val="19"/>
              </w:rPr>
              <w:t xml:space="preserve">Gazette </w:t>
            </w:r>
            <w:r>
              <w:rPr>
                <w:rFonts w:ascii="Times New Roman" w:hAnsi="Times New Roman"/>
                <w:szCs w:val="19"/>
              </w:rPr>
              <w:t>24 Feb 2009 p. 385)</w:t>
            </w:r>
          </w:p>
        </w:tc>
      </w:tr>
      <w:tr>
        <w:trPr>
          <w:gridAfter w:val="1"/>
          <w:wAfter w:w="12" w:type="dxa"/>
        </w:trPr>
        <w:tc>
          <w:tcPr>
            <w:tcW w:w="2273" w:type="dxa"/>
            <w:gridSpan w:val="2"/>
          </w:tcPr>
          <w:p>
            <w:pPr>
              <w:pStyle w:val="nTable"/>
              <w:spacing w:after="40"/>
              <w:rPr>
                <w:rFonts w:ascii="Times New Roman" w:hAnsi="Times New Roman"/>
                <w:snapToGrid w:val="0"/>
                <w:szCs w:val="19"/>
              </w:rPr>
            </w:pPr>
            <w:r>
              <w:rPr>
                <w:rFonts w:ascii="Times New Roman" w:hAnsi="Times New Roman"/>
                <w:i/>
                <w:snapToGrid w:val="0"/>
                <w:szCs w:val="19"/>
              </w:rPr>
              <w:t>Business Tax Review (Assessment) Act (No. 2) 2003</w:t>
            </w:r>
            <w:r>
              <w:rPr>
                <w:rFonts w:ascii="Times New Roman" w:hAnsi="Times New Roman"/>
                <w:snapToGrid w:val="0"/>
                <w:szCs w:val="19"/>
              </w:rPr>
              <w:t xml:space="preserve"> s. 95, 100 and 108</w:t>
            </w:r>
            <w:r>
              <w:rPr>
                <w:rFonts w:ascii="Times New Roman" w:hAnsi="Times New Roman"/>
                <w:snapToGrid w:val="0"/>
                <w:szCs w:val="19"/>
                <w:vertAlign w:val="superscript"/>
              </w:rPr>
              <w:t> 5</w:t>
            </w:r>
          </w:p>
        </w:tc>
        <w:tc>
          <w:tcPr>
            <w:tcW w:w="1139" w:type="dxa"/>
            <w:gridSpan w:val="2"/>
          </w:tcPr>
          <w:p>
            <w:pPr>
              <w:pStyle w:val="nTable"/>
              <w:spacing w:after="40"/>
              <w:rPr>
                <w:rFonts w:ascii="Times New Roman" w:hAnsi="Times New Roman"/>
                <w:szCs w:val="19"/>
              </w:rPr>
            </w:pPr>
            <w:r>
              <w:rPr>
                <w:rFonts w:ascii="Times New Roman" w:hAnsi="Times New Roman"/>
                <w:szCs w:val="19"/>
              </w:rPr>
              <w:t>66 of 2003</w:t>
            </w:r>
          </w:p>
        </w:tc>
        <w:tc>
          <w:tcPr>
            <w:tcW w:w="1136" w:type="dxa"/>
            <w:gridSpan w:val="2"/>
          </w:tcPr>
          <w:p>
            <w:pPr>
              <w:pStyle w:val="nTable"/>
              <w:spacing w:after="40"/>
              <w:rPr>
                <w:rFonts w:ascii="Times New Roman" w:hAnsi="Times New Roman"/>
                <w:szCs w:val="19"/>
              </w:rPr>
            </w:pPr>
            <w:r>
              <w:rPr>
                <w:rFonts w:ascii="Times New Roman" w:hAnsi="Times New Roman"/>
                <w:szCs w:val="19"/>
              </w:rPr>
              <w:t>5 Dec 2003</w:t>
            </w:r>
          </w:p>
        </w:tc>
        <w:tc>
          <w:tcPr>
            <w:tcW w:w="2551" w:type="dxa"/>
            <w:gridSpan w:val="2"/>
          </w:tcPr>
          <w:p>
            <w:pPr>
              <w:pStyle w:val="nTable"/>
              <w:spacing w:after="40"/>
              <w:rPr>
                <w:rFonts w:ascii="Times New Roman" w:hAnsi="Times New Roman"/>
                <w:b/>
                <w:szCs w:val="19"/>
              </w:rPr>
            </w:pPr>
            <w:r>
              <w:rPr>
                <w:rFonts w:ascii="Times New Roman" w:hAnsi="Times New Roman"/>
                <w:szCs w:val="19"/>
              </w:rPr>
              <w:t xml:space="preserve">s. 108: 1 Jul 2003 (see s. 2(5) and </w:t>
            </w:r>
            <w:r>
              <w:rPr>
                <w:rFonts w:ascii="Times New Roman" w:hAnsi="Times New Roman"/>
                <w:i/>
                <w:szCs w:val="19"/>
              </w:rPr>
              <w:t>Gazette</w:t>
            </w:r>
            <w:r>
              <w:rPr>
                <w:rFonts w:ascii="Times New Roman" w:hAnsi="Times New Roman"/>
                <w:szCs w:val="19"/>
              </w:rPr>
              <w:t xml:space="preserve"> 27 Jun 2003 p. 2383);</w:t>
            </w:r>
            <w:r>
              <w:rPr>
                <w:rFonts w:ascii="Times New Roman" w:hAnsi="Times New Roman"/>
                <w:szCs w:val="19"/>
              </w:rPr>
              <w:br/>
              <w:t>s. 95(1)</w:t>
            </w:r>
            <w:r>
              <w:rPr>
                <w:rFonts w:ascii="Times New Roman" w:hAnsi="Times New Roman"/>
                <w:szCs w:val="19"/>
              </w:rPr>
              <w:noBreakHyphen/>
              <w:t xml:space="preserve">(4) and (5)(a): 1 Jan 2004 (see s. 2(1) and (2) and </w:t>
            </w:r>
            <w:r>
              <w:rPr>
                <w:rFonts w:ascii="Times New Roman" w:hAnsi="Times New Roman"/>
                <w:i/>
                <w:szCs w:val="19"/>
              </w:rPr>
              <w:t>Gazette</w:t>
            </w:r>
            <w:r>
              <w:rPr>
                <w:rFonts w:ascii="Times New Roman" w:hAnsi="Times New Roman"/>
                <w:szCs w:val="19"/>
              </w:rPr>
              <w:t xml:space="preserve"> 30 Dec 2003 p. 5721);</w:t>
            </w:r>
            <w:r>
              <w:rPr>
                <w:rFonts w:ascii="Times New Roman" w:hAnsi="Times New Roman"/>
                <w:szCs w:val="19"/>
              </w:rPr>
              <w:br/>
              <w:t>s. 100: 1 Jul 2004 (see s. 2(3));</w:t>
            </w:r>
            <w:r>
              <w:rPr>
                <w:rFonts w:ascii="Times New Roman" w:hAnsi="Times New Roman"/>
                <w:szCs w:val="19"/>
              </w:rPr>
              <w:br/>
              <w:t xml:space="preserve">s. 95(5)(b): </w:t>
            </w:r>
            <w:r>
              <w:rPr>
                <w:rFonts w:ascii="Times New Roman" w:hAnsi="Times New Roman"/>
                <w:spacing w:val="-2"/>
                <w:szCs w:val="19"/>
              </w:rPr>
              <w:t xml:space="preserve">1 Jul 2004 (see s. 2(1) and (2) and </w:t>
            </w:r>
            <w:r>
              <w:rPr>
                <w:rFonts w:ascii="Times New Roman" w:hAnsi="Times New Roman"/>
                <w:i/>
                <w:spacing w:val="-2"/>
                <w:szCs w:val="19"/>
              </w:rPr>
              <w:t>Gazette</w:t>
            </w:r>
            <w:r>
              <w:rPr>
                <w:rFonts w:ascii="Times New Roman" w:hAnsi="Times New Roman"/>
                <w:spacing w:val="-2"/>
                <w:szCs w:val="19"/>
              </w:rPr>
              <w:t xml:space="preserve"> 21 May 2004 p. 1711)</w:t>
            </w:r>
          </w:p>
        </w:tc>
      </w:tr>
      <w:tr>
        <w:trPr>
          <w:gridAfter w:val="1"/>
          <w:wAfter w:w="12" w:type="dxa"/>
        </w:trPr>
        <w:tc>
          <w:tcPr>
            <w:tcW w:w="2273" w:type="dxa"/>
            <w:gridSpan w:val="2"/>
          </w:tcPr>
          <w:p>
            <w:pPr>
              <w:pStyle w:val="nTable"/>
              <w:spacing w:after="40"/>
              <w:rPr>
                <w:rFonts w:ascii="Times New Roman" w:hAnsi="Times New Roman"/>
                <w:i/>
                <w:snapToGrid w:val="0"/>
                <w:szCs w:val="19"/>
              </w:rPr>
            </w:pPr>
            <w:r>
              <w:rPr>
                <w:rFonts w:ascii="Times New Roman" w:hAnsi="Times New Roman"/>
                <w:i/>
                <w:noProof/>
                <w:snapToGrid w:val="0"/>
                <w:szCs w:val="19"/>
              </w:rPr>
              <w:t xml:space="preserve">Revenue Laws Amendment and Repeal Act 2004 </w:t>
            </w:r>
            <w:r>
              <w:rPr>
                <w:rFonts w:ascii="Times New Roman" w:hAnsi="Times New Roman"/>
                <w:noProof/>
                <w:snapToGrid w:val="0"/>
                <w:szCs w:val="19"/>
              </w:rPr>
              <w:t>Pt. 4</w:t>
            </w:r>
          </w:p>
        </w:tc>
        <w:tc>
          <w:tcPr>
            <w:tcW w:w="1139" w:type="dxa"/>
            <w:gridSpan w:val="2"/>
          </w:tcPr>
          <w:p>
            <w:pPr>
              <w:pStyle w:val="nTable"/>
              <w:spacing w:after="40"/>
              <w:rPr>
                <w:rFonts w:ascii="Times New Roman" w:hAnsi="Times New Roman"/>
                <w:szCs w:val="19"/>
              </w:rPr>
            </w:pPr>
            <w:r>
              <w:rPr>
                <w:rFonts w:ascii="Times New Roman" w:hAnsi="Times New Roman"/>
                <w:szCs w:val="19"/>
              </w:rPr>
              <w:t>12 of 2004</w:t>
            </w:r>
          </w:p>
        </w:tc>
        <w:tc>
          <w:tcPr>
            <w:tcW w:w="1136" w:type="dxa"/>
            <w:gridSpan w:val="2"/>
          </w:tcPr>
          <w:p>
            <w:pPr>
              <w:pStyle w:val="nTable"/>
              <w:spacing w:after="40"/>
              <w:rPr>
                <w:rFonts w:ascii="Times New Roman" w:hAnsi="Times New Roman"/>
                <w:szCs w:val="19"/>
              </w:rPr>
            </w:pPr>
            <w:r>
              <w:rPr>
                <w:rFonts w:ascii="Times New Roman" w:hAnsi="Times New Roman"/>
                <w:szCs w:val="19"/>
              </w:rPr>
              <w:t>29 Jun 2004</w:t>
            </w:r>
          </w:p>
        </w:tc>
        <w:tc>
          <w:tcPr>
            <w:tcW w:w="2551" w:type="dxa"/>
            <w:gridSpan w:val="2"/>
          </w:tcPr>
          <w:p>
            <w:pPr>
              <w:pStyle w:val="nTable"/>
              <w:spacing w:after="40"/>
              <w:rPr>
                <w:rFonts w:ascii="Times New Roman" w:hAnsi="Times New Roman"/>
                <w:szCs w:val="19"/>
              </w:rPr>
            </w:pPr>
            <w:r>
              <w:rPr>
                <w:rFonts w:ascii="Times New Roman" w:hAnsi="Times New Roman"/>
                <w:szCs w:val="19"/>
              </w:rPr>
              <w:t>29 Jun 2004 (see s. 2(1))</w:t>
            </w:r>
          </w:p>
        </w:tc>
      </w:tr>
      <w:tr>
        <w:trPr>
          <w:gridAfter w:val="1"/>
          <w:wAfter w:w="12" w:type="dxa"/>
        </w:trPr>
        <w:tc>
          <w:tcPr>
            <w:tcW w:w="2273" w:type="dxa"/>
            <w:gridSpan w:val="2"/>
          </w:tcPr>
          <w:p>
            <w:pPr>
              <w:pStyle w:val="nTable"/>
              <w:spacing w:after="40"/>
              <w:rPr>
                <w:rFonts w:ascii="Times New Roman" w:hAnsi="Times New Roman"/>
                <w:i/>
                <w:szCs w:val="19"/>
              </w:rPr>
            </w:pPr>
            <w:r>
              <w:rPr>
                <w:rFonts w:ascii="Times New Roman" w:hAnsi="Times New Roman"/>
                <w:i/>
                <w:szCs w:val="19"/>
              </w:rPr>
              <w:t>State Administrative Tribunal (Conferral of Jurisdiction) Amendment and Repeal Act 2004</w:t>
            </w:r>
            <w:r>
              <w:rPr>
                <w:rFonts w:ascii="Times New Roman" w:hAnsi="Times New Roman"/>
                <w:szCs w:val="19"/>
              </w:rPr>
              <w:t xml:space="preserve"> Pt. 2 Div. 124</w:t>
            </w:r>
            <w:r>
              <w:rPr>
                <w:rFonts w:ascii="Times New Roman" w:hAnsi="Times New Roman"/>
                <w:szCs w:val="19"/>
                <w:vertAlign w:val="superscript"/>
              </w:rPr>
              <w:t> 6</w:t>
            </w:r>
          </w:p>
        </w:tc>
        <w:tc>
          <w:tcPr>
            <w:tcW w:w="1139" w:type="dxa"/>
            <w:gridSpan w:val="2"/>
          </w:tcPr>
          <w:p>
            <w:pPr>
              <w:pStyle w:val="nTable"/>
              <w:spacing w:after="40"/>
              <w:rPr>
                <w:rFonts w:ascii="Times New Roman" w:hAnsi="Times New Roman"/>
                <w:szCs w:val="19"/>
              </w:rPr>
            </w:pPr>
            <w:r>
              <w:rPr>
                <w:rFonts w:ascii="Times New Roman" w:hAnsi="Times New Roman"/>
                <w:szCs w:val="19"/>
              </w:rPr>
              <w:t>55 of 2004</w:t>
            </w:r>
          </w:p>
        </w:tc>
        <w:tc>
          <w:tcPr>
            <w:tcW w:w="1136" w:type="dxa"/>
            <w:gridSpan w:val="2"/>
          </w:tcPr>
          <w:p>
            <w:pPr>
              <w:pStyle w:val="nTable"/>
              <w:spacing w:after="40"/>
              <w:rPr>
                <w:rFonts w:ascii="Times New Roman" w:hAnsi="Times New Roman"/>
                <w:szCs w:val="19"/>
              </w:rPr>
            </w:pPr>
            <w:r>
              <w:rPr>
                <w:rFonts w:ascii="Times New Roman" w:hAnsi="Times New Roman"/>
                <w:szCs w:val="19"/>
              </w:rPr>
              <w:t>24 Nov 2004</w:t>
            </w:r>
          </w:p>
        </w:tc>
        <w:tc>
          <w:tcPr>
            <w:tcW w:w="2551" w:type="dxa"/>
            <w:gridSpan w:val="2"/>
          </w:tcPr>
          <w:p>
            <w:pPr>
              <w:pStyle w:val="nTable"/>
              <w:spacing w:after="40"/>
              <w:rPr>
                <w:rFonts w:ascii="Times New Roman" w:hAnsi="Times New Roman"/>
                <w:szCs w:val="19"/>
              </w:rPr>
            </w:pPr>
            <w:r>
              <w:rPr>
                <w:rFonts w:ascii="Times New Roman" w:hAnsi="Times New Roman"/>
                <w:szCs w:val="19"/>
              </w:rPr>
              <w:t xml:space="preserve">1 Jan 2005 (see s. 2 and </w:t>
            </w:r>
            <w:r>
              <w:rPr>
                <w:rFonts w:ascii="Times New Roman" w:hAnsi="Times New Roman"/>
                <w:i/>
                <w:szCs w:val="19"/>
              </w:rPr>
              <w:t>Gazette</w:t>
            </w:r>
            <w:r>
              <w:rPr>
                <w:rFonts w:ascii="Times New Roman" w:hAnsi="Times New Roman"/>
                <w:szCs w:val="19"/>
              </w:rPr>
              <w:t xml:space="preserve"> 31 Dec 2004 p. 7130)</w:t>
            </w:r>
          </w:p>
        </w:tc>
      </w:tr>
      <w:tr>
        <w:trPr>
          <w:gridAfter w:val="1"/>
          <w:wAfter w:w="12" w:type="dxa"/>
          <w:cantSplit/>
        </w:trPr>
        <w:tc>
          <w:tcPr>
            <w:tcW w:w="2273" w:type="dxa"/>
            <w:gridSpan w:val="2"/>
          </w:tcPr>
          <w:p>
            <w:pPr>
              <w:pStyle w:val="nTable"/>
              <w:spacing w:after="40"/>
              <w:rPr>
                <w:rFonts w:ascii="Times New Roman" w:hAnsi="Times New Roman"/>
                <w:i/>
                <w:szCs w:val="19"/>
              </w:rPr>
            </w:pPr>
            <w:r>
              <w:rPr>
                <w:rFonts w:ascii="Times New Roman" w:hAnsi="Times New Roman"/>
                <w:i/>
                <w:szCs w:val="19"/>
              </w:rPr>
              <w:t xml:space="preserve">Revenue Laws Amendment (Tax Relief) Act 2004 </w:t>
            </w:r>
            <w:r>
              <w:rPr>
                <w:rFonts w:ascii="Times New Roman" w:hAnsi="Times New Roman"/>
                <w:szCs w:val="19"/>
              </w:rPr>
              <w:t>Pt. 3</w:t>
            </w:r>
            <w:r>
              <w:rPr>
                <w:rFonts w:ascii="Times New Roman" w:hAnsi="Times New Roman"/>
                <w:szCs w:val="19"/>
                <w:vertAlign w:val="superscript"/>
              </w:rPr>
              <w:t> 7</w:t>
            </w:r>
          </w:p>
        </w:tc>
        <w:tc>
          <w:tcPr>
            <w:tcW w:w="1139" w:type="dxa"/>
            <w:gridSpan w:val="2"/>
          </w:tcPr>
          <w:p>
            <w:pPr>
              <w:pStyle w:val="nTable"/>
              <w:spacing w:after="40"/>
              <w:rPr>
                <w:rFonts w:ascii="Times New Roman" w:hAnsi="Times New Roman"/>
                <w:szCs w:val="19"/>
              </w:rPr>
            </w:pPr>
            <w:r>
              <w:rPr>
                <w:rFonts w:ascii="Times New Roman" w:hAnsi="Times New Roman"/>
                <w:szCs w:val="19"/>
              </w:rPr>
              <w:t>82 of 2004</w:t>
            </w:r>
          </w:p>
        </w:tc>
        <w:tc>
          <w:tcPr>
            <w:tcW w:w="1136" w:type="dxa"/>
            <w:gridSpan w:val="2"/>
          </w:tcPr>
          <w:p>
            <w:pPr>
              <w:pStyle w:val="nTable"/>
              <w:spacing w:after="40"/>
              <w:rPr>
                <w:rFonts w:ascii="Times New Roman" w:hAnsi="Times New Roman"/>
                <w:szCs w:val="19"/>
              </w:rPr>
            </w:pPr>
            <w:r>
              <w:rPr>
                <w:rFonts w:ascii="Times New Roman" w:hAnsi="Times New Roman"/>
                <w:szCs w:val="19"/>
              </w:rPr>
              <w:t>8 Dec 2004</w:t>
            </w:r>
          </w:p>
        </w:tc>
        <w:tc>
          <w:tcPr>
            <w:tcW w:w="2551" w:type="dxa"/>
            <w:gridSpan w:val="2"/>
          </w:tcPr>
          <w:p>
            <w:pPr>
              <w:pStyle w:val="nTable"/>
              <w:spacing w:after="40"/>
              <w:rPr>
                <w:rFonts w:ascii="Times New Roman" w:hAnsi="Times New Roman"/>
                <w:szCs w:val="19"/>
              </w:rPr>
            </w:pPr>
            <w:r>
              <w:rPr>
                <w:rFonts w:ascii="Times New Roman" w:hAnsi="Times New Roman"/>
                <w:szCs w:val="19"/>
              </w:rPr>
              <w:t>8 Dec 2004 (see s. 2(1))</w:t>
            </w:r>
          </w:p>
        </w:tc>
      </w:tr>
      <w:tr>
        <w:trPr>
          <w:gridAfter w:val="1"/>
          <w:wAfter w:w="12" w:type="dxa"/>
          <w:cantSplit/>
        </w:trPr>
        <w:tc>
          <w:tcPr>
            <w:tcW w:w="2273" w:type="dxa"/>
            <w:gridSpan w:val="2"/>
          </w:tcPr>
          <w:p>
            <w:pPr>
              <w:pStyle w:val="nTable"/>
              <w:spacing w:after="40"/>
              <w:rPr>
                <w:rFonts w:ascii="Times New Roman" w:hAnsi="Times New Roman"/>
                <w:i/>
                <w:szCs w:val="19"/>
              </w:rPr>
            </w:pPr>
            <w:r>
              <w:rPr>
                <w:rFonts w:ascii="Times New Roman" w:hAnsi="Times New Roman"/>
                <w:i/>
                <w:snapToGrid w:val="0"/>
                <w:szCs w:val="19"/>
              </w:rPr>
              <w:t>Criminal Procedure and Appeals (Consequential and Other Provisions) Act 2004</w:t>
            </w:r>
            <w:r>
              <w:rPr>
                <w:rFonts w:ascii="Times New Roman" w:hAnsi="Times New Roman"/>
                <w:snapToGrid w:val="0"/>
                <w:szCs w:val="19"/>
              </w:rPr>
              <w:t xml:space="preserve"> s. 80 and 82</w:t>
            </w:r>
          </w:p>
        </w:tc>
        <w:tc>
          <w:tcPr>
            <w:tcW w:w="1139" w:type="dxa"/>
            <w:gridSpan w:val="2"/>
          </w:tcPr>
          <w:p>
            <w:pPr>
              <w:pStyle w:val="nTable"/>
              <w:spacing w:after="40"/>
              <w:rPr>
                <w:rFonts w:ascii="Times New Roman" w:hAnsi="Times New Roman"/>
                <w:szCs w:val="19"/>
              </w:rPr>
            </w:pPr>
            <w:r>
              <w:rPr>
                <w:rFonts w:ascii="Times New Roman" w:hAnsi="Times New Roman"/>
                <w:snapToGrid w:val="0"/>
                <w:szCs w:val="19"/>
              </w:rPr>
              <w:t>84 of 2004</w:t>
            </w:r>
          </w:p>
        </w:tc>
        <w:tc>
          <w:tcPr>
            <w:tcW w:w="1136" w:type="dxa"/>
            <w:gridSpan w:val="2"/>
          </w:tcPr>
          <w:p>
            <w:pPr>
              <w:pStyle w:val="nTable"/>
              <w:spacing w:after="40"/>
              <w:rPr>
                <w:rFonts w:ascii="Times New Roman" w:hAnsi="Times New Roman"/>
                <w:szCs w:val="19"/>
              </w:rPr>
            </w:pPr>
            <w:r>
              <w:rPr>
                <w:rFonts w:ascii="Times New Roman" w:hAnsi="Times New Roman"/>
                <w:szCs w:val="19"/>
              </w:rPr>
              <w:t>16 Dec 2004</w:t>
            </w:r>
          </w:p>
        </w:tc>
        <w:tc>
          <w:tcPr>
            <w:tcW w:w="2551" w:type="dxa"/>
            <w:gridSpan w:val="2"/>
          </w:tcPr>
          <w:p>
            <w:pPr>
              <w:pStyle w:val="nTable"/>
              <w:spacing w:after="40"/>
              <w:rPr>
                <w:rFonts w:ascii="Times New Roman" w:hAnsi="Times New Roman"/>
                <w:szCs w:val="19"/>
              </w:rPr>
            </w:pPr>
            <w:r>
              <w:rPr>
                <w:rFonts w:ascii="Times New Roman" w:hAnsi="Times New Roman"/>
                <w:snapToGrid w:val="0"/>
                <w:szCs w:val="19"/>
              </w:rPr>
              <w:t xml:space="preserve">2 May 2005 (see s. 2 and </w:t>
            </w:r>
            <w:r>
              <w:rPr>
                <w:rFonts w:ascii="Times New Roman" w:hAnsi="Times New Roman"/>
                <w:i/>
                <w:snapToGrid w:val="0"/>
                <w:szCs w:val="19"/>
              </w:rPr>
              <w:t>Gazette</w:t>
            </w:r>
            <w:r>
              <w:rPr>
                <w:rFonts w:ascii="Times New Roman" w:hAnsi="Times New Roman"/>
                <w:snapToGrid w:val="0"/>
                <w:szCs w:val="19"/>
              </w:rPr>
              <w:t xml:space="preserve"> 31 Dec 2004 p. 7129 (correction by </w:t>
            </w:r>
            <w:r>
              <w:rPr>
                <w:rFonts w:ascii="Times New Roman" w:hAnsi="Times New Roman"/>
                <w:i/>
                <w:snapToGrid w:val="0"/>
                <w:szCs w:val="19"/>
              </w:rPr>
              <w:t>Gazette</w:t>
            </w:r>
            <w:r>
              <w:rPr>
                <w:rFonts w:ascii="Times New Roman" w:hAnsi="Times New Roman"/>
                <w:snapToGrid w:val="0"/>
                <w:szCs w:val="19"/>
              </w:rPr>
              <w:t xml:space="preserve"> 7 Jan 2005 p. 53))</w:t>
            </w:r>
          </w:p>
        </w:tc>
      </w:tr>
      <w:tr>
        <w:trPr>
          <w:gridAfter w:val="1"/>
          <w:wAfter w:w="12" w:type="dxa"/>
        </w:trPr>
        <w:tc>
          <w:tcPr>
            <w:tcW w:w="2273" w:type="dxa"/>
            <w:gridSpan w:val="2"/>
          </w:tcPr>
          <w:p>
            <w:pPr>
              <w:pStyle w:val="nTable"/>
              <w:spacing w:after="40"/>
              <w:rPr>
                <w:rFonts w:ascii="Times New Roman" w:hAnsi="Times New Roman"/>
                <w:snapToGrid w:val="0"/>
                <w:szCs w:val="19"/>
              </w:rPr>
            </w:pPr>
            <w:r>
              <w:rPr>
                <w:rFonts w:ascii="Times New Roman" w:hAnsi="Times New Roman"/>
                <w:i/>
                <w:snapToGrid w:val="0"/>
                <w:szCs w:val="19"/>
              </w:rPr>
              <w:t>Revenue Laws Amendment Act (No. 2) 2005</w:t>
            </w:r>
            <w:r>
              <w:rPr>
                <w:rFonts w:ascii="Times New Roman" w:hAnsi="Times New Roman"/>
                <w:snapToGrid w:val="0"/>
                <w:szCs w:val="19"/>
              </w:rPr>
              <w:t xml:space="preserve"> Pt. 4</w:t>
            </w:r>
          </w:p>
        </w:tc>
        <w:tc>
          <w:tcPr>
            <w:tcW w:w="1139" w:type="dxa"/>
            <w:gridSpan w:val="2"/>
          </w:tcPr>
          <w:p>
            <w:pPr>
              <w:pStyle w:val="nTable"/>
              <w:keepNext/>
              <w:keepLines/>
              <w:spacing w:after="40"/>
              <w:rPr>
                <w:rFonts w:ascii="Times New Roman" w:hAnsi="Times New Roman"/>
                <w:snapToGrid w:val="0"/>
                <w:szCs w:val="19"/>
              </w:rPr>
            </w:pPr>
            <w:r>
              <w:rPr>
                <w:rFonts w:ascii="Times New Roman" w:hAnsi="Times New Roman"/>
                <w:snapToGrid w:val="0"/>
                <w:szCs w:val="19"/>
              </w:rPr>
              <w:t>12 of 2005</w:t>
            </w:r>
          </w:p>
        </w:tc>
        <w:tc>
          <w:tcPr>
            <w:tcW w:w="1136" w:type="dxa"/>
            <w:gridSpan w:val="2"/>
          </w:tcPr>
          <w:p>
            <w:pPr>
              <w:pStyle w:val="nTable"/>
              <w:keepNext/>
              <w:keepLines/>
              <w:spacing w:after="40"/>
              <w:rPr>
                <w:rFonts w:ascii="Times New Roman" w:hAnsi="Times New Roman"/>
                <w:szCs w:val="19"/>
              </w:rPr>
            </w:pPr>
            <w:r>
              <w:rPr>
                <w:rFonts w:ascii="Times New Roman" w:hAnsi="Times New Roman"/>
                <w:szCs w:val="19"/>
              </w:rPr>
              <w:t>30 Aug 2005</w:t>
            </w:r>
          </w:p>
        </w:tc>
        <w:tc>
          <w:tcPr>
            <w:tcW w:w="2551" w:type="dxa"/>
            <w:gridSpan w:val="2"/>
          </w:tcPr>
          <w:p>
            <w:pPr>
              <w:pStyle w:val="nTable"/>
              <w:keepNext/>
              <w:keepLines/>
              <w:spacing w:after="40"/>
              <w:rPr>
                <w:rFonts w:ascii="Times New Roman" w:hAnsi="Times New Roman"/>
                <w:snapToGrid w:val="0"/>
                <w:szCs w:val="19"/>
              </w:rPr>
            </w:pPr>
            <w:r>
              <w:rPr>
                <w:rFonts w:ascii="Times New Roman" w:hAnsi="Times New Roman"/>
                <w:snapToGrid w:val="0"/>
                <w:szCs w:val="19"/>
              </w:rPr>
              <w:t>30 Aug 2005 (see s. 2(1))</w:t>
            </w:r>
          </w:p>
        </w:tc>
      </w:tr>
      <w:tr>
        <w:trPr>
          <w:gridAfter w:val="1"/>
          <w:wAfter w:w="12" w:type="dxa"/>
          <w:cantSplit/>
        </w:trPr>
        <w:tc>
          <w:tcPr>
            <w:tcW w:w="7099" w:type="dxa"/>
            <w:gridSpan w:val="8"/>
          </w:tcPr>
          <w:p>
            <w:pPr>
              <w:pStyle w:val="nTable"/>
              <w:spacing w:after="40"/>
              <w:rPr>
                <w:rFonts w:ascii="Times New Roman" w:hAnsi="Times New Roman"/>
                <w:snapToGrid w:val="0"/>
                <w:szCs w:val="19"/>
              </w:rPr>
            </w:pPr>
            <w:r>
              <w:rPr>
                <w:rFonts w:ascii="Times New Roman" w:hAnsi="Times New Roman"/>
                <w:b/>
                <w:snapToGrid w:val="0"/>
                <w:szCs w:val="19"/>
              </w:rPr>
              <w:t xml:space="preserve">Reprint 1: The </w:t>
            </w:r>
            <w:r>
              <w:rPr>
                <w:rFonts w:ascii="Times New Roman" w:hAnsi="Times New Roman"/>
                <w:b/>
                <w:i/>
                <w:snapToGrid w:val="0"/>
                <w:szCs w:val="19"/>
              </w:rPr>
              <w:t xml:space="preserve">Taxation Administration Act 2003 </w:t>
            </w:r>
            <w:r>
              <w:rPr>
                <w:rFonts w:ascii="Times New Roman" w:hAnsi="Times New Roman"/>
                <w:b/>
                <w:snapToGrid w:val="0"/>
                <w:szCs w:val="19"/>
              </w:rPr>
              <w:t xml:space="preserve">as at 14 Oct 2005 </w:t>
            </w:r>
            <w:r>
              <w:rPr>
                <w:rFonts w:ascii="Times New Roman" w:hAnsi="Times New Roman"/>
                <w:snapToGrid w:val="0"/>
                <w:szCs w:val="19"/>
              </w:rPr>
              <w:t>(includes amendments listed above)</w:t>
            </w:r>
          </w:p>
        </w:tc>
      </w:tr>
      <w:tr>
        <w:trPr>
          <w:gridAfter w:val="1"/>
          <w:wAfter w:w="12" w:type="dxa"/>
        </w:trPr>
        <w:tc>
          <w:tcPr>
            <w:tcW w:w="2273" w:type="dxa"/>
            <w:gridSpan w:val="2"/>
          </w:tcPr>
          <w:p>
            <w:pPr>
              <w:pStyle w:val="nTable"/>
              <w:spacing w:after="40"/>
              <w:rPr>
                <w:rFonts w:ascii="Times New Roman" w:hAnsi="Times New Roman"/>
                <w:szCs w:val="19"/>
              </w:rPr>
            </w:pPr>
            <w:r>
              <w:rPr>
                <w:rFonts w:ascii="Times New Roman" w:hAnsi="Times New Roman"/>
                <w:i/>
                <w:snapToGrid w:val="0"/>
                <w:szCs w:val="19"/>
              </w:rPr>
              <w:t>Planning and Development (Consequential and Transitional Provisions) Act 2005</w:t>
            </w:r>
            <w:r>
              <w:rPr>
                <w:rFonts w:ascii="Times New Roman" w:hAnsi="Times New Roman"/>
                <w:szCs w:val="19"/>
              </w:rPr>
              <w:t xml:space="preserve"> s. 15</w:t>
            </w:r>
          </w:p>
        </w:tc>
        <w:tc>
          <w:tcPr>
            <w:tcW w:w="1139" w:type="dxa"/>
            <w:gridSpan w:val="2"/>
          </w:tcPr>
          <w:p>
            <w:pPr>
              <w:pStyle w:val="nTable"/>
              <w:spacing w:after="40"/>
              <w:rPr>
                <w:rFonts w:ascii="Times New Roman" w:hAnsi="Times New Roman"/>
                <w:szCs w:val="19"/>
              </w:rPr>
            </w:pPr>
            <w:r>
              <w:rPr>
                <w:rFonts w:ascii="Times New Roman" w:hAnsi="Times New Roman"/>
                <w:snapToGrid w:val="0"/>
                <w:szCs w:val="19"/>
              </w:rPr>
              <w:t>38 of 2005</w:t>
            </w:r>
          </w:p>
        </w:tc>
        <w:tc>
          <w:tcPr>
            <w:tcW w:w="1136" w:type="dxa"/>
            <w:gridSpan w:val="2"/>
          </w:tcPr>
          <w:p>
            <w:pPr>
              <w:pStyle w:val="nTable"/>
              <w:spacing w:after="40"/>
              <w:rPr>
                <w:rFonts w:ascii="Times New Roman" w:hAnsi="Times New Roman"/>
                <w:szCs w:val="19"/>
              </w:rPr>
            </w:pPr>
            <w:r>
              <w:rPr>
                <w:rFonts w:ascii="Times New Roman" w:hAnsi="Times New Roman"/>
                <w:szCs w:val="19"/>
              </w:rPr>
              <w:t>12 Dec 2005</w:t>
            </w:r>
          </w:p>
        </w:tc>
        <w:tc>
          <w:tcPr>
            <w:tcW w:w="2551" w:type="dxa"/>
            <w:gridSpan w:val="2"/>
          </w:tcPr>
          <w:p>
            <w:pPr>
              <w:pStyle w:val="nTable"/>
              <w:spacing w:after="40"/>
              <w:rPr>
                <w:rFonts w:ascii="Times New Roman" w:hAnsi="Times New Roman"/>
                <w:szCs w:val="19"/>
              </w:rPr>
            </w:pPr>
            <w:r>
              <w:rPr>
                <w:rFonts w:ascii="Times New Roman" w:hAnsi="Times New Roman"/>
                <w:szCs w:val="19"/>
              </w:rPr>
              <w:t xml:space="preserve">9 Apr 2006 (see s. 2 and </w:t>
            </w:r>
            <w:r>
              <w:rPr>
                <w:rFonts w:ascii="Times New Roman" w:hAnsi="Times New Roman"/>
                <w:i/>
                <w:szCs w:val="19"/>
              </w:rPr>
              <w:t>Gazette</w:t>
            </w:r>
            <w:r>
              <w:rPr>
                <w:rFonts w:ascii="Times New Roman" w:hAnsi="Times New Roman"/>
                <w:szCs w:val="19"/>
              </w:rPr>
              <w:t xml:space="preserve"> 21 Mar 2006 p. 1078)</w:t>
            </w:r>
          </w:p>
        </w:tc>
      </w:tr>
      <w:tr>
        <w:trPr>
          <w:gridAfter w:val="1"/>
          <w:wAfter w:w="12" w:type="dxa"/>
        </w:trPr>
        <w:tc>
          <w:tcPr>
            <w:tcW w:w="2273" w:type="dxa"/>
            <w:gridSpan w:val="2"/>
          </w:tcPr>
          <w:p>
            <w:pPr>
              <w:pStyle w:val="nTable"/>
              <w:spacing w:after="40"/>
              <w:rPr>
                <w:rFonts w:ascii="Times New Roman" w:hAnsi="Times New Roman"/>
                <w:i/>
                <w:snapToGrid w:val="0"/>
                <w:szCs w:val="19"/>
              </w:rPr>
            </w:pPr>
            <w:r>
              <w:rPr>
                <w:rFonts w:ascii="Times New Roman" w:hAnsi="Times New Roman"/>
                <w:i/>
                <w:snapToGrid w:val="0"/>
                <w:szCs w:val="19"/>
              </w:rPr>
              <w:t>Land Information Authority Act 2006</w:t>
            </w:r>
            <w:r>
              <w:rPr>
                <w:rFonts w:ascii="Times New Roman" w:hAnsi="Times New Roman"/>
                <w:snapToGrid w:val="0"/>
                <w:szCs w:val="19"/>
              </w:rPr>
              <w:t xml:space="preserve"> s. 184</w:t>
            </w:r>
            <w:r>
              <w:rPr>
                <w:rFonts w:ascii="Times New Roman" w:hAnsi="Times New Roman"/>
                <w:snapToGrid w:val="0"/>
                <w:szCs w:val="19"/>
                <w:vertAlign w:val="superscript"/>
              </w:rPr>
              <w:t xml:space="preserve"> </w:t>
            </w:r>
          </w:p>
        </w:tc>
        <w:tc>
          <w:tcPr>
            <w:tcW w:w="1139" w:type="dxa"/>
            <w:gridSpan w:val="2"/>
          </w:tcPr>
          <w:p>
            <w:pPr>
              <w:pStyle w:val="nTable"/>
              <w:spacing w:after="40"/>
              <w:rPr>
                <w:rFonts w:ascii="Times New Roman" w:hAnsi="Times New Roman"/>
                <w:snapToGrid w:val="0"/>
                <w:szCs w:val="19"/>
              </w:rPr>
            </w:pPr>
            <w:r>
              <w:rPr>
                <w:rFonts w:ascii="Times New Roman" w:hAnsi="Times New Roman"/>
                <w:snapToGrid w:val="0"/>
                <w:szCs w:val="19"/>
              </w:rPr>
              <w:t>60 of 2006</w:t>
            </w:r>
          </w:p>
        </w:tc>
        <w:tc>
          <w:tcPr>
            <w:tcW w:w="1136" w:type="dxa"/>
            <w:gridSpan w:val="2"/>
          </w:tcPr>
          <w:p>
            <w:pPr>
              <w:pStyle w:val="nTable"/>
              <w:spacing w:after="40"/>
              <w:rPr>
                <w:rFonts w:ascii="Times New Roman" w:hAnsi="Times New Roman"/>
                <w:szCs w:val="19"/>
              </w:rPr>
            </w:pPr>
            <w:r>
              <w:rPr>
                <w:rFonts w:ascii="Times New Roman" w:hAnsi="Times New Roman"/>
                <w:snapToGrid w:val="0"/>
                <w:szCs w:val="19"/>
              </w:rPr>
              <w:t>16 Nov 2006</w:t>
            </w:r>
          </w:p>
        </w:tc>
        <w:tc>
          <w:tcPr>
            <w:tcW w:w="2551" w:type="dxa"/>
            <w:gridSpan w:val="2"/>
          </w:tcPr>
          <w:p>
            <w:pPr>
              <w:pStyle w:val="nTable"/>
              <w:spacing w:after="40"/>
              <w:rPr>
                <w:rFonts w:ascii="Times New Roman" w:hAnsi="Times New Roman"/>
                <w:szCs w:val="19"/>
              </w:rPr>
            </w:pPr>
            <w:r>
              <w:rPr>
                <w:rFonts w:ascii="Times New Roman" w:hAnsi="Times New Roman"/>
                <w:szCs w:val="19"/>
              </w:rPr>
              <w:t xml:space="preserve">1 Jan 2007 (see s. 2(1) and </w:t>
            </w:r>
            <w:r>
              <w:rPr>
                <w:rFonts w:ascii="Times New Roman" w:hAnsi="Times New Roman"/>
                <w:i/>
                <w:szCs w:val="19"/>
              </w:rPr>
              <w:t xml:space="preserve">Gazette </w:t>
            </w:r>
            <w:r>
              <w:rPr>
                <w:rFonts w:ascii="Times New Roman" w:hAnsi="Times New Roman"/>
                <w:szCs w:val="19"/>
              </w:rPr>
              <w:t>8 Dec 2006 p. 5369)</w:t>
            </w:r>
          </w:p>
        </w:tc>
      </w:tr>
      <w:tr>
        <w:trPr>
          <w:gridAfter w:val="1"/>
          <w:wAfter w:w="12" w:type="dxa"/>
        </w:trPr>
        <w:tc>
          <w:tcPr>
            <w:tcW w:w="2273" w:type="dxa"/>
            <w:gridSpan w:val="2"/>
          </w:tcPr>
          <w:p>
            <w:pPr>
              <w:pStyle w:val="nTable"/>
              <w:spacing w:after="40"/>
              <w:rPr>
                <w:rFonts w:ascii="Times New Roman" w:hAnsi="Times New Roman"/>
                <w:i/>
                <w:snapToGrid w:val="0"/>
                <w:szCs w:val="19"/>
              </w:rPr>
            </w:pPr>
            <w:r>
              <w:rPr>
                <w:rFonts w:ascii="Times New Roman" w:hAnsi="Times New Roman"/>
                <w:i/>
                <w:snapToGrid w:val="0"/>
                <w:szCs w:val="19"/>
              </w:rPr>
              <w:t>Financial Legislation Amendment and Repeal Act 2006</w:t>
            </w:r>
            <w:r>
              <w:rPr>
                <w:rFonts w:ascii="Times New Roman" w:hAnsi="Times New Roman"/>
                <w:snapToGrid w:val="0"/>
                <w:szCs w:val="19"/>
              </w:rPr>
              <w:t xml:space="preserve"> Sch. 1 cl. 166</w:t>
            </w:r>
          </w:p>
        </w:tc>
        <w:tc>
          <w:tcPr>
            <w:tcW w:w="1139" w:type="dxa"/>
            <w:gridSpan w:val="2"/>
          </w:tcPr>
          <w:p>
            <w:pPr>
              <w:pStyle w:val="nTable"/>
              <w:spacing w:after="40"/>
              <w:rPr>
                <w:rFonts w:ascii="Times New Roman" w:hAnsi="Times New Roman"/>
                <w:snapToGrid w:val="0"/>
                <w:szCs w:val="19"/>
              </w:rPr>
            </w:pPr>
            <w:r>
              <w:rPr>
                <w:rFonts w:ascii="Times New Roman" w:hAnsi="Times New Roman"/>
                <w:snapToGrid w:val="0"/>
                <w:szCs w:val="19"/>
              </w:rPr>
              <w:t>77 of 2006</w:t>
            </w:r>
          </w:p>
        </w:tc>
        <w:tc>
          <w:tcPr>
            <w:tcW w:w="1136" w:type="dxa"/>
            <w:gridSpan w:val="2"/>
          </w:tcPr>
          <w:p>
            <w:pPr>
              <w:pStyle w:val="nTable"/>
              <w:spacing w:after="40"/>
              <w:rPr>
                <w:rFonts w:ascii="Times New Roman" w:hAnsi="Times New Roman"/>
                <w:snapToGrid w:val="0"/>
                <w:szCs w:val="19"/>
              </w:rPr>
            </w:pPr>
            <w:r>
              <w:rPr>
                <w:rFonts w:ascii="Times New Roman" w:hAnsi="Times New Roman"/>
                <w:snapToGrid w:val="0"/>
                <w:szCs w:val="19"/>
              </w:rPr>
              <w:t>21 Dec 2006</w:t>
            </w:r>
          </w:p>
        </w:tc>
        <w:tc>
          <w:tcPr>
            <w:tcW w:w="2551" w:type="dxa"/>
            <w:gridSpan w:val="2"/>
          </w:tcPr>
          <w:p>
            <w:pPr>
              <w:pStyle w:val="nTable"/>
              <w:spacing w:after="40"/>
              <w:rPr>
                <w:rFonts w:ascii="Times New Roman" w:hAnsi="Times New Roman"/>
                <w:szCs w:val="19"/>
              </w:rPr>
            </w:pPr>
            <w:r>
              <w:rPr>
                <w:rFonts w:ascii="Times New Roman" w:hAnsi="Times New Roman"/>
                <w:szCs w:val="19"/>
              </w:rPr>
              <w:t xml:space="preserve">1 Feb 2007 (see s. 2(1) and </w:t>
            </w:r>
            <w:r>
              <w:rPr>
                <w:rFonts w:ascii="Times New Roman" w:hAnsi="Times New Roman"/>
                <w:i/>
                <w:szCs w:val="19"/>
              </w:rPr>
              <w:t>Gazette</w:t>
            </w:r>
            <w:r>
              <w:rPr>
                <w:rFonts w:ascii="Times New Roman" w:hAnsi="Times New Roman"/>
                <w:szCs w:val="19"/>
              </w:rPr>
              <w:t xml:space="preserve"> 19 Jan 2007 p. 137)</w:t>
            </w:r>
          </w:p>
        </w:tc>
      </w:tr>
      <w:tr>
        <w:trPr>
          <w:gridAfter w:val="1"/>
          <w:wAfter w:w="12" w:type="dxa"/>
        </w:trPr>
        <w:tc>
          <w:tcPr>
            <w:tcW w:w="2273" w:type="dxa"/>
            <w:gridSpan w:val="2"/>
          </w:tcPr>
          <w:p>
            <w:pPr>
              <w:pStyle w:val="nTable"/>
              <w:spacing w:after="40"/>
              <w:rPr>
                <w:rFonts w:ascii="Times New Roman" w:hAnsi="Times New Roman"/>
                <w:iCs/>
                <w:snapToGrid w:val="0"/>
                <w:szCs w:val="19"/>
              </w:rPr>
            </w:pPr>
            <w:r>
              <w:rPr>
                <w:rFonts w:ascii="Times New Roman" w:hAnsi="Times New Roman"/>
                <w:i/>
                <w:snapToGrid w:val="0"/>
                <w:szCs w:val="19"/>
              </w:rPr>
              <w:t>Revenue Laws Amendment (Assessment) Act 2007</w:t>
            </w:r>
            <w:r>
              <w:rPr>
                <w:rFonts w:ascii="Times New Roman" w:hAnsi="Times New Roman"/>
                <w:iCs/>
                <w:snapToGrid w:val="0"/>
                <w:szCs w:val="19"/>
              </w:rPr>
              <w:t xml:space="preserve"> Pt. 3</w:t>
            </w:r>
          </w:p>
        </w:tc>
        <w:tc>
          <w:tcPr>
            <w:tcW w:w="1139" w:type="dxa"/>
            <w:gridSpan w:val="2"/>
          </w:tcPr>
          <w:p>
            <w:pPr>
              <w:pStyle w:val="nTable"/>
              <w:spacing w:after="40"/>
              <w:rPr>
                <w:rFonts w:ascii="Times New Roman" w:hAnsi="Times New Roman"/>
                <w:snapToGrid w:val="0"/>
                <w:szCs w:val="19"/>
              </w:rPr>
            </w:pPr>
            <w:r>
              <w:rPr>
                <w:rFonts w:ascii="Times New Roman" w:hAnsi="Times New Roman"/>
                <w:snapToGrid w:val="0"/>
                <w:szCs w:val="19"/>
              </w:rPr>
              <w:t xml:space="preserve">13 of 2007 </w:t>
            </w:r>
          </w:p>
        </w:tc>
        <w:tc>
          <w:tcPr>
            <w:tcW w:w="1136" w:type="dxa"/>
            <w:gridSpan w:val="2"/>
          </w:tcPr>
          <w:p>
            <w:pPr>
              <w:pStyle w:val="nTable"/>
              <w:spacing w:after="40"/>
              <w:rPr>
                <w:rFonts w:ascii="Times New Roman" w:hAnsi="Times New Roman"/>
                <w:snapToGrid w:val="0"/>
                <w:szCs w:val="19"/>
              </w:rPr>
            </w:pPr>
            <w:r>
              <w:rPr>
                <w:rFonts w:ascii="Times New Roman" w:hAnsi="Times New Roman"/>
                <w:snapToGrid w:val="0"/>
                <w:szCs w:val="19"/>
              </w:rPr>
              <w:t>29 Jun 2007</w:t>
            </w:r>
          </w:p>
        </w:tc>
        <w:tc>
          <w:tcPr>
            <w:tcW w:w="2551" w:type="dxa"/>
            <w:gridSpan w:val="2"/>
          </w:tcPr>
          <w:p>
            <w:pPr>
              <w:pStyle w:val="nTable"/>
              <w:spacing w:after="40"/>
              <w:rPr>
                <w:rFonts w:ascii="Times New Roman" w:hAnsi="Times New Roman"/>
                <w:szCs w:val="19"/>
              </w:rPr>
            </w:pPr>
            <w:r>
              <w:rPr>
                <w:rFonts w:ascii="Times New Roman" w:hAnsi="Times New Roman"/>
                <w:szCs w:val="19"/>
              </w:rPr>
              <w:t>30 Jun 2007 (see s. 2(b))</w:t>
            </w:r>
          </w:p>
        </w:tc>
      </w:tr>
      <w:tr>
        <w:trPr>
          <w:gridAfter w:val="1"/>
          <w:wAfter w:w="12" w:type="dxa"/>
          <w:cantSplit/>
        </w:trPr>
        <w:tc>
          <w:tcPr>
            <w:tcW w:w="7099" w:type="dxa"/>
            <w:gridSpan w:val="8"/>
          </w:tcPr>
          <w:p>
            <w:pPr>
              <w:pStyle w:val="nTable"/>
              <w:spacing w:after="40"/>
              <w:rPr>
                <w:rFonts w:ascii="Times New Roman" w:hAnsi="Times New Roman"/>
                <w:szCs w:val="19"/>
              </w:rPr>
            </w:pPr>
            <w:r>
              <w:rPr>
                <w:rFonts w:ascii="Times New Roman" w:hAnsi="Times New Roman"/>
                <w:b/>
                <w:bCs/>
                <w:szCs w:val="19"/>
              </w:rPr>
              <w:t xml:space="preserve">Reprint 2:  The </w:t>
            </w:r>
            <w:r>
              <w:rPr>
                <w:rFonts w:ascii="Times New Roman" w:hAnsi="Times New Roman"/>
                <w:b/>
                <w:bCs/>
                <w:i/>
                <w:snapToGrid w:val="0"/>
                <w:szCs w:val="19"/>
              </w:rPr>
              <w:t xml:space="preserve">Taxation Administration Act 2003 </w:t>
            </w:r>
            <w:r>
              <w:rPr>
                <w:rFonts w:ascii="Times New Roman" w:hAnsi="Times New Roman"/>
                <w:b/>
                <w:bCs/>
                <w:szCs w:val="19"/>
              </w:rPr>
              <w:t>as at 7 Sep 2007</w:t>
            </w:r>
            <w:r>
              <w:rPr>
                <w:rFonts w:ascii="Times New Roman" w:hAnsi="Times New Roman"/>
                <w:szCs w:val="19"/>
              </w:rPr>
              <w:t xml:space="preserve"> (includes amendments listed above)</w:t>
            </w:r>
          </w:p>
        </w:tc>
      </w:tr>
      <w:tr>
        <w:trPr>
          <w:gridAfter w:val="1"/>
          <w:wAfter w:w="12" w:type="dxa"/>
        </w:trPr>
        <w:tc>
          <w:tcPr>
            <w:tcW w:w="2273" w:type="dxa"/>
            <w:gridSpan w:val="2"/>
          </w:tcPr>
          <w:p>
            <w:pPr>
              <w:pStyle w:val="nTable"/>
              <w:spacing w:after="40"/>
              <w:rPr>
                <w:rFonts w:ascii="Times New Roman" w:hAnsi="Times New Roman"/>
                <w:i/>
                <w:iCs/>
                <w:snapToGrid w:val="0"/>
                <w:szCs w:val="19"/>
                <w:vertAlign w:val="superscript"/>
              </w:rPr>
            </w:pPr>
            <w:r>
              <w:rPr>
                <w:rFonts w:ascii="Times New Roman" w:hAnsi="Times New Roman"/>
                <w:i/>
                <w:snapToGrid w:val="0"/>
                <w:szCs w:val="19"/>
              </w:rPr>
              <w:t>Biosecurity and Agriculture Management (Repeal and Consequential Provisions) Act 2007</w:t>
            </w:r>
            <w:r>
              <w:rPr>
                <w:rFonts w:ascii="Times New Roman" w:hAnsi="Times New Roman"/>
                <w:iCs/>
                <w:snapToGrid w:val="0"/>
                <w:szCs w:val="19"/>
              </w:rPr>
              <w:t xml:space="preserve"> s. 94</w:t>
            </w:r>
          </w:p>
        </w:tc>
        <w:tc>
          <w:tcPr>
            <w:tcW w:w="1139" w:type="dxa"/>
            <w:gridSpan w:val="2"/>
          </w:tcPr>
          <w:p>
            <w:pPr>
              <w:pStyle w:val="nTable"/>
              <w:spacing w:after="40"/>
              <w:rPr>
                <w:rFonts w:ascii="Times New Roman" w:hAnsi="Times New Roman"/>
                <w:snapToGrid w:val="0"/>
                <w:szCs w:val="19"/>
              </w:rPr>
            </w:pPr>
            <w:r>
              <w:rPr>
                <w:rFonts w:ascii="Times New Roman" w:hAnsi="Times New Roman"/>
                <w:snapToGrid w:val="0"/>
                <w:szCs w:val="19"/>
              </w:rPr>
              <w:t>24 of 2007</w:t>
            </w:r>
          </w:p>
        </w:tc>
        <w:tc>
          <w:tcPr>
            <w:tcW w:w="1136" w:type="dxa"/>
            <w:gridSpan w:val="2"/>
          </w:tcPr>
          <w:p>
            <w:pPr>
              <w:pStyle w:val="nTable"/>
              <w:spacing w:after="40"/>
              <w:rPr>
                <w:rFonts w:ascii="Times New Roman" w:hAnsi="Times New Roman"/>
                <w:szCs w:val="19"/>
              </w:rPr>
            </w:pPr>
            <w:r>
              <w:rPr>
                <w:rFonts w:ascii="Times New Roman" w:hAnsi="Times New Roman"/>
                <w:snapToGrid w:val="0"/>
                <w:szCs w:val="19"/>
              </w:rPr>
              <w:t>12 Oct 2007</w:t>
            </w:r>
          </w:p>
        </w:tc>
        <w:tc>
          <w:tcPr>
            <w:tcW w:w="2551" w:type="dxa"/>
            <w:gridSpan w:val="2"/>
          </w:tcPr>
          <w:p>
            <w:pPr>
              <w:pStyle w:val="nTable"/>
              <w:spacing w:after="40"/>
              <w:rPr>
                <w:rFonts w:ascii="Times New Roman" w:hAnsi="Times New Roman"/>
                <w:snapToGrid w:val="0"/>
                <w:szCs w:val="19"/>
              </w:rPr>
            </w:pPr>
            <w:r>
              <w:rPr>
                <w:rFonts w:ascii="Times New Roman" w:hAnsi="Times New Roman"/>
                <w:snapToGrid w:val="0"/>
                <w:szCs w:val="19"/>
              </w:rPr>
              <w:t xml:space="preserve">1 May 2013 (see s. 2(2) and </w:t>
            </w:r>
            <w:r>
              <w:rPr>
                <w:rFonts w:ascii="Times New Roman" w:hAnsi="Times New Roman"/>
                <w:i/>
                <w:snapToGrid w:val="0"/>
                <w:szCs w:val="19"/>
              </w:rPr>
              <w:t>Gazette</w:t>
            </w:r>
            <w:r>
              <w:rPr>
                <w:rFonts w:ascii="Times New Roman" w:hAnsi="Times New Roman"/>
                <w:snapToGrid w:val="0"/>
                <w:szCs w:val="19"/>
              </w:rPr>
              <w:t xml:space="preserve"> 5 Feb 2013 p. 823)</w:t>
            </w:r>
          </w:p>
        </w:tc>
      </w:tr>
      <w:tr>
        <w:trPr>
          <w:gridAfter w:val="1"/>
          <w:wAfter w:w="12" w:type="dxa"/>
        </w:trPr>
        <w:tc>
          <w:tcPr>
            <w:tcW w:w="2273" w:type="dxa"/>
            <w:gridSpan w:val="2"/>
          </w:tcPr>
          <w:p>
            <w:pPr>
              <w:pStyle w:val="nTable"/>
              <w:spacing w:after="40"/>
              <w:rPr>
                <w:rFonts w:ascii="Times New Roman" w:hAnsi="Times New Roman"/>
                <w:i/>
                <w:snapToGrid w:val="0"/>
                <w:szCs w:val="19"/>
              </w:rPr>
            </w:pPr>
            <w:r>
              <w:rPr>
                <w:rFonts w:ascii="Times New Roman" w:hAnsi="Times New Roman"/>
                <w:i/>
                <w:szCs w:val="19"/>
              </w:rPr>
              <w:t>Duties Legislation Amendment Act 2008</w:t>
            </w:r>
            <w:r>
              <w:rPr>
                <w:rFonts w:ascii="Times New Roman" w:hAnsi="Times New Roman"/>
                <w:iCs/>
                <w:szCs w:val="19"/>
              </w:rPr>
              <w:t xml:space="preserve"> Pt. 2 Div. 3</w:t>
            </w:r>
            <w:r>
              <w:rPr>
                <w:rFonts w:ascii="Times New Roman" w:hAnsi="Times New Roman"/>
                <w:iCs/>
                <w:szCs w:val="19"/>
                <w:vertAlign w:val="superscript"/>
              </w:rPr>
              <w:t> 8</w:t>
            </w:r>
          </w:p>
        </w:tc>
        <w:tc>
          <w:tcPr>
            <w:tcW w:w="1139" w:type="dxa"/>
            <w:gridSpan w:val="2"/>
          </w:tcPr>
          <w:p>
            <w:pPr>
              <w:pStyle w:val="nTable"/>
              <w:spacing w:after="40"/>
              <w:rPr>
                <w:rFonts w:ascii="Times New Roman" w:hAnsi="Times New Roman"/>
                <w:snapToGrid w:val="0"/>
                <w:szCs w:val="19"/>
              </w:rPr>
            </w:pPr>
            <w:r>
              <w:rPr>
                <w:rFonts w:ascii="Times New Roman" w:hAnsi="Times New Roman"/>
                <w:szCs w:val="19"/>
              </w:rPr>
              <w:t>12 of 2008</w:t>
            </w:r>
          </w:p>
        </w:tc>
        <w:tc>
          <w:tcPr>
            <w:tcW w:w="1136" w:type="dxa"/>
            <w:gridSpan w:val="2"/>
          </w:tcPr>
          <w:p>
            <w:pPr>
              <w:pStyle w:val="nTable"/>
              <w:spacing w:after="40"/>
              <w:rPr>
                <w:rFonts w:ascii="Times New Roman" w:hAnsi="Times New Roman"/>
                <w:snapToGrid w:val="0"/>
                <w:szCs w:val="19"/>
              </w:rPr>
            </w:pPr>
            <w:r>
              <w:rPr>
                <w:rFonts w:ascii="Times New Roman" w:hAnsi="Times New Roman"/>
                <w:szCs w:val="19"/>
              </w:rPr>
              <w:t>14 Apr 2008</w:t>
            </w:r>
          </w:p>
        </w:tc>
        <w:tc>
          <w:tcPr>
            <w:tcW w:w="2551" w:type="dxa"/>
            <w:gridSpan w:val="2"/>
          </w:tcPr>
          <w:p>
            <w:pPr>
              <w:pStyle w:val="nTable"/>
              <w:spacing w:after="40"/>
              <w:rPr>
                <w:rFonts w:ascii="Times New Roman" w:hAnsi="Times New Roman"/>
                <w:snapToGrid w:val="0"/>
                <w:szCs w:val="19"/>
              </w:rPr>
            </w:pPr>
            <w:r>
              <w:rPr>
                <w:rFonts w:ascii="Times New Roman" w:hAnsi="Times New Roman"/>
                <w:szCs w:val="19"/>
              </w:rPr>
              <w:t>1 Jul 2008 (see s. 2(d))</w:t>
            </w:r>
          </w:p>
        </w:tc>
      </w:tr>
      <w:tr>
        <w:trPr>
          <w:gridAfter w:val="1"/>
          <w:wAfter w:w="12" w:type="dxa"/>
        </w:trPr>
        <w:tc>
          <w:tcPr>
            <w:tcW w:w="2273" w:type="dxa"/>
            <w:gridSpan w:val="2"/>
          </w:tcPr>
          <w:p>
            <w:pPr>
              <w:pStyle w:val="nTable"/>
              <w:spacing w:after="40"/>
              <w:rPr>
                <w:rFonts w:ascii="Times New Roman" w:hAnsi="Times New Roman"/>
                <w:iCs/>
                <w:snapToGrid w:val="0"/>
                <w:szCs w:val="19"/>
              </w:rPr>
            </w:pPr>
            <w:r>
              <w:rPr>
                <w:rFonts w:ascii="Times New Roman" w:hAnsi="Times New Roman"/>
                <w:i/>
                <w:snapToGrid w:val="0"/>
                <w:szCs w:val="19"/>
              </w:rPr>
              <w:t>Revenue Laws Amendment Act (No. 2) 2008</w:t>
            </w:r>
            <w:r>
              <w:rPr>
                <w:rFonts w:ascii="Times New Roman" w:hAnsi="Times New Roman"/>
                <w:iCs/>
                <w:snapToGrid w:val="0"/>
                <w:szCs w:val="19"/>
              </w:rPr>
              <w:t xml:space="preserve"> Pt. 2 Div. 1 and 3 and Pt. 3</w:t>
            </w:r>
          </w:p>
        </w:tc>
        <w:tc>
          <w:tcPr>
            <w:tcW w:w="1139" w:type="dxa"/>
            <w:gridSpan w:val="2"/>
          </w:tcPr>
          <w:p>
            <w:pPr>
              <w:pStyle w:val="nTable"/>
              <w:spacing w:after="40"/>
              <w:rPr>
                <w:rFonts w:ascii="Times New Roman" w:hAnsi="Times New Roman"/>
                <w:snapToGrid w:val="0"/>
                <w:szCs w:val="19"/>
              </w:rPr>
            </w:pPr>
            <w:r>
              <w:rPr>
                <w:rFonts w:ascii="Times New Roman" w:hAnsi="Times New Roman"/>
                <w:snapToGrid w:val="0"/>
                <w:szCs w:val="19"/>
              </w:rPr>
              <w:t>31 of 2008</w:t>
            </w:r>
          </w:p>
        </w:tc>
        <w:tc>
          <w:tcPr>
            <w:tcW w:w="1136" w:type="dxa"/>
            <w:gridSpan w:val="2"/>
          </w:tcPr>
          <w:p>
            <w:pPr>
              <w:pStyle w:val="nTable"/>
              <w:spacing w:after="40"/>
              <w:rPr>
                <w:rFonts w:ascii="Times New Roman" w:hAnsi="Times New Roman"/>
                <w:snapToGrid w:val="0"/>
                <w:szCs w:val="19"/>
              </w:rPr>
            </w:pPr>
            <w:r>
              <w:rPr>
                <w:rFonts w:ascii="Times New Roman" w:hAnsi="Times New Roman"/>
                <w:snapToGrid w:val="0"/>
                <w:szCs w:val="19"/>
              </w:rPr>
              <w:t>27 Jun 2008</w:t>
            </w:r>
          </w:p>
        </w:tc>
        <w:tc>
          <w:tcPr>
            <w:tcW w:w="2551" w:type="dxa"/>
            <w:gridSpan w:val="2"/>
          </w:tcPr>
          <w:p>
            <w:pPr>
              <w:pStyle w:val="nTable"/>
              <w:spacing w:after="40"/>
              <w:ind w:right="-76"/>
              <w:rPr>
                <w:rFonts w:ascii="Times New Roman" w:hAnsi="Times New Roman"/>
                <w:szCs w:val="19"/>
              </w:rPr>
            </w:pPr>
            <w:r>
              <w:rPr>
                <w:rFonts w:ascii="Times New Roman" w:hAnsi="Times New Roman"/>
                <w:szCs w:val="19"/>
              </w:rPr>
              <w:t>Pt. 2 Div. 1 and Pt. 3 Div. 1 and 2: 28 Jun 2008 (see s. 2(b));</w:t>
            </w:r>
            <w:r>
              <w:rPr>
                <w:rFonts w:ascii="Times New Roman" w:hAnsi="Times New Roman"/>
                <w:szCs w:val="19"/>
              </w:rPr>
              <w:br/>
              <w:t>Pt. 2 Div. 3: 1 Jul 2008 (see s. 2(c)(ii));</w:t>
            </w:r>
            <w:r>
              <w:rPr>
                <w:rFonts w:ascii="Times New Roman" w:hAnsi="Times New Roman"/>
                <w:szCs w:val="19"/>
              </w:rPr>
              <w:br/>
              <w:t xml:space="preserve">Pt. 3 Div. 3: 11 Oct 2008 (see s. 2(d) and </w:t>
            </w:r>
            <w:r>
              <w:rPr>
                <w:rFonts w:ascii="Times New Roman" w:hAnsi="Times New Roman"/>
                <w:i/>
                <w:iCs/>
                <w:szCs w:val="19"/>
              </w:rPr>
              <w:t>Gazette</w:t>
            </w:r>
            <w:r>
              <w:rPr>
                <w:rFonts w:ascii="Times New Roman" w:hAnsi="Times New Roman"/>
                <w:szCs w:val="19"/>
              </w:rPr>
              <w:t xml:space="preserve"> 10 Oct 2008 p. 4539)</w:t>
            </w:r>
          </w:p>
        </w:tc>
      </w:tr>
      <w:tr>
        <w:trPr>
          <w:gridAfter w:val="1"/>
          <w:wAfter w:w="12" w:type="dxa"/>
          <w:cantSplit/>
        </w:trPr>
        <w:tc>
          <w:tcPr>
            <w:tcW w:w="7099" w:type="dxa"/>
            <w:gridSpan w:val="8"/>
          </w:tcPr>
          <w:p>
            <w:pPr>
              <w:pStyle w:val="nTable"/>
              <w:spacing w:after="40"/>
              <w:rPr>
                <w:rFonts w:ascii="Times New Roman" w:hAnsi="Times New Roman"/>
                <w:szCs w:val="19"/>
              </w:rPr>
            </w:pPr>
            <w:r>
              <w:rPr>
                <w:rFonts w:ascii="Times New Roman" w:hAnsi="Times New Roman"/>
                <w:b/>
                <w:bCs/>
                <w:szCs w:val="19"/>
              </w:rPr>
              <w:t xml:space="preserve">Reprint 3:  The </w:t>
            </w:r>
            <w:r>
              <w:rPr>
                <w:rFonts w:ascii="Times New Roman" w:hAnsi="Times New Roman"/>
                <w:b/>
                <w:bCs/>
                <w:i/>
                <w:snapToGrid w:val="0"/>
                <w:szCs w:val="19"/>
              </w:rPr>
              <w:t xml:space="preserve">Taxation Administration Act 2003 </w:t>
            </w:r>
            <w:r>
              <w:rPr>
                <w:rFonts w:ascii="Times New Roman" w:hAnsi="Times New Roman"/>
                <w:b/>
                <w:bCs/>
                <w:szCs w:val="19"/>
              </w:rPr>
              <w:t>as at 22 Aug 2008</w:t>
            </w:r>
            <w:r>
              <w:rPr>
                <w:rFonts w:ascii="Times New Roman" w:hAnsi="Times New Roman"/>
                <w:szCs w:val="19"/>
              </w:rPr>
              <w:t xml:space="preserve"> (includes amendments listed above except those in the </w:t>
            </w:r>
            <w:r>
              <w:rPr>
                <w:rFonts w:ascii="Times New Roman" w:hAnsi="Times New Roman"/>
                <w:i/>
                <w:snapToGrid w:val="0"/>
                <w:szCs w:val="19"/>
              </w:rPr>
              <w:t>Biosecurity and Agriculture Management (Repeal and Consequential Provisions) Act 2007</w:t>
            </w:r>
            <w:r>
              <w:rPr>
                <w:rFonts w:ascii="Times New Roman" w:hAnsi="Times New Roman"/>
                <w:iCs/>
                <w:snapToGrid w:val="0"/>
                <w:szCs w:val="19"/>
              </w:rPr>
              <w:t xml:space="preserve"> and the</w:t>
            </w:r>
            <w:r>
              <w:rPr>
                <w:rFonts w:ascii="Times New Roman" w:hAnsi="Times New Roman"/>
                <w:szCs w:val="19"/>
              </w:rPr>
              <w:t xml:space="preserve"> </w:t>
            </w:r>
            <w:r>
              <w:rPr>
                <w:rFonts w:ascii="Times New Roman" w:hAnsi="Times New Roman"/>
                <w:i/>
                <w:iCs/>
                <w:szCs w:val="19"/>
              </w:rPr>
              <w:t>Revenue Laws Amendment Act (No. 2) 2008</w:t>
            </w:r>
            <w:r>
              <w:rPr>
                <w:rFonts w:ascii="Times New Roman" w:hAnsi="Times New Roman"/>
                <w:szCs w:val="19"/>
              </w:rPr>
              <w:t xml:space="preserve"> Pt. 3 Div. 3)</w:t>
            </w:r>
          </w:p>
        </w:tc>
      </w:tr>
      <w:tr>
        <w:trPr>
          <w:gridAfter w:val="1"/>
          <w:wAfter w:w="12" w:type="dxa"/>
        </w:trPr>
        <w:tc>
          <w:tcPr>
            <w:tcW w:w="2273" w:type="dxa"/>
            <w:gridSpan w:val="2"/>
          </w:tcPr>
          <w:p>
            <w:pPr>
              <w:pStyle w:val="nTable"/>
              <w:spacing w:after="40"/>
              <w:rPr>
                <w:rFonts w:ascii="Times New Roman" w:hAnsi="Times New Roman"/>
                <w:iCs/>
                <w:snapToGrid w:val="0"/>
                <w:szCs w:val="19"/>
              </w:rPr>
            </w:pPr>
            <w:r>
              <w:rPr>
                <w:rFonts w:ascii="Times New Roman" w:hAnsi="Times New Roman"/>
                <w:i/>
                <w:snapToGrid w:val="0"/>
                <w:szCs w:val="19"/>
              </w:rPr>
              <w:t>Revenue Laws Amendment and Repeal Act 2010</w:t>
            </w:r>
            <w:r>
              <w:rPr>
                <w:rFonts w:ascii="Times New Roman" w:hAnsi="Times New Roman"/>
                <w:iCs/>
                <w:snapToGrid w:val="0"/>
                <w:szCs w:val="19"/>
              </w:rPr>
              <w:t xml:space="preserve"> Pt. 5 and s. 30</w:t>
            </w:r>
          </w:p>
        </w:tc>
        <w:tc>
          <w:tcPr>
            <w:tcW w:w="1139" w:type="dxa"/>
            <w:gridSpan w:val="2"/>
          </w:tcPr>
          <w:p>
            <w:pPr>
              <w:pStyle w:val="nTable"/>
              <w:keepNext/>
              <w:keepLines/>
              <w:spacing w:after="40"/>
              <w:rPr>
                <w:rFonts w:ascii="Times New Roman" w:hAnsi="Times New Roman"/>
                <w:snapToGrid w:val="0"/>
                <w:szCs w:val="19"/>
              </w:rPr>
            </w:pPr>
            <w:r>
              <w:rPr>
                <w:rFonts w:ascii="Times New Roman" w:hAnsi="Times New Roman"/>
                <w:snapToGrid w:val="0"/>
                <w:szCs w:val="19"/>
              </w:rPr>
              <w:t>17 of 2010</w:t>
            </w:r>
          </w:p>
        </w:tc>
        <w:tc>
          <w:tcPr>
            <w:tcW w:w="1136" w:type="dxa"/>
            <w:gridSpan w:val="2"/>
          </w:tcPr>
          <w:p>
            <w:pPr>
              <w:pStyle w:val="nTable"/>
              <w:keepNext/>
              <w:keepLines/>
              <w:spacing w:after="40"/>
              <w:rPr>
                <w:rFonts w:ascii="Times New Roman" w:hAnsi="Times New Roman"/>
                <w:snapToGrid w:val="0"/>
                <w:szCs w:val="19"/>
              </w:rPr>
            </w:pPr>
            <w:r>
              <w:rPr>
                <w:rFonts w:ascii="Times New Roman" w:hAnsi="Times New Roman"/>
                <w:snapToGrid w:val="0"/>
                <w:szCs w:val="19"/>
              </w:rPr>
              <w:t>25 Jun 2010</w:t>
            </w:r>
          </w:p>
        </w:tc>
        <w:tc>
          <w:tcPr>
            <w:tcW w:w="2551" w:type="dxa"/>
            <w:gridSpan w:val="2"/>
          </w:tcPr>
          <w:p>
            <w:pPr>
              <w:pStyle w:val="nTable"/>
              <w:keepNext/>
              <w:keepLines/>
              <w:spacing w:after="40"/>
              <w:ind w:right="-76"/>
              <w:rPr>
                <w:rFonts w:ascii="Times New Roman" w:hAnsi="Times New Roman"/>
                <w:szCs w:val="19"/>
              </w:rPr>
            </w:pPr>
            <w:r>
              <w:rPr>
                <w:rFonts w:ascii="Times New Roman" w:hAnsi="Times New Roman"/>
                <w:szCs w:val="19"/>
              </w:rPr>
              <w:t>26 Jun 2010 (see s. 2(b))</w:t>
            </w:r>
          </w:p>
        </w:tc>
      </w:tr>
      <w:tr>
        <w:trPr>
          <w:gridAfter w:val="1"/>
          <w:wAfter w:w="12" w:type="dxa"/>
          <w:cantSplit/>
        </w:trPr>
        <w:tc>
          <w:tcPr>
            <w:tcW w:w="2273" w:type="dxa"/>
            <w:gridSpan w:val="2"/>
          </w:tcPr>
          <w:p>
            <w:pPr>
              <w:pStyle w:val="nTable"/>
              <w:spacing w:after="40"/>
              <w:ind w:right="113"/>
              <w:rPr>
                <w:rFonts w:ascii="Times New Roman" w:hAnsi="Times New Roman"/>
                <w:iCs/>
                <w:snapToGrid w:val="0"/>
                <w:szCs w:val="19"/>
              </w:rPr>
            </w:pPr>
            <w:r>
              <w:rPr>
                <w:rFonts w:ascii="Times New Roman" w:hAnsi="Times New Roman"/>
                <w:i/>
                <w:snapToGrid w:val="0"/>
                <w:szCs w:val="19"/>
              </w:rPr>
              <w:t>Standardisation of Formatting Act 2010</w:t>
            </w:r>
            <w:r>
              <w:rPr>
                <w:rFonts w:ascii="Times New Roman" w:hAnsi="Times New Roman"/>
                <w:iCs/>
                <w:snapToGrid w:val="0"/>
                <w:szCs w:val="19"/>
              </w:rPr>
              <w:t xml:space="preserve"> s. 51</w:t>
            </w:r>
          </w:p>
        </w:tc>
        <w:tc>
          <w:tcPr>
            <w:tcW w:w="1139" w:type="dxa"/>
            <w:gridSpan w:val="2"/>
          </w:tcPr>
          <w:p>
            <w:pPr>
              <w:pStyle w:val="nTable"/>
              <w:spacing w:after="40"/>
              <w:rPr>
                <w:rFonts w:ascii="Times New Roman" w:hAnsi="Times New Roman"/>
                <w:snapToGrid w:val="0"/>
                <w:szCs w:val="19"/>
              </w:rPr>
            </w:pPr>
            <w:r>
              <w:rPr>
                <w:rFonts w:ascii="Times New Roman" w:hAnsi="Times New Roman"/>
                <w:snapToGrid w:val="0"/>
                <w:szCs w:val="19"/>
              </w:rPr>
              <w:t>19 of 2010</w:t>
            </w:r>
          </w:p>
        </w:tc>
        <w:tc>
          <w:tcPr>
            <w:tcW w:w="1136" w:type="dxa"/>
            <w:gridSpan w:val="2"/>
          </w:tcPr>
          <w:p>
            <w:pPr>
              <w:pStyle w:val="nTable"/>
              <w:spacing w:after="40"/>
              <w:rPr>
                <w:rFonts w:ascii="Times New Roman" w:hAnsi="Times New Roman"/>
                <w:snapToGrid w:val="0"/>
                <w:szCs w:val="19"/>
              </w:rPr>
            </w:pPr>
            <w:r>
              <w:rPr>
                <w:rFonts w:ascii="Times New Roman" w:hAnsi="Times New Roman"/>
                <w:snapToGrid w:val="0"/>
                <w:szCs w:val="19"/>
              </w:rPr>
              <w:t>28 Jun 2010</w:t>
            </w:r>
          </w:p>
        </w:tc>
        <w:tc>
          <w:tcPr>
            <w:tcW w:w="2551" w:type="dxa"/>
            <w:gridSpan w:val="2"/>
          </w:tcPr>
          <w:p>
            <w:pPr>
              <w:pStyle w:val="nTable"/>
              <w:spacing w:after="40"/>
              <w:rPr>
                <w:rFonts w:ascii="Times New Roman" w:hAnsi="Times New Roman"/>
                <w:snapToGrid w:val="0"/>
                <w:szCs w:val="19"/>
              </w:rPr>
            </w:pPr>
            <w:r>
              <w:rPr>
                <w:rFonts w:ascii="Times New Roman" w:hAnsi="Times New Roman"/>
                <w:snapToGrid w:val="0"/>
                <w:szCs w:val="19"/>
              </w:rPr>
              <w:t xml:space="preserve">11 Sep 2010 (see s. 2(b) and </w:t>
            </w:r>
            <w:r>
              <w:rPr>
                <w:rFonts w:ascii="Times New Roman" w:hAnsi="Times New Roman"/>
                <w:i/>
                <w:iCs/>
                <w:snapToGrid w:val="0"/>
                <w:szCs w:val="19"/>
              </w:rPr>
              <w:t>Gazette</w:t>
            </w:r>
            <w:r>
              <w:rPr>
                <w:rFonts w:ascii="Times New Roman" w:hAnsi="Times New Roman"/>
                <w:snapToGrid w:val="0"/>
                <w:szCs w:val="19"/>
              </w:rPr>
              <w:t xml:space="preserve"> 10 Sep 2010 p. 4341)</w:t>
            </w:r>
          </w:p>
        </w:tc>
      </w:tr>
      <w:tr>
        <w:trPr>
          <w:gridAfter w:val="1"/>
          <w:wAfter w:w="12" w:type="dxa"/>
          <w:cantSplit/>
        </w:trPr>
        <w:tc>
          <w:tcPr>
            <w:tcW w:w="7099" w:type="dxa"/>
            <w:gridSpan w:val="8"/>
          </w:tcPr>
          <w:p>
            <w:pPr>
              <w:pStyle w:val="nTable"/>
              <w:spacing w:after="40"/>
              <w:rPr>
                <w:rFonts w:ascii="Times New Roman" w:hAnsi="Times New Roman"/>
                <w:snapToGrid w:val="0"/>
                <w:szCs w:val="19"/>
              </w:rPr>
            </w:pPr>
            <w:r>
              <w:rPr>
                <w:rFonts w:ascii="Times New Roman" w:hAnsi="Times New Roman"/>
                <w:b/>
                <w:bCs/>
                <w:szCs w:val="19"/>
              </w:rPr>
              <w:t xml:space="preserve">Reprint 4:  The </w:t>
            </w:r>
            <w:r>
              <w:rPr>
                <w:rFonts w:ascii="Times New Roman" w:hAnsi="Times New Roman"/>
                <w:b/>
                <w:bCs/>
                <w:i/>
                <w:snapToGrid w:val="0"/>
                <w:szCs w:val="19"/>
              </w:rPr>
              <w:t xml:space="preserve">Taxation Administration Act 2003 </w:t>
            </w:r>
            <w:r>
              <w:rPr>
                <w:rFonts w:ascii="Times New Roman" w:hAnsi="Times New Roman"/>
                <w:b/>
                <w:bCs/>
                <w:szCs w:val="19"/>
              </w:rPr>
              <w:t>as at 3 Dec 2010</w:t>
            </w:r>
            <w:r>
              <w:rPr>
                <w:rFonts w:ascii="Times New Roman" w:hAnsi="Times New Roman"/>
                <w:szCs w:val="19"/>
              </w:rPr>
              <w:t xml:space="preserve"> (includes amendments listed above except those in the </w:t>
            </w:r>
            <w:r>
              <w:rPr>
                <w:rFonts w:ascii="Times New Roman" w:hAnsi="Times New Roman"/>
                <w:i/>
                <w:snapToGrid w:val="0"/>
                <w:szCs w:val="19"/>
              </w:rPr>
              <w:t>Biosecurity and Agriculture Management (Repeal and Consequential Provisions) Act 2007</w:t>
            </w:r>
            <w:r>
              <w:rPr>
                <w:rFonts w:ascii="Times New Roman" w:hAnsi="Times New Roman"/>
                <w:szCs w:val="19"/>
              </w:rPr>
              <w:t>)</w:t>
            </w:r>
          </w:p>
        </w:tc>
      </w:tr>
      <w:tr>
        <w:trPr>
          <w:gridAfter w:val="1"/>
          <w:wAfter w:w="12" w:type="dxa"/>
          <w:cantSplit/>
        </w:trPr>
        <w:tc>
          <w:tcPr>
            <w:tcW w:w="2273" w:type="dxa"/>
            <w:gridSpan w:val="2"/>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Road Traffic Legislation Amendment Act 2012 </w:t>
            </w:r>
            <w:r>
              <w:rPr>
                <w:rFonts w:ascii="Times New Roman" w:hAnsi="Times New Roman"/>
                <w:snapToGrid w:val="0"/>
                <w:szCs w:val="19"/>
              </w:rPr>
              <w:t>Pt. 4 Div. 48</w:t>
            </w:r>
          </w:p>
        </w:tc>
        <w:tc>
          <w:tcPr>
            <w:tcW w:w="1139" w:type="dxa"/>
            <w:gridSpan w:val="2"/>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6" w:type="dxa"/>
            <w:gridSpan w:val="2"/>
          </w:tcPr>
          <w:p>
            <w:pPr>
              <w:pStyle w:val="nTable"/>
              <w:spacing w:after="40"/>
              <w:rPr>
                <w:rFonts w:ascii="Times New Roman" w:hAnsi="Times New Roman"/>
                <w:snapToGrid w:val="0"/>
                <w:szCs w:val="19"/>
              </w:rPr>
            </w:pPr>
            <w:r>
              <w:rPr>
                <w:rFonts w:ascii="Times New Roman" w:hAnsi="Times New Roman"/>
                <w:snapToGrid w:val="0"/>
                <w:szCs w:val="19"/>
              </w:rPr>
              <w:t>21 May 2012</w:t>
            </w:r>
          </w:p>
        </w:tc>
        <w:tc>
          <w:tcPr>
            <w:tcW w:w="2551" w:type="dxa"/>
            <w:gridSpan w:val="2"/>
          </w:tcPr>
          <w:p>
            <w:pPr>
              <w:pStyle w:val="nTable"/>
              <w:spacing w:after="40"/>
              <w:rPr>
                <w:rFonts w:ascii="Times New Roman" w:hAnsi="Times New Roman"/>
                <w:snapToGrid w:val="0"/>
                <w:szCs w:val="19"/>
              </w:rPr>
            </w:pPr>
            <w:r>
              <w:rPr>
                <w:rFonts w:ascii="Times New Roman" w:hAnsi="Times New Roman"/>
                <w:snapToGrid w:val="0"/>
                <w:szCs w:val="19"/>
              </w:rPr>
              <w:t xml:space="preserve">27 Apr 2015 (see s. 2(d) and </w:t>
            </w:r>
            <w:r>
              <w:rPr>
                <w:rFonts w:ascii="Times New Roman" w:hAnsi="Times New Roman"/>
                <w:i/>
                <w:snapToGrid w:val="0"/>
                <w:szCs w:val="19"/>
              </w:rPr>
              <w:t>Gazette</w:t>
            </w:r>
            <w:r>
              <w:rPr>
                <w:rFonts w:ascii="Times New Roman" w:hAnsi="Times New Roman"/>
                <w:snapToGrid w:val="0"/>
                <w:szCs w:val="19"/>
              </w:rPr>
              <w:t xml:space="preserve"> 17 Apr 2015 p. 1371) </w:t>
            </w:r>
          </w:p>
        </w:tc>
      </w:tr>
      <w:tr>
        <w:trPr>
          <w:gridAfter w:val="1"/>
          <w:wAfter w:w="12" w:type="dxa"/>
          <w:cantSplit/>
        </w:trPr>
        <w:tc>
          <w:tcPr>
            <w:tcW w:w="2273" w:type="dxa"/>
            <w:gridSpan w:val="2"/>
          </w:tcPr>
          <w:p>
            <w:pPr>
              <w:pStyle w:val="nTable"/>
              <w:spacing w:after="40"/>
              <w:ind w:right="113"/>
              <w:rPr>
                <w:rFonts w:ascii="Times New Roman" w:hAnsi="Times New Roman"/>
                <w:iCs/>
                <w:snapToGrid w:val="0"/>
                <w:szCs w:val="19"/>
              </w:rPr>
            </w:pPr>
            <w:r>
              <w:rPr>
                <w:rFonts w:ascii="Times New Roman" w:hAnsi="Times New Roman"/>
                <w:i/>
                <w:snapToGrid w:val="0"/>
                <w:szCs w:val="19"/>
              </w:rPr>
              <w:t>Revenue Laws Amendment Act 2012</w:t>
            </w:r>
            <w:r>
              <w:rPr>
                <w:rFonts w:ascii="Times New Roman" w:hAnsi="Times New Roman"/>
                <w:snapToGrid w:val="0"/>
                <w:szCs w:val="19"/>
              </w:rPr>
              <w:t xml:space="preserve"> Pt. 8</w:t>
            </w:r>
          </w:p>
        </w:tc>
        <w:tc>
          <w:tcPr>
            <w:tcW w:w="1139" w:type="dxa"/>
            <w:gridSpan w:val="2"/>
          </w:tcPr>
          <w:p>
            <w:pPr>
              <w:pStyle w:val="nTable"/>
              <w:spacing w:after="40"/>
              <w:rPr>
                <w:rFonts w:ascii="Times New Roman" w:hAnsi="Times New Roman"/>
                <w:snapToGrid w:val="0"/>
                <w:szCs w:val="19"/>
              </w:rPr>
            </w:pPr>
            <w:r>
              <w:rPr>
                <w:rFonts w:ascii="Times New Roman" w:hAnsi="Times New Roman"/>
                <w:snapToGrid w:val="0"/>
                <w:szCs w:val="19"/>
              </w:rPr>
              <w:t>29 of 2012</w:t>
            </w:r>
          </w:p>
        </w:tc>
        <w:tc>
          <w:tcPr>
            <w:tcW w:w="1136" w:type="dxa"/>
            <w:gridSpan w:val="2"/>
          </w:tcPr>
          <w:p>
            <w:pPr>
              <w:pStyle w:val="nTable"/>
              <w:spacing w:after="40"/>
              <w:rPr>
                <w:rFonts w:ascii="Times New Roman" w:hAnsi="Times New Roman"/>
                <w:snapToGrid w:val="0"/>
                <w:szCs w:val="19"/>
              </w:rPr>
            </w:pPr>
            <w:r>
              <w:rPr>
                <w:rFonts w:ascii="Times New Roman" w:hAnsi="Times New Roman"/>
                <w:snapToGrid w:val="0"/>
                <w:szCs w:val="19"/>
              </w:rPr>
              <w:t>3 Sep 2012</w:t>
            </w:r>
          </w:p>
        </w:tc>
        <w:tc>
          <w:tcPr>
            <w:tcW w:w="2551" w:type="dxa"/>
            <w:gridSpan w:val="2"/>
          </w:tcPr>
          <w:p>
            <w:pPr>
              <w:pStyle w:val="nTable"/>
              <w:spacing w:after="40"/>
              <w:rPr>
                <w:rFonts w:ascii="Times New Roman" w:hAnsi="Times New Roman"/>
                <w:snapToGrid w:val="0"/>
                <w:szCs w:val="19"/>
              </w:rPr>
            </w:pPr>
            <w:r>
              <w:rPr>
                <w:rFonts w:ascii="Times New Roman" w:hAnsi="Times New Roman"/>
                <w:snapToGrid w:val="0"/>
                <w:szCs w:val="19"/>
              </w:rPr>
              <w:t>Heading to Pt. 8, s. 40 and 42(4): 1 Jul 2009 (see s. 2(d));</w:t>
            </w:r>
            <w:r>
              <w:rPr>
                <w:rFonts w:ascii="Times New Roman" w:hAnsi="Times New Roman"/>
                <w:snapToGrid w:val="0"/>
                <w:szCs w:val="19"/>
              </w:rPr>
              <w:br/>
              <w:t>s. 41, 42(1)-(3), 43 and 44: 4 Sep 2012 (see s. 2(e))</w:t>
            </w:r>
          </w:p>
        </w:tc>
      </w:tr>
      <w:tr>
        <w:trPr>
          <w:gridAfter w:val="1"/>
          <w:wAfter w:w="12" w:type="dxa"/>
          <w:cantSplit/>
        </w:trPr>
        <w:tc>
          <w:tcPr>
            <w:tcW w:w="2273" w:type="dxa"/>
            <w:gridSpan w:val="2"/>
          </w:tcPr>
          <w:p>
            <w:pPr>
              <w:pStyle w:val="nTable"/>
              <w:spacing w:after="40"/>
              <w:ind w:right="113"/>
              <w:rPr>
                <w:rFonts w:ascii="Times New Roman" w:hAnsi="Times New Roman"/>
                <w:snapToGrid w:val="0"/>
                <w:szCs w:val="19"/>
              </w:rPr>
            </w:pPr>
            <w:r>
              <w:rPr>
                <w:rFonts w:ascii="Times New Roman" w:hAnsi="Times New Roman"/>
                <w:i/>
                <w:snapToGrid w:val="0"/>
                <w:szCs w:val="19"/>
              </w:rPr>
              <w:t>Revenue Laws Amendment Act 2013</w:t>
            </w:r>
            <w:r>
              <w:rPr>
                <w:rFonts w:ascii="Times New Roman" w:hAnsi="Times New Roman"/>
                <w:snapToGrid w:val="0"/>
                <w:szCs w:val="19"/>
              </w:rPr>
              <w:t xml:space="preserve"> Pt. 2 Div. 2 and Pt. 3</w:t>
            </w:r>
          </w:p>
        </w:tc>
        <w:tc>
          <w:tcPr>
            <w:tcW w:w="1139" w:type="dxa"/>
            <w:gridSpan w:val="2"/>
          </w:tcPr>
          <w:p>
            <w:pPr>
              <w:pStyle w:val="nTable"/>
              <w:spacing w:after="40"/>
              <w:rPr>
                <w:rFonts w:ascii="Times New Roman" w:hAnsi="Times New Roman"/>
                <w:snapToGrid w:val="0"/>
                <w:szCs w:val="19"/>
              </w:rPr>
            </w:pPr>
            <w:r>
              <w:rPr>
                <w:rFonts w:ascii="Times New Roman" w:hAnsi="Times New Roman"/>
                <w:snapToGrid w:val="0"/>
                <w:szCs w:val="19"/>
              </w:rPr>
              <w:t>10 of 2013</w:t>
            </w:r>
          </w:p>
        </w:tc>
        <w:tc>
          <w:tcPr>
            <w:tcW w:w="1136" w:type="dxa"/>
            <w:gridSpan w:val="2"/>
          </w:tcPr>
          <w:p>
            <w:pPr>
              <w:pStyle w:val="nTable"/>
              <w:spacing w:after="40"/>
              <w:rPr>
                <w:rFonts w:ascii="Times New Roman" w:hAnsi="Times New Roman"/>
                <w:snapToGrid w:val="0"/>
                <w:szCs w:val="19"/>
              </w:rPr>
            </w:pPr>
            <w:r>
              <w:rPr>
                <w:rFonts w:ascii="Times New Roman" w:hAnsi="Times New Roman"/>
                <w:snapToGrid w:val="0"/>
                <w:szCs w:val="19"/>
              </w:rPr>
              <w:t>24 Sep 2013</w:t>
            </w:r>
          </w:p>
        </w:tc>
        <w:tc>
          <w:tcPr>
            <w:tcW w:w="2551" w:type="dxa"/>
            <w:gridSpan w:val="2"/>
          </w:tcPr>
          <w:p>
            <w:pPr>
              <w:pStyle w:val="nTable"/>
              <w:spacing w:after="40"/>
              <w:rPr>
                <w:rFonts w:ascii="Times New Roman" w:hAnsi="Times New Roman"/>
                <w:snapToGrid w:val="0"/>
                <w:szCs w:val="19"/>
              </w:rPr>
            </w:pPr>
            <w:r>
              <w:rPr>
                <w:rFonts w:ascii="Times New Roman" w:hAnsi="Times New Roman"/>
                <w:snapToGrid w:val="0"/>
                <w:szCs w:val="19"/>
              </w:rPr>
              <w:t>25 Sep 2013 (see s. 2(b))</w:t>
            </w:r>
          </w:p>
        </w:tc>
      </w:tr>
      <w:tr>
        <w:trPr>
          <w:gridAfter w:val="1"/>
          <w:wAfter w:w="12" w:type="dxa"/>
          <w:cantSplit/>
        </w:trPr>
        <w:tc>
          <w:tcPr>
            <w:tcW w:w="2273" w:type="dxa"/>
            <w:gridSpan w:val="2"/>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Electronic Conveyancing Act 2014 </w:t>
            </w:r>
            <w:r>
              <w:rPr>
                <w:rFonts w:ascii="Times New Roman" w:hAnsi="Times New Roman"/>
                <w:snapToGrid w:val="0"/>
                <w:szCs w:val="19"/>
              </w:rPr>
              <w:t>Pt. 8 </w:t>
            </w:r>
          </w:p>
        </w:tc>
        <w:tc>
          <w:tcPr>
            <w:tcW w:w="1139" w:type="dxa"/>
            <w:gridSpan w:val="2"/>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 of 2014</w:t>
            </w:r>
          </w:p>
        </w:tc>
        <w:tc>
          <w:tcPr>
            <w:tcW w:w="1136" w:type="dxa"/>
            <w:gridSpan w:val="2"/>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24 Mar 2014</w:t>
            </w:r>
          </w:p>
        </w:tc>
        <w:tc>
          <w:tcPr>
            <w:tcW w:w="2551" w:type="dxa"/>
            <w:gridSpan w:val="2"/>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3 Jun 2014 (see s. 2(c) and </w:t>
            </w:r>
            <w:r>
              <w:rPr>
                <w:rFonts w:ascii="Times New Roman" w:hAnsi="Times New Roman"/>
                <w:i/>
                <w:snapToGrid w:val="0"/>
                <w:szCs w:val="19"/>
              </w:rPr>
              <w:t xml:space="preserve">Gazette </w:t>
            </w:r>
            <w:r>
              <w:rPr>
                <w:rFonts w:ascii="Times New Roman" w:hAnsi="Times New Roman"/>
                <w:snapToGrid w:val="0"/>
                <w:szCs w:val="19"/>
              </w:rPr>
              <w:t>30 May 2014 p. 1679)</w:t>
            </w:r>
          </w:p>
        </w:tc>
      </w:tr>
      <w:tr>
        <w:tblPrEx>
          <w:tblBorders>
            <w:top w:val="single" w:sz="8" w:space="0" w:color="auto"/>
            <w:bottom w:val="single" w:sz="8" w:space="0" w:color="auto"/>
            <w:insideH w:val="single" w:sz="8" w:space="0" w:color="auto"/>
          </w:tblBorders>
        </w:tblPrEx>
        <w:trPr>
          <w:gridAfter w:val="1"/>
          <w:wAfter w:w="12" w:type="dxa"/>
          <w:cantSplit/>
        </w:trPr>
        <w:tc>
          <w:tcPr>
            <w:tcW w:w="2273" w:type="dxa"/>
            <w:gridSpan w:val="2"/>
            <w:tcBorders>
              <w:top w:val="nil"/>
              <w:bottom w:val="nil"/>
              <w:right w:val="nil"/>
            </w:tcBorders>
            <w:shd w:val="clear" w:color="auto" w:fill="auto"/>
          </w:tcPr>
          <w:p>
            <w:pPr>
              <w:pStyle w:val="nTable"/>
              <w:spacing w:after="40"/>
              <w:rPr>
                <w:rFonts w:ascii="Times New Roman" w:hAnsi="Times New Roman"/>
                <w:szCs w:val="19"/>
              </w:rPr>
            </w:pPr>
            <w:r>
              <w:rPr>
                <w:rFonts w:ascii="Times New Roman" w:hAnsi="Times New Roman"/>
                <w:i/>
                <w:szCs w:val="19"/>
              </w:rPr>
              <w:t>Taxation Legislation Amendment Act (No. 2) 2015</w:t>
            </w:r>
            <w:r>
              <w:rPr>
                <w:rFonts w:ascii="Times New Roman" w:hAnsi="Times New Roman"/>
                <w:szCs w:val="19"/>
              </w:rPr>
              <w:t xml:space="preserve"> Pt. 5</w:t>
            </w:r>
          </w:p>
        </w:tc>
        <w:tc>
          <w:tcPr>
            <w:tcW w:w="1139" w:type="dxa"/>
            <w:gridSpan w:val="2"/>
            <w:tcBorders>
              <w:top w:val="nil"/>
              <w:left w:val="nil"/>
              <w:bottom w:val="nil"/>
              <w:right w:val="nil"/>
            </w:tcBorders>
            <w:shd w:val="clear" w:color="auto" w:fill="auto"/>
          </w:tcPr>
          <w:p>
            <w:pPr>
              <w:pStyle w:val="nTable"/>
              <w:spacing w:after="40"/>
              <w:rPr>
                <w:rFonts w:ascii="Times New Roman" w:hAnsi="Times New Roman"/>
                <w:szCs w:val="19"/>
              </w:rPr>
            </w:pPr>
            <w:r>
              <w:rPr>
                <w:rFonts w:ascii="Times New Roman" w:hAnsi="Times New Roman"/>
                <w:szCs w:val="19"/>
              </w:rPr>
              <w:t xml:space="preserve">8 of 2015 </w:t>
            </w:r>
          </w:p>
        </w:tc>
        <w:tc>
          <w:tcPr>
            <w:tcW w:w="1136" w:type="dxa"/>
            <w:gridSpan w:val="2"/>
            <w:tcBorders>
              <w:top w:val="nil"/>
              <w:left w:val="nil"/>
              <w:bottom w:val="nil"/>
              <w:right w:val="nil"/>
            </w:tcBorders>
            <w:shd w:val="clear" w:color="auto" w:fill="auto"/>
          </w:tcPr>
          <w:p>
            <w:pPr>
              <w:pStyle w:val="nTable"/>
              <w:spacing w:after="40"/>
              <w:rPr>
                <w:rFonts w:ascii="Times New Roman" w:hAnsi="Times New Roman"/>
                <w:szCs w:val="19"/>
              </w:rPr>
            </w:pPr>
            <w:r>
              <w:rPr>
                <w:rFonts w:ascii="Times New Roman" w:hAnsi="Times New Roman"/>
                <w:szCs w:val="19"/>
              </w:rPr>
              <w:t>9 Mar 2015</w:t>
            </w:r>
          </w:p>
        </w:tc>
        <w:tc>
          <w:tcPr>
            <w:tcW w:w="2551" w:type="dxa"/>
            <w:gridSpan w:val="2"/>
            <w:tcBorders>
              <w:top w:val="nil"/>
              <w:left w:val="nil"/>
              <w:bottom w:val="nil"/>
            </w:tcBorders>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10 Mar 2015 (see s. 2(b))</w:t>
            </w:r>
          </w:p>
        </w:tc>
      </w:tr>
      <w:tr>
        <w:tblPrEx>
          <w:tblBorders>
            <w:top w:val="single" w:sz="8" w:space="0" w:color="auto"/>
            <w:bottom w:val="single" w:sz="8" w:space="0" w:color="auto"/>
            <w:insideH w:val="single" w:sz="8" w:space="0" w:color="auto"/>
          </w:tblBorders>
        </w:tblPrEx>
        <w:trPr>
          <w:gridAfter w:val="1"/>
          <w:wAfter w:w="12" w:type="dxa"/>
          <w:cantSplit/>
        </w:trPr>
        <w:tc>
          <w:tcPr>
            <w:tcW w:w="2273" w:type="dxa"/>
            <w:gridSpan w:val="2"/>
            <w:tcBorders>
              <w:top w:val="nil"/>
              <w:bottom w:val="nil"/>
              <w:right w:val="nil"/>
            </w:tcBorders>
            <w:shd w:val="clear" w:color="auto" w:fill="auto"/>
          </w:tcPr>
          <w:p>
            <w:pPr>
              <w:pStyle w:val="nTable"/>
              <w:spacing w:after="40"/>
              <w:rPr>
                <w:rFonts w:ascii="Times New Roman" w:hAnsi="Times New Roman"/>
                <w:i/>
                <w:szCs w:val="19"/>
              </w:rPr>
            </w:pPr>
            <w:r>
              <w:rPr>
                <w:rFonts w:ascii="Times New Roman" w:hAnsi="Times New Roman"/>
                <w:i/>
                <w:noProof/>
                <w:szCs w:val="19"/>
              </w:rPr>
              <w:t xml:space="preserve">Associations Incorporation Act 2015 </w:t>
            </w:r>
            <w:r>
              <w:rPr>
                <w:rFonts w:ascii="Times New Roman" w:hAnsi="Times New Roman"/>
                <w:noProof/>
                <w:szCs w:val="19"/>
              </w:rPr>
              <w:t>s. 229</w:t>
            </w:r>
          </w:p>
        </w:tc>
        <w:tc>
          <w:tcPr>
            <w:tcW w:w="1139" w:type="dxa"/>
            <w:gridSpan w:val="2"/>
            <w:tcBorders>
              <w:top w:val="nil"/>
              <w:left w:val="nil"/>
              <w:bottom w:val="nil"/>
              <w:right w:val="nil"/>
            </w:tcBorders>
            <w:shd w:val="clear" w:color="auto" w:fill="auto"/>
          </w:tcPr>
          <w:p>
            <w:pPr>
              <w:pStyle w:val="nTable"/>
              <w:spacing w:after="40"/>
              <w:rPr>
                <w:rFonts w:ascii="Times New Roman" w:hAnsi="Times New Roman"/>
                <w:szCs w:val="19"/>
              </w:rPr>
            </w:pPr>
            <w:r>
              <w:rPr>
                <w:rFonts w:ascii="Times New Roman" w:hAnsi="Times New Roman"/>
                <w:szCs w:val="19"/>
              </w:rPr>
              <w:t>30 of 2015</w:t>
            </w:r>
          </w:p>
        </w:tc>
        <w:tc>
          <w:tcPr>
            <w:tcW w:w="1136" w:type="dxa"/>
            <w:gridSpan w:val="2"/>
            <w:tcBorders>
              <w:top w:val="nil"/>
              <w:left w:val="nil"/>
              <w:bottom w:val="nil"/>
              <w:right w:val="nil"/>
            </w:tcBorders>
            <w:shd w:val="clear" w:color="auto" w:fill="auto"/>
          </w:tcPr>
          <w:p>
            <w:pPr>
              <w:pStyle w:val="nTable"/>
              <w:spacing w:after="40"/>
              <w:rPr>
                <w:rFonts w:ascii="Times New Roman" w:hAnsi="Times New Roman"/>
                <w:szCs w:val="19"/>
              </w:rPr>
            </w:pPr>
            <w:r>
              <w:rPr>
                <w:rFonts w:ascii="Times New Roman" w:hAnsi="Times New Roman"/>
                <w:szCs w:val="19"/>
              </w:rPr>
              <w:t>2 Nov 2015</w:t>
            </w:r>
          </w:p>
        </w:tc>
        <w:tc>
          <w:tcPr>
            <w:tcW w:w="2551" w:type="dxa"/>
            <w:gridSpan w:val="2"/>
            <w:tcBorders>
              <w:top w:val="nil"/>
              <w:left w:val="nil"/>
              <w:bottom w:val="nil"/>
            </w:tcBorders>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Jul 2016 (see s. 2(b) and </w:t>
            </w:r>
            <w:r>
              <w:rPr>
                <w:rFonts w:ascii="Times New Roman" w:hAnsi="Times New Roman"/>
                <w:i/>
                <w:snapToGrid w:val="0"/>
                <w:szCs w:val="19"/>
              </w:rPr>
              <w:t>Gazette</w:t>
            </w:r>
            <w:r>
              <w:rPr>
                <w:rFonts w:ascii="Times New Roman" w:hAnsi="Times New Roman"/>
                <w:snapToGrid w:val="0"/>
                <w:szCs w:val="19"/>
              </w:rPr>
              <w:t xml:space="preserve"> 24 Jun 2016 p. 2291-2)</w:t>
            </w:r>
          </w:p>
        </w:tc>
      </w:tr>
      <w:tr>
        <w:tblPrEx>
          <w:tblBorders>
            <w:top w:val="single" w:sz="8" w:space="0" w:color="auto"/>
            <w:bottom w:val="single" w:sz="8" w:space="0" w:color="auto"/>
            <w:insideH w:val="single" w:sz="8" w:space="0" w:color="auto"/>
          </w:tblBorders>
        </w:tblPrEx>
        <w:trPr>
          <w:gridAfter w:val="1"/>
          <w:wAfter w:w="12" w:type="dxa"/>
          <w:cantSplit/>
        </w:trPr>
        <w:tc>
          <w:tcPr>
            <w:tcW w:w="7099" w:type="dxa"/>
            <w:gridSpan w:val="8"/>
            <w:tcBorders>
              <w:top w:val="nil"/>
              <w:bottom w:val="nil"/>
            </w:tcBorders>
            <w:shd w:val="clear" w:color="auto" w:fill="auto"/>
          </w:tcPr>
          <w:p>
            <w:pPr>
              <w:pStyle w:val="nTable"/>
              <w:spacing w:after="40"/>
              <w:rPr>
                <w:rFonts w:ascii="Times New Roman" w:hAnsi="Times New Roman"/>
                <w:snapToGrid w:val="0"/>
                <w:szCs w:val="19"/>
              </w:rPr>
            </w:pPr>
            <w:r>
              <w:rPr>
                <w:rFonts w:ascii="Times New Roman" w:hAnsi="Times New Roman"/>
                <w:b/>
                <w:snapToGrid w:val="0"/>
                <w:szCs w:val="19"/>
              </w:rPr>
              <w:t xml:space="preserve">Reprint 5: The </w:t>
            </w:r>
            <w:r>
              <w:rPr>
                <w:rFonts w:ascii="Times New Roman" w:hAnsi="Times New Roman"/>
                <w:b/>
                <w:i/>
                <w:noProof/>
                <w:snapToGrid w:val="0"/>
                <w:szCs w:val="19"/>
              </w:rPr>
              <w:t>Taxation Administration Act 2003</w:t>
            </w:r>
            <w:r>
              <w:rPr>
                <w:rFonts w:ascii="Times New Roman" w:hAnsi="Times New Roman"/>
                <w:b/>
                <w:snapToGrid w:val="0"/>
                <w:szCs w:val="19"/>
              </w:rPr>
              <w:t xml:space="preserve"> as at 22 Apr 2016</w:t>
            </w:r>
            <w:r>
              <w:rPr>
                <w:rFonts w:ascii="Times New Roman" w:hAnsi="Times New Roman"/>
                <w:snapToGrid w:val="0"/>
                <w:szCs w:val="19"/>
              </w:rPr>
              <w:t xml:space="preserve"> (includes amendments listed above except those in the </w:t>
            </w:r>
            <w:r>
              <w:rPr>
                <w:rFonts w:ascii="Times New Roman" w:hAnsi="Times New Roman"/>
                <w:i/>
                <w:snapToGrid w:val="0"/>
                <w:szCs w:val="19"/>
              </w:rPr>
              <w:t>Associations Incorporation Act 2015</w:t>
            </w:r>
            <w:r>
              <w:rPr>
                <w:rFonts w:ascii="Times New Roman" w:hAnsi="Times New Roman"/>
                <w:snapToGrid w:val="0"/>
                <w:szCs w:val="19"/>
              </w:rPr>
              <w:t>)</w:t>
            </w:r>
          </w:p>
        </w:tc>
      </w:tr>
      <w:tr>
        <w:tblPrEx>
          <w:tblBorders>
            <w:top w:val="single" w:sz="8" w:space="0" w:color="auto"/>
            <w:bottom w:val="single" w:sz="8" w:space="0" w:color="auto"/>
            <w:insideH w:val="single" w:sz="8" w:space="0" w:color="auto"/>
          </w:tblBorders>
        </w:tblPrEx>
        <w:trPr>
          <w:gridBefore w:val="1"/>
          <w:wBefore w:w="28" w:type="dxa"/>
        </w:trPr>
        <w:tc>
          <w:tcPr>
            <w:tcW w:w="2338" w:type="dxa"/>
            <w:gridSpan w:val="2"/>
            <w:tcBorders>
              <w:top w:val="nil"/>
              <w:bottom w:val="single" w:sz="4" w:space="0" w:color="auto"/>
              <w:right w:val="nil"/>
            </w:tcBorders>
            <w:shd w:val="clear" w:color="auto" w:fill="auto"/>
          </w:tcPr>
          <w:p>
            <w:pPr>
              <w:pStyle w:val="nTable"/>
              <w:spacing w:after="40"/>
              <w:rPr>
                <w:i/>
                <w:snapToGrid w:val="0"/>
              </w:rPr>
            </w:pPr>
            <w:r>
              <w:rPr>
                <w:i/>
              </w:rPr>
              <w:t>Betting Tax Assessment Act 2018</w:t>
            </w:r>
            <w:r>
              <w:t xml:space="preserve"> Pt. 8 Div. 1 Subdiv. 4</w:t>
            </w:r>
            <w:r>
              <w:rPr>
                <w:vertAlign w:val="superscript"/>
              </w:rPr>
              <w:t> </w:t>
            </w:r>
          </w:p>
        </w:tc>
        <w:tc>
          <w:tcPr>
            <w:tcW w:w="1064" w:type="dxa"/>
            <w:gridSpan w:val="2"/>
            <w:tcBorders>
              <w:top w:val="nil"/>
              <w:left w:val="nil"/>
              <w:bottom w:val="single" w:sz="4" w:space="0" w:color="auto"/>
              <w:right w:val="nil"/>
            </w:tcBorders>
            <w:shd w:val="clear" w:color="auto" w:fill="auto"/>
          </w:tcPr>
          <w:p>
            <w:pPr>
              <w:pStyle w:val="nTable"/>
              <w:spacing w:after="40"/>
            </w:pPr>
            <w:r>
              <w:t>37 of 2018</w:t>
            </w:r>
          </w:p>
        </w:tc>
        <w:tc>
          <w:tcPr>
            <w:tcW w:w="1134" w:type="dxa"/>
            <w:gridSpan w:val="2"/>
            <w:tcBorders>
              <w:top w:val="nil"/>
              <w:left w:val="nil"/>
              <w:bottom w:val="single" w:sz="4" w:space="0" w:color="auto"/>
              <w:right w:val="nil"/>
            </w:tcBorders>
            <w:shd w:val="clear" w:color="auto" w:fill="auto"/>
          </w:tcPr>
          <w:p>
            <w:pPr>
              <w:pStyle w:val="nTable"/>
              <w:spacing w:after="40"/>
            </w:pPr>
            <w:r>
              <w:t>12 Dec 2018</w:t>
            </w:r>
          </w:p>
        </w:tc>
        <w:tc>
          <w:tcPr>
            <w:tcW w:w="2547" w:type="dxa"/>
            <w:gridSpan w:val="2"/>
            <w:tcBorders>
              <w:top w:val="nil"/>
              <w:left w:val="nil"/>
              <w:bottom w:val="single" w:sz="4" w:space="0" w:color="auto"/>
            </w:tcBorders>
            <w:shd w:val="clear" w:color="auto" w:fill="auto"/>
          </w:tcPr>
          <w:p>
            <w:pPr>
              <w:pStyle w:val="nTable"/>
              <w:spacing w:after="40"/>
              <w:rPr>
                <w:snapToGrid w:val="0"/>
              </w:rPr>
            </w:pPr>
            <w:r>
              <w:t>1 Jan 2019 (see s. 2(c))</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4" w:name="_Toc525286585"/>
      <w:bookmarkStart w:id="405" w:name="_Toc2150569"/>
      <w:r>
        <w:t>Provisions that have not come into operation</w:t>
      </w:r>
      <w:bookmarkEnd w:id="404"/>
      <w:bookmarkEnd w:id="405"/>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blPrEx>
          <w:tblBorders>
            <w:top w:val="single" w:sz="8" w:space="0" w:color="auto"/>
            <w:bottom w:val="single" w:sz="8" w:space="0" w:color="auto"/>
            <w:insideH w:val="single" w:sz="8" w:space="0" w:color="auto"/>
          </w:tblBorders>
        </w:tblPrEx>
        <w:tc>
          <w:tcPr>
            <w:tcW w:w="2338" w:type="dxa"/>
            <w:tcBorders>
              <w:top w:val="single" w:sz="8" w:space="0" w:color="auto"/>
              <w:bottom w:val="single" w:sz="4" w:space="0" w:color="auto"/>
              <w:right w:val="nil"/>
            </w:tcBorders>
            <w:shd w:val="clear" w:color="auto" w:fill="auto"/>
          </w:tcPr>
          <w:p>
            <w:pPr>
              <w:pStyle w:val="nTable"/>
              <w:spacing w:after="40"/>
              <w:rPr>
                <w:snapToGrid w:val="0"/>
              </w:rPr>
            </w:pPr>
            <w:r>
              <w:rPr>
                <w:i/>
                <w:snapToGrid w:val="0"/>
              </w:rPr>
              <w:t>Transport (Road Passenger Services) Act 2018</w:t>
            </w:r>
            <w:r>
              <w:rPr>
                <w:snapToGrid w:val="0"/>
              </w:rPr>
              <w:t xml:space="preserve"> Pt. 14 Div. 2 Subdiv. 8</w:t>
            </w:r>
            <w:r>
              <w:rPr>
                <w:snapToGrid w:val="0"/>
                <w:vertAlign w:val="superscript"/>
              </w:rPr>
              <w:t> 10</w:t>
            </w:r>
          </w:p>
        </w:tc>
        <w:tc>
          <w:tcPr>
            <w:tcW w:w="1064" w:type="dxa"/>
            <w:tcBorders>
              <w:top w:val="single" w:sz="8" w:space="0" w:color="auto"/>
              <w:left w:val="nil"/>
              <w:bottom w:val="single" w:sz="4" w:space="0" w:color="auto"/>
              <w:right w:val="nil"/>
            </w:tcBorders>
            <w:shd w:val="clear" w:color="auto" w:fill="auto"/>
          </w:tcPr>
          <w:p>
            <w:pPr>
              <w:pStyle w:val="nTable"/>
              <w:spacing w:after="40"/>
            </w:pPr>
            <w:r>
              <w:t>26 of 2018</w:t>
            </w:r>
          </w:p>
        </w:tc>
        <w:tc>
          <w:tcPr>
            <w:tcW w:w="1134" w:type="dxa"/>
            <w:tcBorders>
              <w:top w:val="single" w:sz="8" w:space="0" w:color="auto"/>
              <w:left w:val="nil"/>
              <w:bottom w:val="single" w:sz="4" w:space="0" w:color="auto"/>
              <w:right w:val="nil"/>
            </w:tcBorders>
            <w:shd w:val="clear" w:color="auto" w:fill="auto"/>
          </w:tcPr>
          <w:p>
            <w:pPr>
              <w:pStyle w:val="nTable"/>
              <w:spacing w:after="40"/>
            </w:pPr>
            <w:r>
              <w:t>30 Oct 2018</w:t>
            </w:r>
          </w:p>
        </w:tc>
        <w:tc>
          <w:tcPr>
            <w:tcW w:w="2547" w:type="dxa"/>
            <w:tcBorders>
              <w:top w:val="single" w:sz="8" w:space="0" w:color="auto"/>
              <w:left w:val="nil"/>
              <w:bottom w:val="single" w:sz="4" w:space="0" w:color="auto"/>
            </w:tcBorders>
            <w:shd w:val="clear" w:color="auto" w:fill="auto"/>
          </w:tcPr>
          <w:p>
            <w:pPr>
              <w:pStyle w:val="nTable"/>
              <w:spacing w:after="40"/>
              <w:rPr>
                <w:snapToGrid w:val="0"/>
              </w:rPr>
            </w:pPr>
            <w:r>
              <w:rPr>
                <w:snapToGrid w:val="0"/>
              </w:rPr>
              <w:t xml:space="preserve">1 Apr 2019 (see s. 2(b) and </w:t>
            </w:r>
            <w:r>
              <w:rPr>
                <w:i/>
                <w:snapToGrid w:val="0"/>
              </w:rPr>
              <w:t>Gazette</w:t>
            </w:r>
            <w:r>
              <w:rPr>
                <w:snapToGrid w:val="0"/>
              </w:rPr>
              <w:t xml:space="preserve"> 26 Feb 2019 p. 449</w:t>
            </w:r>
            <w:r>
              <w:rPr>
                <w:snapToGrid w:val="0"/>
              </w:rPr>
              <w:noBreakHyphen/>
              <w:t>50)</w:t>
            </w:r>
          </w:p>
        </w:tc>
      </w:tr>
    </w:tbl>
    <w:p>
      <w:pPr>
        <w:pStyle w:val="nSubsection"/>
        <w:keepNext/>
        <w:spacing w:before="120"/>
      </w:pPr>
      <w:r>
        <w:rPr>
          <w:vertAlign w:val="superscript"/>
        </w:rPr>
        <w:t>1M</w:t>
      </w:r>
      <w:r>
        <w:tab/>
        <w:t xml:space="preserve">Under the </w:t>
      </w:r>
      <w:r>
        <w:rPr>
          <w:i/>
        </w:rPr>
        <w:t>Commonwealth Places (Mirror Taxes Administration) Act 1999</w:t>
      </w:r>
      <w:r>
        <w:t xml:space="preserve"> s. 7 this Act is to be read and construed with any modifications referred to in subsection (1) of that section and with the modifications provided for in the </w:t>
      </w:r>
      <w:r>
        <w:rPr>
          <w:i/>
        </w:rPr>
        <w:t xml:space="preserve">Commonwealth Places (Mirror Taxes Administration) Regulations </w:t>
      </w:r>
      <w:r>
        <w:t>2007 r. 4 and Pt. 7 Div. 1. Part 7 Div. 1 of those regulations reads as follows:</w:t>
      </w:r>
    </w:p>
    <w:p>
      <w:pPr>
        <w:pStyle w:val="BlankOpen"/>
      </w:pP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nzHeading5"/>
        <w:keepNext w:val="0"/>
        <w:keepLines w:val="0"/>
        <w:spacing w:before="80"/>
      </w:pPr>
      <w:r>
        <w:t>47.</w:t>
      </w:r>
      <w:r>
        <w:tab/>
        <w:t>Sections 5A and 5B inserted</w:t>
      </w:r>
    </w:p>
    <w:p>
      <w:pPr>
        <w:pStyle w:val="nzSubsection"/>
      </w:pPr>
      <w:r>
        <w:tab/>
      </w:r>
      <w:r>
        <w:tab/>
        <w:t xml:space="preserve">After section 5 the following sections are inserted — </w:t>
      </w:r>
    </w:p>
    <w:p>
      <w:pPr>
        <w:pStyle w:val="MiscOpen"/>
        <w:ind w:left="567"/>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keepNext/>
      </w:pPr>
      <w:r>
        <w:tab/>
        <w:t>(c)</w:t>
      </w:r>
      <w:r>
        <w:tab/>
        <w:t xml:space="preserve">a reference to any of the following Acts is to be read as a reference to the Act of that name in its application as a law of </w:t>
      </w:r>
      <w:smartTag w:uri="urn:schemas-microsoft-com:office:smarttags" w:element="place">
        <w:smartTag w:uri="urn:schemas-microsoft-com:office:smarttags" w:element="State">
          <w:r>
            <w:t>Western Australia</w:t>
          </w:r>
        </w:smartTag>
      </w:smartTag>
      <w:r>
        <w:t xml:space="preserve"> — </w:t>
      </w:r>
    </w:p>
    <w:p>
      <w:pPr>
        <w:pStyle w:val="nzIndenti"/>
      </w:pPr>
      <w:r>
        <w:tab/>
        <w:t>(i)</w:t>
      </w:r>
      <w:r>
        <w:tab/>
        <w:t xml:space="preserve">the </w:t>
      </w:r>
      <w:r>
        <w:rPr>
          <w:i/>
          <w:iCs/>
        </w:rPr>
        <w:t>Debits Tax Act 2002</w:t>
      </w:r>
      <w:r>
        <w:t>;</w:t>
      </w:r>
    </w:p>
    <w:p>
      <w:pPr>
        <w:pStyle w:val="nzIndenti"/>
        <w:keepNext/>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8"/>
      </w:pPr>
      <w:r>
        <w:t xml:space="preserve">    ”.</w:t>
      </w:r>
    </w:p>
    <w:p>
      <w:pPr>
        <w:pStyle w:val="nzHeading5"/>
        <w:keepNext w:val="0"/>
        <w:keepLines w:val="0"/>
        <w:spacing w:before="60"/>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spacing w:before="80"/>
        <w:ind w:left="879"/>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spacing w:before="60"/>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keepNext/>
        <w:keepLines/>
      </w:pPr>
      <w:r>
        <w:tab/>
        <w:t>(b)</w:t>
      </w:r>
      <w:r>
        <w:tab/>
        <w:t xml:space="preserve">in paragraph (a) by inserting after “the taxation Act” — </w:t>
      </w:r>
    </w:p>
    <w:p>
      <w:pPr>
        <w:pStyle w:val="nzMiscellaneousBody"/>
        <w:keepNext/>
        <w:keepLines/>
        <w:tabs>
          <w:tab w:val="left" w:pos="1418"/>
          <w:tab w:val="left" w:pos="2160"/>
        </w:tabs>
        <w:spacing w:before="40"/>
        <w:ind w:left="1985" w:hanging="1418"/>
      </w:pPr>
      <w:r>
        <w:tab/>
      </w:r>
      <w:r>
        <w:tab/>
      </w:r>
      <w:r>
        <w:tab/>
        <w:t>“    or the applied taxation Act    ”;</w:t>
      </w:r>
    </w:p>
    <w:p>
      <w:pPr>
        <w:pStyle w:val="nzIndenta"/>
        <w:keepNext/>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spacing w:before="60"/>
      </w:pPr>
      <w:r>
        <w:t>50.</w:t>
      </w:r>
      <w:r>
        <w:tab/>
        <w:t>Glossary modified</w:t>
      </w:r>
    </w:p>
    <w:p>
      <w:pPr>
        <w:pStyle w:val="nzSubsection"/>
      </w:pPr>
      <w:r>
        <w:tab/>
      </w:r>
      <w:r>
        <w:tab/>
        <w:t>The Glossary is modified by inserting in their appropriate alphabetical positions —</w:t>
      </w:r>
    </w:p>
    <w:p>
      <w:pPr>
        <w:pStyle w:val="MiscOpen"/>
        <w:keepNext w:val="0"/>
        <w:keepLines w:val="0"/>
        <w:spacing w:before="80"/>
        <w:ind w:left="879"/>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pPr>
      <w:r>
        <w:rPr>
          <w:vertAlign w:val="superscript"/>
        </w:rPr>
        <w:t>1MC</w:t>
      </w:r>
      <w:r>
        <w:tab/>
        <w:t xml:space="preserve">Under the </w:t>
      </w:r>
      <w:r>
        <w:rPr>
          <w:i/>
        </w:rPr>
        <w:t>Commonwealth Places (Mirror Taxes) Act 1998</w:t>
      </w:r>
      <w:r>
        <w:t xml:space="preserve"> (Cth) s. 8, modifications to this Act, in its application as a Commonwealth law in Commonwealth places in Western Australia, may be prescribed. Modifications to this Act are prescribed in the </w:t>
      </w:r>
      <w:r>
        <w:rPr>
          <w:i/>
        </w:rPr>
        <w:t xml:space="preserve">Commonwealth Places (Mirror Taxes) (Modification of Applied Laws (WA)) Notice 2007 </w:t>
      </w:r>
      <w:r>
        <w:t>(Cth) cl. 5 and Pt. 7 Div. 1. Part 7 Div. 1 of that notice reads as follows:</w:t>
      </w:r>
    </w:p>
    <w:p>
      <w:pPr>
        <w:pStyle w:val="BlankClose"/>
        <w:rPr>
          <w:strike/>
        </w:rPr>
      </w:pPr>
    </w:p>
    <w:p>
      <w:pPr>
        <w:pStyle w:val="nzHeading2"/>
        <w:spacing w:before="160"/>
      </w:pPr>
      <w:r>
        <w:rPr>
          <w:rStyle w:val="CharPartNo"/>
        </w:rPr>
        <w:t>Part 7</w:t>
      </w:r>
      <w:r>
        <w:t> — </w:t>
      </w:r>
      <w:r>
        <w:rPr>
          <w:rStyle w:val="CharPartText"/>
        </w:rPr>
        <w:t>Taxation administration</w:t>
      </w:r>
    </w:p>
    <w:p>
      <w:pPr>
        <w:pStyle w:val="nzHeading3"/>
        <w:spacing w:before="240"/>
      </w:pPr>
      <w:r>
        <w:rPr>
          <w:rStyle w:val="CharDivNo"/>
        </w:rPr>
        <w:t>Division 1</w:t>
      </w:r>
      <w:r>
        <w:t> — </w:t>
      </w:r>
      <w:r>
        <w:rPr>
          <w:rStyle w:val="CharDivText"/>
        </w:rPr>
        <w:t xml:space="preserve">The applied </w:t>
      </w:r>
      <w:r>
        <w:rPr>
          <w:rStyle w:val="CharDivText"/>
          <w:i/>
          <w:iCs/>
        </w:rPr>
        <w:t>Taxation Administration Act 2003</w:t>
      </w:r>
    </w:p>
    <w:p>
      <w:pPr>
        <w:pStyle w:val="nzHeading5"/>
        <w:spacing w:before="220"/>
      </w:pPr>
      <w:r>
        <w:rPr>
          <w:rStyle w:val="CharSectno"/>
        </w:rPr>
        <w:t>48</w:t>
      </w:r>
      <w:r>
        <w:t>.</w:t>
      </w:r>
      <w:r>
        <w:tab/>
        <w:t xml:space="preserve">Modification of the applied </w:t>
      </w:r>
      <w:r>
        <w:rPr>
          <w:i/>
          <w:iCs/>
        </w:rPr>
        <w:t>Taxation Administration Act 2003</w:t>
      </w:r>
    </w:p>
    <w:p>
      <w:pPr>
        <w:pStyle w:val="nzSubsection"/>
        <w:spacing w:before="160"/>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spacing w:before="60"/>
        <w:ind w:left="1338"/>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Section 5 is modified by deleting “</w:t>
      </w:r>
      <w:smartTag w:uri="urn:schemas-microsoft-com:office:smarttags" w:element="place">
        <w:smartTag w:uri="urn:schemas-microsoft-com:office:smarttags" w:element="State">
          <w:r>
            <w:t>Western Australia</w:t>
          </w:r>
        </w:smartTag>
      </w:smartTag>
      <w:r>
        <w:t xml:space="preserve">”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keepNext/>
        <w:keepLines/>
      </w:pPr>
      <w:r>
        <w:tab/>
      </w:r>
      <w:r>
        <w:tab/>
        <w:t xml:space="preserve">After section 5 the following sections are inserted — </w:t>
      </w:r>
    </w:p>
    <w:p>
      <w:pPr>
        <w:pStyle w:val="MiscOpen"/>
        <w:spacing w:before="80"/>
        <w:ind w:left="567"/>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keepNext/>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place">
        <w:smartTag w:uri="urn:schemas-microsoft-com:office:smarttags" w:element="Stat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ind w:left="567"/>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xml:space="preserve">“    a State other than </w:t>
      </w:r>
      <w:smartTag w:uri="urn:schemas-microsoft-com:office:smarttags" w:element="place">
        <w:smartTag w:uri="urn:schemas-microsoft-com:office:smarttags" w:element="State">
          <w:r>
            <w:t>Western Australia</w:t>
          </w:r>
        </w:smartTag>
      </w:smartTag>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t>
      </w:r>
      <w:smartTag w:uri="urn:schemas-microsoft-com:office:smarttags" w:element="place">
        <w:smartTag w:uri="urn:schemas-microsoft-com:office:smarttags" w:element="State">
          <w:r>
            <w:t>Western Australia</w:t>
          </w:r>
        </w:smartTag>
      </w:smartTag>
      <w:r>
        <w:t xml:space="preserve">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tabs>
          <w:tab w:val="left" w:pos="6120"/>
        </w:tabs>
        <w:jc w:val="center"/>
      </w:pPr>
      <w:r>
        <w:tab/>
      </w:r>
      <w:r>
        <w:tab/>
        <w:t>”.</w:t>
      </w:r>
    </w:p>
    <w:p>
      <w:pPr>
        <w:pStyle w:val="BlankClose"/>
      </w:pPr>
    </w:p>
    <w:p>
      <w:pPr>
        <w:pStyle w:val="nSubsection"/>
        <w:spacing w:before="160"/>
        <w:rPr>
          <w:snapToGrid w:val="0"/>
        </w:rPr>
      </w:pPr>
      <w:r>
        <w:rPr>
          <w:snapToGrid w:val="0"/>
          <w:vertAlign w:val="superscript"/>
        </w:rPr>
        <w:t>2</w:t>
      </w:r>
      <w:r>
        <w:rPr>
          <w:snapToGrid w:val="0"/>
        </w:rPr>
        <w:tab/>
        <w:t>R</w:t>
      </w:r>
      <w:r>
        <w:t xml:space="preserve">epealed by the </w:t>
      </w:r>
      <w:r>
        <w:rPr>
          <w:i/>
          <w:iCs/>
        </w:rPr>
        <w:t xml:space="preserve">Planning and Development (Consequential and Transitional Provisions) Act 2005 </w:t>
      </w:r>
      <w:r>
        <w:t>s. 4.</w:t>
      </w:r>
    </w:p>
    <w:p>
      <w:pPr>
        <w:pStyle w:val="nSubsection"/>
      </w:pPr>
      <w:r>
        <w:rPr>
          <w:vertAlign w:val="superscript"/>
        </w:rPr>
        <w:t>3</w:t>
      </w:r>
      <w:r>
        <w:tab/>
        <w:t xml:space="preserve">The </w:t>
      </w:r>
      <w:r>
        <w:rPr>
          <w:i/>
        </w:rPr>
        <w:t>Revenue Laws Amendment Act 2012</w:t>
      </w:r>
      <w:r>
        <w:t xml:space="preserve"> s. 42(4) was deemed to have come into operation on 1 Jul 2009, see s. 2(d) of that Act).</w:t>
      </w:r>
    </w:p>
    <w:p>
      <w:pPr>
        <w:pStyle w:val="nSubsection"/>
        <w:rPr>
          <w:snapToGrid w:val="0"/>
          <w:vertAlign w:val="superscript"/>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cannot be included because the paragraph it seeks to amend was deleted by the </w:t>
      </w:r>
      <w:r>
        <w:rPr>
          <w:i/>
          <w:snapToGrid w:val="0"/>
        </w:rPr>
        <w:t>Business Tax Review (Assessment) Act (No. 2) 2003</w:t>
      </w:r>
      <w:r>
        <w:rPr>
          <w:snapToGrid w:val="0"/>
        </w:rPr>
        <w:t xml:space="preserve"> s. 100.</w:t>
      </w:r>
    </w:p>
    <w:p>
      <w:pPr>
        <w:pStyle w:val="nSubsection"/>
        <w:rPr>
          <w:snapToGrid w:val="0"/>
        </w:rPr>
      </w:pPr>
      <w:r>
        <w:rPr>
          <w:snapToGrid w:val="0"/>
          <w:vertAlign w:val="superscript"/>
        </w:rPr>
        <w:t>5</w:t>
      </w:r>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s. 41</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6</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8</w:t>
      </w:r>
      <w:r>
        <w:tab/>
        <w:t>The</w:t>
      </w:r>
      <w:r>
        <w:rPr>
          <w:snapToGrid w:val="0"/>
        </w:rPr>
        <w:t xml:space="preserve"> </w:t>
      </w:r>
      <w:r>
        <w:rPr>
          <w:i/>
        </w:rPr>
        <w:t xml:space="preserve">Revenue Laws Amendment (Tax Relief) Act 2004 </w:t>
      </w:r>
      <w:r>
        <w:t>Pt. 4 </w:t>
      </w:r>
      <w:r>
        <w:rPr>
          <w:snapToGrid w:val="0"/>
        </w:rPr>
        <w:t>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r>
        <w:rPr>
          <w:vertAlign w:val="superscript"/>
        </w:rPr>
        <w:t>9</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was to come into operation.</w:t>
      </w:r>
    </w:p>
    <w:p>
      <w:pPr>
        <w:pStyle w:val="nSubsection"/>
      </w:pPr>
      <w:r>
        <w:rPr>
          <w:vertAlign w:val="superscript"/>
        </w:rPr>
        <w:t>10</w:t>
      </w:r>
      <w:r>
        <w:tab/>
        <w:t xml:space="preserve">On the date as at which this compilation was prepared, the </w:t>
      </w:r>
      <w:r>
        <w:rPr>
          <w:i/>
        </w:rPr>
        <w:t>Transport (Road Passenger Services) Act 2018</w:t>
      </w:r>
      <w:r>
        <w:t xml:space="preserve"> Pt. 14 Div. 2 Subdiv. 8 had not come into operation. It reads as follows:</w:t>
      </w:r>
    </w:p>
    <w:p>
      <w:pPr>
        <w:pStyle w:val="BlankOpen"/>
      </w:pPr>
    </w:p>
    <w:p>
      <w:pPr>
        <w:pStyle w:val="nzHeading2"/>
      </w:pPr>
      <w:bookmarkStart w:id="406" w:name="_Toc522618304"/>
      <w:bookmarkStart w:id="407" w:name="_Toc522618742"/>
      <w:bookmarkStart w:id="408" w:name="_Toc522708578"/>
      <w:bookmarkStart w:id="409" w:name="_Toc525292154"/>
      <w:bookmarkStart w:id="410" w:name="_Toc527705435"/>
      <w:bookmarkStart w:id="411" w:name="_Toc527706503"/>
      <w:bookmarkStart w:id="412" w:name="_Toc527706941"/>
      <w:bookmarkStart w:id="413" w:name="_Toc528145702"/>
      <w:bookmarkStart w:id="414" w:name="_Toc528676301"/>
      <w:r>
        <w:rPr>
          <w:rStyle w:val="CharPartNo"/>
        </w:rPr>
        <w:t>Part 14</w:t>
      </w:r>
      <w:r>
        <w:t> — </w:t>
      </w:r>
      <w:r>
        <w:rPr>
          <w:rStyle w:val="CharPartText"/>
        </w:rPr>
        <w:t>Repeals and consequential amendments</w:t>
      </w:r>
      <w:bookmarkEnd w:id="406"/>
      <w:bookmarkEnd w:id="407"/>
      <w:bookmarkEnd w:id="408"/>
      <w:bookmarkEnd w:id="409"/>
      <w:bookmarkEnd w:id="410"/>
      <w:bookmarkEnd w:id="411"/>
      <w:bookmarkEnd w:id="412"/>
      <w:bookmarkEnd w:id="413"/>
      <w:bookmarkEnd w:id="414"/>
    </w:p>
    <w:p>
      <w:pPr>
        <w:pStyle w:val="nzHeading3"/>
      </w:pPr>
      <w:bookmarkStart w:id="415" w:name="_Toc522618309"/>
      <w:bookmarkStart w:id="416" w:name="_Toc522618747"/>
      <w:bookmarkStart w:id="417" w:name="_Toc522708583"/>
      <w:bookmarkStart w:id="418" w:name="_Toc525292159"/>
      <w:bookmarkStart w:id="419" w:name="_Toc527705440"/>
      <w:bookmarkStart w:id="420" w:name="_Toc527706508"/>
      <w:bookmarkStart w:id="421" w:name="_Toc527706946"/>
      <w:bookmarkStart w:id="422" w:name="_Toc528145707"/>
      <w:bookmarkStart w:id="423" w:name="_Toc528676306"/>
      <w:r>
        <w:rPr>
          <w:rStyle w:val="CharDivNo"/>
        </w:rPr>
        <w:t>Division 2</w:t>
      </w:r>
      <w:r>
        <w:t> — </w:t>
      </w:r>
      <w:r>
        <w:rPr>
          <w:rStyle w:val="CharDivText"/>
        </w:rPr>
        <w:t>Consequential amendments</w:t>
      </w:r>
      <w:bookmarkEnd w:id="415"/>
      <w:bookmarkEnd w:id="416"/>
      <w:bookmarkEnd w:id="417"/>
      <w:bookmarkEnd w:id="418"/>
      <w:bookmarkEnd w:id="419"/>
      <w:bookmarkEnd w:id="420"/>
      <w:bookmarkEnd w:id="421"/>
      <w:bookmarkEnd w:id="422"/>
      <w:bookmarkEnd w:id="423"/>
    </w:p>
    <w:p>
      <w:pPr>
        <w:pStyle w:val="nzHeading4"/>
      </w:pPr>
      <w:bookmarkStart w:id="424" w:name="_Toc522618341"/>
      <w:bookmarkStart w:id="425" w:name="_Toc522618779"/>
      <w:bookmarkStart w:id="426" w:name="_Toc522708615"/>
      <w:bookmarkStart w:id="427" w:name="_Toc525292191"/>
      <w:bookmarkStart w:id="428" w:name="_Toc527705472"/>
      <w:bookmarkStart w:id="429" w:name="_Toc527706540"/>
      <w:bookmarkStart w:id="430" w:name="_Toc527706978"/>
      <w:bookmarkStart w:id="431" w:name="_Toc528145739"/>
      <w:bookmarkStart w:id="432" w:name="_Toc528676338"/>
      <w:r>
        <w:t>Subdivision 8 — </w:t>
      </w:r>
      <w:r>
        <w:rPr>
          <w:i/>
        </w:rPr>
        <w:t>Taxation Administration Act 2003</w:t>
      </w:r>
      <w:r>
        <w:t xml:space="preserve"> amended</w:t>
      </w:r>
      <w:bookmarkEnd w:id="424"/>
      <w:bookmarkEnd w:id="425"/>
      <w:bookmarkEnd w:id="426"/>
      <w:bookmarkEnd w:id="427"/>
      <w:bookmarkEnd w:id="428"/>
      <w:bookmarkEnd w:id="429"/>
      <w:bookmarkEnd w:id="430"/>
      <w:bookmarkEnd w:id="431"/>
      <w:bookmarkEnd w:id="432"/>
    </w:p>
    <w:p>
      <w:pPr>
        <w:pStyle w:val="nzHeading5"/>
      </w:pPr>
      <w:bookmarkStart w:id="433" w:name="_Toc522618780"/>
      <w:bookmarkStart w:id="434" w:name="_Toc528676339"/>
      <w:r>
        <w:rPr>
          <w:rStyle w:val="CharSectno"/>
        </w:rPr>
        <w:t>328</w:t>
      </w:r>
      <w:r>
        <w:t>.</w:t>
      </w:r>
      <w:r>
        <w:tab/>
        <w:t>Act amended</w:t>
      </w:r>
      <w:bookmarkEnd w:id="433"/>
      <w:bookmarkEnd w:id="434"/>
    </w:p>
    <w:p>
      <w:pPr>
        <w:pStyle w:val="nzSubsection"/>
      </w:pPr>
      <w:r>
        <w:tab/>
      </w:r>
      <w:r>
        <w:tab/>
        <w:t xml:space="preserve">This Subdivision amends the </w:t>
      </w:r>
      <w:r>
        <w:rPr>
          <w:i/>
        </w:rPr>
        <w:t>Taxation Administration Act 2003</w:t>
      </w:r>
      <w:r>
        <w:t>.</w:t>
      </w:r>
    </w:p>
    <w:p>
      <w:pPr>
        <w:pStyle w:val="nzHeading5"/>
      </w:pPr>
      <w:bookmarkStart w:id="435" w:name="_Toc522618781"/>
      <w:bookmarkStart w:id="436" w:name="_Toc528676340"/>
      <w:r>
        <w:rPr>
          <w:rStyle w:val="CharSectno"/>
        </w:rPr>
        <w:t>329</w:t>
      </w:r>
      <w:r>
        <w:t>.</w:t>
      </w:r>
      <w:r>
        <w:tab/>
        <w:t>Section 3 amended</w:t>
      </w:r>
      <w:bookmarkEnd w:id="435"/>
      <w:bookmarkEnd w:id="436"/>
    </w:p>
    <w:p>
      <w:pPr>
        <w:pStyle w:val="nzSubsection"/>
      </w:pPr>
      <w:r>
        <w:tab/>
      </w:r>
      <w:r>
        <w:tab/>
        <w:t xml:space="preserve">After section 3(1)(j) insert — </w:t>
      </w:r>
    </w:p>
    <w:p>
      <w:pPr>
        <w:pStyle w:val="BlankOpen"/>
      </w:pPr>
    </w:p>
    <w:p>
      <w:pPr>
        <w:pStyle w:val="nzIndenta"/>
      </w:pPr>
      <w:r>
        <w:tab/>
        <w:t>(jaa)</w:t>
      </w:r>
      <w:r>
        <w:tab/>
        <w:t xml:space="preserve">the </w:t>
      </w:r>
      <w:r>
        <w:rPr>
          <w:i/>
        </w:rPr>
        <w:t xml:space="preserve">Transport (Road Passenger Services) Act 2018 </w:t>
      </w:r>
      <w:r>
        <w:t>Part 9 Division 2;</w:t>
      </w:r>
    </w:p>
    <w:p>
      <w:pPr>
        <w:pStyle w:val="BlankClose"/>
      </w:pPr>
    </w:p>
    <w:p/>
    <w:p>
      <w:pPr>
        <w:rPr>
          <w:u w:val="words"/>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438" w:name="_Toc440362689"/>
      <w:bookmarkStart w:id="439" w:name="_Toc450560125"/>
      <w:bookmarkStart w:id="440" w:name="_Toc455399654"/>
      <w:bookmarkStart w:id="441" w:name="_Toc528769240"/>
      <w:bookmarkStart w:id="442" w:name="_Toc532473001"/>
      <w:bookmarkStart w:id="443" w:name="_Toc532812225"/>
      <w:bookmarkStart w:id="444" w:name="_Toc2150570"/>
      <w:r>
        <w:rPr>
          <w:sz w:val="28"/>
        </w:rPr>
        <w:t>Defined terms</w:t>
      </w:r>
      <w:bookmarkEnd w:id="438"/>
      <w:bookmarkEnd w:id="439"/>
      <w:bookmarkEnd w:id="440"/>
      <w:bookmarkEnd w:id="441"/>
      <w:bookmarkEnd w:id="442"/>
      <w:bookmarkEnd w:id="443"/>
      <w:bookmarkEnd w:id="4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Gl.</w:t>
      </w:r>
    </w:p>
    <w:p>
      <w:pPr>
        <w:pStyle w:val="DefinedTerms"/>
      </w:pPr>
      <w:r>
        <w:t>amending Bill</w:t>
      </w:r>
      <w:r>
        <w:tab/>
        <w:t>129(1)</w:t>
      </w:r>
    </w:p>
    <w:p>
      <w:pPr>
        <w:pStyle w:val="DefinedTerms"/>
      </w:pPr>
      <w:r>
        <w:t>appointed representative</w:t>
      </w:r>
      <w:r>
        <w:tab/>
        <w:t>Gl.</w:t>
      </w:r>
    </w:p>
    <w:p>
      <w:pPr>
        <w:pStyle w:val="DefinedTerms"/>
      </w:pPr>
      <w:r>
        <w:t>approved</w:t>
      </w:r>
      <w:r>
        <w:tab/>
        <w:t>Gl.</w:t>
      </w:r>
    </w:p>
    <w:p>
      <w:pPr>
        <w:pStyle w:val="DefinedTerms"/>
      </w:pPr>
      <w:r>
        <w:t>assessment</w:t>
      </w:r>
      <w:r>
        <w:tab/>
        <w:t>Gl.</w:t>
      </w:r>
    </w:p>
    <w:p>
      <w:pPr>
        <w:pStyle w:val="DefinedTerms"/>
      </w:pPr>
      <w:r>
        <w:t>assessment notice</w:t>
      </w:r>
      <w:r>
        <w:tab/>
        <w:t>Gl.</w:t>
      </w:r>
    </w:p>
    <w:p>
      <w:pPr>
        <w:pStyle w:val="DefinedTerms"/>
      </w:pPr>
      <w:r>
        <w:t>before</w:t>
      </w:r>
      <w:r>
        <w:tab/>
        <w:t>129(2)</w:t>
      </w:r>
    </w:p>
    <w:p>
      <w:pPr>
        <w:pStyle w:val="DefinedTerms"/>
      </w:pPr>
      <w:r>
        <w:t>beneficial body determination</w:t>
      </w:r>
      <w:r>
        <w:tab/>
        <w:t>Gl.</w:t>
      </w:r>
    </w:p>
    <w:p>
      <w:pPr>
        <w:pStyle w:val="DefinedTerms"/>
      </w:pPr>
      <w:r>
        <w:t>charge</w:t>
      </w:r>
      <w:r>
        <w:tab/>
        <w:t>Gl.</w:t>
      </w:r>
    </w:p>
    <w:p>
      <w:pPr>
        <w:pStyle w:val="DefinedTerms"/>
      </w:pPr>
      <w:r>
        <w:t>commencement day</w:t>
      </w:r>
      <w:r>
        <w:tab/>
        <w:t>136(1)</w:t>
      </w:r>
    </w:p>
    <w:p>
      <w:pPr>
        <w:pStyle w:val="DefinedTerms"/>
      </w:pPr>
      <w:r>
        <w:t>Commissioner</w:t>
      </w:r>
      <w:r>
        <w:tab/>
        <w:t>Gl.</w:t>
      </w:r>
    </w:p>
    <w:p>
      <w:pPr>
        <w:pStyle w:val="DefinedTerms"/>
      </w:pPr>
      <w:r>
        <w:t>complete</w:t>
      </w:r>
      <w:r>
        <w:tab/>
        <w:t>Gl.</w:t>
      </w:r>
    </w:p>
    <w:p>
      <w:pPr>
        <w:pStyle w:val="DefinedTerms"/>
      </w:pPr>
      <w:r>
        <w:t>compromise agreement</w:t>
      </w:r>
      <w:r>
        <w:tab/>
        <w:t>20A(1)(a)</w:t>
      </w:r>
    </w:p>
    <w:p>
      <w:pPr>
        <w:pStyle w:val="DefinedTerms"/>
      </w:pPr>
      <w:r>
        <w:t>compromise assessment</w:t>
      </w:r>
      <w:r>
        <w:tab/>
        <w:t>Gl.</w:t>
      </w:r>
    </w:p>
    <w:p>
      <w:pPr>
        <w:pStyle w:val="DefinedTerms"/>
      </w:pPr>
      <w:r>
        <w:t>corresponding Commissioner</w:t>
      </w:r>
      <w:r>
        <w:tab/>
        <w:t>Gl.</w:t>
      </w:r>
    </w:p>
    <w:p>
      <w:pPr>
        <w:pStyle w:val="DefinedTerms"/>
      </w:pPr>
      <w:r>
        <w:t>costs of valuation</w:t>
      </w:r>
      <w:r>
        <w:tab/>
        <w:t>24(7)</w:t>
      </w:r>
    </w:p>
    <w:p>
      <w:pPr>
        <w:pStyle w:val="DefinedTerms"/>
      </w:pPr>
      <w:r>
        <w:t>date</w:t>
      </w:r>
      <w:r>
        <w:tab/>
        <w:t>Gl.</w:t>
      </w:r>
    </w:p>
    <w:p>
      <w:pPr>
        <w:pStyle w:val="DefinedTerms"/>
      </w:pPr>
      <w:r>
        <w:t>decision</w:t>
      </w:r>
      <w:r>
        <w:tab/>
        <w:t>Gl.</w:t>
      </w:r>
    </w:p>
    <w:p>
      <w:pPr>
        <w:pStyle w:val="DefinedTerms"/>
      </w:pPr>
      <w:r>
        <w:t>determination notice</w:t>
      </w:r>
      <w:r>
        <w:tab/>
        <w:t>129(1)</w:t>
      </w:r>
    </w:p>
    <w:p>
      <w:pPr>
        <w:pStyle w:val="DefinedTerms"/>
      </w:pPr>
      <w:r>
        <w:t>directly reviewable decision</w:t>
      </w:r>
      <w:r>
        <w:tab/>
        <w:t>Gl.</w:t>
      </w:r>
    </w:p>
    <w:p>
      <w:pPr>
        <w:pStyle w:val="DefinedTerms"/>
      </w:pPr>
      <w:r>
        <w:t>document</w:t>
      </w:r>
      <w:r>
        <w:tab/>
        <w:t>Gl.</w:t>
      </w:r>
    </w:p>
    <w:p>
      <w:pPr>
        <w:pStyle w:val="DefinedTerms"/>
      </w:pPr>
      <w:r>
        <w:t>due date</w:t>
      </w:r>
      <w:r>
        <w:tab/>
        <w:t>Gl.</w:t>
      </w:r>
    </w:p>
    <w:p>
      <w:pPr>
        <w:pStyle w:val="DefinedTerms"/>
      </w:pPr>
      <w:r>
        <w:t>endorse</w:t>
      </w:r>
      <w:r>
        <w:tab/>
        <w:t>Gl.</w:t>
      </w:r>
    </w:p>
    <w:p>
      <w:pPr>
        <w:pStyle w:val="DefinedTerms"/>
      </w:pPr>
      <w:r>
        <w:t>garnishee</w:t>
      </w:r>
      <w:r>
        <w:tab/>
        <w:t>65(1), Gl.</w:t>
      </w:r>
    </w:p>
    <w:p>
      <w:pPr>
        <w:pStyle w:val="DefinedTerms"/>
      </w:pPr>
      <w:r>
        <w:t>group</w:t>
      </w:r>
      <w:r>
        <w:tab/>
        <w:t>Gl.</w:t>
      </w:r>
    </w:p>
    <w:p>
      <w:pPr>
        <w:pStyle w:val="DefinedTerms"/>
      </w:pPr>
      <w:r>
        <w:t>identity card</w:t>
      </w:r>
      <w:r>
        <w:tab/>
        <w:t>Gl.</w:t>
      </w:r>
    </w:p>
    <w:p>
      <w:pPr>
        <w:pStyle w:val="DefinedTerms"/>
      </w:pPr>
      <w:r>
        <w:t>instrument</w:t>
      </w:r>
      <w:r>
        <w:tab/>
        <w:t>82(1), Gl.</w:t>
      </w:r>
    </w:p>
    <w:p>
      <w:pPr>
        <w:pStyle w:val="DefinedTerms"/>
      </w:pPr>
      <w:r>
        <w:t>interim assessment</w:t>
      </w:r>
      <w:r>
        <w:tab/>
        <w:t>16A(1), Gl.</w:t>
      </w:r>
    </w:p>
    <w:p>
      <w:pPr>
        <w:pStyle w:val="DefinedTerms"/>
      </w:pPr>
      <w:r>
        <w:t>investigation purposes</w:t>
      </w:r>
      <w:r>
        <w:tab/>
        <w:t>Gl.</w:t>
      </w:r>
    </w:p>
    <w:p>
      <w:pPr>
        <w:pStyle w:val="DefinedTerms"/>
      </w:pPr>
      <w:r>
        <w:t>investigator</w:t>
      </w:r>
      <w:r>
        <w:tab/>
        <w:t>Gl.</w:t>
      </w:r>
    </w:p>
    <w:p>
      <w:pPr>
        <w:pStyle w:val="DefinedTerms"/>
      </w:pPr>
      <w:r>
        <w:t>land</w:t>
      </w:r>
      <w:r>
        <w:tab/>
        <w:t>76A(1)</w:t>
      </w:r>
    </w:p>
    <w:p>
      <w:pPr>
        <w:pStyle w:val="DefinedTerms"/>
      </w:pPr>
      <w:r>
        <w:t>landholder</w:t>
      </w:r>
      <w:r>
        <w:tab/>
        <w:t>77A(1)</w:t>
      </w:r>
    </w:p>
    <w:p>
      <w:pPr>
        <w:pStyle w:val="DefinedTerms"/>
      </w:pPr>
      <w:r>
        <w:t>landholder duty</w:t>
      </w:r>
      <w:r>
        <w:tab/>
        <w:t>77A(1)</w:t>
      </w:r>
    </w:p>
    <w:p>
      <w:pPr>
        <w:pStyle w:val="DefinedTerms"/>
      </w:pPr>
      <w:r>
        <w:t>linked entity</w:t>
      </w:r>
      <w:r>
        <w:tab/>
        <w:t>77A(1)</w:t>
      </w:r>
    </w:p>
    <w:p>
      <w:pPr>
        <w:pStyle w:val="DefinedTerms"/>
      </w:pPr>
      <w:r>
        <w:t>lodge</w:t>
      </w:r>
      <w:r>
        <w:tab/>
        <w:t>76A(1)</w:t>
      </w:r>
    </w:p>
    <w:p>
      <w:pPr>
        <w:pStyle w:val="DefinedTerms"/>
      </w:pPr>
      <w:r>
        <w:t>mining tenement</w:t>
      </w:r>
      <w:r>
        <w:tab/>
        <w:t>76A(1)</w:t>
      </w:r>
    </w:p>
    <w:p>
      <w:pPr>
        <w:pStyle w:val="DefinedTerms"/>
      </w:pPr>
      <w:r>
        <w:t>objection</w:t>
      </w:r>
      <w:r>
        <w:tab/>
        <w:t>Gl.</w:t>
      </w:r>
    </w:p>
    <w:p>
      <w:pPr>
        <w:pStyle w:val="DefinedTerms"/>
      </w:pPr>
      <w:r>
        <w:t>official assessment</w:t>
      </w:r>
      <w:r>
        <w:tab/>
        <w:t>Gl.</w:t>
      </w:r>
    </w:p>
    <w:p>
      <w:pPr>
        <w:pStyle w:val="DefinedTerms"/>
      </w:pPr>
      <w:r>
        <w:t>official document</w:t>
      </w:r>
      <w:r>
        <w:tab/>
        <w:t>Gl.</w:t>
      </w:r>
    </w:p>
    <w:p>
      <w:pPr>
        <w:pStyle w:val="DefinedTerms"/>
      </w:pPr>
      <w:r>
        <w:t>original assessment</w:t>
      </w:r>
      <w:r>
        <w:tab/>
        <w:t>Gl.</w:t>
      </w:r>
    </w:p>
    <w:p>
      <w:pPr>
        <w:pStyle w:val="DefinedTerms"/>
      </w:pPr>
      <w:r>
        <w:t>original notice</w:t>
      </w:r>
      <w:r>
        <w:tab/>
        <w:t>132(3)(a)</w:t>
      </w:r>
    </w:p>
    <w:p>
      <w:pPr>
        <w:pStyle w:val="DefinedTerms"/>
      </w:pPr>
      <w:r>
        <w:t>penalty tax</w:t>
      </w:r>
      <w:r>
        <w:tab/>
        <w:t>Gl.</w:t>
      </w:r>
    </w:p>
    <w:p>
      <w:pPr>
        <w:pStyle w:val="DefinedTerms"/>
      </w:pPr>
      <w:r>
        <w:t>person</w:t>
      </w:r>
      <w:r>
        <w:tab/>
        <w:t>Gl.</w:t>
      </w:r>
    </w:p>
    <w:p>
      <w:pPr>
        <w:pStyle w:val="DefinedTerms"/>
      </w:pPr>
      <w:r>
        <w:t>premises</w:t>
      </w:r>
      <w:r>
        <w:tab/>
        <w:t>Gl.</w:t>
      </w:r>
    </w:p>
    <w:p>
      <w:pPr>
        <w:pStyle w:val="DefinedTerms"/>
      </w:pPr>
      <w:r>
        <w:t>previous assessment</w:t>
      </w:r>
      <w:r>
        <w:tab/>
        <w:t>Gl.</w:t>
      </w:r>
    </w:p>
    <w:p>
      <w:pPr>
        <w:pStyle w:val="DefinedTerms"/>
      </w:pPr>
      <w:r>
        <w:t>primary liability</w:t>
      </w:r>
      <w:r>
        <w:tab/>
        <w:t>Gl.</w:t>
      </w:r>
    </w:p>
    <w:p>
      <w:pPr>
        <w:pStyle w:val="DefinedTerms"/>
      </w:pPr>
      <w:r>
        <w:t>publish</w:t>
      </w:r>
      <w:r>
        <w:tab/>
        <w:t>Gl.</w:t>
      </w:r>
    </w:p>
    <w:p>
      <w:pPr>
        <w:pStyle w:val="DefinedTerms"/>
      </w:pPr>
      <w:r>
        <w:t>qualified valuer</w:t>
      </w:r>
      <w:r>
        <w:tab/>
        <w:t>Gl.</w:t>
      </w:r>
    </w:p>
    <w:p>
      <w:pPr>
        <w:pStyle w:val="DefinedTerms"/>
      </w:pPr>
      <w:r>
        <w:t>real property</w:t>
      </w:r>
      <w:r>
        <w:tab/>
        <w:t>76A(1)</w:t>
      </w:r>
    </w:p>
    <w:p>
      <w:pPr>
        <w:pStyle w:val="DefinedTerms"/>
      </w:pPr>
      <w:r>
        <w:t>reassessment</w:t>
      </w:r>
      <w:r>
        <w:tab/>
        <w:t>Gl.</w:t>
      </w:r>
    </w:p>
    <w:p>
      <w:pPr>
        <w:pStyle w:val="DefinedTerms"/>
      </w:pPr>
      <w:r>
        <w:t>reassessment period</w:t>
      </w:r>
      <w:r>
        <w:tab/>
        <w:t>39(3), 43(4A)</w:t>
      </w:r>
    </w:p>
    <w:p>
      <w:pPr>
        <w:pStyle w:val="DefinedTerms"/>
      </w:pPr>
      <w:r>
        <w:t>recognised jurisdiction</w:t>
      </w:r>
      <w:r>
        <w:tab/>
        <w:t>Gl.</w:t>
      </w:r>
    </w:p>
    <w:p>
      <w:pPr>
        <w:pStyle w:val="DefinedTerms"/>
      </w:pPr>
      <w:r>
        <w:t>recognised revenue law</w:t>
      </w:r>
      <w:r>
        <w:tab/>
        <w:t>Gl.</w:t>
      </w:r>
    </w:p>
    <w:p>
      <w:pPr>
        <w:pStyle w:val="DefinedTerms"/>
      </w:pPr>
      <w:r>
        <w:t>record</w:t>
      </w:r>
      <w:r>
        <w:tab/>
        <w:t>Gl.</w:t>
      </w:r>
    </w:p>
    <w:p>
      <w:pPr>
        <w:pStyle w:val="DefinedTerms"/>
      </w:pPr>
      <w:r>
        <w:t>register</w:t>
      </w:r>
      <w:r>
        <w:tab/>
        <w:t>76A(1)</w:t>
      </w:r>
    </w:p>
    <w:p>
      <w:pPr>
        <w:pStyle w:val="DefinedTerms"/>
      </w:pPr>
      <w:r>
        <w:t>Registrar</w:t>
      </w:r>
      <w:r>
        <w:tab/>
        <w:t>82(1)</w:t>
      </w:r>
    </w:p>
    <w:p>
      <w:pPr>
        <w:pStyle w:val="DefinedTerms"/>
      </w:pPr>
      <w:r>
        <w:t>Registrar of Titles</w:t>
      </w:r>
      <w:r>
        <w:tab/>
        <w:t>Gl.</w:t>
      </w:r>
    </w:p>
    <w:p>
      <w:pPr>
        <w:pStyle w:val="DefinedTerms"/>
      </w:pPr>
      <w:r>
        <w:t>relevant land Act</w:t>
      </w:r>
      <w:r>
        <w:tab/>
        <w:t>76A(1)</w:t>
      </w:r>
    </w:p>
    <w:p>
      <w:pPr>
        <w:pStyle w:val="DefinedTerms"/>
      </w:pPr>
      <w:r>
        <w:t>relevant material</w:t>
      </w:r>
      <w:r>
        <w:tab/>
        <w:t>Gl.</w:t>
      </w:r>
    </w:p>
    <w:p>
      <w:pPr>
        <w:pStyle w:val="DefinedTerms"/>
      </w:pPr>
      <w:r>
        <w:t>responsible party</w:t>
      </w:r>
      <w:r>
        <w:tab/>
        <w:t>Gl.</w:t>
      </w:r>
    </w:p>
    <w:p>
      <w:pPr>
        <w:pStyle w:val="DefinedTerms"/>
      </w:pPr>
      <w:r>
        <w:t>review proceedings</w:t>
      </w:r>
      <w:r>
        <w:tab/>
        <w:t>Gl.</w:t>
      </w:r>
    </w:p>
    <w:p>
      <w:pPr>
        <w:pStyle w:val="DefinedTerms"/>
      </w:pPr>
      <w:r>
        <w:t>self</w:t>
      </w:r>
      <w:r>
        <w:noBreakHyphen/>
        <w:t>assessment</w:t>
      </w:r>
      <w:r>
        <w:tab/>
        <w:t>Gl.</w:t>
      </w:r>
    </w:p>
    <w:p>
      <w:pPr>
        <w:pStyle w:val="DefinedTerms"/>
      </w:pPr>
      <w:r>
        <w:t>special tax return arrangement</w:t>
      </w:r>
      <w:r>
        <w:tab/>
        <w:t>Gl.</w:t>
      </w:r>
    </w:p>
    <w:p>
      <w:pPr>
        <w:pStyle w:val="DefinedTerms"/>
      </w:pPr>
      <w:r>
        <w:t>State</w:t>
      </w:r>
      <w:r>
        <w:tab/>
        <w:t>Gl.</w:t>
      </w:r>
    </w:p>
    <w:p>
      <w:pPr>
        <w:pStyle w:val="DefinedTerms"/>
      </w:pPr>
      <w:r>
        <w:t>statutory administrator of a taxpayer’s assets</w:t>
      </w:r>
      <w:r>
        <w:tab/>
        <w:t>64(3)</w:t>
      </w:r>
    </w:p>
    <w:p>
      <w:pPr>
        <w:pStyle w:val="DefinedTerms"/>
      </w:pPr>
      <w:r>
        <w:t>tax</w:t>
      </w:r>
      <w:r>
        <w:tab/>
        <w:t>Gl.</w:t>
      </w:r>
    </w:p>
    <w:p>
      <w:pPr>
        <w:pStyle w:val="DefinedTerms"/>
      </w:pPr>
      <w:r>
        <w:t>tax liability</w:t>
      </w:r>
      <w:r>
        <w:tab/>
        <w:t>Gl.</w:t>
      </w:r>
    </w:p>
    <w:p>
      <w:pPr>
        <w:pStyle w:val="DefinedTerms"/>
      </w:pPr>
      <w:r>
        <w:t>tax payment arrangement</w:t>
      </w:r>
      <w:r>
        <w:tab/>
        <w:t>Gl.</w:t>
      </w:r>
    </w:p>
    <w:p>
      <w:pPr>
        <w:pStyle w:val="DefinedTerms"/>
      </w:pPr>
      <w:r>
        <w:t>tax record</w:t>
      </w:r>
      <w:r>
        <w:tab/>
        <w:t>Gl.</w:t>
      </w:r>
    </w:p>
    <w:p>
      <w:pPr>
        <w:pStyle w:val="DefinedTerms"/>
      </w:pPr>
      <w:r>
        <w:t>tax threshold</w:t>
      </w:r>
      <w:r>
        <w:tab/>
        <w:t>129(1)</w:t>
      </w:r>
    </w:p>
    <w:p>
      <w:pPr>
        <w:pStyle w:val="DefinedTerms"/>
      </w:pPr>
      <w:r>
        <w:t>taxation Act</w:t>
      </w:r>
      <w:r>
        <w:tab/>
        <w:t>129(1), Gl.</w:t>
      </w:r>
    </w:p>
    <w:p>
      <w:pPr>
        <w:pStyle w:val="DefinedTerms"/>
      </w:pPr>
      <w:r>
        <w:t>taxation matter</w:t>
      </w:r>
      <w:r>
        <w:tab/>
        <w:t>7(3)</w:t>
      </w:r>
    </w:p>
    <w:p>
      <w:pPr>
        <w:pStyle w:val="DefinedTerms"/>
      </w:pPr>
      <w:r>
        <w:t>taxpayer</w:t>
      </w:r>
      <w:r>
        <w:tab/>
        <w:t>Gl.</w:t>
      </w:r>
    </w:p>
    <w:p>
      <w:pPr>
        <w:pStyle w:val="DefinedTerms"/>
      </w:pPr>
      <w:r>
        <w:t>TLA land</w:t>
      </w:r>
      <w:r>
        <w:tab/>
        <w:t>76A(1)</w:t>
      </w:r>
    </w:p>
    <w:p>
      <w:pPr>
        <w:pStyle w:val="DefinedTerms"/>
      </w:pPr>
      <w:r>
        <w:t>transfer duty</w:t>
      </w:r>
      <w:r>
        <w:tab/>
        <w:t>77A(1)</w:t>
      </w:r>
    </w:p>
    <w:p>
      <w:pPr>
        <w:pStyle w:val="DefinedTerms"/>
      </w:pPr>
      <w:r>
        <w:t>unaffected amount</w:t>
      </w:r>
      <w:r>
        <w:tab/>
        <w:t>133(2)</w:t>
      </w:r>
    </w:p>
    <w:p>
      <w:pPr>
        <w:pStyle w:val="DefinedTerms"/>
      </w:pPr>
      <w:r>
        <w:t>vehicle</w:t>
      </w:r>
      <w:r>
        <w:tab/>
        <w:t>Gl.</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95" w:name="Schedule"/>
    <w:bookmarkEnd w:id="3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7" w:name="Compilation"/>
    <w:bookmarkEnd w:id="4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5" w:name="DefinedTerms"/>
    <w:bookmarkEnd w:id="44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6" w:name="Coversheet"/>
    <w:bookmarkEnd w:id="4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lvlText w:val="%1."/>
      <w:lvlJc w:val="left"/>
      <w:pPr>
        <w:tabs>
          <w:tab w:val="num" w:pos="1492"/>
        </w:tabs>
        <w:ind w:left="1492" w:hanging="360"/>
      </w:pPr>
    </w:lvl>
  </w:abstractNum>
  <w:abstractNum w:abstractNumId="1">
    <w:nsid w:val="FFFFFF7D"/>
    <w:multiLevelType w:val="singleLevel"/>
    <w:tmpl w:val="20860632"/>
    <w:lvl w:ilvl="0">
      <w:start w:val="1"/>
      <w:numFmt w:val="decimal"/>
      <w:lvlText w:val="%1."/>
      <w:lvlJc w:val="left"/>
      <w:pPr>
        <w:tabs>
          <w:tab w:val="num" w:pos="1209"/>
        </w:tabs>
        <w:ind w:left="1209" w:hanging="360"/>
      </w:pPr>
    </w:lvl>
  </w:abstractNum>
  <w:abstractNum w:abstractNumId="2">
    <w:nsid w:val="FFFFFF7E"/>
    <w:multiLevelType w:val="singleLevel"/>
    <w:tmpl w:val="17E29B3E"/>
    <w:lvl w:ilvl="0">
      <w:start w:val="1"/>
      <w:numFmt w:val="decimal"/>
      <w:lvlText w:val="%1."/>
      <w:lvlJc w:val="left"/>
      <w:pPr>
        <w:tabs>
          <w:tab w:val="num" w:pos="926"/>
        </w:tabs>
        <w:ind w:left="926" w:hanging="360"/>
      </w:pPr>
    </w:lvl>
  </w:abstractNum>
  <w:abstractNum w:abstractNumId="3">
    <w:nsid w:val="FFFFFF7F"/>
    <w:multiLevelType w:val="singleLevel"/>
    <w:tmpl w:val="C016C124"/>
    <w:lvl w:ilvl="0">
      <w:start w:val="1"/>
      <w:numFmt w:val="decimal"/>
      <w:lvlText w:val="%1."/>
      <w:lvlJc w:val="left"/>
      <w:pPr>
        <w:tabs>
          <w:tab w:val="num" w:pos="643"/>
        </w:tabs>
        <w:ind w:left="643" w:hanging="360"/>
      </w:pPr>
    </w:lvl>
  </w:abstractNum>
  <w:abstractNum w:abstractNumId="4">
    <w:nsid w:val="FFFFFF80"/>
    <w:multiLevelType w:val="singleLevel"/>
    <w:tmpl w:val="D2FED0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lvlText w:val="%1."/>
      <w:lvlJc w:val="left"/>
      <w:pPr>
        <w:tabs>
          <w:tab w:val="num" w:pos="360"/>
        </w:tabs>
        <w:ind w:left="360" w:hanging="360"/>
      </w:pPr>
    </w:lvl>
  </w:abstractNum>
  <w:abstractNum w:abstractNumId="9">
    <w:nsid w:val="FFFFFF89"/>
    <w:multiLevelType w:val="singleLevel"/>
    <w:tmpl w:val="50D8F14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416478"/>
    <w:multiLevelType w:val="multilevel"/>
    <w:tmpl w:val="EF24B7C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D86A00C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12114538"/>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 w:name="WAFER_20140527170234" w:val="RemoveTocBookmarks,RemoveUnusedBookmarks,RemoveLanguageTags,UsedStyles,ResetPageSize,UpdateArrangement"/>
    <w:docVar w:name="WAFER_20140527170234_GUID" w:val="14750c3d-2f4a-471a-93f7-5ccb179948a2"/>
    <w:docVar w:name="WAFER_20150310145748" w:val="ResetPageSize,UpdateArrangement,UpdateNTable"/>
    <w:docVar w:name="WAFER_20150310145748_GUID" w:val="0e5678df-46ce-44e2-9b7b-09d2631316b2"/>
    <w:docVar w:name="WAFER_20150714120412" w:val="RemoveTocBookmarks,RemoveUnusedBookmarks,RemoveLanguageTags,UsedStyles,ResetPageSize,RemoveCustomizations"/>
    <w:docVar w:name="WAFER_20150714120412_GUID" w:val="d5fd18fe-e1c1-4530-93f9-acc05793b8ad"/>
    <w:docVar w:name="WAFER_20151105113401" w:val="UpdateStyles"/>
    <w:docVar w:name="WAFER_20151105113401_GUID" w:val="55318b02-fd87-4b1b-bb02-394c30bb60a0"/>
    <w:docVar w:name="WAFER_20151105113752" w:val="UsedStyles"/>
    <w:docVar w:name="WAFER_20151105113752_GUID" w:val="1099fb9c-fffc-4555-aac0-12db33923c03"/>
    <w:docVar w:name="WAFER_20160112114519" w:val="RemoveTocBookmarks,RemoveUnusedBookmarks,RemoveLanguageTags,UsedStyles,RemoveTrackChanges"/>
    <w:docVar w:name="WAFER_20160112114519_GUID" w:val="951ad3bf-318b-4c01-9799-2fec08921b2c"/>
    <w:docVar w:name="WAFER_20160112114538" w:val="RemoveTocBookmarks,RemoveLanguageTags,RemoveTrackChanges,RunningHeaders"/>
    <w:docVar w:name="WAFER_20160112114538_GUID" w:val="88b17058-22ca-4721-b691-2f1e899ce9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6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487C1-A449-45C2-BF5D-87D6025B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32941</Words>
  <Characters>158778</Characters>
  <Application>Microsoft Office Word</Application>
  <DocSecurity>0</DocSecurity>
  <Lines>4291</Lines>
  <Paragraphs>2522</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189197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2003 - 05-e0-02</dc:title>
  <dc:subject/>
  <dc:creator/>
  <cp:keywords/>
  <dc:description/>
  <cp:lastModifiedBy>svcMRProcess</cp:lastModifiedBy>
  <cp:revision>4</cp:revision>
  <cp:lastPrinted>2016-05-05T02:09:00Z</cp:lastPrinted>
  <dcterms:created xsi:type="dcterms:W3CDTF">2019-02-27T02:00:00Z</dcterms:created>
  <dcterms:modified xsi:type="dcterms:W3CDTF">2019-02-27T02:00:00Z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DocumentType">
    <vt:lpwstr>Act</vt:lpwstr>
  </property>
  <property fmtid="{D5CDD505-2E9C-101B-9397-08002B2CF9AE}" pid="4" name="OwlsUID">
    <vt:i4>6343</vt:i4>
  </property>
  <property fmtid="{D5CDD505-2E9C-101B-9397-08002B2CF9AE}" pid="5" name="ReprintedAsAt">
    <vt:filetime>2016-04-21T16:00:00Z</vt:filetime>
  </property>
  <property fmtid="{D5CDD505-2E9C-101B-9397-08002B2CF9AE}" pid="6" name="ReprintNo">
    <vt:lpwstr>5</vt:lpwstr>
  </property>
  <property fmtid="{D5CDD505-2E9C-101B-9397-08002B2CF9AE}" pid="7" name="AsAtDate">
    <vt:lpwstr>01 Jan 2019</vt:lpwstr>
  </property>
  <property fmtid="{D5CDD505-2E9C-101B-9397-08002B2CF9AE}" pid="8" name="Suffix">
    <vt:lpwstr>05-e0-02</vt:lpwstr>
  </property>
  <property fmtid="{D5CDD505-2E9C-101B-9397-08002B2CF9AE}" pid="9" name="CommencementDate">
    <vt:lpwstr>20190101</vt:lpwstr>
  </property>
</Properties>
</file>