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Tax Assessment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Tax Assessment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_Toc536693619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_Toc536693620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_Toc536693621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_Toc536693622 \h </w:instrText>
      </w:r>
      <w:r>
        <w:fldChar w:fldCharType="separate"/>
      </w:r>
      <w:r>
        <w:t>2</w:t>
      </w:r>
      <w:r>
        <w:fldChar w:fldCharType="end"/>
      </w:r>
    </w:p>
    <w:p>
      <w:pPr>
        <w:pStyle w:val="TOC8"/>
        <w:rPr>
          <w:rFonts w:asciiTheme="minorHAnsi" w:eastAsiaTheme="minorEastAsia" w:hAnsiTheme="minorHAnsi" w:cstheme="minorBidi"/>
          <w:szCs w:val="22"/>
        </w:rPr>
      </w:pPr>
      <w:r>
        <w:t>5.</w:t>
      </w:r>
      <w:r>
        <w:tab/>
        <w:t>Betting operations</w:t>
      </w:r>
      <w:r>
        <w:tab/>
      </w:r>
      <w:r>
        <w:fldChar w:fldCharType="begin"/>
      </w:r>
      <w:r>
        <w:instrText xml:space="preserve"> PAGEREF _Toc536693623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Taxable betting revenue</w:t>
      </w:r>
    </w:p>
    <w:p>
      <w:pPr>
        <w:pStyle w:val="TOC8"/>
        <w:rPr>
          <w:rFonts w:asciiTheme="minorHAnsi" w:eastAsiaTheme="minorEastAsia" w:hAnsiTheme="minorHAnsi" w:cstheme="minorBidi"/>
          <w:szCs w:val="22"/>
        </w:rPr>
      </w:pPr>
      <w:r>
        <w:t>6.</w:t>
      </w:r>
      <w:r>
        <w:tab/>
        <w:t>References to WA bets</w:t>
      </w:r>
      <w:r>
        <w:tab/>
      </w:r>
      <w:r>
        <w:fldChar w:fldCharType="begin"/>
      </w:r>
      <w:r>
        <w:instrText xml:space="preserve"> PAGEREF _Toc536693625 \h </w:instrText>
      </w:r>
      <w:r>
        <w:fldChar w:fldCharType="separate"/>
      </w:r>
      <w:r>
        <w:t>6</w:t>
      </w:r>
      <w:r>
        <w:fldChar w:fldCharType="end"/>
      </w:r>
    </w:p>
    <w:p>
      <w:pPr>
        <w:pStyle w:val="TOC8"/>
        <w:rPr>
          <w:rFonts w:asciiTheme="minorHAnsi" w:eastAsiaTheme="minorEastAsia" w:hAnsiTheme="minorHAnsi" w:cstheme="minorBidi"/>
          <w:szCs w:val="22"/>
        </w:rPr>
      </w:pPr>
      <w:r>
        <w:t>7.</w:t>
      </w:r>
      <w:r>
        <w:tab/>
        <w:t>Taxable betting revenue</w:t>
      </w:r>
      <w:r>
        <w:tab/>
      </w:r>
      <w:r>
        <w:fldChar w:fldCharType="begin"/>
      </w:r>
      <w:r>
        <w:instrText xml:space="preserve"> PAGEREF _Toc536693626 \h </w:instrText>
      </w:r>
      <w:r>
        <w:fldChar w:fldCharType="separate"/>
      </w:r>
      <w:r>
        <w:t>6</w:t>
      </w:r>
      <w:r>
        <w:fldChar w:fldCharType="end"/>
      </w:r>
    </w:p>
    <w:p>
      <w:pPr>
        <w:pStyle w:val="TOC8"/>
        <w:rPr>
          <w:rFonts w:asciiTheme="minorHAnsi" w:eastAsiaTheme="minorEastAsia" w:hAnsiTheme="minorHAnsi" w:cstheme="minorBidi"/>
          <w:szCs w:val="22"/>
        </w:rPr>
      </w:pPr>
      <w:r>
        <w:t>8.</w:t>
      </w:r>
      <w:r>
        <w:tab/>
        <w:t>Particular payments excluded in working out eligible payments</w:t>
      </w:r>
      <w:r>
        <w:tab/>
      </w:r>
      <w:r>
        <w:fldChar w:fldCharType="begin"/>
      </w:r>
      <w:r>
        <w:instrText xml:space="preserve"> PAGEREF _Toc536693627 \h </w:instrText>
      </w:r>
      <w:r>
        <w:fldChar w:fldCharType="separate"/>
      </w:r>
      <w:r>
        <w:t>7</w:t>
      </w:r>
      <w:r>
        <w:fldChar w:fldCharType="end"/>
      </w:r>
    </w:p>
    <w:p>
      <w:pPr>
        <w:pStyle w:val="TOC8"/>
        <w:rPr>
          <w:rFonts w:asciiTheme="minorHAnsi" w:eastAsiaTheme="minorEastAsia" w:hAnsiTheme="minorHAnsi" w:cstheme="minorBidi"/>
          <w:szCs w:val="22"/>
        </w:rPr>
      </w:pPr>
      <w:r>
        <w:t>9.</w:t>
      </w:r>
      <w:r>
        <w:tab/>
        <w:t>Betting revenue: WA betting exchange bets</w:t>
      </w:r>
      <w:r>
        <w:tab/>
      </w:r>
      <w:r>
        <w:fldChar w:fldCharType="begin"/>
      </w:r>
      <w:r>
        <w:instrText xml:space="preserve"> PAGEREF _Toc536693628 \h </w:instrText>
      </w:r>
      <w:r>
        <w:fldChar w:fldCharType="separate"/>
      </w:r>
      <w:r>
        <w:t>9</w:t>
      </w:r>
      <w:r>
        <w:fldChar w:fldCharType="end"/>
      </w:r>
    </w:p>
    <w:p>
      <w:pPr>
        <w:pStyle w:val="TOC8"/>
        <w:rPr>
          <w:rFonts w:asciiTheme="minorHAnsi" w:eastAsiaTheme="minorEastAsia" w:hAnsiTheme="minorHAnsi" w:cstheme="minorBidi"/>
          <w:szCs w:val="22"/>
        </w:rPr>
      </w:pPr>
      <w:r>
        <w:t>10.</w:t>
      </w:r>
      <w:r>
        <w:tab/>
        <w:t>Betting revenue and eligible payments: WA pooled bets</w:t>
      </w:r>
      <w:r>
        <w:tab/>
      </w:r>
      <w:r>
        <w:fldChar w:fldCharType="begin"/>
      </w:r>
      <w:r>
        <w:instrText xml:space="preserve"> PAGEREF _Toc536693629 \h </w:instrText>
      </w:r>
      <w:r>
        <w:fldChar w:fldCharType="separate"/>
      </w:r>
      <w:r>
        <w:t>9</w:t>
      </w:r>
      <w:r>
        <w:fldChar w:fldCharType="end"/>
      </w:r>
    </w:p>
    <w:p>
      <w:pPr>
        <w:pStyle w:val="TOC8"/>
        <w:rPr>
          <w:rFonts w:asciiTheme="minorHAnsi" w:eastAsiaTheme="minorEastAsia" w:hAnsiTheme="minorHAnsi" w:cstheme="minorBidi"/>
          <w:szCs w:val="22"/>
        </w:rPr>
      </w:pPr>
      <w:r>
        <w:t>11.</w:t>
      </w:r>
      <w:r>
        <w:tab/>
        <w:t>Betting revenue and eligible payments: WA general bets</w:t>
      </w:r>
      <w:r>
        <w:tab/>
      </w:r>
      <w:r>
        <w:fldChar w:fldCharType="begin"/>
      </w:r>
      <w:r>
        <w:instrText xml:space="preserve"> PAGEREF _Toc536693630 \h </w:instrText>
      </w:r>
      <w:r>
        <w:fldChar w:fldCharType="separate"/>
      </w:r>
      <w:r>
        <w:t>10</w:t>
      </w:r>
      <w:r>
        <w:fldChar w:fldCharType="end"/>
      </w:r>
    </w:p>
    <w:p>
      <w:pPr>
        <w:pStyle w:val="TOC8"/>
        <w:rPr>
          <w:rFonts w:asciiTheme="minorHAnsi" w:eastAsiaTheme="minorEastAsia" w:hAnsiTheme="minorHAnsi" w:cstheme="minorBidi"/>
          <w:szCs w:val="22"/>
        </w:rPr>
      </w:pPr>
      <w:r>
        <w:t>12.</w:t>
      </w:r>
      <w:r>
        <w:tab/>
        <w:t>Amount of bets generally</w:t>
      </w:r>
      <w:r>
        <w:tab/>
      </w:r>
      <w:r>
        <w:fldChar w:fldCharType="begin"/>
      </w:r>
      <w:r>
        <w:instrText xml:space="preserve"> PAGEREF _Toc536693631 \h </w:instrText>
      </w:r>
      <w:r>
        <w:fldChar w:fldCharType="separate"/>
      </w:r>
      <w:r>
        <w:t>10</w:t>
      </w:r>
      <w:r>
        <w:fldChar w:fldCharType="end"/>
      </w:r>
    </w:p>
    <w:p>
      <w:pPr>
        <w:pStyle w:val="TOC8"/>
        <w:rPr>
          <w:rFonts w:asciiTheme="minorHAnsi" w:eastAsiaTheme="minorEastAsia" w:hAnsiTheme="minorHAnsi" w:cstheme="minorBidi"/>
          <w:szCs w:val="22"/>
        </w:rPr>
      </w:pPr>
      <w:r>
        <w:t>13.</w:t>
      </w:r>
      <w:r>
        <w:tab/>
        <w:t>Free components</w:t>
      </w:r>
      <w:r>
        <w:tab/>
      </w:r>
      <w:r>
        <w:fldChar w:fldCharType="begin"/>
      </w:r>
      <w:r>
        <w:instrText xml:space="preserve"> PAGEREF _Toc536693632 \h </w:instrText>
      </w:r>
      <w:r>
        <w:fldChar w:fldCharType="separate"/>
      </w:r>
      <w:r>
        <w:t>11</w:t>
      </w:r>
      <w:r>
        <w:fldChar w:fldCharType="end"/>
      </w:r>
    </w:p>
    <w:p>
      <w:pPr>
        <w:pStyle w:val="TOC8"/>
        <w:rPr>
          <w:rFonts w:asciiTheme="minorHAnsi" w:eastAsiaTheme="minorEastAsia" w:hAnsiTheme="minorHAnsi" w:cstheme="minorBidi"/>
          <w:szCs w:val="22"/>
        </w:rPr>
      </w:pPr>
      <w:r>
        <w:t>14.</w:t>
      </w:r>
      <w:r>
        <w:tab/>
        <w:t>Betting operator to identify location of individual or principal place of business</w:t>
      </w:r>
      <w:r>
        <w:tab/>
      </w:r>
      <w:r>
        <w:fldChar w:fldCharType="begin"/>
      </w:r>
      <w:r>
        <w:instrText xml:space="preserve"> PAGEREF _Toc536693633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Liability and assessment</w:t>
      </w:r>
    </w:p>
    <w:p>
      <w:pPr>
        <w:pStyle w:val="TOC8"/>
        <w:rPr>
          <w:rFonts w:asciiTheme="minorHAnsi" w:eastAsiaTheme="minorEastAsia" w:hAnsiTheme="minorHAnsi" w:cstheme="minorBidi"/>
          <w:szCs w:val="22"/>
        </w:rPr>
      </w:pPr>
      <w:r>
        <w:t>15.</w:t>
      </w:r>
      <w:r>
        <w:tab/>
        <w:t>Betting tax payable on taxable betting revenue</w:t>
      </w:r>
      <w:r>
        <w:tab/>
      </w:r>
      <w:r>
        <w:fldChar w:fldCharType="begin"/>
      </w:r>
      <w:r>
        <w:instrText xml:space="preserve"> PAGEREF _Toc536693635 \h </w:instrText>
      </w:r>
      <w:r>
        <w:fldChar w:fldCharType="separate"/>
      </w:r>
      <w:r>
        <w:t>13</w:t>
      </w:r>
      <w:r>
        <w:fldChar w:fldCharType="end"/>
      </w:r>
    </w:p>
    <w:p>
      <w:pPr>
        <w:pStyle w:val="TOC8"/>
        <w:rPr>
          <w:rFonts w:asciiTheme="minorHAnsi" w:eastAsiaTheme="minorEastAsia" w:hAnsiTheme="minorHAnsi" w:cstheme="minorBidi"/>
          <w:szCs w:val="22"/>
        </w:rPr>
      </w:pPr>
      <w:r>
        <w:t>16.</w:t>
      </w:r>
      <w:r>
        <w:tab/>
        <w:t>Time for payment of betting tax</w:t>
      </w:r>
      <w:r>
        <w:tab/>
      </w:r>
      <w:r>
        <w:fldChar w:fldCharType="begin"/>
      </w:r>
      <w:r>
        <w:instrText xml:space="preserve"> PAGEREF _Toc536693636 \h </w:instrText>
      </w:r>
      <w:r>
        <w:fldChar w:fldCharType="separate"/>
      </w:r>
      <w:r>
        <w:t>13</w:t>
      </w:r>
      <w:r>
        <w:fldChar w:fldCharType="end"/>
      </w:r>
    </w:p>
    <w:p>
      <w:pPr>
        <w:pStyle w:val="TOC8"/>
        <w:rPr>
          <w:rFonts w:asciiTheme="minorHAnsi" w:eastAsiaTheme="minorEastAsia" w:hAnsiTheme="minorHAnsi" w:cstheme="minorBidi"/>
          <w:szCs w:val="22"/>
        </w:rPr>
      </w:pPr>
      <w:r>
        <w:t>17.</w:t>
      </w:r>
      <w:r>
        <w:tab/>
        <w:t>Betting operator liable to pay betting tax</w:t>
      </w:r>
      <w:r>
        <w:tab/>
      </w:r>
      <w:r>
        <w:fldChar w:fldCharType="begin"/>
      </w:r>
      <w:r>
        <w:instrText xml:space="preserve"> PAGEREF _Toc536693637 \h </w:instrText>
      </w:r>
      <w:r>
        <w:fldChar w:fldCharType="separate"/>
      </w:r>
      <w:r>
        <w:t>13</w:t>
      </w:r>
      <w:r>
        <w:fldChar w:fldCharType="end"/>
      </w:r>
    </w:p>
    <w:p>
      <w:pPr>
        <w:pStyle w:val="TOC8"/>
        <w:rPr>
          <w:rFonts w:asciiTheme="minorHAnsi" w:eastAsiaTheme="minorEastAsia" w:hAnsiTheme="minorHAnsi" w:cstheme="minorBidi"/>
          <w:szCs w:val="22"/>
        </w:rPr>
      </w:pPr>
      <w:r>
        <w:t>18.</w:t>
      </w:r>
      <w:r>
        <w:tab/>
        <w:t>Annual reconciliation</w:t>
      </w:r>
      <w:r>
        <w:tab/>
      </w:r>
      <w:r>
        <w:fldChar w:fldCharType="begin"/>
      </w:r>
      <w:r>
        <w:instrText xml:space="preserve"> PAGEREF _Toc536693638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and returns</w:t>
      </w:r>
    </w:p>
    <w:p>
      <w:pPr>
        <w:pStyle w:val="TOC8"/>
        <w:rPr>
          <w:rFonts w:asciiTheme="minorHAnsi" w:eastAsiaTheme="minorEastAsia" w:hAnsiTheme="minorHAnsi" w:cstheme="minorBidi"/>
          <w:szCs w:val="22"/>
        </w:rPr>
      </w:pPr>
      <w:r>
        <w:t>19.</w:t>
      </w:r>
      <w:r>
        <w:tab/>
        <w:t>Application for registration</w:t>
      </w:r>
      <w:r>
        <w:tab/>
      </w:r>
      <w:r>
        <w:fldChar w:fldCharType="begin"/>
      </w:r>
      <w:r>
        <w:instrText xml:space="preserve"> PAGEREF _Toc536693640 \h </w:instrText>
      </w:r>
      <w:r>
        <w:fldChar w:fldCharType="separate"/>
      </w:r>
      <w:r>
        <w:t>16</w:t>
      </w:r>
      <w:r>
        <w:fldChar w:fldCharType="end"/>
      </w:r>
    </w:p>
    <w:p>
      <w:pPr>
        <w:pStyle w:val="TOC8"/>
        <w:rPr>
          <w:rFonts w:asciiTheme="minorHAnsi" w:eastAsiaTheme="minorEastAsia" w:hAnsiTheme="minorHAnsi" w:cstheme="minorBidi"/>
          <w:szCs w:val="22"/>
        </w:rPr>
      </w:pPr>
      <w:r>
        <w:t>20.</w:t>
      </w:r>
      <w:r>
        <w:tab/>
        <w:t>Registration</w:t>
      </w:r>
      <w:r>
        <w:tab/>
      </w:r>
      <w:r>
        <w:fldChar w:fldCharType="begin"/>
      </w:r>
      <w:r>
        <w:instrText xml:space="preserve"> PAGEREF _Toc536693641 \h </w:instrText>
      </w:r>
      <w:r>
        <w:fldChar w:fldCharType="separate"/>
      </w:r>
      <w:r>
        <w:t>16</w:t>
      </w:r>
      <w:r>
        <w:fldChar w:fldCharType="end"/>
      </w:r>
    </w:p>
    <w:p>
      <w:pPr>
        <w:pStyle w:val="TOC8"/>
        <w:rPr>
          <w:rFonts w:asciiTheme="minorHAnsi" w:eastAsiaTheme="minorEastAsia" w:hAnsiTheme="minorHAnsi" w:cstheme="minorBidi"/>
          <w:szCs w:val="22"/>
        </w:rPr>
      </w:pPr>
      <w:r>
        <w:t>21.</w:t>
      </w:r>
      <w:r>
        <w:tab/>
        <w:t>Cancellation of registration</w:t>
      </w:r>
      <w:r>
        <w:tab/>
      </w:r>
      <w:r>
        <w:fldChar w:fldCharType="begin"/>
      </w:r>
      <w:r>
        <w:instrText xml:space="preserve"> PAGEREF _Toc536693642 \h </w:instrText>
      </w:r>
      <w:r>
        <w:fldChar w:fldCharType="separate"/>
      </w:r>
      <w:r>
        <w:t>16</w:t>
      </w:r>
      <w:r>
        <w:fldChar w:fldCharType="end"/>
      </w:r>
    </w:p>
    <w:p>
      <w:pPr>
        <w:pStyle w:val="TOC8"/>
        <w:rPr>
          <w:rFonts w:asciiTheme="minorHAnsi" w:eastAsiaTheme="minorEastAsia" w:hAnsiTheme="minorHAnsi" w:cstheme="minorBidi"/>
          <w:szCs w:val="22"/>
        </w:rPr>
      </w:pPr>
      <w:r>
        <w:t>22.</w:t>
      </w:r>
      <w:r>
        <w:tab/>
        <w:t>Returns</w:t>
      </w:r>
      <w:r>
        <w:tab/>
      </w:r>
      <w:r>
        <w:fldChar w:fldCharType="begin"/>
      </w:r>
      <w:r>
        <w:instrText xml:space="preserve"> PAGEREF _Toc536693643 \h </w:instrText>
      </w:r>
      <w:r>
        <w:fldChar w:fldCharType="separate"/>
      </w:r>
      <w:r>
        <w:t>17</w:t>
      </w:r>
      <w:r>
        <w:fldChar w:fldCharType="end"/>
      </w:r>
    </w:p>
    <w:p>
      <w:pPr>
        <w:pStyle w:val="TOC8"/>
        <w:rPr>
          <w:rFonts w:asciiTheme="minorHAnsi" w:eastAsiaTheme="minorEastAsia" w:hAnsiTheme="minorHAnsi" w:cstheme="minorBidi"/>
          <w:szCs w:val="22"/>
        </w:rPr>
      </w:pPr>
      <w:r>
        <w:t>23.</w:t>
      </w:r>
      <w:r>
        <w:tab/>
        <w:t>Exemption from lodging monthly returns</w:t>
      </w:r>
      <w:r>
        <w:tab/>
      </w:r>
      <w:r>
        <w:fldChar w:fldCharType="begin"/>
      </w:r>
      <w:r>
        <w:instrText xml:space="preserve"> PAGEREF _Toc536693644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24.</w:t>
      </w:r>
      <w:r>
        <w:tab/>
        <w:t>Arrangements for avoidance may be disregarded</w:t>
      </w:r>
      <w:r>
        <w:tab/>
      </w:r>
      <w:r>
        <w:fldChar w:fldCharType="begin"/>
      </w:r>
      <w:r>
        <w:instrText xml:space="preserve"> PAGEREF _Toc536693646 \h </w:instrText>
      </w:r>
      <w:r>
        <w:fldChar w:fldCharType="separate"/>
      </w:r>
      <w:r>
        <w:t>19</w:t>
      </w:r>
      <w:r>
        <w:fldChar w:fldCharType="end"/>
      </w:r>
    </w:p>
    <w:p>
      <w:pPr>
        <w:pStyle w:val="TOC8"/>
        <w:rPr>
          <w:rFonts w:asciiTheme="minorHAnsi" w:eastAsiaTheme="minorEastAsia" w:hAnsiTheme="minorHAnsi" w:cstheme="minorBidi"/>
          <w:szCs w:val="22"/>
        </w:rPr>
      </w:pPr>
      <w:r>
        <w:t>25.</w:t>
      </w:r>
      <w:r>
        <w:tab/>
        <w:t>Keeping records</w:t>
      </w:r>
      <w:r>
        <w:tab/>
      </w:r>
      <w:r>
        <w:fldChar w:fldCharType="begin"/>
      </w:r>
      <w:r>
        <w:instrText xml:space="preserve"> PAGEREF _Toc536693647 \h </w:instrText>
      </w:r>
      <w:r>
        <w:fldChar w:fldCharType="separate"/>
      </w:r>
      <w:r>
        <w:t>20</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_Toc536693648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27.</w:t>
      </w:r>
      <w:r>
        <w:tab/>
        <w:t>First assessment period and threshold amount</w:t>
      </w:r>
      <w:r>
        <w:tab/>
      </w:r>
      <w:r>
        <w:fldChar w:fldCharType="begin"/>
      </w:r>
      <w:r>
        <w:instrText xml:space="preserve"> PAGEREF _Toc536693650 \h </w:instrText>
      </w:r>
      <w:r>
        <w:fldChar w:fldCharType="separate"/>
      </w:r>
      <w:r>
        <w:t>22</w:t>
      </w:r>
      <w:r>
        <w:fldChar w:fldCharType="end"/>
      </w:r>
    </w:p>
    <w:p>
      <w:pPr>
        <w:pStyle w:val="TOC8"/>
        <w:rPr>
          <w:rFonts w:asciiTheme="minorHAnsi" w:eastAsiaTheme="minorEastAsia" w:hAnsiTheme="minorHAnsi" w:cstheme="minorBidi"/>
          <w:szCs w:val="22"/>
        </w:rPr>
      </w:pPr>
      <w:r>
        <w:t>28.</w:t>
      </w:r>
      <w:r>
        <w:tab/>
        <w:t>Betting revenue relating to bets placed before 1 January 2019</w:t>
      </w:r>
      <w:r>
        <w:tab/>
      </w:r>
      <w:r>
        <w:fldChar w:fldCharType="begin"/>
      </w:r>
      <w:r>
        <w:instrText xml:space="preserve"> PAGEREF _Toc536693651 \h </w:instrText>
      </w:r>
      <w:r>
        <w:fldChar w:fldCharType="separate"/>
      </w:r>
      <w:r>
        <w:t>22</w:t>
      </w:r>
      <w:r>
        <w:fldChar w:fldCharType="end"/>
      </w:r>
    </w:p>
    <w:p>
      <w:pPr>
        <w:pStyle w:val="TOC8"/>
        <w:rPr>
          <w:rFonts w:asciiTheme="minorHAnsi" w:eastAsiaTheme="minorEastAsia" w:hAnsiTheme="minorHAnsi" w:cstheme="minorBidi"/>
          <w:szCs w:val="22"/>
        </w:rPr>
      </w:pPr>
      <w:r>
        <w:t>29.</w:t>
      </w:r>
      <w:r>
        <w:tab/>
        <w:t>Eligible payments relating to bets placed before 1 January 2019</w:t>
      </w:r>
      <w:r>
        <w:tab/>
      </w:r>
      <w:r>
        <w:fldChar w:fldCharType="begin"/>
      </w:r>
      <w:r>
        <w:instrText xml:space="preserve"> PAGEREF _Toc536693652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30.</w:t>
      </w:r>
      <w:r>
        <w:tab/>
      </w:r>
      <w:r>
        <w:rPr>
          <w:i/>
        </w:rPr>
        <w:t>Bookmakers Betting Levy Act 1954</w:t>
      </w:r>
      <w:r>
        <w:t xml:space="preserve"> repealed</w:t>
      </w:r>
      <w:r>
        <w:tab/>
      </w:r>
      <w:r>
        <w:fldChar w:fldCharType="begin"/>
      </w:r>
      <w:r>
        <w:instrText xml:space="preserve"> PAGEREF _Toc536693654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rPr>
          <w:i/>
        </w:rPr>
        <w:t xml:space="preserve">Racing and Wagering Western Australia Tax Act 2003 </w:t>
      </w:r>
      <w:r>
        <w:t>repealed</w:t>
      </w:r>
      <w:r>
        <w:tab/>
      </w:r>
      <w:r>
        <w:fldChar w:fldCharType="begin"/>
      </w:r>
      <w:r>
        <w:instrText xml:space="preserve"> PAGEREF _Toc536693655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Amendments commencing on 1 January 2019</w:t>
      </w:r>
    </w:p>
    <w:p>
      <w:pPr>
        <w:pStyle w:val="TOC6"/>
        <w:tabs>
          <w:tab w:val="right" w:leader="dot" w:pos="7077"/>
        </w:tabs>
        <w:rPr>
          <w:rFonts w:asciiTheme="minorHAnsi" w:eastAsiaTheme="minorEastAsia" w:hAnsiTheme="minorHAnsi" w:cstheme="minorBidi"/>
          <w:b w:val="0"/>
          <w:sz w:val="22"/>
          <w:szCs w:val="22"/>
        </w:rPr>
      </w:pPr>
      <w:r>
        <w:t>Subdivision 1 — </w:t>
      </w:r>
      <w:r>
        <w:rPr>
          <w:i/>
        </w:rPr>
        <w:t>Betting Control Act 1954</w:t>
      </w:r>
      <w:r>
        <w:t xml:space="preserve">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_Toc536693659 \h </w:instrText>
      </w:r>
      <w:r>
        <w:fldChar w:fldCharType="separate"/>
      </w:r>
      <w:r>
        <w:t>24</w:t>
      </w:r>
      <w:r>
        <w:fldChar w:fldCharType="end"/>
      </w:r>
    </w:p>
    <w:p>
      <w:pPr>
        <w:pStyle w:val="TOC8"/>
        <w:rPr>
          <w:rFonts w:asciiTheme="minorHAnsi" w:eastAsiaTheme="minorEastAsia" w:hAnsiTheme="minorHAnsi" w:cstheme="minorBidi"/>
          <w:szCs w:val="22"/>
        </w:rPr>
      </w:pPr>
      <w:r>
        <w:t>33.</w:t>
      </w:r>
      <w:r>
        <w:tab/>
        <w:t>Section 27E amended</w:t>
      </w:r>
      <w:r>
        <w:tab/>
      </w:r>
      <w:r>
        <w:fldChar w:fldCharType="begin"/>
      </w:r>
      <w:r>
        <w:instrText xml:space="preserve"> PAGEREF _Toc536693660 \h </w:instrText>
      </w:r>
      <w:r>
        <w:fldChar w:fldCharType="separate"/>
      </w:r>
      <w:r>
        <w:t>24</w:t>
      </w:r>
      <w:r>
        <w:fldChar w:fldCharType="end"/>
      </w:r>
    </w:p>
    <w:p>
      <w:pPr>
        <w:pStyle w:val="TOC8"/>
        <w:rPr>
          <w:rFonts w:asciiTheme="minorHAnsi" w:eastAsiaTheme="minorEastAsia" w:hAnsiTheme="minorHAnsi" w:cstheme="minorBidi"/>
          <w:szCs w:val="22"/>
        </w:rPr>
      </w:pPr>
      <w:r>
        <w:t>34.</w:t>
      </w:r>
      <w:r>
        <w:tab/>
        <w:t>Part 6 inserted</w:t>
      </w:r>
      <w:r>
        <w:tab/>
      </w:r>
      <w:r>
        <w:fldChar w:fldCharType="begin"/>
      </w:r>
      <w:r>
        <w:instrText xml:space="preserve"> PAGEREF _Toc536693661 \h </w:instrText>
      </w:r>
      <w:r>
        <w:fldChar w:fldCharType="separate"/>
      </w:r>
      <w:r>
        <w:t>24</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6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34.</w:t>
      </w:r>
      <w:r>
        <w:rPr>
          <w:noProof/>
        </w:rPr>
        <w:tab/>
        <w:t>Application of s. 14, 15 and 16 on or after 1 January 2019</w:t>
      </w:r>
      <w:r>
        <w:rPr>
          <w:noProof/>
        </w:rPr>
        <w:tab/>
      </w:r>
      <w:r>
        <w:rPr>
          <w:noProof/>
        </w:rPr>
        <w:fldChar w:fldCharType="begin"/>
      </w:r>
      <w:r>
        <w:rPr>
          <w:noProof/>
        </w:rPr>
        <w:instrText xml:space="preserve"> PAGEREF _Toc536693663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Application of s. 18A on or after 1 January 2019</w:t>
      </w:r>
      <w:r>
        <w:rPr>
          <w:noProof/>
        </w:rPr>
        <w:tab/>
      </w:r>
      <w:r>
        <w:rPr>
          <w:noProof/>
        </w:rPr>
        <w:fldChar w:fldCharType="begin"/>
      </w:r>
      <w:r>
        <w:rPr>
          <w:noProof/>
        </w:rPr>
        <w:instrText xml:space="preserve"> PAGEREF _Toc536693664 \h </w:instrText>
      </w:r>
      <w:r>
        <w:rPr>
          <w:noProof/>
        </w:rPr>
      </w:r>
      <w:r>
        <w:rPr>
          <w:noProof/>
        </w:rPr>
        <w:fldChar w:fldCharType="separate"/>
      </w:r>
      <w:r>
        <w:rPr>
          <w:noProof/>
        </w:rPr>
        <w:t>25</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Racing and Wagering Western Australia Act 2003</w:t>
      </w:r>
      <w:r>
        <w:t> amended</w:t>
      </w:r>
    </w:p>
    <w:p>
      <w:pPr>
        <w:pStyle w:val="TOC8"/>
        <w:rPr>
          <w:rFonts w:asciiTheme="minorHAnsi" w:eastAsiaTheme="minorEastAsia" w:hAnsiTheme="minorHAnsi" w:cstheme="minorBidi"/>
          <w:szCs w:val="22"/>
        </w:rPr>
      </w:pPr>
      <w:r>
        <w:t>35</w:t>
      </w:r>
      <w:r>
        <w:rPr>
          <w:snapToGrid w:val="0"/>
        </w:rPr>
        <w:t>.</w:t>
      </w:r>
      <w:r>
        <w:rPr>
          <w:snapToGrid w:val="0"/>
        </w:rPr>
        <w:tab/>
        <w:t>Act amended</w:t>
      </w:r>
      <w:r>
        <w:tab/>
      </w:r>
      <w:r>
        <w:fldChar w:fldCharType="begin"/>
      </w:r>
      <w:r>
        <w:instrText xml:space="preserve"> PAGEREF _Toc536693666 \h </w:instrText>
      </w:r>
      <w:r>
        <w:fldChar w:fldCharType="separate"/>
      </w:r>
      <w:r>
        <w:t>25</w:t>
      </w:r>
      <w:r>
        <w:fldChar w:fldCharType="end"/>
      </w:r>
    </w:p>
    <w:p>
      <w:pPr>
        <w:pStyle w:val="TOC8"/>
        <w:rPr>
          <w:rFonts w:asciiTheme="minorHAnsi" w:eastAsiaTheme="minorEastAsia" w:hAnsiTheme="minorHAnsi" w:cstheme="minorBidi"/>
          <w:szCs w:val="22"/>
        </w:rPr>
      </w:pPr>
      <w:r>
        <w:t>36.</w:t>
      </w:r>
      <w:r>
        <w:tab/>
        <w:t>Section 68 amended</w:t>
      </w:r>
      <w:r>
        <w:tab/>
      </w:r>
      <w:r>
        <w:fldChar w:fldCharType="begin"/>
      </w:r>
      <w:r>
        <w:instrText xml:space="preserve"> PAGEREF _Toc536693667 \h </w:instrText>
      </w:r>
      <w:r>
        <w:fldChar w:fldCharType="separate"/>
      </w:r>
      <w:r>
        <w:t>25</w:t>
      </w:r>
      <w:r>
        <w:fldChar w:fldCharType="end"/>
      </w:r>
    </w:p>
    <w:p>
      <w:pPr>
        <w:pStyle w:val="TOC8"/>
        <w:rPr>
          <w:rFonts w:asciiTheme="minorHAnsi" w:eastAsiaTheme="minorEastAsia" w:hAnsiTheme="minorHAnsi" w:cstheme="minorBidi"/>
          <w:szCs w:val="22"/>
        </w:rPr>
      </w:pPr>
      <w:r>
        <w:t>37.</w:t>
      </w:r>
      <w:r>
        <w:tab/>
        <w:t>Section 77 amended</w:t>
      </w:r>
      <w:r>
        <w:tab/>
      </w:r>
      <w:r>
        <w:fldChar w:fldCharType="begin"/>
      </w:r>
      <w:r>
        <w:instrText xml:space="preserve"> PAGEREF _Toc536693668 \h </w:instrText>
      </w:r>
      <w:r>
        <w:fldChar w:fldCharType="separate"/>
      </w:r>
      <w:r>
        <w:t>25</w:t>
      </w:r>
      <w:r>
        <w:fldChar w:fldCharType="end"/>
      </w:r>
    </w:p>
    <w:p>
      <w:pPr>
        <w:pStyle w:val="TOC8"/>
        <w:rPr>
          <w:rFonts w:asciiTheme="minorHAnsi" w:eastAsiaTheme="minorEastAsia" w:hAnsiTheme="minorHAnsi" w:cstheme="minorBidi"/>
          <w:szCs w:val="22"/>
        </w:rPr>
      </w:pPr>
      <w:r>
        <w:t>38.</w:t>
      </w:r>
      <w:r>
        <w:tab/>
        <w:t>Section 102 amended</w:t>
      </w:r>
      <w:r>
        <w:tab/>
      </w:r>
      <w:r>
        <w:fldChar w:fldCharType="begin"/>
      </w:r>
      <w:r>
        <w:instrText xml:space="preserve"> PAGEREF _Toc536693669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106 amended</w:t>
      </w:r>
      <w:r>
        <w:tab/>
      </w:r>
      <w:r>
        <w:fldChar w:fldCharType="begin"/>
      </w:r>
      <w:r>
        <w:instrText xml:space="preserve"> PAGEREF _Toc536693670 \h </w:instrText>
      </w:r>
      <w:r>
        <w:fldChar w:fldCharType="separate"/>
      </w:r>
      <w:r>
        <w:t>26</w:t>
      </w:r>
      <w:r>
        <w:fldChar w:fldCharType="end"/>
      </w:r>
    </w:p>
    <w:p>
      <w:pPr>
        <w:pStyle w:val="TOC8"/>
        <w:rPr>
          <w:rFonts w:asciiTheme="minorHAnsi" w:eastAsiaTheme="minorEastAsia" w:hAnsiTheme="minorHAnsi" w:cstheme="minorBidi"/>
          <w:szCs w:val="22"/>
        </w:rPr>
      </w:pPr>
      <w:r>
        <w:t>40.</w:t>
      </w:r>
      <w:r>
        <w:tab/>
        <w:t>Section 107B inserted</w:t>
      </w:r>
      <w:r>
        <w:tab/>
      </w:r>
      <w:r>
        <w:fldChar w:fldCharType="begin"/>
      </w:r>
      <w:r>
        <w:instrText xml:space="preserve"> PAGEREF _Toc536693671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107B.</w:t>
      </w:r>
      <w:r>
        <w:rPr>
          <w:noProof/>
        </w:rPr>
        <w:tab/>
        <w:t>Allocation and distribution of proportion of funds from betting tax</w:t>
      </w:r>
      <w:r>
        <w:rPr>
          <w:noProof/>
        </w:rPr>
        <w:tab/>
      </w:r>
      <w:r>
        <w:rPr>
          <w:noProof/>
        </w:rPr>
        <w:fldChar w:fldCharType="begin"/>
      </w:r>
      <w:r>
        <w:rPr>
          <w:noProof/>
        </w:rPr>
        <w:instrText xml:space="preserve"> PAGEREF _Toc536693672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41.</w:t>
      </w:r>
      <w:r>
        <w:tab/>
        <w:t>Part 9 inserted</w:t>
      </w:r>
      <w:r>
        <w:tab/>
      </w:r>
      <w:r>
        <w:fldChar w:fldCharType="begin"/>
      </w:r>
      <w:r>
        <w:instrText xml:space="preserve"> PAGEREF _Toc536693673 \h </w:instrText>
      </w:r>
      <w:r>
        <w:fldChar w:fldCharType="separate"/>
      </w:r>
      <w:r>
        <w:t>27</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9 — Transitional provisions for </w:t>
      </w:r>
      <w:r>
        <w:rPr>
          <w:i/>
        </w:rPr>
        <w:t>Betting Tax Assessment Act 2018</w:t>
      </w:r>
    </w:p>
    <w:p>
      <w:pPr>
        <w:pStyle w:val="TOC9"/>
        <w:rPr>
          <w:rFonts w:asciiTheme="minorHAnsi" w:eastAsiaTheme="minorEastAsia" w:hAnsiTheme="minorHAnsi" w:cstheme="minorBidi"/>
          <w:noProof/>
          <w:sz w:val="22"/>
          <w:szCs w:val="22"/>
        </w:rPr>
      </w:pPr>
      <w:r>
        <w:rPr>
          <w:noProof/>
        </w:rPr>
        <w:t>123.</w:t>
      </w:r>
      <w:r>
        <w:rPr>
          <w:noProof/>
        </w:rPr>
        <w:tab/>
        <w:t>Application of s. 102 on or after 1 January 2019</w:t>
      </w:r>
      <w:r>
        <w:rPr>
          <w:noProof/>
        </w:rPr>
        <w:tab/>
      </w:r>
      <w:r>
        <w:rPr>
          <w:noProof/>
        </w:rPr>
        <w:fldChar w:fldCharType="begin"/>
      </w:r>
      <w:r>
        <w:rPr>
          <w:noProof/>
        </w:rPr>
        <w:instrText xml:space="preserve"> PAGEREF _Toc536693675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124.</w:t>
      </w:r>
      <w:r>
        <w:rPr>
          <w:noProof/>
        </w:rPr>
        <w:tab/>
        <w:t>Application of s. 107 on or after 1 January 2019</w:t>
      </w:r>
      <w:r>
        <w:rPr>
          <w:noProof/>
        </w:rPr>
        <w:tab/>
      </w:r>
      <w:r>
        <w:rPr>
          <w:noProof/>
        </w:rPr>
        <w:fldChar w:fldCharType="begin"/>
      </w:r>
      <w:r>
        <w:rPr>
          <w:noProof/>
        </w:rPr>
        <w:instrText xml:space="preserve"> PAGEREF _Toc536693676 \h </w:instrText>
      </w:r>
      <w:r>
        <w:rPr>
          <w:noProof/>
        </w:rPr>
      </w:r>
      <w:r>
        <w:rPr>
          <w:noProof/>
        </w:rPr>
        <w:fldChar w:fldCharType="separate"/>
      </w:r>
      <w:r>
        <w:rPr>
          <w:noProof/>
        </w:rPr>
        <w:t>27</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Racing and Wagering Western Australia Tax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_Toc536693678 \h </w:instrText>
      </w:r>
      <w:r>
        <w:fldChar w:fldCharType="separate"/>
      </w:r>
      <w:r>
        <w:t>27</w:t>
      </w:r>
      <w:r>
        <w:fldChar w:fldCharType="end"/>
      </w:r>
    </w:p>
    <w:p>
      <w:pPr>
        <w:pStyle w:val="TOC8"/>
        <w:rPr>
          <w:rFonts w:asciiTheme="minorHAnsi" w:eastAsiaTheme="minorEastAsia" w:hAnsiTheme="minorHAnsi" w:cstheme="minorBidi"/>
          <w:szCs w:val="22"/>
        </w:rPr>
      </w:pPr>
      <w:r>
        <w:t>43.</w:t>
      </w:r>
      <w:r>
        <w:tab/>
        <w:t>Section 3 amended</w:t>
      </w:r>
      <w:r>
        <w:tab/>
      </w:r>
      <w:r>
        <w:fldChar w:fldCharType="begin"/>
      </w:r>
      <w:r>
        <w:instrText xml:space="preserve"> PAGEREF _Toc536693679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Taxation Administration Act 2003</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_Toc536693681 \h </w:instrText>
      </w:r>
      <w:r>
        <w:fldChar w:fldCharType="separate"/>
      </w:r>
      <w:r>
        <w:t>28</w:t>
      </w:r>
      <w:r>
        <w:fldChar w:fldCharType="end"/>
      </w:r>
    </w:p>
    <w:p>
      <w:pPr>
        <w:pStyle w:val="TOC8"/>
        <w:rPr>
          <w:rFonts w:asciiTheme="minorHAnsi" w:eastAsiaTheme="minorEastAsia" w:hAnsiTheme="minorHAnsi" w:cstheme="minorBidi"/>
          <w:szCs w:val="22"/>
        </w:rPr>
      </w:pPr>
      <w:r>
        <w:t>45.</w:t>
      </w:r>
      <w:r>
        <w:tab/>
        <w:t>Section 3 amended</w:t>
      </w:r>
      <w:r>
        <w:tab/>
      </w:r>
      <w:r>
        <w:fldChar w:fldCharType="begin"/>
      </w:r>
      <w:r>
        <w:instrText xml:space="preserve"> PAGEREF _Toc536693682 \h </w:instrText>
      </w:r>
      <w:r>
        <w:fldChar w:fldCharType="separate"/>
      </w:r>
      <w:r>
        <w:t>28</w:t>
      </w:r>
      <w:r>
        <w:fldChar w:fldCharType="end"/>
      </w:r>
    </w:p>
    <w:p>
      <w:pPr>
        <w:pStyle w:val="TOC8"/>
        <w:rPr>
          <w:rFonts w:asciiTheme="minorHAnsi" w:eastAsiaTheme="minorEastAsia" w:hAnsiTheme="minorHAnsi" w:cstheme="minorBidi"/>
          <w:szCs w:val="22"/>
        </w:rPr>
      </w:pPr>
      <w:r>
        <w:t>46.</w:t>
      </w:r>
      <w:r>
        <w:tab/>
        <w:t>Section 17 amended</w:t>
      </w:r>
      <w:r>
        <w:tab/>
      </w:r>
      <w:r>
        <w:fldChar w:fldCharType="begin"/>
      </w:r>
      <w:r>
        <w:instrText xml:space="preserve"> PAGEREF _Toc536693683 \h </w:instrText>
      </w:r>
      <w:r>
        <w:fldChar w:fldCharType="separate"/>
      </w:r>
      <w:r>
        <w:t>28</w:t>
      </w:r>
      <w:r>
        <w:fldChar w:fldCharType="end"/>
      </w:r>
    </w:p>
    <w:p>
      <w:pPr>
        <w:pStyle w:val="TOC8"/>
        <w:rPr>
          <w:rFonts w:asciiTheme="minorHAnsi" w:eastAsiaTheme="minorEastAsia" w:hAnsiTheme="minorHAnsi" w:cstheme="minorBidi"/>
          <w:szCs w:val="22"/>
        </w:rPr>
      </w:pPr>
      <w:r>
        <w:t>47.</w:t>
      </w:r>
      <w:r>
        <w:tab/>
        <w:t>Section 114 amended</w:t>
      </w:r>
      <w:r>
        <w:tab/>
      </w:r>
      <w:r>
        <w:fldChar w:fldCharType="begin"/>
      </w:r>
      <w:r>
        <w:instrText xml:space="preserve"> PAGEREF _Toc536693684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Amendments commencing on proclamation</w:t>
      </w:r>
    </w:p>
    <w:p>
      <w:pPr>
        <w:pStyle w:val="TOC6"/>
        <w:tabs>
          <w:tab w:val="right" w:leader="dot" w:pos="7077"/>
        </w:tabs>
        <w:rPr>
          <w:rFonts w:asciiTheme="minorHAnsi" w:eastAsiaTheme="minorEastAsia" w:hAnsiTheme="minorHAnsi" w:cstheme="minorBidi"/>
          <w:b w:val="0"/>
          <w:sz w:val="22"/>
          <w:szCs w:val="22"/>
        </w:rPr>
      </w:pPr>
      <w:r>
        <w:t>Subdivision 1 — </w:t>
      </w:r>
      <w:r>
        <w:rPr>
          <w:i/>
        </w:rPr>
        <w:t>Betting Control Act 1954</w:t>
      </w:r>
      <w:r>
        <w:t xml:space="preserve"> amended</w:t>
      </w:r>
    </w:p>
    <w:p>
      <w:pPr>
        <w:pStyle w:val="TOC8"/>
        <w:rPr>
          <w:rFonts w:asciiTheme="minorHAnsi" w:eastAsiaTheme="minorEastAsia" w:hAnsiTheme="minorHAnsi" w:cstheme="minorBidi"/>
          <w:szCs w:val="22"/>
        </w:rPr>
      </w:pPr>
      <w:r>
        <w:t>48</w:t>
      </w:r>
      <w:r>
        <w:rPr>
          <w:snapToGrid w:val="0"/>
        </w:rPr>
        <w:t>.</w:t>
      </w:r>
      <w:r>
        <w:rPr>
          <w:snapToGrid w:val="0"/>
        </w:rPr>
        <w:tab/>
        <w:t>Act amended</w:t>
      </w:r>
      <w:r>
        <w:tab/>
      </w:r>
      <w:r>
        <w:fldChar w:fldCharType="begin"/>
      </w:r>
      <w:r>
        <w:instrText xml:space="preserve"> PAGEREF _Toc536693687 \h </w:instrText>
      </w:r>
      <w:r>
        <w:fldChar w:fldCharType="separate"/>
      </w:r>
      <w:r>
        <w:t>29</w:t>
      </w:r>
      <w:r>
        <w:fldChar w:fldCharType="end"/>
      </w:r>
    </w:p>
    <w:p>
      <w:pPr>
        <w:pStyle w:val="TOC8"/>
        <w:rPr>
          <w:rFonts w:asciiTheme="minorHAnsi" w:eastAsiaTheme="minorEastAsia" w:hAnsiTheme="minorHAnsi" w:cstheme="minorBidi"/>
          <w:szCs w:val="22"/>
        </w:rPr>
      </w:pPr>
      <w:r>
        <w:t>49.</w:t>
      </w:r>
      <w:r>
        <w:tab/>
        <w:t>Long title amended</w:t>
      </w:r>
      <w:r>
        <w:tab/>
      </w:r>
      <w:r>
        <w:fldChar w:fldCharType="begin"/>
      </w:r>
      <w:r>
        <w:instrText xml:space="preserve"> PAGEREF _Toc536693688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4 amended</w:t>
      </w:r>
      <w:r>
        <w:tab/>
      </w:r>
      <w:r>
        <w:fldChar w:fldCharType="begin"/>
      </w:r>
      <w:r>
        <w:instrText xml:space="preserve"> PAGEREF _Toc536693689 \h </w:instrText>
      </w:r>
      <w:r>
        <w:fldChar w:fldCharType="separate"/>
      </w:r>
      <w:r>
        <w:t>29</w:t>
      </w:r>
      <w:r>
        <w:fldChar w:fldCharType="end"/>
      </w:r>
    </w:p>
    <w:p>
      <w:pPr>
        <w:pStyle w:val="TOC8"/>
        <w:rPr>
          <w:rFonts w:asciiTheme="minorHAnsi" w:eastAsiaTheme="minorEastAsia" w:hAnsiTheme="minorHAnsi" w:cstheme="minorBidi"/>
          <w:szCs w:val="22"/>
        </w:rPr>
      </w:pPr>
      <w:r>
        <w:t>51.</w:t>
      </w:r>
      <w:r>
        <w:tab/>
        <w:t>Section 11E amended</w:t>
      </w:r>
      <w:r>
        <w:tab/>
      </w:r>
      <w:r>
        <w:fldChar w:fldCharType="begin"/>
      </w:r>
      <w:r>
        <w:instrText xml:space="preserve"> PAGEREF _Toc536693690 \h </w:instrText>
      </w:r>
      <w:r>
        <w:fldChar w:fldCharType="separate"/>
      </w:r>
      <w:r>
        <w:t>30</w:t>
      </w:r>
      <w:r>
        <w:fldChar w:fldCharType="end"/>
      </w:r>
    </w:p>
    <w:p>
      <w:pPr>
        <w:pStyle w:val="TOC8"/>
        <w:rPr>
          <w:rFonts w:asciiTheme="minorHAnsi" w:eastAsiaTheme="minorEastAsia" w:hAnsiTheme="minorHAnsi" w:cstheme="minorBidi"/>
          <w:szCs w:val="22"/>
        </w:rPr>
      </w:pPr>
      <w:r>
        <w:t>52.</w:t>
      </w:r>
      <w:r>
        <w:tab/>
        <w:t>Section 12 amended</w:t>
      </w:r>
      <w:r>
        <w:tab/>
      </w:r>
      <w:r>
        <w:fldChar w:fldCharType="begin"/>
      </w:r>
      <w:r>
        <w:instrText xml:space="preserve"> PAGEREF _Toc536693691 \h </w:instrText>
      </w:r>
      <w:r>
        <w:fldChar w:fldCharType="separate"/>
      </w:r>
      <w:r>
        <w:t>30</w:t>
      </w:r>
      <w:r>
        <w:fldChar w:fldCharType="end"/>
      </w:r>
    </w:p>
    <w:p>
      <w:pPr>
        <w:pStyle w:val="TOC8"/>
        <w:rPr>
          <w:rFonts w:asciiTheme="minorHAnsi" w:eastAsiaTheme="minorEastAsia" w:hAnsiTheme="minorHAnsi" w:cstheme="minorBidi"/>
          <w:szCs w:val="22"/>
        </w:rPr>
      </w:pPr>
      <w:r>
        <w:t>53.</w:t>
      </w:r>
      <w:r>
        <w:tab/>
        <w:t>Section 13 amended</w:t>
      </w:r>
      <w:r>
        <w:tab/>
      </w:r>
      <w:r>
        <w:fldChar w:fldCharType="begin"/>
      </w:r>
      <w:r>
        <w:instrText xml:space="preserve"> PAGEREF _Toc536693692 \h </w:instrText>
      </w:r>
      <w:r>
        <w:fldChar w:fldCharType="separate"/>
      </w:r>
      <w:r>
        <w:t>30</w:t>
      </w:r>
      <w:r>
        <w:fldChar w:fldCharType="end"/>
      </w:r>
    </w:p>
    <w:p>
      <w:pPr>
        <w:pStyle w:val="TOC8"/>
        <w:rPr>
          <w:rFonts w:asciiTheme="minorHAnsi" w:eastAsiaTheme="minorEastAsia" w:hAnsiTheme="minorHAnsi" w:cstheme="minorBidi"/>
          <w:szCs w:val="22"/>
        </w:rPr>
      </w:pPr>
      <w:r>
        <w:t>54.</w:t>
      </w:r>
      <w:r>
        <w:tab/>
        <w:t>Section 14A amended</w:t>
      </w:r>
      <w:r>
        <w:tab/>
      </w:r>
      <w:r>
        <w:fldChar w:fldCharType="begin"/>
      </w:r>
      <w:r>
        <w:instrText xml:space="preserve"> PAGEREF _Toc536693693 \h </w:instrText>
      </w:r>
      <w:r>
        <w:fldChar w:fldCharType="separate"/>
      </w:r>
      <w:r>
        <w:t>31</w:t>
      </w:r>
      <w:r>
        <w:fldChar w:fldCharType="end"/>
      </w:r>
    </w:p>
    <w:p>
      <w:pPr>
        <w:pStyle w:val="TOC8"/>
        <w:rPr>
          <w:rFonts w:asciiTheme="minorHAnsi" w:eastAsiaTheme="minorEastAsia" w:hAnsiTheme="minorHAnsi" w:cstheme="minorBidi"/>
          <w:szCs w:val="22"/>
        </w:rPr>
      </w:pPr>
      <w:r>
        <w:t>55.</w:t>
      </w:r>
      <w:r>
        <w:tab/>
        <w:t>Sections 14B to 16 deleted</w:t>
      </w:r>
      <w:r>
        <w:tab/>
      </w:r>
      <w:r>
        <w:fldChar w:fldCharType="begin"/>
      </w:r>
      <w:r>
        <w:instrText xml:space="preserve"> PAGEREF _Toc536693694 \h </w:instrText>
      </w:r>
      <w:r>
        <w:fldChar w:fldCharType="separate"/>
      </w:r>
      <w:r>
        <w:t>31</w:t>
      </w:r>
      <w:r>
        <w:fldChar w:fldCharType="end"/>
      </w:r>
    </w:p>
    <w:p>
      <w:pPr>
        <w:pStyle w:val="TOC8"/>
        <w:rPr>
          <w:rFonts w:asciiTheme="minorHAnsi" w:eastAsiaTheme="minorEastAsia" w:hAnsiTheme="minorHAnsi" w:cstheme="minorBidi"/>
          <w:szCs w:val="22"/>
        </w:rPr>
      </w:pPr>
      <w:r>
        <w:t>56.</w:t>
      </w:r>
      <w:r>
        <w:tab/>
        <w:t>Section 17 amended</w:t>
      </w:r>
      <w:r>
        <w:tab/>
      </w:r>
      <w:r>
        <w:fldChar w:fldCharType="begin"/>
      </w:r>
      <w:r>
        <w:instrText xml:space="preserve"> PAGEREF _Toc536693695 \h </w:instrText>
      </w:r>
      <w:r>
        <w:fldChar w:fldCharType="separate"/>
      </w:r>
      <w:r>
        <w:t>32</w:t>
      </w:r>
      <w:r>
        <w:fldChar w:fldCharType="end"/>
      </w:r>
    </w:p>
    <w:p>
      <w:pPr>
        <w:pStyle w:val="TOC8"/>
        <w:rPr>
          <w:rFonts w:asciiTheme="minorHAnsi" w:eastAsiaTheme="minorEastAsia" w:hAnsiTheme="minorHAnsi" w:cstheme="minorBidi"/>
          <w:szCs w:val="22"/>
        </w:rPr>
      </w:pPr>
      <w:r>
        <w:t>57.</w:t>
      </w:r>
      <w:r>
        <w:tab/>
        <w:t>Section 17A amended</w:t>
      </w:r>
      <w:r>
        <w:tab/>
      </w:r>
      <w:r>
        <w:fldChar w:fldCharType="begin"/>
      </w:r>
      <w:r>
        <w:instrText xml:space="preserve"> PAGEREF _Toc536693696 \h </w:instrText>
      </w:r>
      <w:r>
        <w:fldChar w:fldCharType="separate"/>
      </w:r>
      <w:r>
        <w:t>32</w:t>
      </w:r>
      <w:r>
        <w:fldChar w:fldCharType="end"/>
      </w:r>
    </w:p>
    <w:p>
      <w:pPr>
        <w:pStyle w:val="TOC8"/>
        <w:rPr>
          <w:rFonts w:asciiTheme="minorHAnsi" w:eastAsiaTheme="minorEastAsia" w:hAnsiTheme="minorHAnsi" w:cstheme="minorBidi"/>
          <w:szCs w:val="22"/>
        </w:rPr>
      </w:pPr>
      <w:r>
        <w:t>58.</w:t>
      </w:r>
      <w:r>
        <w:tab/>
        <w:t>Sections 18 and 18A deleted</w:t>
      </w:r>
      <w:r>
        <w:tab/>
      </w:r>
      <w:r>
        <w:fldChar w:fldCharType="begin"/>
      </w:r>
      <w:r>
        <w:instrText xml:space="preserve"> PAGEREF _Toc536693697 \h </w:instrText>
      </w:r>
      <w:r>
        <w:fldChar w:fldCharType="separate"/>
      </w:r>
      <w:r>
        <w:t>32</w:t>
      </w:r>
      <w:r>
        <w:fldChar w:fldCharType="end"/>
      </w:r>
    </w:p>
    <w:p>
      <w:pPr>
        <w:pStyle w:val="TOC8"/>
        <w:rPr>
          <w:rFonts w:asciiTheme="minorHAnsi" w:eastAsiaTheme="minorEastAsia" w:hAnsiTheme="minorHAnsi" w:cstheme="minorBidi"/>
          <w:szCs w:val="22"/>
        </w:rPr>
      </w:pPr>
      <w:r>
        <w:t>59.</w:t>
      </w:r>
      <w:r>
        <w:tab/>
        <w:t>Section 18B amended</w:t>
      </w:r>
      <w:r>
        <w:tab/>
      </w:r>
      <w:r>
        <w:fldChar w:fldCharType="begin"/>
      </w:r>
      <w:r>
        <w:instrText xml:space="preserve"> PAGEREF _Toc536693698 \h </w:instrText>
      </w:r>
      <w:r>
        <w:fldChar w:fldCharType="separate"/>
      </w:r>
      <w:r>
        <w:t>33</w:t>
      </w:r>
      <w:r>
        <w:fldChar w:fldCharType="end"/>
      </w:r>
    </w:p>
    <w:p>
      <w:pPr>
        <w:pStyle w:val="TOC8"/>
        <w:rPr>
          <w:rFonts w:asciiTheme="minorHAnsi" w:eastAsiaTheme="minorEastAsia" w:hAnsiTheme="minorHAnsi" w:cstheme="minorBidi"/>
          <w:szCs w:val="22"/>
        </w:rPr>
      </w:pPr>
      <w:r>
        <w:t>60.</w:t>
      </w:r>
      <w:r>
        <w:tab/>
        <w:t>Section 19 deleted</w:t>
      </w:r>
      <w:r>
        <w:tab/>
      </w:r>
      <w:r>
        <w:fldChar w:fldCharType="begin"/>
      </w:r>
      <w:r>
        <w:instrText xml:space="preserve"> PAGEREF _Toc536693699 \h </w:instrText>
      </w:r>
      <w:r>
        <w:fldChar w:fldCharType="separate"/>
      </w:r>
      <w:r>
        <w:t>34</w:t>
      </w:r>
      <w:r>
        <w:fldChar w:fldCharType="end"/>
      </w:r>
    </w:p>
    <w:p>
      <w:pPr>
        <w:pStyle w:val="TOC8"/>
        <w:rPr>
          <w:rFonts w:asciiTheme="minorHAnsi" w:eastAsiaTheme="minorEastAsia" w:hAnsiTheme="minorHAnsi" w:cstheme="minorBidi"/>
          <w:szCs w:val="22"/>
        </w:rPr>
      </w:pPr>
      <w:r>
        <w:t>61.</w:t>
      </w:r>
      <w:r>
        <w:tab/>
        <w:t>Section 33 amended</w:t>
      </w:r>
      <w:r>
        <w:tab/>
      </w:r>
      <w:r>
        <w:fldChar w:fldCharType="begin"/>
      </w:r>
      <w:r>
        <w:instrText xml:space="preserve"> PAGEREF _Toc536693700 \h </w:instrText>
      </w:r>
      <w:r>
        <w:fldChar w:fldCharType="separate"/>
      </w:r>
      <w:r>
        <w:t>35</w:t>
      </w:r>
      <w:r>
        <w:fldChar w:fldCharType="end"/>
      </w:r>
    </w:p>
    <w:p>
      <w:pPr>
        <w:pStyle w:val="TOC8"/>
        <w:rPr>
          <w:rFonts w:asciiTheme="minorHAnsi" w:eastAsiaTheme="minorEastAsia" w:hAnsiTheme="minorHAnsi" w:cstheme="minorBidi"/>
          <w:szCs w:val="22"/>
        </w:rPr>
      </w:pPr>
      <w:r>
        <w:t>62.</w:t>
      </w:r>
      <w:r>
        <w:tab/>
        <w:t>Part 6 deleted</w:t>
      </w:r>
      <w:r>
        <w:tab/>
      </w:r>
      <w:r>
        <w:fldChar w:fldCharType="begin"/>
      </w:r>
      <w:r>
        <w:instrText xml:space="preserve"> PAGEREF _Toc536693701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Gaming and Wagering Commission Act 1987</w:t>
      </w:r>
      <w:r>
        <w:t xml:space="preserve"> amended</w:t>
      </w:r>
    </w:p>
    <w:p>
      <w:pPr>
        <w:pStyle w:val="TOC8"/>
        <w:rPr>
          <w:rFonts w:asciiTheme="minorHAnsi" w:eastAsiaTheme="minorEastAsia" w:hAnsiTheme="minorHAnsi" w:cstheme="minorBidi"/>
          <w:szCs w:val="22"/>
        </w:rPr>
      </w:pPr>
      <w:r>
        <w:t>63</w:t>
      </w:r>
      <w:r>
        <w:rPr>
          <w:snapToGrid w:val="0"/>
        </w:rPr>
        <w:t>.</w:t>
      </w:r>
      <w:r>
        <w:rPr>
          <w:snapToGrid w:val="0"/>
        </w:rPr>
        <w:tab/>
        <w:t>Act amended</w:t>
      </w:r>
      <w:r>
        <w:tab/>
      </w:r>
      <w:r>
        <w:fldChar w:fldCharType="begin"/>
      </w:r>
      <w:r>
        <w:instrText xml:space="preserve"> PAGEREF _Toc536693703 \h </w:instrText>
      </w:r>
      <w:r>
        <w:fldChar w:fldCharType="separate"/>
      </w:r>
      <w:r>
        <w:t>35</w:t>
      </w:r>
      <w:r>
        <w:fldChar w:fldCharType="end"/>
      </w:r>
    </w:p>
    <w:p>
      <w:pPr>
        <w:pStyle w:val="TOC8"/>
        <w:rPr>
          <w:rFonts w:asciiTheme="minorHAnsi" w:eastAsiaTheme="minorEastAsia" w:hAnsiTheme="minorHAnsi" w:cstheme="minorBidi"/>
          <w:szCs w:val="22"/>
        </w:rPr>
      </w:pPr>
      <w:r>
        <w:t>64.</w:t>
      </w:r>
      <w:r>
        <w:tab/>
        <w:t>Section 7 amended</w:t>
      </w:r>
      <w:r>
        <w:tab/>
      </w:r>
      <w:r>
        <w:fldChar w:fldCharType="begin"/>
      </w:r>
      <w:r>
        <w:instrText xml:space="preserve"> PAGEREF _Toc536693704 \h </w:instrText>
      </w:r>
      <w:r>
        <w:fldChar w:fldCharType="separate"/>
      </w:r>
      <w:r>
        <w:t>35</w:t>
      </w:r>
      <w:r>
        <w:fldChar w:fldCharType="end"/>
      </w:r>
    </w:p>
    <w:p>
      <w:pPr>
        <w:pStyle w:val="TOC8"/>
        <w:rPr>
          <w:rFonts w:asciiTheme="minorHAnsi" w:eastAsiaTheme="minorEastAsia" w:hAnsiTheme="minorHAnsi" w:cstheme="minorBidi"/>
          <w:szCs w:val="22"/>
        </w:rPr>
      </w:pPr>
      <w:r>
        <w:t>65.</w:t>
      </w:r>
      <w:r>
        <w:tab/>
        <w:t>Section 9 amended</w:t>
      </w:r>
      <w:r>
        <w:tab/>
      </w:r>
      <w:r>
        <w:fldChar w:fldCharType="begin"/>
      </w:r>
      <w:r>
        <w:instrText xml:space="preserve"> PAGEREF _Toc536693705 \h </w:instrText>
      </w:r>
      <w:r>
        <w:fldChar w:fldCharType="separate"/>
      </w:r>
      <w:r>
        <w:t>35</w:t>
      </w:r>
      <w:r>
        <w:fldChar w:fldCharType="end"/>
      </w:r>
    </w:p>
    <w:p>
      <w:pPr>
        <w:pStyle w:val="TOC8"/>
        <w:rPr>
          <w:rFonts w:asciiTheme="minorHAnsi" w:eastAsiaTheme="minorEastAsia" w:hAnsiTheme="minorHAnsi" w:cstheme="minorBidi"/>
          <w:szCs w:val="22"/>
        </w:rPr>
      </w:pPr>
      <w:r>
        <w:t>66.</w:t>
      </w:r>
      <w:r>
        <w:tab/>
        <w:t>Section 110A amended</w:t>
      </w:r>
      <w:r>
        <w:tab/>
      </w:r>
      <w:r>
        <w:fldChar w:fldCharType="begin"/>
      </w:r>
      <w:r>
        <w:instrText xml:space="preserve"> PAGEREF _Toc536693706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Racing and Wagering Western Australia Act 2003</w:t>
      </w:r>
      <w:r>
        <w:t xml:space="preserve"> amended</w:t>
      </w:r>
    </w:p>
    <w:p>
      <w:pPr>
        <w:pStyle w:val="TOC8"/>
        <w:rPr>
          <w:rFonts w:asciiTheme="minorHAnsi" w:eastAsiaTheme="minorEastAsia" w:hAnsiTheme="minorHAnsi" w:cstheme="minorBidi"/>
          <w:szCs w:val="22"/>
        </w:rPr>
      </w:pPr>
      <w:r>
        <w:t>67</w:t>
      </w:r>
      <w:r>
        <w:rPr>
          <w:snapToGrid w:val="0"/>
        </w:rPr>
        <w:t>.</w:t>
      </w:r>
      <w:r>
        <w:rPr>
          <w:snapToGrid w:val="0"/>
        </w:rPr>
        <w:tab/>
        <w:t>Act amended</w:t>
      </w:r>
      <w:r>
        <w:tab/>
      </w:r>
      <w:r>
        <w:fldChar w:fldCharType="begin"/>
      </w:r>
      <w:r>
        <w:instrText xml:space="preserve"> PAGEREF _Toc536693708 \h </w:instrText>
      </w:r>
      <w:r>
        <w:fldChar w:fldCharType="separate"/>
      </w:r>
      <w:r>
        <w:t>36</w:t>
      </w:r>
      <w:r>
        <w:fldChar w:fldCharType="end"/>
      </w:r>
    </w:p>
    <w:p>
      <w:pPr>
        <w:pStyle w:val="TOC8"/>
        <w:rPr>
          <w:rFonts w:asciiTheme="minorHAnsi" w:eastAsiaTheme="minorEastAsia" w:hAnsiTheme="minorHAnsi" w:cstheme="minorBidi"/>
          <w:szCs w:val="22"/>
        </w:rPr>
      </w:pPr>
      <w:r>
        <w:t>68.</w:t>
      </w:r>
      <w:r>
        <w:tab/>
        <w:t>Section 68 amended</w:t>
      </w:r>
      <w:r>
        <w:tab/>
      </w:r>
      <w:r>
        <w:fldChar w:fldCharType="begin"/>
      </w:r>
      <w:r>
        <w:instrText xml:space="preserve"> PAGEREF _Toc536693709 \h </w:instrText>
      </w:r>
      <w:r>
        <w:fldChar w:fldCharType="separate"/>
      </w:r>
      <w:r>
        <w:t>36</w:t>
      </w:r>
      <w:r>
        <w:fldChar w:fldCharType="end"/>
      </w:r>
    </w:p>
    <w:p>
      <w:pPr>
        <w:pStyle w:val="TOC8"/>
        <w:rPr>
          <w:rFonts w:asciiTheme="minorHAnsi" w:eastAsiaTheme="minorEastAsia" w:hAnsiTheme="minorHAnsi" w:cstheme="minorBidi"/>
          <w:szCs w:val="22"/>
        </w:rPr>
      </w:pPr>
      <w:r>
        <w:t>69.</w:t>
      </w:r>
      <w:r>
        <w:tab/>
        <w:t>Section 77 amended</w:t>
      </w:r>
      <w:r>
        <w:tab/>
      </w:r>
      <w:r>
        <w:fldChar w:fldCharType="begin"/>
      </w:r>
      <w:r>
        <w:instrText xml:space="preserve"> PAGEREF _Toc536693710 \h </w:instrText>
      </w:r>
      <w:r>
        <w:fldChar w:fldCharType="separate"/>
      </w:r>
      <w:r>
        <w:t>36</w:t>
      </w:r>
      <w:r>
        <w:fldChar w:fldCharType="end"/>
      </w:r>
    </w:p>
    <w:p>
      <w:pPr>
        <w:pStyle w:val="TOC8"/>
        <w:rPr>
          <w:rFonts w:asciiTheme="minorHAnsi" w:eastAsiaTheme="minorEastAsia" w:hAnsiTheme="minorHAnsi" w:cstheme="minorBidi"/>
          <w:szCs w:val="22"/>
        </w:rPr>
      </w:pPr>
      <w:r>
        <w:t>70.</w:t>
      </w:r>
      <w:r>
        <w:tab/>
        <w:t>Section 102 deleted</w:t>
      </w:r>
      <w:r>
        <w:tab/>
      </w:r>
      <w:r>
        <w:fldChar w:fldCharType="begin"/>
      </w:r>
      <w:r>
        <w:instrText xml:space="preserve"> PAGEREF _Toc536693711 \h </w:instrText>
      </w:r>
      <w:r>
        <w:fldChar w:fldCharType="separate"/>
      </w:r>
      <w:r>
        <w:t>36</w:t>
      </w:r>
      <w:r>
        <w:fldChar w:fldCharType="end"/>
      </w:r>
    </w:p>
    <w:p>
      <w:pPr>
        <w:pStyle w:val="TOC8"/>
        <w:rPr>
          <w:rFonts w:asciiTheme="minorHAnsi" w:eastAsiaTheme="minorEastAsia" w:hAnsiTheme="minorHAnsi" w:cstheme="minorBidi"/>
          <w:szCs w:val="22"/>
        </w:rPr>
      </w:pPr>
      <w:r>
        <w:t>71.</w:t>
      </w:r>
      <w:r>
        <w:tab/>
        <w:t>Section 105 deleted</w:t>
      </w:r>
      <w:r>
        <w:tab/>
      </w:r>
      <w:r>
        <w:fldChar w:fldCharType="begin"/>
      </w:r>
      <w:r>
        <w:instrText xml:space="preserve"> PAGEREF _Toc536693712 \h </w:instrText>
      </w:r>
      <w:r>
        <w:fldChar w:fldCharType="separate"/>
      </w:r>
      <w:r>
        <w:t>36</w:t>
      </w:r>
      <w:r>
        <w:fldChar w:fldCharType="end"/>
      </w:r>
    </w:p>
    <w:p>
      <w:pPr>
        <w:pStyle w:val="TOC8"/>
        <w:rPr>
          <w:rFonts w:asciiTheme="minorHAnsi" w:eastAsiaTheme="minorEastAsia" w:hAnsiTheme="minorHAnsi" w:cstheme="minorBidi"/>
          <w:szCs w:val="22"/>
        </w:rPr>
      </w:pPr>
      <w:r>
        <w:t>72.</w:t>
      </w:r>
      <w:r>
        <w:tab/>
        <w:t>Section 106 amended</w:t>
      </w:r>
      <w:r>
        <w:tab/>
      </w:r>
      <w:r>
        <w:fldChar w:fldCharType="begin"/>
      </w:r>
      <w:r>
        <w:instrText xml:space="preserve"> PAGEREF _Toc536693713 \h </w:instrText>
      </w:r>
      <w:r>
        <w:fldChar w:fldCharType="separate"/>
      </w:r>
      <w:r>
        <w:t>36</w:t>
      </w:r>
      <w:r>
        <w:fldChar w:fldCharType="end"/>
      </w:r>
    </w:p>
    <w:p>
      <w:pPr>
        <w:pStyle w:val="TOC8"/>
        <w:rPr>
          <w:rFonts w:asciiTheme="minorHAnsi" w:eastAsiaTheme="minorEastAsia" w:hAnsiTheme="minorHAnsi" w:cstheme="minorBidi"/>
          <w:szCs w:val="22"/>
        </w:rPr>
      </w:pPr>
      <w:r>
        <w:t>73.</w:t>
      </w:r>
      <w:r>
        <w:tab/>
        <w:t>Section 107 deleted</w:t>
      </w:r>
      <w:r>
        <w:tab/>
      </w:r>
      <w:r>
        <w:fldChar w:fldCharType="begin"/>
      </w:r>
      <w:r>
        <w:instrText xml:space="preserve"> PAGEREF _Toc536693714 \h </w:instrText>
      </w:r>
      <w:r>
        <w:fldChar w:fldCharType="separate"/>
      </w:r>
      <w:r>
        <w:t>36</w:t>
      </w:r>
      <w:r>
        <w:fldChar w:fldCharType="end"/>
      </w:r>
    </w:p>
    <w:p>
      <w:pPr>
        <w:pStyle w:val="TOC8"/>
        <w:rPr>
          <w:rFonts w:asciiTheme="minorHAnsi" w:eastAsiaTheme="minorEastAsia" w:hAnsiTheme="minorHAnsi" w:cstheme="minorBidi"/>
          <w:szCs w:val="22"/>
        </w:rPr>
      </w:pPr>
      <w:r>
        <w:t>74.</w:t>
      </w:r>
      <w:r>
        <w:tab/>
        <w:t>Section 114 deleted</w:t>
      </w:r>
      <w:r>
        <w:tab/>
      </w:r>
      <w:r>
        <w:fldChar w:fldCharType="begin"/>
      </w:r>
      <w:r>
        <w:instrText xml:space="preserve"> PAGEREF _Toc536693715 \h </w:instrText>
      </w:r>
      <w:r>
        <w:fldChar w:fldCharType="separate"/>
      </w:r>
      <w:r>
        <w:t>37</w:t>
      </w:r>
      <w:r>
        <w:fldChar w:fldCharType="end"/>
      </w:r>
    </w:p>
    <w:p>
      <w:pPr>
        <w:pStyle w:val="TOC8"/>
        <w:rPr>
          <w:rFonts w:asciiTheme="minorHAnsi" w:eastAsiaTheme="minorEastAsia" w:hAnsiTheme="minorHAnsi" w:cstheme="minorBidi"/>
          <w:szCs w:val="22"/>
        </w:rPr>
      </w:pPr>
      <w:r>
        <w:t>75.</w:t>
      </w:r>
      <w:r>
        <w:tab/>
        <w:t>Part 9 deleted</w:t>
      </w:r>
      <w:r>
        <w:tab/>
      </w:r>
      <w:r>
        <w:fldChar w:fldCharType="begin"/>
      </w:r>
      <w:r>
        <w:instrText xml:space="preserve"> PAGEREF _Toc536693716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Racing Penalties (Appeals) Act 1990</w:t>
      </w:r>
      <w:r>
        <w:t xml:space="preserve"> amended</w:t>
      </w:r>
    </w:p>
    <w:p>
      <w:pPr>
        <w:pStyle w:val="TOC8"/>
        <w:rPr>
          <w:rFonts w:asciiTheme="minorHAnsi" w:eastAsiaTheme="minorEastAsia" w:hAnsiTheme="minorHAnsi" w:cstheme="minorBidi"/>
          <w:szCs w:val="22"/>
        </w:rPr>
      </w:pPr>
      <w:r>
        <w:t>76.</w:t>
      </w:r>
      <w:r>
        <w:tab/>
        <w:t>Act amended</w:t>
      </w:r>
      <w:r>
        <w:tab/>
      </w:r>
      <w:r>
        <w:fldChar w:fldCharType="begin"/>
      </w:r>
      <w:r>
        <w:instrText xml:space="preserve"> PAGEREF _Toc536693718 \h </w:instrText>
      </w:r>
      <w:r>
        <w:fldChar w:fldCharType="separate"/>
      </w:r>
      <w:r>
        <w:t>37</w:t>
      </w:r>
      <w:r>
        <w:fldChar w:fldCharType="end"/>
      </w:r>
    </w:p>
    <w:p>
      <w:pPr>
        <w:pStyle w:val="TOC8"/>
        <w:rPr>
          <w:rFonts w:asciiTheme="minorHAnsi" w:eastAsiaTheme="minorEastAsia" w:hAnsiTheme="minorHAnsi" w:cstheme="minorBidi"/>
          <w:szCs w:val="22"/>
        </w:rPr>
      </w:pPr>
      <w:r>
        <w:t>77.</w:t>
      </w:r>
      <w:r>
        <w:tab/>
        <w:t>Section 24 amended</w:t>
      </w:r>
      <w:r>
        <w:tab/>
      </w:r>
      <w:r>
        <w:fldChar w:fldCharType="begin"/>
      </w:r>
      <w:r>
        <w:instrText xml:space="preserve"> PAGEREF _Toc536693719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_Toc536693721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LongTitle"/>
        <w:suppressLineNumbers/>
      </w:pPr>
      <w:bookmarkStart w:id="3" w:name="BillCited"/>
      <w:bookmarkEnd w:id="3"/>
      <w:r>
        <w:t xml:space="preserve">An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3134661"/>
      <w:bookmarkStart w:id="5" w:name="_Toc523134759"/>
      <w:bookmarkStart w:id="6" w:name="_Toc523989685"/>
      <w:bookmarkStart w:id="7" w:name="_Toc523990231"/>
      <w:bookmarkStart w:id="8" w:name="_Toc523991628"/>
      <w:bookmarkStart w:id="9" w:name="_Toc524430517"/>
      <w:bookmarkStart w:id="10" w:name="_Toc524430615"/>
      <w:bookmarkStart w:id="11" w:name="_Toc524956159"/>
      <w:bookmarkStart w:id="12" w:name="_Toc527353415"/>
      <w:bookmarkStart w:id="13" w:name="_Toc528788283"/>
      <w:bookmarkStart w:id="14" w:name="_Toc528789747"/>
      <w:bookmarkStart w:id="15" w:name="_Toc531771657"/>
      <w:bookmarkStart w:id="16" w:name="_Toc532382799"/>
      <w:bookmarkStart w:id="17" w:name="_Toc532394970"/>
      <w:bookmarkStart w:id="18" w:name="_Toc532460987"/>
      <w:bookmarkStart w:id="19" w:name="_Toc532461554"/>
      <w:bookmarkStart w:id="20" w:name="_Toc532461596"/>
      <w:bookmarkStart w:id="21" w:name="_Toc532468172"/>
      <w:bookmarkStart w:id="22" w:name="_Toc532545264"/>
      <w:bookmarkStart w:id="23" w:name="_Toc532808522"/>
      <w:bookmarkStart w:id="24" w:name="_Toc536692656"/>
      <w:bookmarkStart w:id="25" w:name="_Toc53669361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532382800"/>
      <w:bookmarkStart w:id="27" w:name="_Toc532394971"/>
      <w:bookmarkStart w:id="28" w:name="_Toc536693619"/>
      <w:r>
        <w:rPr>
          <w:rStyle w:val="CharSectno"/>
        </w:rPr>
        <w:t>1</w:t>
      </w:r>
      <w:r>
        <w:t>.</w:t>
      </w:r>
      <w:r>
        <w:tab/>
        <w:t>Short title</w:t>
      </w:r>
      <w:bookmarkEnd w:id="26"/>
      <w:bookmarkEnd w:id="27"/>
      <w:bookmarkEnd w:id="28"/>
    </w:p>
    <w:p>
      <w:pPr>
        <w:pStyle w:val="Subsection"/>
      </w:pPr>
      <w:r>
        <w:tab/>
      </w:r>
      <w:r>
        <w:tab/>
        <w:t>This is the</w:t>
      </w:r>
      <w:r>
        <w:rPr>
          <w:i/>
        </w:rPr>
        <w:t xml:space="preserve"> Betting Tax Assessment Act 2018</w:t>
      </w:r>
      <w:r>
        <w:t>.</w:t>
      </w:r>
    </w:p>
    <w:p>
      <w:pPr>
        <w:pStyle w:val="Heading5"/>
      </w:pPr>
      <w:bookmarkStart w:id="29" w:name="_Toc532382801"/>
      <w:bookmarkStart w:id="30" w:name="_Toc532394972"/>
      <w:bookmarkStart w:id="31" w:name="_Toc536693620"/>
      <w:r>
        <w:rPr>
          <w:rStyle w:val="CharSectno"/>
        </w:rPr>
        <w:t>2</w:t>
      </w:r>
      <w:r>
        <w:t>.</w:t>
      </w:r>
      <w:r>
        <w:tab/>
        <w:t>Commencement</w:t>
      </w:r>
      <w:bookmarkEnd w:id="29"/>
      <w:bookmarkEnd w:id="30"/>
      <w:bookmarkEnd w:id="3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32" w:name="_Toc532382802"/>
      <w:bookmarkStart w:id="33" w:name="_Toc532394973"/>
      <w:bookmarkStart w:id="34" w:name="_Toc536693621"/>
      <w:r>
        <w:rPr>
          <w:rStyle w:val="CharSectno"/>
        </w:rPr>
        <w:t>3</w:t>
      </w:r>
      <w:r>
        <w:t>.</w:t>
      </w:r>
      <w:r>
        <w:tab/>
        <w:t>Relationship with other Acts</w:t>
      </w:r>
      <w:bookmarkEnd w:id="32"/>
      <w:bookmarkEnd w:id="33"/>
      <w:bookmarkEnd w:id="34"/>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35" w:name="_Toc532382803"/>
      <w:bookmarkStart w:id="36" w:name="_Toc532394974"/>
      <w:bookmarkStart w:id="37" w:name="_Toc536693622"/>
      <w:r>
        <w:rPr>
          <w:rStyle w:val="CharSectno"/>
        </w:rPr>
        <w:t>4</w:t>
      </w:r>
      <w:r>
        <w:t>.</w:t>
      </w:r>
      <w:r>
        <w:tab/>
        <w:t>Terms used</w:t>
      </w:r>
      <w:bookmarkEnd w:id="35"/>
      <w:bookmarkEnd w:id="36"/>
      <w:bookmarkEnd w:id="37"/>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38" w:name="_Toc532382804"/>
      <w:bookmarkStart w:id="39" w:name="_Toc532394975"/>
      <w:bookmarkStart w:id="40" w:name="_Toc536693623"/>
      <w:r>
        <w:rPr>
          <w:rStyle w:val="CharSectno"/>
        </w:rPr>
        <w:t>5</w:t>
      </w:r>
      <w:r>
        <w:t>.</w:t>
      </w:r>
      <w:r>
        <w:tab/>
        <w:t>Betting operations</w:t>
      </w:r>
      <w:bookmarkEnd w:id="38"/>
      <w:bookmarkEnd w:id="39"/>
      <w:bookmarkEnd w:id="40"/>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Heading2"/>
      </w:pPr>
      <w:bookmarkStart w:id="41" w:name="_Toc532545270"/>
      <w:bookmarkStart w:id="42" w:name="_Toc532808528"/>
      <w:bookmarkStart w:id="43" w:name="_Toc536692662"/>
      <w:bookmarkStart w:id="44" w:name="_Toc536693624"/>
      <w:r>
        <w:rPr>
          <w:rStyle w:val="CharPartNo"/>
        </w:rPr>
        <w:t>Part 2</w:t>
      </w:r>
      <w:r>
        <w:rPr>
          <w:rStyle w:val="CharDivNo"/>
        </w:rPr>
        <w:t> </w:t>
      </w:r>
      <w:r>
        <w:t>—</w:t>
      </w:r>
      <w:r>
        <w:rPr>
          <w:rStyle w:val="CharDivText"/>
        </w:rPr>
        <w:t> </w:t>
      </w:r>
      <w:r>
        <w:rPr>
          <w:rStyle w:val="CharPartText"/>
        </w:rPr>
        <w:t>Taxable betting revenue</w:t>
      </w:r>
      <w:bookmarkEnd w:id="41"/>
      <w:bookmarkEnd w:id="42"/>
      <w:bookmarkEnd w:id="43"/>
      <w:bookmarkEnd w:id="44"/>
    </w:p>
    <w:p>
      <w:pPr>
        <w:pStyle w:val="Heading5"/>
      </w:pPr>
      <w:bookmarkStart w:id="45" w:name="_Toc536693625"/>
      <w:r>
        <w:rPr>
          <w:rStyle w:val="CharSectno"/>
        </w:rPr>
        <w:t>6</w:t>
      </w:r>
      <w:r>
        <w:t>.</w:t>
      </w:r>
      <w:r>
        <w:tab/>
        <w:t>References to WA bets</w:t>
      </w:r>
      <w:bookmarkEnd w:id="45"/>
    </w:p>
    <w:p>
      <w:pPr>
        <w:pStyle w:val="Subsection"/>
      </w:pPr>
      <w:r>
        <w:tab/>
        <w:t>(1)</w:t>
      </w:r>
      <w:r>
        <w:tab/>
        <w:t xml:space="preserve">A reference in this Part to a WA bet, or a WA bet of a particular type, is a reference to a bet, or a bet of that type, placed by — </w:t>
      </w:r>
    </w:p>
    <w:p>
      <w:pPr>
        <w:pStyle w:val="Indenta"/>
      </w:pPr>
      <w:r>
        <w:tab/>
        <w:t>(a)</w:t>
      </w:r>
      <w:r>
        <w:tab/>
        <w:t>an individual located in Western Australia at the time of placing the bet; or</w:t>
      </w:r>
    </w:p>
    <w:p>
      <w:pPr>
        <w:pStyle w:val="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Heading5"/>
        <w:rPr>
          <w:rStyle w:val="CharSectno"/>
        </w:rPr>
      </w:pPr>
      <w:bookmarkStart w:id="46" w:name="_Toc536693626"/>
      <w:r>
        <w:rPr>
          <w:rStyle w:val="CharSectno"/>
        </w:rPr>
        <w:t>7.</w:t>
      </w:r>
      <w:r>
        <w:rPr>
          <w:rStyle w:val="CharSectno"/>
        </w:rPr>
        <w:tab/>
        <w:t>Taxable betting revenue</w:t>
      </w:r>
      <w:bookmarkEnd w:id="46"/>
    </w:p>
    <w:p>
      <w:pPr>
        <w:pStyle w:val="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Subsection"/>
      </w:pPr>
      <w:r>
        <w:tab/>
        <w:t>(2)</w:t>
      </w:r>
      <w:r>
        <w:tab/>
        <w:t xml:space="preserve">The </w:t>
      </w:r>
      <w:r>
        <w:rPr>
          <w:rStyle w:val="CharDefText"/>
        </w:rPr>
        <w:t>betting revenue</w:t>
      </w:r>
      <w:r>
        <w:t xml:space="preserve"> of a betting operator for a period is the total of —</w:t>
      </w:r>
    </w:p>
    <w:p>
      <w:pPr>
        <w:pStyle w:val="Indenta"/>
      </w:pPr>
      <w:r>
        <w:tab/>
        <w:t>(a)</w:t>
      </w:r>
      <w:r>
        <w:tab/>
        <w:t xml:space="preserve">the amount worked out under section 9 for the period in relation to WA betting exchange bets placed with the betting operator; and </w:t>
      </w:r>
    </w:p>
    <w:p>
      <w:pPr>
        <w:pStyle w:val="Indenta"/>
      </w:pPr>
      <w:r>
        <w:tab/>
        <w:t>(b)</w:t>
      </w:r>
      <w:r>
        <w:tab/>
        <w:t>the amount worked out under section 10(1) for the period in relation to WA pooled bets placed with the betting operator; and</w:t>
      </w:r>
    </w:p>
    <w:p>
      <w:pPr>
        <w:pStyle w:val="Indenta"/>
      </w:pPr>
      <w:r>
        <w:tab/>
        <w:t>(c)</w:t>
      </w:r>
      <w:r>
        <w:tab/>
        <w:t>the amount worked out under section 11(1) for the period in relation to WA general bets placed with the betting operator; and</w:t>
      </w:r>
    </w:p>
    <w:p>
      <w:pPr>
        <w:pStyle w:val="Indenta"/>
      </w:pPr>
      <w:r>
        <w:tab/>
        <w:t>(d)</w:t>
      </w:r>
      <w:r>
        <w:tab/>
        <w:t>any amounts the betting operator became entitled to retain during the period on account of unclaimed winnings in relation to WA bets; and</w:t>
      </w:r>
    </w:p>
    <w:p>
      <w:pPr>
        <w:pStyle w:val="Indenta"/>
      </w:pPr>
      <w:r>
        <w:tab/>
        <w:t>(e)</w:t>
      </w:r>
      <w:r>
        <w:tab/>
        <w:t xml:space="preserve">any other amounts the betting operator became entitled to receive during the period as consideration for, or in relation to, WA bets placed with the betting operator; and </w:t>
      </w:r>
    </w:p>
    <w:p>
      <w:pPr>
        <w:pStyle w:val="Indenta"/>
      </w:pPr>
      <w:r>
        <w:tab/>
        <w:t>(f)</w:t>
      </w:r>
      <w:r>
        <w:tab/>
        <w:t>any other amount that is prescribed for bets generally or for a bet of a particular type.</w:t>
      </w:r>
    </w:p>
    <w:p>
      <w:pPr>
        <w:pStyle w:val="Subsection"/>
      </w:pPr>
      <w:r>
        <w:tab/>
        <w:t>(3)</w:t>
      </w:r>
      <w:r>
        <w:tab/>
        <w:t xml:space="preserve">The </w:t>
      </w:r>
      <w:r>
        <w:rPr>
          <w:rStyle w:val="CharDefText"/>
        </w:rPr>
        <w:t>eligible payments</w:t>
      </w:r>
      <w:r>
        <w:t xml:space="preserve"> of a betting operator for a period are the total of —</w:t>
      </w:r>
    </w:p>
    <w:p>
      <w:pPr>
        <w:pStyle w:val="Indenta"/>
      </w:pPr>
      <w:r>
        <w:tab/>
        <w:t>(a)</w:t>
      </w:r>
      <w:r>
        <w:tab/>
        <w:t>the amount worked out under section 10(3) for the period in relation to WA pooled bets placed with the betting operator; and</w:t>
      </w:r>
    </w:p>
    <w:p>
      <w:pPr>
        <w:pStyle w:val="Indenta"/>
      </w:pPr>
      <w:r>
        <w:tab/>
        <w:t>(b)</w:t>
      </w:r>
      <w:r>
        <w:tab/>
        <w:t>the amount worked out under section 11(2) for the period in relation to WA general bets placed with the betting operator; and</w:t>
      </w:r>
    </w:p>
    <w:p>
      <w:pPr>
        <w:pStyle w:val="Indenta"/>
      </w:pPr>
      <w:r>
        <w:tab/>
        <w:t>(c)</w:t>
      </w:r>
      <w:r>
        <w:tab/>
        <w:t>any other amount that is prescribed for bets generally or for a bet of a particular type.</w:t>
      </w:r>
    </w:p>
    <w:p>
      <w:pPr>
        <w:pStyle w:val="Heading5"/>
        <w:keepLines w:val="0"/>
      </w:pPr>
      <w:bookmarkStart w:id="47" w:name="_Toc536693627"/>
      <w:r>
        <w:rPr>
          <w:rStyle w:val="CharSectno"/>
        </w:rPr>
        <w:t>8</w:t>
      </w:r>
      <w:r>
        <w:t>.</w:t>
      </w:r>
      <w:r>
        <w:tab/>
        <w:t>Particular payments excluded in working out eligible payments</w:t>
      </w:r>
      <w:bookmarkEnd w:id="47"/>
    </w:p>
    <w:p>
      <w:pPr>
        <w:pStyle w:val="Subsection"/>
      </w:pPr>
      <w:r>
        <w:tab/>
        <w:t>(1)</w:t>
      </w:r>
      <w:r>
        <w:tab/>
        <w:t xml:space="preserve">In working out an amount mentioned in section 7(3)(a), (b) or (c) the following cannot be taken into account — </w:t>
      </w:r>
    </w:p>
    <w:p>
      <w:pPr>
        <w:pStyle w:val="Indenta"/>
      </w:pPr>
      <w:r>
        <w:tab/>
        <w:t>(a)</w:t>
      </w:r>
      <w:r>
        <w:tab/>
        <w:t>the provision or granting by the betting operator of any non</w:t>
      </w:r>
      <w:r>
        <w:noBreakHyphen/>
        <w:t>cash reward, however described;</w:t>
      </w:r>
    </w:p>
    <w:p>
      <w:pPr>
        <w:pStyle w:val="Indenta"/>
      </w:pPr>
      <w:r>
        <w:tab/>
        <w:t>(b)</w:t>
      </w:r>
      <w:r>
        <w:tab/>
        <w:t>the payment of an amount to a person other than a person who placed a bet with the betting operator;</w:t>
      </w:r>
    </w:p>
    <w:p>
      <w:pPr>
        <w:pStyle w:val="Indenta"/>
        <w:keepNext/>
      </w:pPr>
      <w:r>
        <w:tab/>
        <w:t>(c)</w:t>
      </w:r>
      <w:r>
        <w:tab/>
        <w:t xml:space="preserve">the payment of an amount that — </w:t>
      </w:r>
    </w:p>
    <w:p>
      <w:pPr>
        <w:pStyle w:val="Indenti"/>
      </w:pPr>
      <w:r>
        <w:tab/>
        <w:t>(i)</w:t>
      </w:r>
      <w:r>
        <w:tab/>
        <w:t>is placed at the discretion of the betting operator; or</w:t>
      </w:r>
    </w:p>
    <w:p>
      <w:pPr>
        <w:pStyle w:val="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Indenta"/>
      </w:pPr>
      <w:r>
        <w:tab/>
        <w:t>(d)</w:t>
      </w:r>
      <w:r>
        <w:tab/>
        <w:t xml:space="preserve">the payment of an amount as part of an arrangement under which — </w:t>
      </w:r>
    </w:p>
    <w:p>
      <w:pPr>
        <w:pStyle w:val="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Indenti"/>
      </w:pPr>
      <w:r>
        <w:tab/>
        <w:t>(iii)</w:t>
      </w:r>
      <w:r>
        <w:tab/>
        <w:t>the betting operator’s primary purpose is to attract or encourage a participant to bet with the betting operator, or to promote its betting operations to a participant, beyond the arrangement;</w:t>
      </w:r>
    </w:p>
    <w:p>
      <w:pPr>
        <w:pStyle w:val="Indenta"/>
      </w:pPr>
      <w:r>
        <w:tab/>
        <w:t>(e)</w:t>
      </w:r>
      <w:r>
        <w:tab/>
        <w:t>the payment of any other amount that is prescribed.</w:t>
      </w:r>
    </w:p>
    <w:p>
      <w:pPr>
        <w:pStyle w:val="Subsection"/>
      </w:pPr>
      <w:r>
        <w:tab/>
        <w:t>(2)</w:t>
      </w:r>
      <w:r>
        <w:tab/>
        <w:t>Subsection (1)(a) does not apply to the provision or granting by the betting operator of a non</w:t>
      </w:r>
      <w:r>
        <w:noBreakHyphen/>
        <w:t xml:space="preserve">cash reward, if — </w:t>
      </w:r>
    </w:p>
    <w:p>
      <w:pPr>
        <w:pStyle w:val="Indenta"/>
      </w:pPr>
      <w:r>
        <w:tab/>
        <w:t>(a)</w:t>
      </w:r>
      <w:r>
        <w:tab/>
        <w:t>the reward is the refund of a free component; and</w:t>
      </w:r>
    </w:p>
    <w:p>
      <w:pPr>
        <w:pStyle w:val="Indenta"/>
      </w:pPr>
      <w:r>
        <w:tab/>
        <w:t>(b)</w:t>
      </w:r>
      <w:r>
        <w:tab/>
        <w:t>the person who placed the bet is legally entitled to receive the reward under the terms on which the bet was placed with the betting operator; and</w:t>
      </w:r>
    </w:p>
    <w:p>
      <w:pPr>
        <w:pStyle w:val="Indenta"/>
      </w:pPr>
      <w:r>
        <w:tab/>
        <w:t>(c)</w:t>
      </w:r>
      <w:r>
        <w:tab/>
        <w:t>the reward is not given at the discretion of the betting operator.</w:t>
      </w:r>
    </w:p>
    <w:p>
      <w:pPr>
        <w:pStyle w:val="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Heading5"/>
      </w:pPr>
      <w:bookmarkStart w:id="48" w:name="_Toc536693628"/>
      <w:r>
        <w:rPr>
          <w:rStyle w:val="CharSectno"/>
        </w:rPr>
        <w:t>9</w:t>
      </w:r>
      <w:r>
        <w:t>.</w:t>
      </w:r>
      <w:r>
        <w:tab/>
        <w:t>Betting revenue: WA betting exchange bets</w:t>
      </w:r>
      <w:bookmarkEnd w:id="48"/>
    </w:p>
    <w:p>
      <w:pPr>
        <w:pStyle w:val="Subsection"/>
      </w:pPr>
      <w:r>
        <w:tab/>
      </w:r>
      <w:r>
        <w:tab/>
        <w:t>For the purposes of section 7(2)(a), the amount is the total amount of all fees and commissions the betting operator received during the period in relation to WA betting exchange bets placed with the betting operator.</w:t>
      </w:r>
    </w:p>
    <w:p>
      <w:pPr>
        <w:pStyle w:val="Heading5"/>
      </w:pPr>
      <w:bookmarkStart w:id="49" w:name="_Toc536693629"/>
      <w:r>
        <w:rPr>
          <w:rStyle w:val="CharSectno"/>
        </w:rPr>
        <w:t>10</w:t>
      </w:r>
      <w:r>
        <w:t>.</w:t>
      </w:r>
      <w:r>
        <w:tab/>
        <w:t>Betting revenue and eligible payments: WA pooled bets</w:t>
      </w:r>
      <w:bookmarkEnd w:id="49"/>
    </w:p>
    <w:p>
      <w:pPr>
        <w:pStyle w:val="Subsection"/>
      </w:pPr>
      <w:r>
        <w:tab/>
        <w:t>(1)</w:t>
      </w:r>
      <w:r>
        <w:tab/>
        <w:t>For the purposes of section 7(2)(b), the amount is the total revenue from pools that the betting operator received during the period.</w:t>
      </w:r>
    </w:p>
    <w:p>
      <w:pPr>
        <w:pStyle w:val="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MiscellaneousBody"/>
        <w:ind w:left="1134"/>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MiscellaneousBody"/>
        <w:ind w:left="1701" w:hanging="567"/>
      </w:pPr>
      <w:r>
        <w:t xml:space="preserve">where — </w:t>
      </w:r>
    </w:p>
    <w:p>
      <w:pPr>
        <w:pStyle w:val="MiscellaneousBody"/>
        <w:ind w:left="1701" w:hanging="567"/>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MiscellaneousBody"/>
        <w:ind w:left="1701" w:hanging="567"/>
      </w:pPr>
      <w:r>
        <w:t>T</w:t>
      </w:r>
      <w:r>
        <w:tab/>
        <w:t xml:space="preserve">is the </w:t>
      </w:r>
      <w:r>
        <w:rPr>
          <w:color w:val="000000"/>
          <w:sz w:val="23"/>
          <w:szCs w:val="23"/>
        </w:rPr>
        <w:t>total amount of pooled bets in the pool</w:t>
      </w:r>
      <w:r>
        <w:t>;</w:t>
      </w:r>
    </w:p>
    <w:p>
      <w:pPr>
        <w:pStyle w:val="MiscellaneousBody"/>
        <w:ind w:left="1701" w:hanging="567"/>
      </w:pPr>
      <w:r>
        <w:t>R</w:t>
      </w:r>
      <w:r>
        <w:tab/>
        <w:t>is the total amount of refunds paid in respect of the pool;</w:t>
      </w:r>
    </w:p>
    <w:p>
      <w:pPr>
        <w:pStyle w:val="MiscellaneousBody"/>
        <w:ind w:left="1701" w:hanging="567"/>
      </w:pPr>
      <w:r>
        <w:t>A</w:t>
      </w:r>
      <w:r>
        <w:tab/>
        <w:t xml:space="preserve">is the </w:t>
      </w:r>
      <w:r>
        <w:rPr>
          <w:color w:val="000000"/>
          <w:sz w:val="23"/>
          <w:szCs w:val="23"/>
        </w:rPr>
        <w:t>total amount of WA pooled bets placed with the betting operator in the pool</w:t>
      </w:r>
      <w:r>
        <w:t>;</w:t>
      </w:r>
    </w:p>
    <w:p>
      <w:pPr>
        <w:pStyle w:val="MiscellaneousBody"/>
        <w:ind w:left="1701" w:hanging="567"/>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Subsection"/>
        <w:keepNext/>
        <w:rPr>
          <w:szCs w:val="24"/>
        </w:rPr>
      </w:pPr>
      <w:r>
        <w:rPr>
          <w:szCs w:val="24"/>
        </w:rPr>
        <w:tab/>
        <w:t>(3)</w:t>
      </w:r>
      <w:r>
        <w:rPr>
          <w:szCs w:val="24"/>
        </w:rPr>
        <w:tab/>
        <w:t xml:space="preserve">For the purposes of section 7(3)(a), the amount is the total of — </w:t>
      </w:r>
    </w:p>
    <w:p>
      <w:pPr>
        <w:pStyle w:val="Indenta"/>
        <w:rPr>
          <w:color w:val="000000"/>
          <w:szCs w:val="24"/>
        </w:rPr>
      </w:pPr>
      <w:r>
        <w:rPr>
          <w:szCs w:val="24"/>
        </w:rPr>
        <w:tab/>
        <w:t>(a)</w:t>
      </w:r>
      <w:r>
        <w:rPr>
          <w:szCs w:val="24"/>
        </w:rPr>
        <w:tab/>
      </w:r>
      <w:r>
        <w:rPr>
          <w:color w:val="000000"/>
          <w:szCs w:val="24"/>
        </w:rPr>
        <w:t xml:space="preserve">all amounts paid by the betting operator during the period into a pool; and </w:t>
      </w:r>
    </w:p>
    <w:p>
      <w:pPr>
        <w:pStyle w:val="Indenta"/>
        <w:rPr>
          <w:szCs w:val="24"/>
        </w:rPr>
      </w:pPr>
      <w:r>
        <w:rPr>
          <w:szCs w:val="24"/>
        </w:rPr>
        <w:tab/>
        <w:t>(b)</w:t>
      </w:r>
      <w:r>
        <w:rPr>
          <w:szCs w:val="24"/>
        </w:rPr>
        <w:tab/>
        <w:t>all amounts paid by the betting operator during the period to a person who placed a pooled bet with the betting operator as additional dividends, prizes or winnings to the dividends, prizes or winnings payable out of a pool.</w:t>
      </w:r>
    </w:p>
    <w:p>
      <w:pPr>
        <w:pStyle w:val="Heading5"/>
      </w:pPr>
      <w:bookmarkStart w:id="50" w:name="_Toc536693630"/>
      <w:r>
        <w:rPr>
          <w:rStyle w:val="CharSectno"/>
        </w:rPr>
        <w:t>11</w:t>
      </w:r>
      <w:r>
        <w:t>.</w:t>
      </w:r>
      <w:r>
        <w:tab/>
        <w:t>Betting revenue and eligible payments: WA general bets</w:t>
      </w:r>
      <w:bookmarkEnd w:id="50"/>
    </w:p>
    <w:p>
      <w:pPr>
        <w:pStyle w:val="Subsection"/>
      </w:pPr>
      <w:r>
        <w:tab/>
        <w:t>(1)</w:t>
      </w:r>
      <w:r>
        <w:tab/>
        <w:t>For the purposes of section 7(2)(c), the amount is the total amount of all WA general bets placed with the betting operator during the period.</w:t>
      </w:r>
    </w:p>
    <w:p>
      <w:pPr>
        <w:pStyle w:val="Subsection"/>
      </w:pPr>
      <w:r>
        <w:tab/>
        <w:t>(2)</w:t>
      </w:r>
      <w:r>
        <w:tab/>
        <w:t>For the purposes of section 7(3)(b), the amount is the total of all amounts paid by the betting operator during the period in relation to WA general bets placed with the betting operator.</w:t>
      </w:r>
    </w:p>
    <w:p>
      <w:pPr>
        <w:pStyle w:val="Heading5"/>
      </w:pPr>
      <w:bookmarkStart w:id="51" w:name="_Toc536693631"/>
      <w:r>
        <w:rPr>
          <w:rStyle w:val="CharSectno"/>
        </w:rPr>
        <w:t>12</w:t>
      </w:r>
      <w:r>
        <w:t>.</w:t>
      </w:r>
      <w:r>
        <w:tab/>
        <w:t>Amount of bets generally</w:t>
      </w:r>
      <w:bookmarkEnd w:id="51"/>
    </w:p>
    <w:p>
      <w:pPr>
        <w:pStyle w:val="Subsection"/>
      </w:pPr>
      <w:r>
        <w:tab/>
        <w:t>(1)</w:t>
      </w:r>
      <w:r>
        <w:tab/>
        <w:t>If all or part of a bet is placed other than in cash, the amount of the bet includes the monetary value of the non</w:t>
      </w:r>
      <w:r>
        <w:noBreakHyphen/>
        <w:t>cash consideration comprising the bet when the bet is placed.</w:t>
      </w:r>
    </w:p>
    <w:p>
      <w:pPr>
        <w:pStyle w:val="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Indenta"/>
      </w:pPr>
      <w:r>
        <w:tab/>
        <w:t>(a)</w:t>
      </w:r>
      <w:r>
        <w:tab/>
        <w:t>the day on which the bet is placed; or</w:t>
      </w:r>
    </w:p>
    <w:p>
      <w:pPr>
        <w:pStyle w:val="Indenta"/>
      </w:pPr>
      <w:r>
        <w:tab/>
        <w:t>(b)</w:t>
      </w:r>
      <w:r>
        <w:tab/>
        <w:t>if the rate is not obtainable for Australia on that day — the last earlier day on which the rate was obtainable for Australia.</w:t>
      </w:r>
    </w:p>
    <w:p>
      <w:pPr>
        <w:pStyle w:val="Heading5"/>
      </w:pPr>
      <w:bookmarkStart w:id="52" w:name="_Toc536693632"/>
      <w:r>
        <w:rPr>
          <w:rStyle w:val="CharSectno"/>
        </w:rPr>
        <w:t>13</w:t>
      </w:r>
      <w:r>
        <w:t>.</w:t>
      </w:r>
      <w:r>
        <w:tab/>
        <w:t>Free components</w:t>
      </w:r>
      <w:bookmarkEnd w:id="52"/>
    </w:p>
    <w:p>
      <w:pPr>
        <w:pStyle w:val="Subsection"/>
      </w:pPr>
      <w:r>
        <w:tab/>
        <w:t>(1)</w:t>
      </w:r>
      <w:r>
        <w:tab/>
        <w:t>A reference in this Act to an amount paid by a betting operator is, if the amount is paid or partly paid with a free component, taken to be or include a reference to the amount of the free component.</w:t>
      </w:r>
    </w:p>
    <w:p>
      <w:pPr>
        <w:pStyle w:val="Subsection"/>
      </w:pPr>
      <w:r>
        <w:tab/>
        <w:t>(2)</w:t>
      </w:r>
      <w:r>
        <w:tab/>
        <w:t>If a free component is used to place all or part of a WA bet, the amount of the bet is taken to be or include the free component.</w:t>
      </w:r>
    </w:p>
    <w:p>
      <w:pPr>
        <w:pStyle w:val="Subsection"/>
      </w:pPr>
      <w:r>
        <w:tab/>
        <w:t>(3)</w:t>
      </w:r>
      <w:r>
        <w:tab/>
        <w:t>If a free component is used as consideration for, or in relation to, all or part of a WA bet, the consideration is taken to be or include the free component.</w:t>
      </w:r>
    </w:p>
    <w:p>
      <w:pPr>
        <w:pStyle w:val="Subsection"/>
      </w:pPr>
      <w:r>
        <w:tab/>
        <w:t>(4)</w:t>
      </w:r>
      <w:r>
        <w:tab/>
        <w:t>If a free component is used to place all or part of a WA bet or as consideration for, or in relation to, all or part of a WA bet, the free component is taken to be an amount received by the betting operator.</w:t>
      </w:r>
    </w:p>
    <w:p>
      <w:pPr>
        <w:pStyle w:val="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Subsection"/>
      </w:pPr>
      <w:r>
        <w:tab/>
        <w:t>(6)</w:t>
      </w:r>
      <w:r>
        <w:tab/>
        <w:t>If a free component is used to place all or part of a pooled bet, the free component is taken to be an amount placed into the pool.</w:t>
      </w:r>
    </w:p>
    <w:p>
      <w:pPr>
        <w:pStyle w:val="Heading5"/>
      </w:pPr>
      <w:bookmarkStart w:id="53" w:name="_Toc536693633"/>
      <w:r>
        <w:rPr>
          <w:rStyle w:val="CharSectno"/>
        </w:rPr>
        <w:t>14</w:t>
      </w:r>
      <w:r>
        <w:t>.</w:t>
      </w:r>
      <w:r>
        <w:tab/>
        <w:t>Betting operator to identify location of individual or principal place of business</w:t>
      </w:r>
      <w:bookmarkEnd w:id="53"/>
    </w:p>
    <w:p>
      <w:pPr>
        <w:pStyle w:val="Subsection"/>
      </w:pPr>
      <w:r>
        <w:tab/>
        <w:t>(1)</w:t>
      </w:r>
      <w:r>
        <w:tab/>
        <w:t>A betting operator must, before accepting a bet from an individual, take all reasonable steps to identify the location of the individual at the time the bet was placed.</w:t>
      </w:r>
    </w:p>
    <w:p>
      <w:pPr>
        <w:pStyle w:val="Penstart"/>
      </w:pPr>
      <w:r>
        <w:tab/>
        <w:t>Penalty for this subsection: a fine of $20 000.</w:t>
      </w:r>
    </w:p>
    <w:p>
      <w:pPr>
        <w:pStyle w:val="Subsection"/>
      </w:pPr>
      <w:r>
        <w:tab/>
        <w:t>(2)</w:t>
      </w:r>
      <w:r>
        <w:tab/>
        <w:t>A betting operator must, before accepting a bet from a body corporate, take all reasonable steps to identify the principal place of business of the body corporate at the time the bet was placed.</w:t>
      </w:r>
    </w:p>
    <w:p>
      <w:pPr>
        <w:pStyle w:val="Penstart"/>
      </w:pPr>
      <w:r>
        <w:tab/>
        <w:t>Penalty for this subsection: a fine of $20 000.</w:t>
      </w:r>
    </w:p>
    <w:p>
      <w:pPr>
        <w:pStyle w:val="Heading2"/>
      </w:pPr>
      <w:bookmarkStart w:id="54" w:name="_Toc532545280"/>
      <w:bookmarkStart w:id="55" w:name="_Toc532808538"/>
      <w:bookmarkStart w:id="56" w:name="_Toc536692672"/>
      <w:bookmarkStart w:id="57" w:name="_Toc536693634"/>
      <w:r>
        <w:rPr>
          <w:rStyle w:val="CharPartNo"/>
        </w:rPr>
        <w:t>Part 3</w:t>
      </w:r>
      <w:r>
        <w:rPr>
          <w:rStyle w:val="CharDivNo"/>
        </w:rPr>
        <w:t> </w:t>
      </w:r>
      <w:r>
        <w:t>—</w:t>
      </w:r>
      <w:r>
        <w:rPr>
          <w:rStyle w:val="CharDivText"/>
        </w:rPr>
        <w:t> </w:t>
      </w:r>
      <w:r>
        <w:rPr>
          <w:rStyle w:val="CharPartText"/>
        </w:rPr>
        <w:t>Liability and assessment</w:t>
      </w:r>
      <w:bookmarkEnd w:id="54"/>
      <w:bookmarkEnd w:id="55"/>
      <w:bookmarkEnd w:id="56"/>
      <w:bookmarkEnd w:id="57"/>
    </w:p>
    <w:p>
      <w:pPr>
        <w:pStyle w:val="Heading5"/>
      </w:pPr>
      <w:bookmarkStart w:id="58" w:name="_Toc536693635"/>
      <w:r>
        <w:rPr>
          <w:rStyle w:val="CharSectno"/>
        </w:rPr>
        <w:t>15</w:t>
      </w:r>
      <w:r>
        <w:t>.</w:t>
      </w:r>
      <w:r>
        <w:tab/>
        <w:t>Betting tax payable on taxable betting revenue</w:t>
      </w:r>
      <w:bookmarkEnd w:id="58"/>
    </w:p>
    <w:p>
      <w:pPr>
        <w:pStyle w:val="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Heading5"/>
      </w:pPr>
      <w:bookmarkStart w:id="59" w:name="_Toc536693636"/>
      <w:r>
        <w:rPr>
          <w:rStyle w:val="CharSectno"/>
        </w:rPr>
        <w:t>16</w:t>
      </w:r>
      <w:r>
        <w:t>.</w:t>
      </w:r>
      <w:r>
        <w:tab/>
        <w:t>Time for payment of betting tax</w:t>
      </w:r>
      <w:bookmarkEnd w:id="59"/>
    </w:p>
    <w:p>
      <w:pPr>
        <w:pStyle w:val="Subsection"/>
        <w:rPr>
          <w:rStyle w:val="CharSectno"/>
        </w:rPr>
      </w:pPr>
      <w:r>
        <w:tab/>
      </w:r>
      <w:r>
        <w:tab/>
        <w:t>Betting tax is due for payment on the last day for lodging the return specifying the taxable betting revenue on which the betting tax is payable.</w:t>
      </w:r>
    </w:p>
    <w:p>
      <w:pPr>
        <w:pStyle w:val="Heading5"/>
      </w:pPr>
      <w:bookmarkStart w:id="60" w:name="_Toc536693637"/>
      <w:r>
        <w:rPr>
          <w:rStyle w:val="CharSectno"/>
        </w:rPr>
        <w:t>17</w:t>
      </w:r>
      <w:r>
        <w:t>.</w:t>
      </w:r>
      <w:r>
        <w:tab/>
        <w:t>Betting operator liable to pay betting tax</w:t>
      </w:r>
      <w:bookmarkEnd w:id="60"/>
    </w:p>
    <w:p>
      <w:pPr>
        <w:pStyle w:val="Subsection"/>
      </w:pPr>
      <w:r>
        <w:tab/>
        <w:t>(1)</w:t>
      </w:r>
      <w:r>
        <w:tab/>
        <w:t xml:space="preserve">In this section — </w:t>
      </w:r>
    </w:p>
    <w:p>
      <w:pPr>
        <w:pStyle w:val="Defstart"/>
      </w:pPr>
      <w:r>
        <w:tab/>
      </w:r>
      <w:r>
        <w:rPr>
          <w:rStyle w:val="CharDefText"/>
        </w:rPr>
        <w:t>previous return period</w:t>
      </w:r>
      <w:r>
        <w:t>, in relation to another return period, means a return period that occurs before, and in the same assessment period as, the other return period.</w:t>
      </w:r>
    </w:p>
    <w:p>
      <w:pPr>
        <w:pStyle w:val="Subsection"/>
      </w:pPr>
      <w:r>
        <w:tab/>
        <w:t>(2)</w:t>
      </w:r>
      <w:r>
        <w:tab/>
        <w:t xml:space="preserve">A betting operator is liable to pay betting tax for a return period if — </w:t>
      </w:r>
    </w:p>
    <w:p>
      <w:pPr>
        <w:pStyle w:val="Indenta"/>
      </w:pPr>
      <w:r>
        <w:tab/>
        <w:t>(a)</w:t>
      </w:r>
      <w:r>
        <w:tab/>
        <w:t xml:space="preserve">the total of the taxable betting revenue of the betting operator for the return period and any previous return period exceeds the threshold amount; and </w:t>
      </w:r>
    </w:p>
    <w:p>
      <w:pPr>
        <w:pStyle w:val="Indenta"/>
      </w:pPr>
      <w:r>
        <w:tab/>
        <w:t>(b)</w:t>
      </w:r>
      <w:r>
        <w:tab/>
        <w:t>the amount worked out under subsection (3) is more than zero.</w:t>
      </w:r>
    </w:p>
    <w:p>
      <w:pPr>
        <w:pStyle w:val="Subsection"/>
        <w:rPr>
          <w:color w:val="000000"/>
          <w:sz w:val="23"/>
          <w:szCs w:val="23"/>
        </w:rPr>
      </w:pPr>
      <w:r>
        <w:tab/>
        <w:t>(3)</w:t>
      </w:r>
      <w:r>
        <w:tab/>
        <w:t xml:space="preserve">The amount of betting tax a betting operator is liable to pay for a return period </w:t>
      </w:r>
      <w:r>
        <w:rPr>
          <w:color w:val="000000"/>
          <w:sz w:val="23"/>
          <w:szCs w:val="23"/>
        </w:rPr>
        <w:t xml:space="preserve">is worked out using the formula — </w:t>
      </w:r>
    </w:p>
    <w:p>
      <w:pPr>
        <w:pStyle w:val="MiscellaneousBody"/>
        <w:ind w:left="1134"/>
      </w:pPr>
      <w:r>
        <w:t>(</w:t>
      </w:r>
      <m:oMath>
        <m:r>
          <w:rPr>
            <w:rFonts w:ascii="Cambria Math" w:hAnsi="Cambria Math"/>
          </w:rPr>
          <m:t>(</m:t>
        </m:r>
        <m:r>
          <m:rPr>
            <m:sty m:val="p"/>
          </m:rPr>
          <w:rPr>
            <w:rFonts w:ascii="Cambria Math" w:hAnsi="Cambria Math"/>
          </w:rPr>
          <m:t>R-T)×B)-P</m:t>
        </m:r>
      </m:oMath>
    </w:p>
    <w:p>
      <w:pPr>
        <w:pStyle w:val="MiscellaneousBody"/>
        <w:ind w:left="1701" w:hanging="567"/>
      </w:pPr>
      <w:r>
        <w:t xml:space="preserve">where — </w:t>
      </w:r>
    </w:p>
    <w:p>
      <w:pPr>
        <w:pStyle w:val="MiscellaneousBody"/>
        <w:ind w:left="1701" w:hanging="567"/>
      </w:pPr>
      <w:r>
        <w:t>R</w:t>
      </w:r>
      <w:r>
        <w:tab/>
        <w:t>is the total of the taxable betting revenue of the betting operator for the return period and any previous return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MiscellaneousBody"/>
        <w:ind w:left="1701" w:hanging="567"/>
      </w:pPr>
      <w:r>
        <w:t>P</w:t>
      </w:r>
      <w:r>
        <w:tab/>
        <w:t>is any betting tax paid or payable by the betting operator for any previous return period.</w:t>
      </w:r>
    </w:p>
    <w:p>
      <w:pPr>
        <w:pStyle w:val="Subsection"/>
      </w:pPr>
      <w:r>
        <w:tab/>
        <w:t>(4)</w:t>
      </w:r>
      <w:r>
        <w:tab/>
        <w:t>The Commissioner is not required to make a refund of betting tax paid at the end of a return period, if the amount worked out under subsection (3) is less than zero.</w:t>
      </w:r>
    </w:p>
    <w:p>
      <w:pPr>
        <w:pStyle w:val="Heading5"/>
      </w:pPr>
      <w:bookmarkStart w:id="61" w:name="_Toc536693638"/>
      <w:r>
        <w:rPr>
          <w:rStyle w:val="CharSectno"/>
        </w:rPr>
        <w:t>18</w:t>
      </w:r>
      <w:r>
        <w:t>.</w:t>
      </w:r>
      <w:r>
        <w:tab/>
        <w:t>Annual reconciliation</w:t>
      </w:r>
      <w:bookmarkEnd w:id="61"/>
    </w:p>
    <w:p>
      <w:pPr>
        <w:pStyle w:val="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Subsection"/>
      </w:pPr>
      <w:r>
        <w:tab/>
        <w:t>(2)</w:t>
      </w:r>
      <w:r>
        <w:tab/>
        <w:t xml:space="preserve">The amount of betting tax that a betting operator is liable to pay for an assessment period is — </w:t>
      </w:r>
    </w:p>
    <w:p>
      <w:pPr>
        <w:pStyle w:val="Indenta"/>
      </w:pPr>
      <w:r>
        <w:tab/>
        <w:t>(a)</w:t>
      </w:r>
      <w:r>
        <w:tab/>
        <w:t>if the taxable betting revenue of the betting operator for the assessment period exceeds the threshold amount — the amount worked out under subsection (3); or</w:t>
      </w:r>
    </w:p>
    <w:p>
      <w:pPr>
        <w:pStyle w:val="Indenta"/>
      </w:pPr>
      <w:r>
        <w:tab/>
        <w:t>(b)</w:t>
      </w:r>
      <w:r>
        <w:tab/>
        <w:t>if the taxable betting revenue of the betting operator for the assessment period is less than or equal to the threshold amount — nil.</w:t>
      </w:r>
    </w:p>
    <w:p>
      <w:pPr>
        <w:pStyle w:val="Subsection"/>
        <w:rPr>
          <w:color w:val="000000"/>
          <w:sz w:val="23"/>
          <w:szCs w:val="23"/>
        </w:rPr>
      </w:pPr>
      <w:r>
        <w:tab/>
        <w:t>(3)</w:t>
      </w:r>
      <w:r>
        <w:tab/>
        <w:t>For the purposes of subsection (2)(a), the amount is</w:t>
      </w:r>
      <w:r>
        <w:rPr>
          <w:color w:val="000000"/>
          <w:sz w:val="23"/>
          <w:szCs w:val="23"/>
        </w:rPr>
        <w:t xml:space="preserve"> worked out using the formula — </w:t>
      </w:r>
    </w:p>
    <w:p>
      <w:pPr>
        <w:pStyle w:val="MiscellaneousBody"/>
        <w:ind w:left="1134"/>
      </w:pPr>
      <w:r>
        <w:t>(</w:t>
      </w:r>
      <m:oMath>
        <m:r>
          <w:rPr>
            <w:rFonts w:ascii="Cambria Math" w:hAnsi="Cambria Math"/>
          </w:rPr>
          <m:t>(</m:t>
        </m:r>
        <m:r>
          <m:rPr>
            <m:sty m:val="p"/>
          </m:rPr>
          <w:rPr>
            <w:rFonts w:ascii="Cambria Math" w:hAnsi="Cambria Math"/>
          </w:rPr>
          <m:t>R-T)×B)</m:t>
        </m:r>
      </m:oMath>
    </w:p>
    <w:p>
      <w:pPr>
        <w:pStyle w:val="MiscellaneousBody"/>
        <w:keepNext/>
        <w:ind w:left="1701" w:hanging="567"/>
      </w:pPr>
      <w:r>
        <w:t xml:space="preserve">where — </w:t>
      </w:r>
    </w:p>
    <w:p>
      <w:pPr>
        <w:pStyle w:val="MiscellaneousBody"/>
        <w:ind w:left="1701" w:hanging="567"/>
      </w:pPr>
      <w:r>
        <w:t>R</w:t>
      </w:r>
      <w:r>
        <w:tab/>
        <w:t>is the taxable betting revenue of the betting operator for the assessment period;</w:t>
      </w:r>
    </w:p>
    <w:p>
      <w:pPr>
        <w:pStyle w:val="MiscellaneousBody"/>
        <w:keepNext/>
        <w:tabs>
          <w:tab w:val="left" w:pos="1140"/>
          <w:tab w:val="left" w:pos="2280"/>
          <w:tab w:val="left" w:pos="3420"/>
          <w:tab w:val="left" w:pos="5355"/>
        </w:tabs>
        <w:ind w:left="1701" w:hanging="567"/>
      </w:pPr>
      <w:r>
        <w:t>T</w:t>
      </w:r>
      <w:r>
        <w:tab/>
        <w:t>is the threshold amount;</w:t>
      </w:r>
    </w:p>
    <w:p>
      <w:pPr>
        <w:pStyle w:val="MiscellaneousBody"/>
        <w:ind w:left="1701" w:hanging="567"/>
      </w:pPr>
      <w:r>
        <w:t>B</w:t>
      </w:r>
      <w:r>
        <w:tab/>
        <w:t xml:space="preserve">is </w:t>
      </w:r>
      <w:r>
        <w:rPr>
          <w:color w:val="000000"/>
          <w:sz w:val="23"/>
          <w:szCs w:val="23"/>
        </w:rPr>
        <w:t xml:space="preserve">the </w:t>
      </w:r>
      <w:r>
        <w:t>betting tax rate expressed as a decimal.</w:t>
      </w:r>
    </w:p>
    <w:p>
      <w:pPr>
        <w:pStyle w:val="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Heading2"/>
      </w:pPr>
      <w:bookmarkStart w:id="62" w:name="_Toc532545285"/>
      <w:bookmarkStart w:id="63" w:name="_Toc532808543"/>
      <w:bookmarkStart w:id="64" w:name="_Toc536692677"/>
      <w:bookmarkStart w:id="65" w:name="_Toc536693639"/>
      <w:r>
        <w:rPr>
          <w:rStyle w:val="CharPartNo"/>
        </w:rPr>
        <w:t>Part 4</w:t>
      </w:r>
      <w:r>
        <w:rPr>
          <w:rStyle w:val="CharDivNo"/>
        </w:rPr>
        <w:t> </w:t>
      </w:r>
      <w:r>
        <w:t>—</w:t>
      </w:r>
      <w:r>
        <w:rPr>
          <w:rStyle w:val="CharDivText"/>
        </w:rPr>
        <w:t> </w:t>
      </w:r>
      <w:r>
        <w:rPr>
          <w:rStyle w:val="CharPartText"/>
        </w:rPr>
        <w:t>Registration and returns</w:t>
      </w:r>
      <w:bookmarkEnd w:id="62"/>
      <w:bookmarkEnd w:id="63"/>
      <w:bookmarkEnd w:id="64"/>
      <w:bookmarkEnd w:id="65"/>
    </w:p>
    <w:p>
      <w:pPr>
        <w:pStyle w:val="Heading5"/>
      </w:pPr>
      <w:bookmarkStart w:id="66" w:name="_Toc536693640"/>
      <w:r>
        <w:rPr>
          <w:rStyle w:val="CharSectno"/>
        </w:rPr>
        <w:t>19</w:t>
      </w:r>
      <w:r>
        <w:t>.</w:t>
      </w:r>
      <w:r>
        <w:tab/>
        <w:t>Application for registration</w:t>
      </w:r>
      <w:bookmarkEnd w:id="66"/>
    </w:p>
    <w:p>
      <w:pPr>
        <w:pStyle w:val="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Penstart"/>
      </w:pPr>
      <w:r>
        <w:tab/>
        <w:t>Penalty for this subsection: a fine of $20 000.</w:t>
      </w:r>
    </w:p>
    <w:p>
      <w:pPr>
        <w:pStyle w:val="Subsection"/>
      </w:pPr>
      <w:r>
        <w:tab/>
        <w:t>(2)</w:t>
      </w:r>
      <w:r>
        <w:tab/>
        <w:t xml:space="preserve">The application must be made — </w:t>
      </w:r>
    </w:p>
    <w:p>
      <w:pPr>
        <w:pStyle w:val="Indenta"/>
      </w:pPr>
      <w:r>
        <w:tab/>
        <w:t>(a)</w:t>
      </w:r>
      <w:r>
        <w:tab/>
        <w:t xml:space="preserve">in an approved form; and </w:t>
      </w:r>
    </w:p>
    <w:p>
      <w:pPr>
        <w:pStyle w:val="Indenta"/>
      </w:pPr>
      <w:r>
        <w:tab/>
        <w:t>(b)</w:t>
      </w:r>
      <w:r>
        <w:tab/>
        <w:t xml:space="preserve">within 7 days after the end of the month in which the criterion in subsection (1) is satisfied. </w:t>
      </w:r>
    </w:p>
    <w:p>
      <w:pPr>
        <w:pStyle w:val="Heading5"/>
      </w:pPr>
      <w:bookmarkStart w:id="67" w:name="_Toc536693641"/>
      <w:r>
        <w:rPr>
          <w:rStyle w:val="CharSectno"/>
        </w:rPr>
        <w:t>20</w:t>
      </w:r>
      <w:r>
        <w:t>.</w:t>
      </w:r>
      <w:r>
        <w:tab/>
        <w:t>Registration</w:t>
      </w:r>
      <w:bookmarkEnd w:id="67"/>
    </w:p>
    <w:p>
      <w:pPr>
        <w:pStyle w:val="Subsection"/>
      </w:pPr>
      <w:r>
        <w:tab/>
        <w:t>(1)</w:t>
      </w:r>
      <w:r>
        <w:tab/>
        <w:t>On receiving an application under section 19, the Commissioner must register the applicant if it appears to the Commissioner that the betting operator is liable to pay betting tax.</w:t>
      </w:r>
    </w:p>
    <w:p>
      <w:pPr>
        <w:pStyle w:val="Subsection"/>
        <w:spacing w:before="120"/>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Subsection"/>
        <w:spacing w:before="120"/>
      </w:pPr>
      <w:r>
        <w:tab/>
        <w:t>(3)</w:t>
      </w:r>
      <w:r>
        <w:tab/>
        <w:t>If the Commissioner registers a betting operator, the Commissioner must give the betting operator notice of the registration.</w:t>
      </w:r>
    </w:p>
    <w:p>
      <w:pPr>
        <w:pStyle w:val="Heading5"/>
      </w:pPr>
      <w:bookmarkStart w:id="68" w:name="_Toc536693642"/>
      <w:r>
        <w:rPr>
          <w:rStyle w:val="CharSectno"/>
        </w:rPr>
        <w:t>21</w:t>
      </w:r>
      <w:r>
        <w:t>.</w:t>
      </w:r>
      <w:r>
        <w:tab/>
        <w:t>Cancellation of registration</w:t>
      </w:r>
      <w:bookmarkEnd w:id="68"/>
    </w:p>
    <w:p>
      <w:pPr>
        <w:pStyle w:val="Subsection"/>
      </w:pPr>
      <w:r>
        <w:tab/>
        <w:t>(1)</w:t>
      </w:r>
      <w:r>
        <w:tab/>
        <w:t>The Commissioner must cancel the registration of a person if —</w:t>
      </w:r>
    </w:p>
    <w:p>
      <w:pPr>
        <w:pStyle w:val="Indenta"/>
      </w:pPr>
      <w:r>
        <w:tab/>
        <w:t>(a)</w:t>
      </w:r>
      <w:r>
        <w:tab/>
        <w:t>the Commissioner is aware that the person has ceased to be a betting operator; and</w:t>
      </w:r>
    </w:p>
    <w:p>
      <w:pPr>
        <w:pStyle w:val="Indenta"/>
      </w:pPr>
      <w:r>
        <w:tab/>
        <w:t>(b)</w:t>
      </w:r>
      <w:r>
        <w:tab/>
        <w:t>the person has lodged all returns the person is required to lodge; and</w:t>
      </w:r>
    </w:p>
    <w:p>
      <w:pPr>
        <w:pStyle w:val="Indenta"/>
      </w:pPr>
      <w:r>
        <w:tab/>
        <w:t>(c)</w:t>
      </w:r>
      <w:r>
        <w:tab/>
        <w:t>the person has paid the betting tax the person is liable to pay in relation to those returns.</w:t>
      </w:r>
    </w:p>
    <w:p>
      <w:pPr>
        <w:pStyle w:val="Subsection"/>
        <w:spacing w:before="120"/>
      </w:pPr>
      <w:r>
        <w:tab/>
        <w:t>(2)</w:t>
      </w:r>
      <w:r>
        <w:tab/>
        <w:t xml:space="preserve">The Commissioner may cancel the registration of a person, during an assessment period, on the Commissioner’s initiative or on the application of the person, if — </w:t>
      </w:r>
    </w:p>
    <w:p>
      <w:pPr>
        <w:pStyle w:val="Indenta"/>
      </w:pPr>
      <w:r>
        <w:tab/>
        <w:t>(a)</w:t>
      </w:r>
      <w:r>
        <w:tab/>
        <w:t>the Commissioner is satisfied that the taxable betting revenue of the person for the assessment period will not exceed the threshold amount; and</w:t>
      </w:r>
    </w:p>
    <w:p>
      <w:pPr>
        <w:pStyle w:val="Indenta"/>
      </w:pPr>
      <w:r>
        <w:tab/>
        <w:t>(b)</w:t>
      </w:r>
      <w:r>
        <w:tab/>
        <w:t>the person has lodged all returns the person is required to lodge; and</w:t>
      </w:r>
    </w:p>
    <w:p>
      <w:pPr>
        <w:pStyle w:val="Indenta"/>
      </w:pPr>
      <w:r>
        <w:tab/>
        <w:t>(c)</w:t>
      </w:r>
      <w:r>
        <w:tab/>
        <w:t xml:space="preserve">the person has paid the betting tax the person is liable to pay in relation to those returns. </w:t>
      </w:r>
    </w:p>
    <w:p>
      <w:pPr>
        <w:pStyle w:val="Subsection"/>
      </w:pPr>
      <w:r>
        <w:tab/>
        <w:t>(3)</w:t>
      </w:r>
      <w:r>
        <w:tab/>
        <w:t>As soon as practicable after cancelling the registration of a person, the Commissioner must give the person a notice stating —</w:t>
      </w:r>
    </w:p>
    <w:p>
      <w:pPr>
        <w:pStyle w:val="Indenta"/>
      </w:pPr>
      <w:r>
        <w:tab/>
        <w:t>(a)</w:t>
      </w:r>
      <w:r>
        <w:tab/>
        <w:t>that the registration has been cancelled; and</w:t>
      </w:r>
    </w:p>
    <w:p>
      <w:pPr>
        <w:pStyle w:val="Indenta"/>
      </w:pPr>
      <w:r>
        <w:tab/>
        <w:t>(b)</w:t>
      </w:r>
      <w:r>
        <w:tab/>
        <w:t>the day on which the registration was cancelled.</w:t>
      </w:r>
    </w:p>
    <w:p>
      <w:pPr>
        <w:pStyle w:val="Heading5"/>
      </w:pPr>
      <w:bookmarkStart w:id="69" w:name="_Toc536693643"/>
      <w:r>
        <w:rPr>
          <w:rStyle w:val="CharSectno"/>
        </w:rPr>
        <w:t>22</w:t>
      </w:r>
      <w:r>
        <w:t>.</w:t>
      </w:r>
      <w:r>
        <w:tab/>
        <w:t>Returns</w:t>
      </w:r>
      <w:bookmarkEnd w:id="69"/>
    </w:p>
    <w:p>
      <w:pPr>
        <w:pStyle w:val="Subsection"/>
        <w:spacing w:before="120"/>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Penstart"/>
      </w:pPr>
      <w:r>
        <w:tab/>
        <w:t>Penalty for this subsection: a fine of $5 000.</w:t>
      </w:r>
    </w:p>
    <w:p>
      <w:pPr>
        <w:pStyle w:val="Subsection"/>
        <w:spacing w:before="120"/>
      </w:pPr>
      <w:r>
        <w:tab/>
        <w:t>(2)</w:t>
      </w:r>
      <w:r>
        <w:tab/>
        <w:t xml:space="preserve">The betting operator must lodge the return — </w:t>
      </w:r>
    </w:p>
    <w:p>
      <w:pPr>
        <w:pStyle w:val="Indenta"/>
      </w:pPr>
      <w:r>
        <w:tab/>
        <w:t>(a)</w:t>
      </w:r>
      <w:r>
        <w:tab/>
        <w:t>in an approved form; and</w:t>
      </w:r>
    </w:p>
    <w:p>
      <w:pPr>
        <w:pStyle w:val="Indenta"/>
      </w:pPr>
      <w:r>
        <w:tab/>
        <w:t>(b)</w:t>
      </w:r>
      <w:r>
        <w:tab/>
        <w:t>within 28 days after the end of the month or within any further period allowed by the Commissioner.</w:t>
      </w:r>
    </w:p>
    <w:p>
      <w:pPr>
        <w:pStyle w:val="Heading5"/>
      </w:pPr>
      <w:bookmarkStart w:id="70" w:name="_Toc536693644"/>
      <w:r>
        <w:rPr>
          <w:rStyle w:val="CharSectno"/>
        </w:rPr>
        <w:t>23</w:t>
      </w:r>
      <w:r>
        <w:t>.</w:t>
      </w:r>
      <w:r>
        <w:tab/>
        <w:t>Exemption from lodging monthly returns</w:t>
      </w:r>
      <w:bookmarkEnd w:id="70"/>
    </w:p>
    <w:p>
      <w:pPr>
        <w:pStyle w:val="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Subsection"/>
        <w:keepNext/>
      </w:pPr>
      <w:r>
        <w:tab/>
        <w:t>(2)</w:t>
      </w:r>
      <w:r>
        <w:tab/>
        <w:t xml:space="preserve">The notice — </w:t>
      </w:r>
    </w:p>
    <w:p>
      <w:pPr>
        <w:pStyle w:val="Indenta"/>
      </w:pPr>
      <w:r>
        <w:tab/>
        <w:t>(a)</w:t>
      </w:r>
      <w:r>
        <w:tab/>
        <w:t>must include a condition requiring the betting operator to lodge a return for each period stated in the notice specifying the taxable betting revenue of the betting operator for that period; and</w:t>
      </w:r>
    </w:p>
    <w:p>
      <w:pPr>
        <w:pStyle w:val="Indenta"/>
      </w:pPr>
      <w:r>
        <w:tab/>
        <w:t>(b)</w:t>
      </w:r>
      <w:r>
        <w:tab/>
        <w:t>must include a condition requiring the betting operator to lodge the return within a period stated in the notice; and</w:t>
      </w:r>
    </w:p>
    <w:p>
      <w:pPr>
        <w:pStyle w:val="Indenta"/>
      </w:pPr>
      <w:r>
        <w:tab/>
        <w:t>(c)</w:t>
      </w:r>
      <w:r>
        <w:tab/>
        <w:t>may include any other condition the Commissioner considers appropriate.</w:t>
      </w:r>
    </w:p>
    <w:p>
      <w:pPr>
        <w:pStyle w:val="Subsection"/>
      </w:pPr>
      <w:r>
        <w:tab/>
        <w:t>(3)</w:t>
      </w:r>
      <w:r>
        <w:tab/>
        <w:t>An exemption continues in force until it is revoked.</w:t>
      </w:r>
    </w:p>
    <w:p>
      <w:pPr>
        <w:pStyle w:val="Subsection"/>
      </w:pPr>
      <w:r>
        <w:tab/>
        <w:t>(4)</w:t>
      </w:r>
      <w:r>
        <w:tab/>
        <w:t>The Commissioner may amend or revoke an exemption by giving the betting operator notice of the amendment or revocation.</w:t>
      </w:r>
    </w:p>
    <w:p>
      <w:pPr>
        <w:pStyle w:val="Subsection"/>
      </w:pPr>
      <w:r>
        <w:tab/>
        <w:t>(5)</w:t>
      </w:r>
      <w:r>
        <w:tab/>
        <w:t>An exemption does not exempt the betting operator from any liability to pay betting tax, even if it has the effect of postponing the time for payment of betting tax.</w:t>
      </w:r>
    </w:p>
    <w:p>
      <w:pPr>
        <w:pStyle w:val="Subsection"/>
      </w:pPr>
      <w:r>
        <w:tab/>
        <w:t>(6)</w:t>
      </w:r>
      <w:r>
        <w:tab/>
        <w:t>A betting operator who is given an exemption must lodge returns in accordance with the conditions included in the notice.</w:t>
      </w:r>
    </w:p>
    <w:p>
      <w:pPr>
        <w:pStyle w:val="Penstart"/>
        <w:ind w:left="0" w:firstLine="0"/>
      </w:pPr>
      <w:r>
        <w:tab/>
        <w:t>Penalty for this subsection: a fine of $5 000.</w:t>
      </w:r>
    </w:p>
    <w:p>
      <w:pPr>
        <w:pStyle w:val="Heading2"/>
      </w:pPr>
      <w:bookmarkStart w:id="71" w:name="_Toc532545291"/>
      <w:bookmarkStart w:id="72" w:name="_Toc532808549"/>
      <w:bookmarkStart w:id="73" w:name="_Toc536692683"/>
      <w:bookmarkStart w:id="74" w:name="_Toc536693645"/>
      <w:r>
        <w:rPr>
          <w:rStyle w:val="CharPartNo"/>
        </w:rPr>
        <w:t>Part 5</w:t>
      </w:r>
      <w:r>
        <w:rPr>
          <w:rStyle w:val="CharDivNo"/>
        </w:rPr>
        <w:t> </w:t>
      </w:r>
      <w:r>
        <w:t>—</w:t>
      </w:r>
      <w:r>
        <w:rPr>
          <w:rStyle w:val="CharDivText"/>
        </w:rPr>
        <w:t> </w:t>
      </w:r>
      <w:r>
        <w:rPr>
          <w:rStyle w:val="CharPartText"/>
        </w:rPr>
        <w:t>Miscellaneous</w:t>
      </w:r>
      <w:bookmarkEnd w:id="71"/>
      <w:bookmarkEnd w:id="72"/>
      <w:bookmarkEnd w:id="73"/>
      <w:bookmarkEnd w:id="74"/>
    </w:p>
    <w:p>
      <w:pPr>
        <w:pStyle w:val="Heading5"/>
      </w:pPr>
      <w:bookmarkStart w:id="75" w:name="_Toc536693646"/>
      <w:r>
        <w:rPr>
          <w:rStyle w:val="CharSectno"/>
        </w:rPr>
        <w:t>24</w:t>
      </w:r>
      <w:r>
        <w:t>.</w:t>
      </w:r>
      <w:r>
        <w:tab/>
        <w:t>Arrangements for avoidance may be disregarded</w:t>
      </w:r>
      <w:bookmarkEnd w:id="75"/>
    </w:p>
    <w:p>
      <w:pPr>
        <w:pStyle w:val="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Subsection"/>
        <w:rPr>
          <w:rStyle w:val="CharSectno"/>
        </w:rPr>
      </w:pPr>
      <w:r>
        <w:rPr>
          <w:rStyle w:val="CharSectno"/>
        </w:rPr>
        <w:tab/>
        <w:t>(2)</w:t>
      </w:r>
      <w:r>
        <w:rPr>
          <w:rStyle w:val="CharSectno"/>
        </w:rPr>
        <w:tab/>
        <w:t>The Commissioner may do either or both of the following —</w:t>
      </w:r>
    </w:p>
    <w:p>
      <w:pPr>
        <w:pStyle w:val="Indenta"/>
        <w:rPr>
          <w:rStyle w:val="CharSectno"/>
        </w:rPr>
      </w:pPr>
      <w:r>
        <w:rPr>
          <w:rStyle w:val="CharSectno"/>
        </w:rPr>
        <w:tab/>
        <w:t>(a)</w:t>
      </w:r>
      <w:r>
        <w:rPr>
          <w:rStyle w:val="CharSectno"/>
        </w:rPr>
        <w:tab/>
        <w:t xml:space="preserve">decide to disregard the agreement, transaction or arrangement for 1 or more periods; </w:t>
      </w:r>
    </w:p>
    <w:p>
      <w:pPr>
        <w:pStyle w:val="Indenta"/>
        <w:rPr>
          <w:rStyle w:val="CharSectno"/>
        </w:rPr>
      </w:pPr>
      <w:r>
        <w:tab/>
        <w:t>(b)</w:t>
      </w:r>
      <w:r>
        <w:tab/>
      </w:r>
      <w:r>
        <w:rPr>
          <w:rStyle w:val="CharSectno"/>
        </w:rPr>
        <w:t>decide 1 or more of the matters mentioned in subsection (3).</w:t>
      </w:r>
    </w:p>
    <w:p>
      <w:pPr>
        <w:pStyle w:val="Subsection"/>
        <w:rPr>
          <w:rStyle w:val="CharSectno"/>
        </w:rPr>
      </w:pPr>
      <w:r>
        <w:tab/>
        <w:t>(3)</w:t>
      </w:r>
      <w:r>
        <w:tab/>
      </w:r>
      <w:r>
        <w:rPr>
          <w:rStyle w:val="CharSectno"/>
        </w:rPr>
        <w:t>The matters are the following —</w:t>
      </w:r>
    </w:p>
    <w:p>
      <w:pPr>
        <w:pStyle w:val="Indenta"/>
        <w:rPr>
          <w:rStyle w:val="CharSectno"/>
        </w:rPr>
      </w:pPr>
      <w:r>
        <w:tab/>
        <w:t>(a)</w:t>
      </w:r>
      <w:r>
        <w:tab/>
      </w:r>
      <w:r>
        <w:rPr>
          <w:rStyle w:val="CharSectno"/>
        </w:rPr>
        <w:t>that the betting revenue of a betting operator for a particular period is taken to include an additional amount;</w:t>
      </w:r>
    </w:p>
    <w:p>
      <w:pPr>
        <w:pStyle w:val="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Indenta"/>
      </w:pPr>
      <w:r>
        <w:tab/>
        <w:t>(c)</w:t>
      </w:r>
      <w:r>
        <w:tab/>
        <w:t>that, because of a decision made in respect of a matter mentioned in paragraph (a) or (b), the taxable betting revenue of a betting operator for a particular period is taken to include an additional amount;</w:t>
      </w:r>
    </w:p>
    <w:p>
      <w:pPr>
        <w:pStyle w:val="Indenta"/>
        <w:rPr>
          <w:rStyle w:val="CharSectno"/>
        </w:rPr>
      </w:pPr>
      <w:r>
        <w:rPr>
          <w:rStyle w:val="CharSectno"/>
        </w:rPr>
        <w:tab/>
        <w:t>(d)</w:t>
      </w:r>
      <w:r>
        <w:rPr>
          <w:rStyle w:val="CharSectno"/>
        </w:rPr>
        <w:tab/>
        <w:t xml:space="preserve">that a bet placed with a betting operator — </w:t>
      </w:r>
    </w:p>
    <w:p>
      <w:pPr>
        <w:pStyle w:val="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Indenti"/>
      </w:pPr>
      <w:r>
        <w:tab/>
        <w:t>(ii)</w:t>
      </w:r>
      <w:r>
        <w:tab/>
        <w:t>if applicable, is a WA bet within the meaning of section 6 for the purpose of working out the taxable betting revenue of the betting operator for a particular period;</w:t>
      </w:r>
    </w:p>
    <w:p>
      <w:pPr>
        <w:pStyle w:val="Indenta"/>
      </w:pPr>
      <w:r>
        <w:tab/>
        <w:t>(e)</w:t>
      </w:r>
      <w:r>
        <w:tab/>
        <w:t xml:space="preserve">that — </w:t>
      </w:r>
    </w:p>
    <w:p>
      <w:pPr>
        <w:pStyle w:val="Indenti"/>
      </w:pPr>
      <w:r>
        <w:tab/>
        <w:t>(i)</w:t>
      </w:r>
      <w:r>
        <w:tab/>
        <w:t>a party to the agreement, transaction or arrangement is taken to be a betting operator; and</w:t>
      </w:r>
    </w:p>
    <w:p>
      <w:pPr>
        <w:pStyle w:val="Indenti"/>
      </w:pPr>
      <w:r>
        <w:tab/>
        <w:t>(ii)</w:t>
      </w:r>
      <w:r>
        <w:tab/>
        <w:t>a payment placed in respect of the agreement, transaction or arrangement is taken to be taxable betting revenue of the party for a particular period.</w:t>
      </w:r>
    </w:p>
    <w:p>
      <w:pPr>
        <w:pStyle w:val="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Heading5"/>
      </w:pPr>
      <w:bookmarkStart w:id="76" w:name="_Toc536693647"/>
      <w:r>
        <w:rPr>
          <w:rStyle w:val="CharSectno"/>
        </w:rPr>
        <w:t>25</w:t>
      </w:r>
      <w:r>
        <w:t>.</w:t>
      </w:r>
      <w:r>
        <w:tab/>
        <w:t>Keeping records</w:t>
      </w:r>
      <w:bookmarkEnd w:id="76"/>
    </w:p>
    <w:p>
      <w:pPr>
        <w:pStyle w:val="Subsection"/>
      </w:pPr>
      <w:r>
        <w:tab/>
        <w:t>(1)</w:t>
      </w:r>
      <w:r>
        <w:tab/>
        <w:t>A betting operator who is registered or required to apply for registration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betting operator’s liability to pay betting tax.</w:t>
      </w:r>
    </w:p>
    <w:p>
      <w:pPr>
        <w:pStyle w:val="Penstart"/>
      </w:pPr>
      <w:r>
        <w:tab/>
        <w:t>Penalty for this subsection: a fine of $20 000.</w:t>
      </w:r>
    </w:p>
    <w:p>
      <w:pPr>
        <w:pStyle w:val="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Penstart"/>
      </w:pPr>
      <w:r>
        <w:tab/>
        <w:t>Penalty for this subsection: a fine of $20 000.</w:t>
      </w:r>
    </w:p>
    <w:p>
      <w:pPr>
        <w:pStyle w:val="Subsection"/>
      </w:pPr>
      <w:r>
        <w:tab/>
        <w:t>(3)</w:t>
      </w:r>
      <w:r>
        <w:tab/>
        <w:t>Despite the</w:t>
      </w:r>
      <w:r>
        <w:rPr>
          <w:i/>
        </w:rPr>
        <w:t xml:space="preserve"> Taxation Administration Act 2003</w:t>
      </w:r>
      <w:r>
        <w:t xml:space="preserve"> section 89(1), the records may be kept in another State.</w:t>
      </w:r>
    </w:p>
    <w:p>
      <w:pPr>
        <w:pStyle w:val="Subsection"/>
      </w:pPr>
      <w:r>
        <w:tab/>
        <w:t>(4)</w:t>
      </w:r>
      <w:r>
        <w:tab/>
        <w:t>The betting operator must keep the records in Australia.</w:t>
      </w:r>
    </w:p>
    <w:p>
      <w:pPr>
        <w:pStyle w:val="Penstart"/>
      </w:pPr>
      <w:r>
        <w:tab/>
        <w:t>Penalty for this subsection: a fine of $20 000.</w:t>
      </w:r>
    </w:p>
    <w:p>
      <w:pPr>
        <w:pStyle w:val="Subsection"/>
      </w:pPr>
      <w:r>
        <w:tab/>
        <w:t>(5)</w:t>
      </w:r>
      <w:r>
        <w:tab/>
        <w:t>The Commissioner may recover as a debt, from a betting operator, costs reasonably incurred by the Commissioner as a result of the betting operator’s failure to comply with subsection (4).</w:t>
      </w:r>
    </w:p>
    <w:p>
      <w:pPr>
        <w:pStyle w:val="Heading5"/>
      </w:pPr>
      <w:bookmarkStart w:id="77" w:name="_Toc536693648"/>
      <w:r>
        <w:rPr>
          <w:rStyle w:val="CharSectno"/>
        </w:rPr>
        <w:t>26</w:t>
      </w:r>
      <w:r>
        <w:t>.</w:t>
      </w:r>
      <w:r>
        <w:tab/>
        <w:t>Regulations</w:t>
      </w:r>
      <w:bookmarkEnd w:id="77"/>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Heading2"/>
      </w:pPr>
      <w:bookmarkStart w:id="78" w:name="_Toc532545295"/>
      <w:bookmarkStart w:id="79" w:name="_Toc532808553"/>
      <w:bookmarkStart w:id="80" w:name="_Toc536692687"/>
      <w:bookmarkStart w:id="81" w:name="_Toc536693649"/>
      <w:r>
        <w:rPr>
          <w:rStyle w:val="CharPartNo"/>
        </w:rPr>
        <w:t>Part 6</w:t>
      </w:r>
      <w:r>
        <w:rPr>
          <w:rStyle w:val="CharDivNo"/>
        </w:rPr>
        <w:t> </w:t>
      </w:r>
      <w:r>
        <w:t>—</w:t>
      </w:r>
      <w:r>
        <w:rPr>
          <w:rStyle w:val="CharDivText"/>
        </w:rPr>
        <w:t> </w:t>
      </w:r>
      <w:r>
        <w:rPr>
          <w:rStyle w:val="CharPartText"/>
        </w:rPr>
        <w:t>Transitional provisions</w:t>
      </w:r>
      <w:bookmarkEnd w:id="78"/>
      <w:bookmarkEnd w:id="79"/>
      <w:bookmarkEnd w:id="80"/>
      <w:bookmarkEnd w:id="81"/>
    </w:p>
    <w:p>
      <w:pPr>
        <w:pStyle w:val="Heading5"/>
      </w:pPr>
      <w:bookmarkStart w:id="82" w:name="_Toc536693650"/>
      <w:r>
        <w:rPr>
          <w:rStyle w:val="CharSectno"/>
        </w:rPr>
        <w:t>27</w:t>
      </w:r>
      <w:r>
        <w:t>.</w:t>
      </w:r>
      <w:r>
        <w:tab/>
        <w:t>First assessment period and threshold amount</w:t>
      </w:r>
      <w:bookmarkEnd w:id="82"/>
    </w:p>
    <w:p>
      <w:pPr>
        <w:pStyle w:val="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Subsection"/>
      </w:pPr>
      <w:r>
        <w:tab/>
        <w:t>(2)</w:t>
      </w:r>
      <w:r>
        <w:tab/>
        <w:t xml:space="preserve">Despite the definition of </w:t>
      </w:r>
      <w:r>
        <w:rPr>
          <w:b/>
          <w:i/>
        </w:rPr>
        <w:t>threshold amount</w:t>
      </w:r>
      <w:r>
        <w:t xml:space="preserve"> in section 4, the threshold amount for the first assessment period is $75 000.</w:t>
      </w:r>
    </w:p>
    <w:p>
      <w:pPr>
        <w:pStyle w:val="Heading5"/>
      </w:pPr>
      <w:bookmarkStart w:id="83" w:name="_Toc536693651"/>
      <w:r>
        <w:rPr>
          <w:rStyle w:val="CharSectno"/>
        </w:rPr>
        <w:t>28</w:t>
      </w:r>
      <w:r>
        <w:t>.</w:t>
      </w:r>
      <w:r>
        <w:tab/>
        <w:t>Betting revenue relating to bets placed before 1 January 2019</w:t>
      </w:r>
      <w:bookmarkEnd w:id="83"/>
    </w:p>
    <w:p>
      <w:pPr>
        <w:pStyle w:val="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Heading5"/>
      </w:pPr>
      <w:bookmarkStart w:id="84" w:name="_Toc536693652"/>
      <w:r>
        <w:rPr>
          <w:rStyle w:val="CharSectno"/>
        </w:rPr>
        <w:t>29</w:t>
      </w:r>
      <w:r>
        <w:t>.</w:t>
      </w:r>
      <w:r>
        <w:tab/>
        <w:t>Eligible payments relating to bets placed before 1 January 2019</w:t>
      </w:r>
      <w:bookmarkEnd w:id="84"/>
    </w:p>
    <w:p>
      <w:pPr>
        <w:pStyle w:val="Subsection"/>
      </w:pPr>
      <w:r>
        <w:tab/>
      </w:r>
      <w:r>
        <w:tab/>
        <w:t>In working out an amount mentioned in section 7(3)(a), (b) or (c) the payment of an amount that is made on or after 1 January 2019 and relates to a bet placed before 1 January 2019 cannot be taken into account.</w:t>
      </w:r>
    </w:p>
    <w:p>
      <w:pPr>
        <w:pStyle w:val="Heading2"/>
      </w:pPr>
      <w:bookmarkStart w:id="85" w:name="_Toc536692691"/>
      <w:bookmarkStart w:id="86" w:name="_Toc536693653"/>
      <w:r>
        <w:rPr>
          <w:rStyle w:val="CharPartNo"/>
        </w:rPr>
        <w:t>Part 7</w:t>
      </w:r>
      <w:r>
        <w:t> — </w:t>
      </w:r>
      <w:r>
        <w:rPr>
          <w:rStyle w:val="CharPartText"/>
        </w:rPr>
        <w:t>Repeals</w:t>
      </w:r>
      <w:bookmarkEnd w:id="85"/>
      <w:bookmarkEnd w:id="86"/>
    </w:p>
    <w:p>
      <w:pPr>
        <w:pStyle w:val="Heading5"/>
      </w:pPr>
      <w:bookmarkStart w:id="87" w:name="_Toc536693654"/>
      <w:r>
        <w:rPr>
          <w:rStyle w:val="CharSectno"/>
        </w:rPr>
        <w:t>30</w:t>
      </w:r>
      <w:r>
        <w:t>.</w:t>
      </w:r>
      <w:r>
        <w:tab/>
      </w:r>
      <w:r>
        <w:rPr>
          <w:i/>
        </w:rPr>
        <w:t>Bookmakers Betting Levy Act 1954</w:t>
      </w:r>
      <w:r>
        <w:t xml:space="preserve"> repealed</w:t>
      </w:r>
      <w:bookmarkEnd w:id="87"/>
    </w:p>
    <w:p>
      <w:pPr>
        <w:pStyle w:val="Subsection"/>
      </w:pPr>
      <w:r>
        <w:tab/>
      </w:r>
      <w:r>
        <w:tab/>
        <w:t xml:space="preserve">The </w:t>
      </w:r>
      <w:r>
        <w:rPr>
          <w:i/>
        </w:rPr>
        <w:t>Bookmakers Betting Levy Act 1954</w:t>
      </w:r>
      <w:r>
        <w:t xml:space="preserve"> is repealed.</w:t>
      </w:r>
    </w:p>
    <w:p>
      <w:pPr>
        <w:pStyle w:val="Heading5"/>
        <w:rPr>
          <w:snapToGrid w:val="0"/>
        </w:rPr>
      </w:pPr>
      <w:bookmarkStart w:id="88" w:name="_Toc536693655"/>
      <w:r>
        <w:rPr>
          <w:rStyle w:val="CharSectno"/>
        </w:rPr>
        <w:t>31</w:t>
      </w:r>
      <w:r>
        <w:rPr>
          <w:snapToGrid w:val="0"/>
        </w:rPr>
        <w:t>.</w:t>
      </w:r>
      <w:r>
        <w:rPr>
          <w:snapToGrid w:val="0"/>
        </w:rPr>
        <w:tab/>
      </w:r>
      <w:r>
        <w:rPr>
          <w:i/>
        </w:rPr>
        <w:t xml:space="preserve">Racing and Wagering Western Australia Tax Act 2003 </w:t>
      </w:r>
      <w:r>
        <w:t>repealed</w:t>
      </w:r>
      <w:bookmarkEnd w:id="88"/>
    </w:p>
    <w:p>
      <w:pPr>
        <w:pStyle w:val="Subsection"/>
      </w:pPr>
      <w:r>
        <w:tab/>
      </w:r>
      <w:r>
        <w:tab/>
        <w:t xml:space="preserve">The </w:t>
      </w:r>
      <w:r>
        <w:rPr>
          <w:i/>
        </w:rPr>
        <w:t xml:space="preserve">Racing and Wagering Western Australia Tax Act 2003 </w:t>
      </w:r>
      <w:r>
        <w:t>is repealed.</w:t>
      </w:r>
    </w:p>
    <w:p>
      <w:pPr>
        <w:pStyle w:val="Heading2"/>
      </w:pPr>
      <w:bookmarkStart w:id="89" w:name="_Toc532545299"/>
      <w:bookmarkStart w:id="90" w:name="_Toc532808557"/>
      <w:bookmarkStart w:id="91" w:name="_Toc536692694"/>
      <w:bookmarkStart w:id="92" w:name="_Toc536693656"/>
      <w:r>
        <w:rPr>
          <w:rStyle w:val="CharPartNo"/>
        </w:rPr>
        <w:t>Part 8</w:t>
      </w:r>
      <w:r>
        <w:t> — </w:t>
      </w:r>
      <w:r>
        <w:rPr>
          <w:rStyle w:val="CharPartText"/>
        </w:rPr>
        <w:t>Other Acts amended</w:t>
      </w:r>
      <w:bookmarkEnd w:id="89"/>
      <w:bookmarkEnd w:id="90"/>
      <w:bookmarkEnd w:id="91"/>
      <w:bookmarkEnd w:id="92"/>
    </w:p>
    <w:p>
      <w:pPr>
        <w:pStyle w:val="Heading3"/>
      </w:pPr>
      <w:bookmarkStart w:id="93" w:name="_Toc532545300"/>
      <w:bookmarkStart w:id="94" w:name="_Toc532808558"/>
      <w:bookmarkStart w:id="95" w:name="_Toc536692695"/>
      <w:bookmarkStart w:id="96" w:name="_Toc536693657"/>
      <w:r>
        <w:rPr>
          <w:rStyle w:val="CharDivNo"/>
        </w:rPr>
        <w:t>Division 1</w:t>
      </w:r>
      <w:r>
        <w:t> — </w:t>
      </w:r>
      <w:r>
        <w:rPr>
          <w:rStyle w:val="CharDivText"/>
        </w:rPr>
        <w:t>Amendments commencing on 1 January 2019</w:t>
      </w:r>
      <w:bookmarkEnd w:id="93"/>
      <w:bookmarkEnd w:id="94"/>
      <w:bookmarkEnd w:id="95"/>
      <w:bookmarkEnd w:id="96"/>
    </w:p>
    <w:p>
      <w:pPr>
        <w:pStyle w:val="Heading4"/>
      </w:pPr>
      <w:bookmarkStart w:id="97" w:name="_Toc532545301"/>
      <w:bookmarkStart w:id="98" w:name="_Toc532808559"/>
      <w:bookmarkStart w:id="99" w:name="_Toc536692696"/>
      <w:bookmarkStart w:id="100" w:name="_Toc536693658"/>
      <w:r>
        <w:t>Subdivision 1 — </w:t>
      </w:r>
      <w:r>
        <w:rPr>
          <w:i/>
        </w:rPr>
        <w:t>Betting Control Act 1954</w:t>
      </w:r>
      <w:r>
        <w:t xml:space="preserve"> amended</w:t>
      </w:r>
      <w:bookmarkEnd w:id="97"/>
      <w:bookmarkEnd w:id="98"/>
      <w:bookmarkEnd w:id="99"/>
      <w:bookmarkEnd w:id="100"/>
    </w:p>
    <w:p>
      <w:pPr>
        <w:pStyle w:val="Heading5"/>
        <w:rPr>
          <w:snapToGrid w:val="0"/>
        </w:rPr>
      </w:pPr>
      <w:bookmarkStart w:id="101" w:name="_Toc536693659"/>
      <w:r>
        <w:rPr>
          <w:rStyle w:val="CharSectno"/>
        </w:rPr>
        <w:t>32</w:t>
      </w:r>
      <w:r>
        <w:rPr>
          <w:snapToGrid w:val="0"/>
        </w:rPr>
        <w:t>.</w:t>
      </w:r>
      <w:r>
        <w:rPr>
          <w:snapToGrid w:val="0"/>
        </w:rPr>
        <w:tab/>
        <w:t>Act amended</w:t>
      </w:r>
      <w:bookmarkEnd w:id="101"/>
    </w:p>
    <w:p>
      <w:pPr>
        <w:pStyle w:val="Subsection"/>
      </w:pPr>
      <w:r>
        <w:tab/>
      </w:r>
      <w:r>
        <w:tab/>
        <w:t xml:space="preserve">This Subdivision amends the </w:t>
      </w:r>
      <w:r>
        <w:rPr>
          <w:i/>
        </w:rPr>
        <w:t>Betting Control Act 1954</w:t>
      </w:r>
      <w:r>
        <w:t>.</w:t>
      </w:r>
    </w:p>
    <w:p>
      <w:pPr>
        <w:pStyle w:val="Heading5"/>
      </w:pPr>
      <w:bookmarkStart w:id="102" w:name="_Toc536693660"/>
      <w:r>
        <w:rPr>
          <w:rStyle w:val="CharSectno"/>
        </w:rPr>
        <w:t>33</w:t>
      </w:r>
      <w:r>
        <w:t>.</w:t>
      </w:r>
      <w:r>
        <w:tab/>
        <w:t>Section 27E amended</w:t>
      </w:r>
      <w:bookmarkEnd w:id="102"/>
    </w:p>
    <w:p>
      <w:pPr>
        <w:pStyle w:val="Subsection"/>
      </w:pPr>
      <w:r>
        <w:tab/>
      </w:r>
      <w:r>
        <w:tab/>
        <w:t>After section 27E(2)(a) insert:</w:t>
      </w:r>
    </w:p>
    <w:p>
      <w:pPr>
        <w:pStyle w:val="BlankOpen"/>
      </w:pPr>
    </w:p>
    <w:p>
      <w:pPr>
        <w:pStyle w:val="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Heading5"/>
      </w:pPr>
      <w:bookmarkStart w:id="103" w:name="_Toc536693661"/>
      <w:r>
        <w:rPr>
          <w:rStyle w:val="CharSectno"/>
        </w:rPr>
        <w:t>34</w:t>
      </w:r>
      <w:r>
        <w:t>.</w:t>
      </w:r>
      <w:r>
        <w:tab/>
        <w:t>Part 6 inserted</w:t>
      </w:r>
      <w:bookmarkEnd w:id="103"/>
    </w:p>
    <w:p>
      <w:pPr>
        <w:pStyle w:val="Subsection"/>
      </w:pPr>
      <w:r>
        <w:tab/>
      </w:r>
      <w:r>
        <w:tab/>
        <w:t>After section 33 insert:</w:t>
      </w:r>
    </w:p>
    <w:p>
      <w:pPr>
        <w:pStyle w:val="BlankOpen"/>
      </w:pPr>
    </w:p>
    <w:p>
      <w:pPr>
        <w:pStyle w:val="zHeading2"/>
      </w:pPr>
      <w:bookmarkStart w:id="104" w:name="_Toc532545305"/>
      <w:bookmarkStart w:id="105" w:name="_Toc532808563"/>
      <w:bookmarkStart w:id="106" w:name="_Toc536692700"/>
      <w:bookmarkStart w:id="107" w:name="_Toc536693662"/>
      <w:r>
        <w:t xml:space="preserve">Part 6 — Transitional provisions for </w:t>
      </w:r>
      <w:r>
        <w:rPr>
          <w:i/>
        </w:rPr>
        <w:t>Betting Tax Assessment Act 2018</w:t>
      </w:r>
      <w:bookmarkEnd w:id="104"/>
      <w:bookmarkEnd w:id="105"/>
      <w:bookmarkEnd w:id="106"/>
      <w:bookmarkEnd w:id="107"/>
    </w:p>
    <w:p>
      <w:pPr>
        <w:pStyle w:val="zHeading5"/>
      </w:pPr>
      <w:bookmarkStart w:id="108" w:name="_Toc536693663"/>
      <w:r>
        <w:t>34.</w:t>
      </w:r>
      <w:r>
        <w:tab/>
        <w:t>Application of s. 14, 15 and 16 on or after 1 January 2019</w:t>
      </w:r>
      <w:bookmarkEnd w:id="108"/>
    </w:p>
    <w:p>
      <w:pPr>
        <w:pStyle w:val="zSubsection"/>
      </w:pPr>
      <w:r>
        <w:tab/>
      </w:r>
      <w:r>
        <w:tab/>
        <w:t>Sections 14, 15 and 16 do not apply to or in relation to a bet made on or after 1 January 2019.</w:t>
      </w:r>
    </w:p>
    <w:p>
      <w:pPr>
        <w:pStyle w:val="zHeading5"/>
      </w:pPr>
      <w:bookmarkStart w:id="109" w:name="_Toc536693664"/>
      <w:r>
        <w:t>35.</w:t>
      </w:r>
      <w:r>
        <w:tab/>
        <w:t>Application of s. 18A on or after 1 January 2019</w:t>
      </w:r>
      <w:bookmarkEnd w:id="109"/>
    </w:p>
    <w:p>
      <w:pPr>
        <w:pStyle w:val="zSubsection"/>
      </w:pPr>
      <w:r>
        <w:tab/>
      </w:r>
      <w:r>
        <w:tab/>
        <w:t>Section 18A does not apply to or in relation to a race meeting conducted on or after 1 January 2019 or a bet made on or after 1 January 2019.</w:t>
      </w:r>
    </w:p>
    <w:p>
      <w:pPr>
        <w:pStyle w:val="BlankClose"/>
      </w:pPr>
    </w:p>
    <w:p>
      <w:pPr>
        <w:pStyle w:val="Heading4"/>
      </w:pPr>
      <w:bookmarkStart w:id="110" w:name="_Toc532545308"/>
      <w:bookmarkStart w:id="111" w:name="_Toc532808566"/>
      <w:bookmarkStart w:id="112" w:name="_Toc536692703"/>
      <w:bookmarkStart w:id="113" w:name="_Toc536693665"/>
      <w:r>
        <w:t>Subdivision 2 — </w:t>
      </w:r>
      <w:r>
        <w:rPr>
          <w:i/>
        </w:rPr>
        <w:t>Racing and Wagering Western Australia Act 2003</w:t>
      </w:r>
      <w:r>
        <w:t> amended</w:t>
      </w:r>
      <w:bookmarkEnd w:id="110"/>
      <w:bookmarkEnd w:id="111"/>
      <w:bookmarkEnd w:id="112"/>
      <w:bookmarkEnd w:id="113"/>
    </w:p>
    <w:p>
      <w:pPr>
        <w:pStyle w:val="Heading5"/>
        <w:rPr>
          <w:snapToGrid w:val="0"/>
        </w:rPr>
      </w:pPr>
      <w:bookmarkStart w:id="114" w:name="_Toc536693666"/>
      <w:r>
        <w:rPr>
          <w:rStyle w:val="CharSectno"/>
        </w:rPr>
        <w:t>35</w:t>
      </w:r>
      <w:r>
        <w:rPr>
          <w:snapToGrid w:val="0"/>
        </w:rPr>
        <w:t>.</w:t>
      </w:r>
      <w:r>
        <w:rPr>
          <w:snapToGrid w:val="0"/>
        </w:rPr>
        <w:tab/>
        <w:t>Act amended</w:t>
      </w:r>
      <w:bookmarkEnd w:id="114"/>
    </w:p>
    <w:p>
      <w:pPr>
        <w:pStyle w:val="Subsection"/>
      </w:pPr>
      <w:r>
        <w:tab/>
      </w:r>
      <w:r>
        <w:tab/>
        <w:t xml:space="preserve">This Subdivision amends the </w:t>
      </w:r>
      <w:r>
        <w:rPr>
          <w:i/>
        </w:rPr>
        <w:t>Racing and Wagering Western Australia Act 2003</w:t>
      </w:r>
      <w:r>
        <w:t>.</w:t>
      </w:r>
    </w:p>
    <w:p>
      <w:pPr>
        <w:pStyle w:val="Heading5"/>
      </w:pPr>
      <w:bookmarkStart w:id="115" w:name="_Toc536693667"/>
      <w:r>
        <w:rPr>
          <w:rStyle w:val="CharSectno"/>
        </w:rPr>
        <w:t>36</w:t>
      </w:r>
      <w:r>
        <w:t>.</w:t>
      </w:r>
      <w:r>
        <w:tab/>
        <w:t>Section 68 amended</w:t>
      </w:r>
      <w:bookmarkEnd w:id="115"/>
    </w:p>
    <w:p>
      <w:pPr>
        <w:pStyle w:val="Subsection"/>
      </w:pPr>
      <w:r>
        <w:tab/>
      </w:r>
      <w:r>
        <w:tab/>
        <w:t>In section 68(3) delete “section 107A(2).” and insert:</w:t>
      </w:r>
    </w:p>
    <w:p>
      <w:pPr>
        <w:pStyle w:val="BlankOpen"/>
      </w:pPr>
    </w:p>
    <w:p>
      <w:pPr>
        <w:pStyle w:val="Subsection"/>
      </w:pPr>
      <w:r>
        <w:tab/>
      </w:r>
      <w:r>
        <w:tab/>
        <w:t>sections 107A(2) and 107B(3).</w:t>
      </w:r>
    </w:p>
    <w:p>
      <w:pPr>
        <w:pStyle w:val="BlankClose"/>
      </w:pPr>
    </w:p>
    <w:p>
      <w:pPr>
        <w:pStyle w:val="Heading5"/>
      </w:pPr>
      <w:bookmarkStart w:id="116" w:name="_Toc536693668"/>
      <w:r>
        <w:rPr>
          <w:rStyle w:val="CharSectno"/>
        </w:rPr>
        <w:t>37</w:t>
      </w:r>
      <w:r>
        <w:t>.</w:t>
      </w:r>
      <w:r>
        <w:tab/>
        <w:t>Section 77 amended</w:t>
      </w:r>
      <w:bookmarkEnd w:id="116"/>
    </w:p>
    <w:p>
      <w:pPr>
        <w:pStyle w:val="Subsection"/>
      </w:pPr>
      <w:r>
        <w:tab/>
      </w:r>
      <w:r>
        <w:tab/>
        <w:t>In section 77(2)(da) delete “section 107A(2); and” and insert:</w:t>
      </w:r>
    </w:p>
    <w:p>
      <w:pPr>
        <w:pStyle w:val="BlankOpen"/>
      </w:pPr>
    </w:p>
    <w:p>
      <w:pPr>
        <w:pStyle w:val="Subsection"/>
      </w:pPr>
      <w:r>
        <w:tab/>
      </w:r>
      <w:r>
        <w:tab/>
        <w:t>sections 107A(2) and 107B(3); and</w:t>
      </w:r>
    </w:p>
    <w:p>
      <w:pPr>
        <w:pStyle w:val="BlankClose"/>
      </w:pPr>
    </w:p>
    <w:p>
      <w:pPr>
        <w:pStyle w:val="Heading5"/>
      </w:pPr>
      <w:bookmarkStart w:id="117" w:name="_Toc536693669"/>
      <w:r>
        <w:rPr>
          <w:rStyle w:val="CharSectno"/>
        </w:rPr>
        <w:t>38</w:t>
      </w:r>
      <w:r>
        <w:t>.</w:t>
      </w:r>
      <w:r>
        <w:tab/>
        <w:t>Section 102 amended</w:t>
      </w:r>
      <w:bookmarkEnd w:id="117"/>
    </w:p>
    <w:p>
      <w:pPr>
        <w:pStyle w:val="Subsection"/>
      </w:pPr>
      <w:r>
        <w:tab/>
      </w:r>
      <w:r>
        <w:tab/>
        <w:t>In section 102(2)(a)(ii) after “paid” insert:</w:t>
      </w:r>
    </w:p>
    <w:p>
      <w:pPr>
        <w:pStyle w:val="BlankOpen"/>
      </w:pPr>
    </w:p>
    <w:p>
      <w:pPr>
        <w:pStyle w:val="Subsection"/>
      </w:pPr>
      <w:r>
        <w:tab/>
      </w:r>
      <w:r>
        <w:tab/>
        <w:t>or payable</w:t>
      </w:r>
    </w:p>
    <w:p>
      <w:pPr>
        <w:pStyle w:val="BlankClose"/>
      </w:pPr>
    </w:p>
    <w:p>
      <w:pPr>
        <w:pStyle w:val="Heading5"/>
      </w:pPr>
      <w:bookmarkStart w:id="118" w:name="_Toc536693670"/>
      <w:r>
        <w:rPr>
          <w:rStyle w:val="CharSectno"/>
        </w:rPr>
        <w:t>39</w:t>
      </w:r>
      <w:r>
        <w:t>.</w:t>
      </w:r>
      <w:r>
        <w:tab/>
        <w:t>Section 106 amended</w:t>
      </w:r>
      <w:bookmarkEnd w:id="118"/>
    </w:p>
    <w:p>
      <w:pPr>
        <w:pStyle w:val="Subsection"/>
        <w:keepNext/>
      </w:pPr>
      <w:r>
        <w:tab/>
      </w:r>
      <w:r>
        <w:tab/>
        <w:t>After section 106(1)(g) insert:</w:t>
      </w:r>
    </w:p>
    <w:p>
      <w:pPr>
        <w:pStyle w:val="BlankOpen"/>
      </w:pPr>
    </w:p>
    <w:p>
      <w:pPr>
        <w:pStyle w:val="zIndenta"/>
        <w:keepNext/>
      </w:pPr>
      <w:r>
        <w:tab/>
        <w:t>(ga)</w:t>
      </w:r>
      <w:r>
        <w:tab/>
        <w:t xml:space="preserve">any amount of betting tax payable under the </w:t>
      </w:r>
      <w:r>
        <w:rPr>
          <w:i/>
        </w:rPr>
        <w:t>Betting Tax Assessment Act 2018</w:t>
      </w:r>
      <w:r>
        <w:t xml:space="preserve"> section 15;</w:t>
      </w:r>
    </w:p>
    <w:p>
      <w:pPr>
        <w:pStyle w:val="BlankClose"/>
      </w:pPr>
    </w:p>
    <w:p>
      <w:pPr>
        <w:pStyle w:val="Heading5"/>
      </w:pPr>
      <w:bookmarkStart w:id="119" w:name="_Toc536693671"/>
      <w:r>
        <w:rPr>
          <w:rStyle w:val="CharSectno"/>
        </w:rPr>
        <w:t>40</w:t>
      </w:r>
      <w:r>
        <w:t>.</w:t>
      </w:r>
      <w:r>
        <w:tab/>
        <w:t>Section 107B inserted</w:t>
      </w:r>
      <w:bookmarkEnd w:id="119"/>
    </w:p>
    <w:p>
      <w:pPr>
        <w:pStyle w:val="Subsection"/>
        <w:keepNext/>
        <w:keepLines/>
      </w:pPr>
      <w:r>
        <w:tab/>
      </w:r>
      <w:r>
        <w:tab/>
        <w:t>After section 107A insert:</w:t>
      </w:r>
    </w:p>
    <w:p>
      <w:pPr>
        <w:pStyle w:val="BlankOpen"/>
      </w:pPr>
    </w:p>
    <w:p>
      <w:pPr>
        <w:pStyle w:val="zHeading5"/>
      </w:pPr>
      <w:bookmarkStart w:id="120" w:name="_Toc536693672"/>
      <w:r>
        <w:t>107B.</w:t>
      </w:r>
      <w:r>
        <w:tab/>
        <w:t>Allocation and distribution of proportion of funds from betting tax</w:t>
      </w:r>
      <w:bookmarkEnd w:id="120"/>
    </w:p>
    <w:p>
      <w:pPr>
        <w:pStyle w:val="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zSubsection"/>
      </w:pPr>
      <w:r>
        <w:tab/>
        <w:t>(2)</w:t>
      </w:r>
      <w:r>
        <w:tab/>
        <w:t xml:space="preserve">Payments under subsection (1) must be — </w:t>
      </w:r>
    </w:p>
    <w:p>
      <w:pPr>
        <w:pStyle w:val="zIndenta"/>
      </w:pPr>
      <w:r>
        <w:tab/>
        <w:t>(a)</w:t>
      </w:r>
      <w:r>
        <w:tab/>
        <w:t>charged to the Consolidated Account which is appropriated accordingly; and</w:t>
      </w:r>
    </w:p>
    <w:p>
      <w:pPr>
        <w:pStyle w:val="zIndenta"/>
      </w:pPr>
      <w:r>
        <w:tab/>
        <w:t>(b)</w:t>
      </w:r>
      <w:r>
        <w:tab/>
        <w:t xml:space="preserve">credited to an account (the </w:t>
      </w:r>
      <w:r>
        <w:rPr>
          <w:b/>
          <w:i/>
        </w:rPr>
        <w:t>betting tax account</w:t>
      </w:r>
      <w:r>
        <w:t>) maintained under section 88 for the sole purpose of dealing with those payments under this section.</w:t>
      </w:r>
    </w:p>
    <w:p>
      <w:pPr>
        <w:pStyle w:val="zSubsection"/>
      </w:pPr>
      <w:r>
        <w:tab/>
        <w:t>(3)</w:t>
      </w:r>
      <w:r>
        <w:tab/>
        <w:t xml:space="preserve">The funds in the betting tax account must be paid or credited by RWWA, in such amounts as it determines, to — </w:t>
      </w:r>
    </w:p>
    <w:p>
      <w:pPr>
        <w:pStyle w:val="zIndenta"/>
      </w:pPr>
      <w:r>
        <w:tab/>
        <w:t>(a)</w:t>
      </w:r>
      <w:r>
        <w:tab/>
        <w:t>thoroughbred racing clubs registered with RWWA; and</w:t>
      </w:r>
    </w:p>
    <w:p>
      <w:pPr>
        <w:pStyle w:val="zIndenta"/>
      </w:pPr>
      <w:r>
        <w:tab/>
        <w:t>(b)</w:t>
      </w:r>
      <w:r>
        <w:tab/>
        <w:t>harness racing clubs registered with RWWA; and</w:t>
      </w:r>
    </w:p>
    <w:p>
      <w:pPr>
        <w:pStyle w:val="zIndenta"/>
      </w:pPr>
      <w:r>
        <w:tab/>
        <w:t>(c)</w:t>
      </w:r>
      <w:r>
        <w:tab/>
        <w:t>greyhound racing clubs registered with RWWA.</w:t>
      </w:r>
    </w:p>
    <w:p>
      <w:pPr>
        <w:pStyle w:val="BlankClose"/>
      </w:pPr>
    </w:p>
    <w:p>
      <w:pPr>
        <w:pStyle w:val="Heading5"/>
      </w:pPr>
      <w:bookmarkStart w:id="121" w:name="_Toc536693673"/>
      <w:r>
        <w:rPr>
          <w:rStyle w:val="CharSectno"/>
        </w:rPr>
        <w:t>41</w:t>
      </w:r>
      <w:r>
        <w:t>.</w:t>
      </w:r>
      <w:r>
        <w:tab/>
        <w:t>Part 9 inserted</w:t>
      </w:r>
      <w:bookmarkEnd w:id="121"/>
    </w:p>
    <w:p>
      <w:pPr>
        <w:pStyle w:val="Subsection"/>
        <w:keepNext/>
        <w:keepLines/>
      </w:pPr>
      <w:r>
        <w:tab/>
      </w:r>
      <w:r>
        <w:tab/>
        <w:t>After section 122 insert:</w:t>
      </w:r>
    </w:p>
    <w:p>
      <w:pPr>
        <w:pStyle w:val="BlankOpen"/>
      </w:pPr>
    </w:p>
    <w:p>
      <w:pPr>
        <w:pStyle w:val="zHeading2"/>
        <w:rPr>
          <w:i/>
        </w:rPr>
      </w:pPr>
      <w:bookmarkStart w:id="122" w:name="_Toc532545317"/>
      <w:bookmarkStart w:id="123" w:name="_Toc532808575"/>
      <w:bookmarkStart w:id="124" w:name="_Toc536692712"/>
      <w:bookmarkStart w:id="125" w:name="_Toc536693674"/>
      <w:r>
        <w:t xml:space="preserve">Part 9 — Transitional provisions for </w:t>
      </w:r>
      <w:r>
        <w:rPr>
          <w:i/>
        </w:rPr>
        <w:t>Betting Tax Assessment Act 2018</w:t>
      </w:r>
      <w:bookmarkEnd w:id="122"/>
      <w:bookmarkEnd w:id="123"/>
      <w:bookmarkEnd w:id="124"/>
      <w:bookmarkEnd w:id="125"/>
    </w:p>
    <w:p>
      <w:pPr>
        <w:pStyle w:val="zHeading5"/>
      </w:pPr>
      <w:bookmarkStart w:id="126" w:name="_Toc536693675"/>
      <w:r>
        <w:t>123.</w:t>
      </w:r>
      <w:r>
        <w:tab/>
        <w:t>Application of s. 102 on or after 1 January 2019</w:t>
      </w:r>
      <w:bookmarkEnd w:id="126"/>
    </w:p>
    <w:p>
      <w:pPr>
        <w:pStyle w:val="zSubsection"/>
      </w:pPr>
      <w:r>
        <w:tab/>
      </w:r>
      <w:r>
        <w:tab/>
        <w:t>Section 102 does not apply to or in relation to a wager made on or after 1 January 2019.</w:t>
      </w:r>
    </w:p>
    <w:p>
      <w:pPr>
        <w:pStyle w:val="zHeading5"/>
      </w:pPr>
      <w:bookmarkStart w:id="127" w:name="_Toc536693676"/>
      <w:r>
        <w:t>124.</w:t>
      </w:r>
      <w:r>
        <w:tab/>
        <w:t>Application of s. 107 on or after 1 January 2019</w:t>
      </w:r>
      <w:bookmarkEnd w:id="127"/>
    </w:p>
    <w:p>
      <w:pPr>
        <w:pStyle w:val="zSubsection"/>
      </w:pPr>
      <w:r>
        <w:tab/>
        <w:t>(1)</w:t>
      </w:r>
      <w:r>
        <w:tab/>
        <w:t>Section 107 does not apply to moneys received by RWWA in respect of totalisator or fixed odds wagering if the wagering occurs on or after 1 January 2019.</w:t>
      </w:r>
    </w:p>
    <w:p>
      <w:pPr>
        <w:pStyle w:val="zSubsection"/>
      </w:pPr>
      <w:r>
        <w:tab/>
        <w:t>(2)</w:t>
      </w:r>
      <w:r>
        <w:tab/>
        <w:t>For the purposes of subsection (1) wagering occurs when a wager is placed.</w:t>
      </w:r>
    </w:p>
    <w:p>
      <w:pPr>
        <w:pStyle w:val="BlankClose"/>
      </w:pPr>
    </w:p>
    <w:p>
      <w:pPr>
        <w:pStyle w:val="Heading4"/>
      </w:pPr>
      <w:bookmarkStart w:id="128" w:name="_Toc532545320"/>
      <w:bookmarkStart w:id="129" w:name="_Toc532808578"/>
      <w:bookmarkStart w:id="130" w:name="_Toc536692715"/>
      <w:bookmarkStart w:id="131" w:name="_Toc536693677"/>
      <w:r>
        <w:t>Subdivision 3 — </w:t>
      </w:r>
      <w:r>
        <w:rPr>
          <w:i/>
        </w:rPr>
        <w:t>Racing and Wagering Western Australia Tax Act 2003</w:t>
      </w:r>
      <w:r>
        <w:t xml:space="preserve"> amended</w:t>
      </w:r>
      <w:bookmarkEnd w:id="128"/>
      <w:bookmarkEnd w:id="129"/>
      <w:bookmarkEnd w:id="130"/>
      <w:bookmarkEnd w:id="131"/>
    </w:p>
    <w:p>
      <w:pPr>
        <w:pStyle w:val="Heading5"/>
      </w:pPr>
      <w:bookmarkStart w:id="132" w:name="_Toc536693678"/>
      <w:r>
        <w:rPr>
          <w:rStyle w:val="CharSectno"/>
        </w:rPr>
        <w:t>42</w:t>
      </w:r>
      <w:r>
        <w:t>.</w:t>
      </w:r>
      <w:r>
        <w:tab/>
        <w:t>Act amended</w:t>
      </w:r>
      <w:bookmarkEnd w:id="132"/>
    </w:p>
    <w:p>
      <w:pPr>
        <w:pStyle w:val="Subsection"/>
      </w:pPr>
      <w:r>
        <w:tab/>
      </w:r>
      <w:r>
        <w:tab/>
        <w:t xml:space="preserve">This Subdivision amends the </w:t>
      </w:r>
      <w:r>
        <w:rPr>
          <w:i/>
        </w:rPr>
        <w:t>Racing and Wagering Western Australia Tax Act 2003</w:t>
      </w:r>
      <w:r>
        <w:t>.</w:t>
      </w:r>
    </w:p>
    <w:p>
      <w:pPr>
        <w:pStyle w:val="Heading5"/>
      </w:pPr>
      <w:bookmarkStart w:id="133" w:name="_Toc536693679"/>
      <w:r>
        <w:rPr>
          <w:rStyle w:val="CharSectno"/>
        </w:rPr>
        <w:t>43</w:t>
      </w:r>
      <w:r>
        <w:t>.</w:t>
      </w:r>
      <w:r>
        <w:tab/>
        <w:t>Section 3 amended</w:t>
      </w:r>
      <w:bookmarkEnd w:id="133"/>
    </w:p>
    <w:p>
      <w:pPr>
        <w:pStyle w:val="Subsection"/>
        <w:keepNext/>
      </w:pPr>
      <w:r>
        <w:tab/>
      </w:r>
      <w:r>
        <w:tab/>
        <w:t xml:space="preserve">In section 3 in the definition of </w:t>
      </w:r>
      <w:r>
        <w:rPr>
          <w:b/>
          <w:i/>
        </w:rPr>
        <w:t>gross revenue</w:t>
      </w:r>
      <w:r>
        <w:t xml:space="preserve"> paragraph (b) after “paid” insert:</w:t>
      </w:r>
    </w:p>
    <w:p>
      <w:pPr>
        <w:pStyle w:val="BlankOpen"/>
      </w:pPr>
    </w:p>
    <w:p>
      <w:pPr>
        <w:pStyle w:val="Subsection"/>
        <w:keepNext/>
      </w:pPr>
      <w:r>
        <w:tab/>
      </w:r>
      <w:r>
        <w:tab/>
        <w:t>or payable</w:t>
      </w:r>
    </w:p>
    <w:p>
      <w:pPr>
        <w:pStyle w:val="BlankClose"/>
        <w:keepNext/>
      </w:pPr>
    </w:p>
    <w:p>
      <w:pPr>
        <w:pStyle w:val="Heading4"/>
      </w:pPr>
      <w:bookmarkStart w:id="134" w:name="_Toc532545323"/>
      <w:bookmarkStart w:id="135" w:name="_Toc532808581"/>
      <w:bookmarkStart w:id="136" w:name="_Toc536692718"/>
      <w:bookmarkStart w:id="137" w:name="_Toc536693680"/>
      <w:r>
        <w:t>Subdivision 4 — </w:t>
      </w:r>
      <w:r>
        <w:rPr>
          <w:i/>
        </w:rPr>
        <w:t>Taxation Administration Act 2003</w:t>
      </w:r>
      <w:r>
        <w:t xml:space="preserve"> amended</w:t>
      </w:r>
      <w:bookmarkEnd w:id="134"/>
      <w:bookmarkEnd w:id="135"/>
      <w:bookmarkEnd w:id="136"/>
      <w:bookmarkEnd w:id="137"/>
    </w:p>
    <w:p>
      <w:pPr>
        <w:pStyle w:val="Heading5"/>
        <w:rPr>
          <w:snapToGrid w:val="0"/>
        </w:rPr>
      </w:pPr>
      <w:bookmarkStart w:id="138" w:name="_Toc536693681"/>
      <w:r>
        <w:rPr>
          <w:rStyle w:val="CharSectno"/>
        </w:rPr>
        <w:t>44</w:t>
      </w:r>
      <w:r>
        <w:rPr>
          <w:snapToGrid w:val="0"/>
        </w:rPr>
        <w:t>.</w:t>
      </w:r>
      <w:r>
        <w:rPr>
          <w:snapToGrid w:val="0"/>
        </w:rPr>
        <w:tab/>
        <w:t>Act amended</w:t>
      </w:r>
      <w:bookmarkEnd w:id="138"/>
    </w:p>
    <w:p>
      <w:pPr>
        <w:pStyle w:val="Subsection"/>
      </w:pPr>
      <w:r>
        <w:tab/>
      </w:r>
      <w:r>
        <w:tab/>
        <w:t xml:space="preserve">This Subdivision amends the </w:t>
      </w:r>
      <w:r>
        <w:rPr>
          <w:i/>
        </w:rPr>
        <w:t>Taxation Administration Act 2003</w:t>
      </w:r>
      <w:r>
        <w:t>.</w:t>
      </w:r>
    </w:p>
    <w:p>
      <w:pPr>
        <w:pStyle w:val="Heading5"/>
      </w:pPr>
      <w:bookmarkStart w:id="139" w:name="_Toc536693682"/>
      <w:r>
        <w:rPr>
          <w:rStyle w:val="CharSectno"/>
        </w:rPr>
        <w:t>45</w:t>
      </w:r>
      <w:r>
        <w:t>.</w:t>
      </w:r>
      <w:r>
        <w:tab/>
        <w:t>Section 3 amended</w:t>
      </w:r>
      <w:bookmarkEnd w:id="139"/>
    </w:p>
    <w:p>
      <w:pPr>
        <w:pStyle w:val="Subsection"/>
      </w:pPr>
      <w:r>
        <w:tab/>
      </w:r>
      <w:r>
        <w:tab/>
        <w:t>After section 3(1)(jb) insert:</w:t>
      </w:r>
    </w:p>
    <w:p>
      <w:pPr>
        <w:pStyle w:val="BlankOpen"/>
      </w:pPr>
    </w:p>
    <w:p>
      <w:pPr>
        <w:pStyle w:val="zIndenta"/>
      </w:pPr>
      <w:r>
        <w:tab/>
        <w:t>(jc)</w:t>
      </w:r>
      <w:r>
        <w:tab/>
        <w:t xml:space="preserve">the </w:t>
      </w:r>
      <w:r>
        <w:rPr>
          <w:i/>
        </w:rPr>
        <w:t>Betting Tax Act 2018</w:t>
      </w:r>
      <w:r>
        <w:t>;</w:t>
      </w:r>
    </w:p>
    <w:p>
      <w:pPr>
        <w:pStyle w:val="zIndenta"/>
      </w:pPr>
      <w:r>
        <w:tab/>
        <w:t>(jd)</w:t>
      </w:r>
      <w:r>
        <w:tab/>
        <w:t xml:space="preserve">the </w:t>
      </w:r>
      <w:r>
        <w:rPr>
          <w:i/>
        </w:rPr>
        <w:t>Betting Tax Assessment Act 2018</w:t>
      </w:r>
      <w:r>
        <w:t>;</w:t>
      </w:r>
    </w:p>
    <w:p>
      <w:pPr>
        <w:pStyle w:val="BlankClose"/>
      </w:pPr>
    </w:p>
    <w:p>
      <w:pPr>
        <w:pStyle w:val="Heading5"/>
        <w:keepNext w:val="0"/>
        <w:spacing w:before="120"/>
      </w:pPr>
      <w:bookmarkStart w:id="140" w:name="_Toc536693683"/>
      <w:r>
        <w:rPr>
          <w:rStyle w:val="CharSectno"/>
        </w:rPr>
        <w:t>46</w:t>
      </w:r>
      <w:r>
        <w:t>.</w:t>
      </w:r>
      <w:r>
        <w:tab/>
        <w:t>Section 17 amended</w:t>
      </w:r>
      <w:bookmarkEnd w:id="140"/>
    </w:p>
    <w:p>
      <w:pPr>
        <w:pStyle w:val="Subsection"/>
        <w:keepLines/>
      </w:pPr>
      <w:r>
        <w:tab/>
      </w:r>
      <w:r>
        <w:tab/>
        <w:t>In section 17(3) after “pay</w:t>
      </w:r>
      <w:r>
        <w:noBreakHyphen/>
        <w:t>roll tax” insert:</w:t>
      </w:r>
    </w:p>
    <w:p>
      <w:pPr>
        <w:pStyle w:val="BlankOpen"/>
        <w:keepNext w:val="0"/>
      </w:pPr>
    </w:p>
    <w:p>
      <w:pPr>
        <w:pStyle w:val="Subsection"/>
        <w:keepLines/>
      </w:pPr>
      <w:r>
        <w:tab/>
      </w:r>
      <w:r>
        <w:tab/>
        <w:t>or betting tax</w:t>
      </w:r>
    </w:p>
    <w:p>
      <w:pPr>
        <w:pStyle w:val="BlankClose"/>
      </w:pPr>
    </w:p>
    <w:p>
      <w:pPr>
        <w:pStyle w:val="Heading5"/>
      </w:pPr>
      <w:bookmarkStart w:id="141" w:name="_Toc536693684"/>
      <w:r>
        <w:rPr>
          <w:rStyle w:val="CharSectno"/>
        </w:rPr>
        <w:t>47</w:t>
      </w:r>
      <w:r>
        <w:t>.</w:t>
      </w:r>
      <w:r>
        <w:tab/>
        <w:t>Section 114 amended</w:t>
      </w:r>
      <w:bookmarkEnd w:id="141"/>
    </w:p>
    <w:p>
      <w:pPr>
        <w:pStyle w:val="Subsection"/>
        <w:keepNext/>
      </w:pPr>
      <w:r>
        <w:tab/>
      </w:r>
      <w:r>
        <w:tab/>
        <w:t>In section 114(3):</w:t>
      </w:r>
    </w:p>
    <w:p>
      <w:pPr>
        <w:pStyle w:val="Indenta"/>
      </w:pPr>
      <w:r>
        <w:tab/>
        <w:t>(a)</w:t>
      </w:r>
      <w:r>
        <w:tab/>
        <w:t>in paragraph (c)(ii) delete “Treasurer;” and insert:</w:t>
      </w:r>
    </w:p>
    <w:p>
      <w:pPr>
        <w:pStyle w:val="BlankOpen"/>
      </w:pPr>
    </w:p>
    <w:p>
      <w:pPr>
        <w:pStyle w:val="Indenta"/>
      </w:pPr>
      <w:r>
        <w:tab/>
      </w:r>
      <w:r>
        <w:tab/>
        <w:t>Treasurer; or</w:t>
      </w:r>
    </w:p>
    <w:p>
      <w:pPr>
        <w:pStyle w:val="BlankClose"/>
      </w:pPr>
    </w:p>
    <w:p>
      <w:pPr>
        <w:pStyle w:val="Indenta"/>
        <w:keepNext/>
      </w:pPr>
      <w:r>
        <w:tab/>
        <w:t>(b)</w:t>
      </w:r>
      <w:r>
        <w:tab/>
        <w:t>after paragraph (c)(ii) insert:</w:t>
      </w:r>
    </w:p>
    <w:p>
      <w:pPr>
        <w:pStyle w:val="BlankOpen"/>
      </w:pPr>
    </w:p>
    <w:p>
      <w:pPr>
        <w:pStyle w:val="zIndenti"/>
        <w:keepNext/>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Heading3"/>
        <w:spacing w:before="220"/>
      </w:pPr>
      <w:bookmarkStart w:id="142" w:name="_Toc536692723"/>
      <w:bookmarkStart w:id="143" w:name="_Toc536693685"/>
      <w:r>
        <w:rPr>
          <w:rStyle w:val="CharDivNo"/>
        </w:rPr>
        <w:t>Division 2</w:t>
      </w:r>
      <w:r>
        <w:t> — </w:t>
      </w:r>
      <w:r>
        <w:rPr>
          <w:rStyle w:val="CharDivText"/>
        </w:rPr>
        <w:t>Amendments commencing on proclamation</w:t>
      </w:r>
      <w:bookmarkEnd w:id="142"/>
      <w:bookmarkEnd w:id="143"/>
    </w:p>
    <w:p>
      <w:pPr>
        <w:pStyle w:val="Heading4"/>
      </w:pPr>
      <w:bookmarkStart w:id="144" w:name="_Toc536692724"/>
      <w:bookmarkStart w:id="145" w:name="_Toc536693686"/>
      <w:r>
        <w:t>Subdivision 1 — </w:t>
      </w:r>
      <w:r>
        <w:rPr>
          <w:i/>
        </w:rPr>
        <w:t>Betting Control Act 1954</w:t>
      </w:r>
      <w:r>
        <w:t xml:space="preserve"> amended</w:t>
      </w:r>
      <w:bookmarkEnd w:id="144"/>
      <w:bookmarkEnd w:id="145"/>
    </w:p>
    <w:p>
      <w:pPr>
        <w:pStyle w:val="Heading5"/>
        <w:rPr>
          <w:snapToGrid w:val="0"/>
        </w:rPr>
      </w:pPr>
      <w:bookmarkStart w:id="146" w:name="_Toc536693687"/>
      <w:r>
        <w:rPr>
          <w:rStyle w:val="CharSectno"/>
        </w:rPr>
        <w:t>48</w:t>
      </w:r>
      <w:r>
        <w:rPr>
          <w:snapToGrid w:val="0"/>
        </w:rPr>
        <w:t>.</w:t>
      </w:r>
      <w:r>
        <w:rPr>
          <w:snapToGrid w:val="0"/>
        </w:rPr>
        <w:tab/>
        <w:t>Act amended</w:t>
      </w:r>
      <w:bookmarkEnd w:id="146"/>
    </w:p>
    <w:p>
      <w:pPr>
        <w:pStyle w:val="Subsection"/>
      </w:pPr>
      <w:r>
        <w:tab/>
      </w:r>
      <w:r>
        <w:tab/>
        <w:t xml:space="preserve">This Subdivision amends the </w:t>
      </w:r>
      <w:r>
        <w:rPr>
          <w:i/>
        </w:rPr>
        <w:t>Betting Control Act 1954</w:t>
      </w:r>
      <w:r>
        <w:t>.</w:t>
      </w:r>
    </w:p>
    <w:p>
      <w:pPr>
        <w:pStyle w:val="Heading5"/>
      </w:pPr>
      <w:bookmarkStart w:id="147" w:name="_Toc536693688"/>
      <w:r>
        <w:rPr>
          <w:rStyle w:val="CharSectno"/>
        </w:rPr>
        <w:t>49</w:t>
      </w:r>
      <w:r>
        <w:t>.</w:t>
      </w:r>
      <w:r>
        <w:tab/>
        <w:t>Long title amended</w:t>
      </w:r>
      <w:bookmarkEnd w:id="147"/>
    </w:p>
    <w:p>
      <w:pPr>
        <w:pStyle w:val="Subsection"/>
      </w:pPr>
      <w:r>
        <w:tab/>
      </w:r>
      <w:r>
        <w:tab/>
        <w:t>In the long title delete “</w:t>
      </w:r>
      <w:r>
        <w:rPr>
          <w:b/>
        </w:rPr>
        <w:t>levy on money paid or promised to bookmakers, other betting operators or RWWA as consideration for bets;</w:t>
      </w:r>
      <w:r>
        <w:t>” and insert:</w:t>
      </w:r>
    </w:p>
    <w:p>
      <w:pPr>
        <w:pStyle w:val="BlankOpen"/>
      </w:pPr>
    </w:p>
    <w:p>
      <w:pPr>
        <w:pStyle w:val="Subsection"/>
        <w:rPr>
          <w:b/>
        </w:rPr>
      </w:pPr>
      <w:r>
        <w:tab/>
      </w:r>
      <w:r>
        <w:tab/>
      </w:r>
      <w:r>
        <w:rPr>
          <w:b/>
        </w:rPr>
        <w:t xml:space="preserve">racing bets levy on the gross revenue or turnover of betting operators; </w:t>
      </w:r>
    </w:p>
    <w:p>
      <w:pPr>
        <w:pStyle w:val="BlankClose"/>
      </w:pPr>
    </w:p>
    <w:p>
      <w:pPr>
        <w:pStyle w:val="Heading5"/>
      </w:pPr>
      <w:bookmarkStart w:id="148" w:name="_Toc536693689"/>
      <w:r>
        <w:rPr>
          <w:rStyle w:val="CharSectno"/>
        </w:rPr>
        <w:t>50</w:t>
      </w:r>
      <w:r>
        <w:t>.</w:t>
      </w:r>
      <w:r>
        <w:tab/>
        <w:t>Section 4 amended</w:t>
      </w:r>
      <w:bookmarkEnd w:id="148"/>
    </w:p>
    <w:p>
      <w:pPr>
        <w:pStyle w:val="Subsection"/>
      </w:pPr>
      <w:r>
        <w:tab/>
      </w:r>
      <w:r>
        <w:tab/>
        <w:t xml:space="preserve">In section 4(1) delete the definition of </w:t>
      </w:r>
      <w:r>
        <w:rPr>
          <w:b/>
          <w:i/>
        </w:rPr>
        <w:t>fixed odds bet</w:t>
      </w:r>
      <w:r>
        <w:t xml:space="preserve"> and insert:</w:t>
      </w:r>
    </w:p>
    <w:p>
      <w:pPr>
        <w:pStyle w:val="BlankOpen"/>
      </w:pPr>
    </w:p>
    <w:p>
      <w:pPr>
        <w:pStyle w:val="Defstart"/>
      </w:pPr>
      <w:r>
        <w:tab/>
      </w:r>
      <w:r>
        <w:rPr>
          <w:rStyle w:val="CharDefText"/>
        </w:rPr>
        <w:t>fixed odds bet</w:t>
      </w:r>
      <w:r>
        <w:t xml:space="preserve"> means a fixed odds wager as defined in the RWWA Act section 3(1); </w:t>
      </w:r>
    </w:p>
    <w:p>
      <w:pPr>
        <w:pStyle w:val="BlankClose"/>
      </w:pPr>
    </w:p>
    <w:p>
      <w:pPr>
        <w:pStyle w:val="Heading5"/>
      </w:pPr>
      <w:bookmarkStart w:id="149" w:name="_Toc536693690"/>
      <w:r>
        <w:rPr>
          <w:rStyle w:val="CharSectno"/>
        </w:rPr>
        <w:t>51</w:t>
      </w:r>
      <w:r>
        <w:t>.</w:t>
      </w:r>
      <w:r>
        <w:tab/>
        <w:t>Section 11E amended</w:t>
      </w:r>
      <w:bookmarkEnd w:id="149"/>
    </w:p>
    <w:p>
      <w:pPr>
        <w:pStyle w:val="Subsection"/>
      </w:pPr>
      <w:r>
        <w:tab/>
      </w:r>
      <w:r>
        <w:tab/>
        <w:t>In section 11E(4)(a) delete “or bookmakers’ betting levy”.</w:t>
      </w:r>
    </w:p>
    <w:p>
      <w:pPr>
        <w:pStyle w:val="Heading5"/>
      </w:pPr>
      <w:bookmarkStart w:id="150" w:name="_Toc536693691"/>
      <w:r>
        <w:rPr>
          <w:rStyle w:val="CharSectno"/>
        </w:rPr>
        <w:t>52</w:t>
      </w:r>
      <w:r>
        <w:t>.</w:t>
      </w:r>
      <w:r>
        <w:tab/>
        <w:t>Section 12 amended</w:t>
      </w:r>
      <w:bookmarkEnd w:id="150"/>
    </w:p>
    <w:p>
      <w:pPr>
        <w:pStyle w:val="Subsection"/>
      </w:pPr>
      <w:r>
        <w:tab/>
        <w:t>(1)</w:t>
      </w:r>
      <w:r>
        <w:tab/>
        <w:t>In section 12(5)(c)(ii) delete “number; and” and insert:</w:t>
      </w:r>
    </w:p>
    <w:p>
      <w:pPr>
        <w:pStyle w:val="BlankOpen"/>
      </w:pPr>
    </w:p>
    <w:p>
      <w:pPr>
        <w:pStyle w:val="Subsection"/>
      </w:pPr>
      <w:r>
        <w:tab/>
      </w:r>
      <w:r>
        <w:tab/>
        <w:t>number.</w:t>
      </w:r>
    </w:p>
    <w:p>
      <w:pPr>
        <w:pStyle w:val="BlankClose"/>
      </w:pPr>
    </w:p>
    <w:p>
      <w:pPr>
        <w:pStyle w:val="Subsection"/>
      </w:pPr>
      <w:r>
        <w:tab/>
        <w:t>(2)</w:t>
      </w:r>
      <w:r>
        <w:tab/>
        <w:t>Delete section 12(5)(c)(iii) and (iv).</w:t>
      </w:r>
    </w:p>
    <w:p>
      <w:pPr>
        <w:pStyle w:val="Heading5"/>
      </w:pPr>
      <w:bookmarkStart w:id="151" w:name="_Toc536693692"/>
      <w:r>
        <w:rPr>
          <w:rStyle w:val="CharSectno"/>
        </w:rPr>
        <w:t>53</w:t>
      </w:r>
      <w:r>
        <w:t>.</w:t>
      </w:r>
      <w:r>
        <w:tab/>
        <w:t>Section 13 amended</w:t>
      </w:r>
      <w:bookmarkEnd w:id="151"/>
    </w:p>
    <w:p>
      <w:pPr>
        <w:pStyle w:val="Subsection"/>
      </w:pPr>
      <w:r>
        <w:tab/>
        <w:t>(1)</w:t>
      </w:r>
      <w:r>
        <w:tab/>
        <w:t>Before section 13(1) insert:</w:t>
      </w:r>
    </w:p>
    <w:p>
      <w:pPr>
        <w:pStyle w:val="BlankOpen"/>
      </w:pP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Subsection"/>
      </w:pPr>
      <w:r>
        <w:tab/>
        <w:t>(2)</w:t>
      </w:r>
      <w:r>
        <w:tab/>
        <w:t>Delete section 13(2).</w:t>
      </w:r>
    </w:p>
    <w:p>
      <w:pPr>
        <w:pStyle w:val="Heading5"/>
      </w:pPr>
      <w:bookmarkStart w:id="152" w:name="_Toc536693693"/>
      <w:r>
        <w:rPr>
          <w:rStyle w:val="CharSectno"/>
        </w:rPr>
        <w:t>54</w:t>
      </w:r>
      <w:r>
        <w:t>.</w:t>
      </w:r>
      <w:r>
        <w:tab/>
        <w:t>Section 14A amended</w:t>
      </w:r>
      <w:bookmarkEnd w:id="152"/>
    </w:p>
    <w:p>
      <w:pPr>
        <w:pStyle w:val="Subsection"/>
        <w:keepNext/>
      </w:pPr>
      <w:r>
        <w:tab/>
      </w:r>
      <w:r>
        <w:tab/>
        <w:t>In section 14A(3):</w:t>
      </w:r>
    </w:p>
    <w:p>
      <w:pPr>
        <w:pStyle w:val="Indenta"/>
        <w:keepNext/>
      </w:pPr>
      <w:r>
        <w:tab/>
        <w:t>(a)</w:t>
      </w:r>
      <w:r>
        <w:tab/>
        <w:t>in paragraph (a) delete “bookmaker’s betting levy” and insert:</w:t>
      </w:r>
    </w:p>
    <w:p>
      <w:pPr>
        <w:pStyle w:val="BlankOpen"/>
      </w:pPr>
    </w:p>
    <w:p>
      <w:pPr>
        <w:pStyle w:val="Indenta"/>
        <w:keepNext/>
      </w:pPr>
      <w:r>
        <w:tab/>
      </w:r>
      <w:r>
        <w:tab/>
        <w:t xml:space="preserve">annual licence fee </w:t>
      </w:r>
    </w:p>
    <w:p>
      <w:pPr>
        <w:pStyle w:val="BlankClose"/>
        <w:keepNext/>
      </w:pPr>
    </w:p>
    <w:p>
      <w:pPr>
        <w:pStyle w:val="Indenta"/>
        <w:keepNext/>
      </w:pPr>
      <w:r>
        <w:tab/>
        <w:t>(b)</w:t>
      </w:r>
      <w:r>
        <w:tab/>
        <w:t>in paragraph (b) delete “operator.” and insert:</w:t>
      </w:r>
    </w:p>
    <w:p>
      <w:pPr>
        <w:pStyle w:val="BlankOpen"/>
      </w:pPr>
    </w:p>
    <w:p>
      <w:pPr>
        <w:pStyle w:val="Indenta"/>
        <w:keepNext/>
      </w:pPr>
      <w:r>
        <w:tab/>
      </w:r>
      <w:r>
        <w:tab/>
        <w:t>operator; and</w:t>
      </w:r>
    </w:p>
    <w:p>
      <w:pPr>
        <w:pStyle w:val="BlankClose"/>
      </w:pPr>
    </w:p>
    <w:p>
      <w:pPr>
        <w:pStyle w:val="Indenta"/>
      </w:pPr>
      <w:r>
        <w:tab/>
        <w:t>(c)</w:t>
      </w:r>
      <w:r>
        <w:tab/>
        <w:t>after paragraph (b) insert:</w:t>
      </w:r>
    </w:p>
    <w:p>
      <w:pPr>
        <w:pStyle w:val="BlankOpen"/>
      </w:pP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Heading5"/>
      </w:pPr>
      <w:bookmarkStart w:id="153" w:name="_Toc536693694"/>
      <w:r>
        <w:rPr>
          <w:rStyle w:val="CharSectno"/>
        </w:rPr>
        <w:t>55</w:t>
      </w:r>
      <w:r>
        <w:t>.</w:t>
      </w:r>
      <w:r>
        <w:tab/>
        <w:t>Sections 14B to 16 deleted</w:t>
      </w:r>
      <w:bookmarkEnd w:id="153"/>
    </w:p>
    <w:p>
      <w:pPr>
        <w:pStyle w:val="Subsection"/>
      </w:pPr>
      <w:r>
        <w:tab/>
      </w:r>
      <w:r>
        <w:tab/>
        <w:t>Delete sections 14B to 16.</w:t>
      </w:r>
    </w:p>
    <w:p>
      <w:pPr>
        <w:pStyle w:val="Heading5"/>
      </w:pPr>
      <w:bookmarkStart w:id="154" w:name="_Toc536693695"/>
      <w:r>
        <w:rPr>
          <w:rStyle w:val="CharSectno"/>
        </w:rPr>
        <w:t>56</w:t>
      </w:r>
      <w:r>
        <w:t>.</w:t>
      </w:r>
      <w:r>
        <w:tab/>
        <w:t>Section 17 amended</w:t>
      </w:r>
      <w:bookmarkEnd w:id="154"/>
    </w:p>
    <w:p>
      <w:pPr>
        <w:pStyle w:val="Subsection"/>
        <w:keepNext/>
      </w:pPr>
      <w:r>
        <w:tab/>
      </w:r>
      <w:r>
        <w:tab/>
        <w:t>In section 17:</w:t>
      </w:r>
    </w:p>
    <w:p>
      <w:pPr>
        <w:pStyle w:val="Indenta"/>
        <w:keepNext/>
      </w:pPr>
      <w:r>
        <w:tab/>
        <w:t>(a)</w:t>
      </w:r>
      <w:r>
        <w:tab/>
        <w:t>delete “payment of —” and insert:</w:t>
      </w:r>
    </w:p>
    <w:p>
      <w:pPr>
        <w:pStyle w:val="BlankOpen"/>
      </w:pPr>
    </w:p>
    <w:p>
      <w:pPr>
        <w:pStyle w:val="Indenta"/>
        <w:keepNext/>
      </w:pPr>
      <w:r>
        <w:tab/>
      </w:r>
      <w:r>
        <w:tab/>
        <w:t>payment of an annual licence fee in respect of — </w:t>
      </w:r>
    </w:p>
    <w:p>
      <w:pPr>
        <w:pStyle w:val="BlankClose"/>
        <w:keepNext/>
      </w:pPr>
    </w:p>
    <w:p>
      <w:pPr>
        <w:pStyle w:val="Indenta"/>
        <w:keepNext/>
      </w:pPr>
      <w:r>
        <w:tab/>
        <w:t>(b)</w:t>
      </w:r>
      <w:r>
        <w:tab/>
        <w:t>delete paragraphs (a) and (b) and insert:</w:t>
      </w:r>
    </w:p>
    <w:p>
      <w:pPr>
        <w:pStyle w:val="BlankOpen"/>
      </w:pPr>
    </w:p>
    <w:p>
      <w:pPr>
        <w:pStyle w:val="Indenta"/>
      </w:pPr>
      <w:r>
        <w:tab/>
        <w:t>(a)</w:t>
      </w:r>
      <w:r>
        <w:tab/>
        <w:t>a bookmaker’s licence; or</w:t>
      </w:r>
    </w:p>
    <w:p>
      <w:pPr>
        <w:pStyle w:val="Indenta"/>
      </w:pPr>
      <w:r>
        <w:tab/>
        <w:t>(b)</w:t>
      </w:r>
      <w:r>
        <w:tab/>
        <w:t>an authorisation to possess and operate a totalisator,</w:t>
      </w:r>
    </w:p>
    <w:p>
      <w:pPr>
        <w:pStyle w:val="BlankClose"/>
      </w:pPr>
    </w:p>
    <w:p>
      <w:pPr>
        <w:pStyle w:val="SectAltNote"/>
      </w:pPr>
      <w:r>
        <w:tab/>
        <w:t>Note:</w:t>
      </w:r>
      <w:r>
        <w:tab/>
        <w:t>The heading to amended section 17 is to read:</w:t>
      </w:r>
    </w:p>
    <w:p>
      <w:pPr>
        <w:pStyle w:val="SectAltHeading"/>
      </w:pPr>
      <w:r>
        <w:rPr>
          <w:b w:val="0"/>
        </w:rPr>
        <w:tab/>
      </w:r>
      <w:r>
        <w:rPr>
          <w:b w:val="0"/>
        </w:rPr>
        <w:tab/>
      </w:r>
      <w:r>
        <w:t>Effect on annual licence fee of not being entitled to receive or retain consideration</w:t>
      </w:r>
    </w:p>
    <w:p>
      <w:pPr>
        <w:pStyle w:val="Heading5"/>
      </w:pPr>
      <w:bookmarkStart w:id="155" w:name="_Toc536693696"/>
      <w:r>
        <w:rPr>
          <w:rStyle w:val="CharSectno"/>
        </w:rPr>
        <w:t>57</w:t>
      </w:r>
      <w:r>
        <w:t>.</w:t>
      </w:r>
      <w:r>
        <w:tab/>
        <w:t>Section 17A amended</w:t>
      </w:r>
      <w:bookmarkEnd w:id="155"/>
    </w:p>
    <w:p>
      <w:pPr>
        <w:pStyle w:val="Subsection"/>
        <w:keepNext/>
      </w:pPr>
      <w:r>
        <w:tab/>
        <w:t>(1)</w:t>
      </w:r>
      <w:r>
        <w:tab/>
        <w:t>Before section 17A(1) insert:</w:t>
      </w:r>
    </w:p>
    <w:p>
      <w:pPr>
        <w:pStyle w:val="BlankOpen"/>
      </w:pP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BlankClose"/>
        <w:keepNext/>
      </w:pPr>
    </w:p>
    <w:p>
      <w:pPr>
        <w:pStyle w:val="Subsection"/>
      </w:pPr>
      <w:r>
        <w:tab/>
        <w:t>(2)</w:t>
      </w:r>
      <w:r>
        <w:tab/>
        <w:t>Delete section 17A(2).</w:t>
      </w:r>
    </w:p>
    <w:p>
      <w:pPr>
        <w:pStyle w:val="Heading5"/>
      </w:pPr>
      <w:bookmarkStart w:id="156" w:name="_Toc536693697"/>
      <w:r>
        <w:rPr>
          <w:rStyle w:val="CharSectno"/>
        </w:rPr>
        <w:t>58</w:t>
      </w:r>
      <w:r>
        <w:t>.</w:t>
      </w:r>
      <w:r>
        <w:tab/>
        <w:t>Sections 18 and 18A deleted</w:t>
      </w:r>
      <w:bookmarkEnd w:id="156"/>
    </w:p>
    <w:p>
      <w:pPr>
        <w:pStyle w:val="Subsection"/>
      </w:pPr>
      <w:r>
        <w:tab/>
      </w:r>
      <w:r>
        <w:tab/>
        <w:t>Delete sections 18 and 18A.</w:t>
      </w:r>
    </w:p>
    <w:p>
      <w:pPr>
        <w:pStyle w:val="Heading5"/>
      </w:pPr>
      <w:bookmarkStart w:id="157" w:name="_Toc536693698"/>
      <w:r>
        <w:rPr>
          <w:rStyle w:val="CharSectno"/>
        </w:rPr>
        <w:t>59</w:t>
      </w:r>
      <w:r>
        <w:t>.</w:t>
      </w:r>
      <w:r>
        <w:tab/>
        <w:t>Section 18B amended</w:t>
      </w:r>
      <w:bookmarkEnd w:id="157"/>
    </w:p>
    <w:p>
      <w:pPr>
        <w:pStyle w:val="Subsection"/>
        <w:keepNext/>
      </w:pPr>
      <w:r>
        <w:tab/>
        <w:t>(1)</w:t>
      </w:r>
      <w:r>
        <w:tab/>
        <w:t>In section 18B(1):</w:t>
      </w:r>
    </w:p>
    <w:p>
      <w:pPr>
        <w:pStyle w:val="Indenta"/>
        <w:keepNext/>
      </w:pPr>
      <w:r>
        <w:tab/>
        <w:t>(a)</w:t>
      </w:r>
      <w:r>
        <w:tab/>
        <w:t>delete “fee, or any bookmakers’ betting levy or further levy” and insert:</w:t>
      </w:r>
    </w:p>
    <w:p>
      <w:pPr>
        <w:pStyle w:val="BlankOpen"/>
      </w:pPr>
    </w:p>
    <w:p>
      <w:pPr>
        <w:pStyle w:val="Indenta"/>
        <w:keepNext/>
      </w:pPr>
      <w:r>
        <w:tab/>
      </w:r>
      <w:r>
        <w:tab/>
        <w:t>fee</w:t>
      </w:r>
    </w:p>
    <w:p>
      <w:pPr>
        <w:pStyle w:val="BlankClose"/>
        <w:keepNext/>
      </w:pPr>
    </w:p>
    <w:p>
      <w:pPr>
        <w:pStyle w:val="Indenta"/>
        <w:keepNext/>
      </w:pPr>
      <w:r>
        <w:tab/>
        <w:t>(b)</w:t>
      </w:r>
      <w:r>
        <w:tab/>
        <w:t>in paragraph (a) delete “fee or any bookmakers’ betting levy; and” and insert:</w:t>
      </w:r>
    </w:p>
    <w:p>
      <w:pPr>
        <w:pStyle w:val="BlankOpen"/>
      </w:pPr>
    </w:p>
    <w:p>
      <w:pPr>
        <w:pStyle w:val="Indenta"/>
        <w:keepNext/>
      </w:pPr>
      <w:r>
        <w:tab/>
      </w:r>
      <w:r>
        <w:tab/>
        <w:t>fee; and</w:t>
      </w:r>
    </w:p>
    <w:p>
      <w:pPr>
        <w:pStyle w:val="BlankClose"/>
      </w:pPr>
    </w:p>
    <w:p>
      <w:pPr>
        <w:pStyle w:val="Indenta"/>
      </w:pPr>
      <w:r>
        <w:tab/>
        <w:t>(c)</w:t>
      </w:r>
      <w:r>
        <w:tab/>
        <w:t>in paragraph (b) delete “or levy”.</w:t>
      </w:r>
    </w:p>
    <w:p>
      <w:pPr>
        <w:pStyle w:val="Subsection"/>
        <w:keepNext/>
      </w:pPr>
      <w:r>
        <w:tab/>
        <w:t>(2)</w:t>
      </w:r>
      <w:r>
        <w:tab/>
        <w:t>In section 18B(2):</w:t>
      </w:r>
    </w:p>
    <w:p>
      <w:pPr>
        <w:pStyle w:val="Indenta"/>
      </w:pPr>
      <w:r>
        <w:tab/>
        <w:t>(a)</w:t>
      </w:r>
      <w:r>
        <w:tab/>
        <w:t>in paragraph (a) delete “or as bookmaker’s betting levy or further levy”;</w:t>
      </w:r>
    </w:p>
    <w:p>
      <w:pPr>
        <w:pStyle w:val="Indenta"/>
      </w:pPr>
      <w:r>
        <w:tab/>
        <w:t>(b)</w:t>
      </w:r>
      <w:r>
        <w:tab/>
        <w:t>in paragraph (b) delete “fee or any bookmakers’ betting levy,” and insert:</w:t>
      </w:r>
    </w:p>
    <w:p>
      <w:pPr>
        <w:pStyle w:val="BlankOpen"/>
      </w:pPr>
    </w:p>
    <w:p>
      <w:pPr>
        <w:pStyle w:val="Indenta"/>
      </w:pPr>
      <w:r>
        <w:tab/>
      </w:r>
      <w:r>
        <w:tab/>
        <w:t>fee,</w:t>
      </w:r>
    </w:p>
    <w:p>
      <w:pPr>
        <w:pStyle w:val="BlankClose"/>
      </w:pPr>
    </w:p>
    <w:p>
      <w:pPr>
        <w:pStyle w:val="Indenta"/>
        <w:keepNext/>
      </w:pPr>
      <w:r>
        <w:tab/>
        <w:t>(c)</w:t>
      </w:r>
      <w:r>
        <w:tab/>
        <w:t>delete “due or upon which, in the judgement of the Commission, bookmakers’ betting levy or further levy ought to be levied.” and insert:</w:t>
      </w:r>
    </w:p>
    <w:p>
      <w:pPr>
        <w:pStyle w:val="BlankOpen"/>
      </w:pPr>
    </w:p>
    <w:p>
      <w:pPr>
        <w:pStyle w:val="Indenta"/>
        <w:keepNext/>
      </w:pPr>
      <w:r>
        <w:tab/>
      </w:r>
      <w:r>
        <w:tab/>
        <w:t>due.</w:t>
      </w:r>
    </w:p>
    <w:p>
      <w:pPr>
        <w:pStyle w:val="BlankClose"/>
      </w:pPr>
    </w:p>
    <w:p>
      <w:pPr>
        <w:pStyle w:val="Subsection"/>
        <w:keepNext/>
        <w:spacing w:before="120"/>
      </w:pPr>
      <w:r>
        <w:tab/>
        <w:t>(3)</w:t>
      </w:r>
      <w:r>
        <w:tab/>
        <w:t>In section 18B(3):</w:t>
      </w:r>
    </w:p>
    <w:p>
      <w:pPr>
        <w:pStyle w:val="Indenta"/>
        <w:keepNext/>
      </w:pPr>
      <w:r>
        <w:tab/>
        <w:t>(a)</w:t>
      </w:r>
      <w:r>
        <w:tab/>
        <w:t>in paragraph (a) delete “fee, or the bookmakers’ betting levy or further levy, and of any additional levy” and insert:</w:t>
      </w:r>
    </w:p>
    <w:p>
      <w:pPr>
        <w:pStyle w:val="BlankOpen"/>
      </w:pPr>
    </w:p>
    <w:p>
      <w:pPr>
        <w:pStyle w:val="Indenta"/>
      </w:pPr>
      <w:r>
        <w:tab/>
      </w:r>
      <w:r>
        <w:tab/>
        <w:t>fee</w:t>
      </w:r>
    </w:p>
    <w:p>
      <w:pPr>
        <w:pStyle w:val="BlankClose"/>
      </w:pPr>
    </w:p>
    <w:p>
      <w:pPr>
        <w:pStyle w:val="Indenta"/>
      </w:pPr>
      <w:r>
        <w:tab/>
        <w:t>(b)</w:t>
      </w:r>
      <w:r>
        <w:tab/>
        <w:t>in paragraph (b) delete “fee, or of the bookmakers’ betting levy or further levy, and any additional levy,” and insert:</w:t>
      </w:r>
    </w:p>
    <w:p>
      <w:pPr>
        <w:pStyle w:val="BlankOpen"/>
      </w:pPr>
    </w:p>
    <w:p>
      <w:pPr>
        <w:pStyle w:val="Indenta"/>
      </w:pPr>
      <w:r>
        <w:tab/>
      </w:r>
      <w:r>
        <w:tab/>
        <w:t>fee</w:t>
      </w:r>
    </w:p>
    <w:p>
      <w:pPr>
        <w:pStyle w:val="BlankClose"/>
      </w:pPr>
    </w:p>
    <w:p>
      <w:pPr>
        <w:pStyle w:val="Subsection"/>
        <w:spacing w:before="120"/>
      </w:pPr>
      <w:r>
        <w:tab/>
        <w:t>(4)</w:t>
      </w:r>
      <w:r>
        <w:tab/>
        <w:t>In section 18B(5):</w:t>
      </w:r>
    </w:p>
    <w:p>
      <w:pPr>
        <w:pStyle w:val="Indenta"/>
      </w:pPr>
      <w:r>
        <w:tab/>
        <w:t>(a)</w:t>
      </w:r>
      <w:r>
        <w:tab/>
        <w:t>delete “in respect of an annual licence fee or any bookmakers’ betting levy or further levy” and insert:</w:t>
      </w:r>
    </w:p>
    <w:p>
      <w:pPr>
        <w:pStyle w:val="BlankOpen"/>
      </w:pPr>
    </w:p>
    <w:p>
      <w:pPr>
        <w:pStyle w:val="Indenta"/>
      </w:pPr>
      <w:r>
        <w:tab/>
      </w:r>
      <w:r>
        <w:tab/>
        <w:t xml:space="preserve">an amount in respect of an annual licence fee </w:t>
      </w:r>
    </w:p>
    <w:p>
      <w:pPr>
        <w:pStyle w:val="BlankClose"/>
      </w:pPr>
    </w:p>
    <w:p>
      <w:pPr>
        <w:pStyle w:val="Indenta"/>
      </w:pPr>
      <w:r>
        <w:tab/>
        <w:t>(b)</w:t>
      </w:r>
      <w:r>
        <w:tab/>
        <w:t>delete “or additional bookmakers’ betting levy, an amount equal to the amount of the fee or levy” and insert:</w:t>
      </w:r>
    </w:p>
    <w:p>
      <w:pPr>
        <w:pStyle w:val="BlankOpen"/>
      </w:pPr>
    </w:p>
    <w:p>
      <w:pPr>
        <w:pStyle w:val="Indenta"/>
      </w:pPr>
      <w:r>
        <w:tab/>
      </w:r>
      <w:r>
        <w:tab/>
        <w:t xml:space="preserve">an amount equal to the amount of the fee </w:t>
      </w:r>
    </w:p>
    <w:p>
      <w:pPr>
        <w:pStyle w:val="BlankClose"/>
      </w:pPr>
    </w:p>
    <w:p>
      <w:pPr>
        <w:pStyle w:val="Indenta"/>
      </w:pPr>
      <w:r>
        <w:tab/>
        <w:t>(c)</w:t>
      </w:r>
      <w:r>
        <w:tab/>
        <w:t>delete “or the additional levy,”.</w:t>
      </w:r>
    </w:p>
    <w:p>
      <w:pPr>
        <w:pStyle w:val="SectAltNote"/>
      </w:pPr>
      <w:r>
        <w:tab/>
        <w:t>Note:</w:t>
      </w:r>
      <w:r>
        <w:tab/>
        <w:t>The heading to amended section 18B is to read:</w:t>
      </w:r>
    </w:p>
    <w:p>
      <w:pPr>
        <w:pStyle w:val="SectAltHeading"/>
      </w:pPr>
      <w:r>
        <w:rPr>
          <w:b w:val="0"/>
        </w:rPr>
        <w:tab/>
      </w:r>
      <w:r>
        <w:rPr>
          <w:b w:val="0"/>
        </w:rPr>
        <w:tab/>
      </w:r>
      <w:r>
        <w:t>Assessment of annual licence fee</w:t>
      </w:r>
    </w:p>
    <w:p>
      <w:pPr>
        <w:pStyle w:val="Heading5"/>
      </w:pPr>
      <w:bookmarkStart w:id="158" w:name="_Toc536693699"/>
      <w:r>
        <w:rPr>
          <w:rStyle w:val="CharSectno"/>
        </w:rPr>
        <w:t>60</w:t>
      </w:r>
      <w:r>
        <w:t>.</w:t>
      </w:r>
      <w:r>
        <w:tab/>
        <w:t>Section 19 deleted</w:t>
      </w:r>
      <w:bookmarkEnd w:id="158"/>
    </w:p>
    <w:p>
      <w:pPr>
        <w:pStyle w:val="Subsection"/>
      </w:pPr>
      <w:r>
        <w:tab/>
      </w:r>
      <w:r>
        <w:tab/>
        <w:t>Delete section 19.</w:t>
      </w:r>
    </w:p>
    <w:p>
      <w:pPr>
        <w:pStyle w:val="Heading5"/>
      </w:pPr>
      <w:bookmarkStart w:id="159" w:name="_Toc536693700"/>
      <w:r>
        <w:rPr>
          <w:rStyle w:val="CharSectno"/>
        </w:rPr>
        <w:t>61</w:t>
      </w:r>
      <w:r>
        <w:t>.</w:t>
      </w:r>
      <w:r>
        <w:tab/>
        <w:t>Section 33 amended</w:t>
      </w:r>
      <w:bookmarkEnd w:id="159"/>
    </w:p>
    <w:p>
      <w:pPr>
        <w:pStyle w:val="Subsection"/>
        <w:keepNext/>
      </w:pPr>
      <w:r>
        <w:tab/>
      </w:r>
      <w:r>
        <w:tab/>
        <w:t>In section 33(1)(b)(xv) delete “the assessment, payment and recovery of bookmakers’ betting tax or of bookmakers’ betting levy,”.</w:t>
      </w:r>
    </w:p>
    <w:p>
      <w:pPr>
        <w:pStyle w:val="Heading5"/>
      </w:pPr>
      <w:bookmarkStart w:id="160" w:name="_Toc536693701"/>
      <w:r>
        <w:rPr>
          <w:rStyle w:val="CharSectno"/>
        </w:rPr>
        <w:t>62</w:t>
      </w:r>
      <w:r>
        <w:t>.</w:t>
      </w:r>
      <w:r>
        <w:tab/>
        <w:t>Part 6 deleted</w:t>
      </w:r>
      <w:bookmarkEnd w:id="160"/>
    </w:p>
    <w:p>
      <w:pPr>
        <w:pStyle w:val="Subsection"/>
      </w:pPr>
      <w:r>
        <w:tab/>
      </w:r>
      <w:r>
        <w:tab/>
        <w:t>Delete Part 6.</w:t>
      </w:r>
    </w:p>
    <w:p>
      <w:pPr>
        <w:pStyle w:val="Heading4"/>
      </w:pPr>
      <w:bookmarkStart w:id="161" w:name="_Toc536692740"/>
      <w:bookmarkStart w:id="162" w:name="_Toc536693702"/>
      <w:r>
        <w:t>Subdivision 2 — </w:t>
      </w:r>
      <w:r>
        <w:rPr>
          <w:i/>
        </w:rPr>
        <w:t>Gaming and Wagering Commission Act 1987</w:t>
      </w:r>
      <w:r>
        <w:t xml:space="preserve"> amended</w:t>
      </w:r>
      <w:bookmarkEnd w:id="161"/>
      <w:bookmarkEnd w:id="162"/>
    </w:p>
    <w:p>
      <w:pPr>
        <w:pStyle w:val="Heading5"/>
        <w:rPr>
          <w:snapToGrid w:val="0"/>
        </w:rPr>
      </w:pPr>
      <w:bookmarkStart w:id="163" w:name="_Toc536693703"/>
      <w:r>
        <w:rPr>
          <w:rStyle w:val="CharSectno"/>
        </w:rPr>
        <w:t>63</w:t>
      </w:r>
      <w:r>
        <w:rPr>
          <w:snapToGrid w:val="0"/>
        </w:rPr>
        <w:t>.</w:t>
      </w:r>
      <w:r>
        <w:rPr>
          <w:snapToGrid w:val="0"/>
        </w:rPr>
        <w:tab/>
        <w:t>Act amended</w:t>
      </w:r>
      <w:bookmarkEnd w:id="163"/>
    </w:p>
    <w:p>
      <w:pPr>
        <w:pStyle w:val="Subsection"/>
      </w:pPr>
      <w:r>
        <w:tab/>
      </w:r>
      <w:r>
        <w:tab/>
        <w:t xml:space="preserve">This Subdivision amends the </w:t>
      </w:r>
      <w:r>
        <w:rPr>
          <w:i/>
        </w:rPr>
        <w:t>Gaming and Wagering Commission Act 1987</w:t>
      </w:r>
      <w:r>
        <w:t>.</w:t>
      </w:r>
    </w:p>
    <w:p>
      <w:pPr>
        <w:pStyle w:val="Heading5"/>
      </w:pPr>
      <w:bookmarkStart w:id="164" w:name="_Toc536693704"/>
      <w:r>
        <w:rPr>
          <w:rStyle w:val="CharSectno"/>
        </w:rPr>
        <w:t>64</w:t>
      </w:r>
      <w:r>
        <w:t>.</w:t>
      </w:r>
      <w:r>
        <w:tab/>
        <w:t>Section 7 amended</w:t>
      </w:r>
      <w:bookmarkEnd w:id="164"/>
    </w:p>
    <w:p>
      <w:pPr>
        <w:pStyle w:val="Subsection"/>
      </w:pPr>
      <w:r>
        <w:tab/>
      </w:r>
      <w:r>
        <w:tab/>
        <w:t>Delete section 7(1)(ea).</w:t>
      </w:r>
    </w:p>
    <w:p>
      <w:pPr>
        <w:pStyle w:val="Heading5"/>
      </w:pPr>
      <w:bookmarkStart w:id="165" w:name="_Toc536693705"/>
      <w:r>
        <w:rPr>
          <w:rStyle w:val="CharSectno"/>
        </w:rPr>
        <w:t>65</w:t>
      </w:r>
      <w:r>
        <w:t>.</w:t>
      </w:r>
      <w:r>
        <w:tab/>
        <w:t>Section 9 amended</w:t>
      </w:r>
      <w:bookmarkEnd w:id="165"/>
    </w:p>
    <w:p>
      <w:pPr>
        <w:pStyle w:val="Subsection"/>
      </w:pPr>
      <w:r>
        <w:tab/>
        <w:t>(1)</w:t>
      </w:r>
      <w:r>
        <w:tab/>
        <w:t>In section 9(2) delete “which, subject to subsection (2a),” and insert:</w:t>
      </w:r>
    </w:p>
    <w:p>
      <w:pPr>
        <w:pStyle w:val="BlankOpen"/>
      </w:pPr>
    </w:p>
    <w:p>
      <w:pPr>
        <w:pStyle w:val="Subsection"/>
      </w:pPr>
      <w:r>
        <w:tab/>
      </w:r>
      <w:r>
        <w:tab/>
        <w:t>which</w:t>
      </w:r>
    </w:p>
    <w:p>
      <w:pPr>
        <w:pStyle w:val="BlankClose"/>
      </w:pPr>
    </w:p>
    <w:p>
      <w:pPr>
        <w:pStyle w:val="Subsection"/>
      </w:pPr>
      <w:r>
        <w:tab/>
        <w:t>(2)</w:t>
      </w:r>
      <w:r>
        <w:tab/>
        <w:t>Delete section 9(2a).</w:t>
      </w:r>
    </w:p>
    <w:p>
      <w:pPr>
        <w:pStyle w:val="Heading5"/>
      </w:pPr>
      <w:bookmarkStart w:id="166" w:name="_Toc536693706"/>
      <w:r>
        <w:rPr>
          <w:rStyle w:val="CharSectno"/>
        </w:rPr>
        <w:t>66</w:t>
      </w:r>
      <w:r>
        <w:t>.</w:t>
      </w:r>
      <w:r>
        <w:tab/>
        <w:t>Section 110A amended</w:t>
      </w:r>
      <w:bookmarkEnd w:id="166"/>
    </w:p>
    <w:p>
      <w:pPr>
        <w:pStyle w:val="Subsection"/>
      </w:pPr>
      <w:r>
        <w:tab/>
        <w:t>(1)</w:t>
      </w:r>
      <w:r>
        <w:tab/>
        <w:t xml:space="preserve">In section 110A(1) delete “or 107”. </w:t>
      </w:r>
    </w:p>
    <w:p>
      <w:pPr>
        <w:pStyle w:val="Subsection"/>
      </w:pPr>
      <w:r>
        <w:tab/>
        <w:t>(2)</w:t>
      </w:r>
      <w:r>
        <w:tab/>
        <w:t>Delete section 110A(2).</w:t>
      </w:r>
    </w:p>
    <w:p>
      <w:pPr>
        <w:pStyle w:val="Heading4"/>
        <w:spacing w:before="220"/>
      </w:pPr>
      <w:bookmarkStart w:id="167" w:name="_Toc536692745"/>
      <w:bookmarkStart w:id="168" w:name="_Toc536693707"/>
      <w:r>
        <w:t>Subdivision 3 — </w:t>
      </w:r>
      <w:r>
        <w:rPr>
          <w:i/>
        </w:rPr>
        <w:t>Racing and Wagering Western Australia Act 2003</w:t>
      </w:r>
      <w:r>
        <w:t xml:space="preserve"> amended</w:t>
      </w:r>
      <w:bookmarkEnd w:id="167"/>
      <w:bookmarkEnd w:id="168"/>
    </w:p>
    <w:p>
      <w:pPr>
        <w:pStyle w:val="Heading5"/>
        <w:rPr>
          <w:snapToGrid w:val="0"/>
        </w:rPr>
      </w:pPr>
      <w:bookmarkStart w:id="169" w:name="_Toc536693708"/>
      <w:r>
        <w:rPr>
          <w:rStyle w:val="CharSectno"/>
        </w:rPr>
        <w:t>67</w:t>
      </w:r>
      <w:r>
        <w:rPr>
          <w:snapToGrid w:val="0"/>
        </w:rPr>
        <w:t>.</w:t>
      </w:r>
      <w:r>
        <w:rPr>
          <w:snapToGrid w:val="0"/>
        </w:rPr>
        <w:tab/>
        <w:t>Act amended</w:t>
      </w:r>
      <w:bookmarkEnd w:id="169"/>
    </w:p>
    <w:p>
      <w:pPr>
        <w:pStyle w:val="Subsection"/>
      </w:pPr>
      <w:r>
        <w:tab/>
      </w:r>
      <w:r>
        <w:tab/>
        <w:t xml:space="preserve">This Subdivision amends the </w:t>
      </w:r>
      <w:r>
        <w:rPr>
          <w:i/>
        </w:rPr>
        <w:t>Racing and Wagering Western Australia Act 2003</w:t>
      </w:r>
      <w:r>
        <w:t>.</w:t>
      </w:r>
    </w:p>
    <w:p>
      <w:pPr>
        <w:pStyle w:val="Heading5"/>
      </w:pPr>
      <w:bookmarkStart w:id="170" w:name="_Toc536693709"/>
      <w:r>
        <w:rPr>
          <w:rStyle w:val="CharSectno"/>
        </w:rPr>
        <w:t>68</w:t>
      </w:r>
      <w:r>
        <w:t>.</w:t>
      </w:r>
      <w:r>
        <w:tab/>
        <w:t>Section 68 amended</w:t>
      </w:r>
      <w:bookmarkEnd w:id="170"/>
    </w:p>
    <w:p>
      <w:pPr>
        <w:pStyle w:val="Subsection"/>
      </w:pPr>
      <w:r>
        <w:tab/>
      </w:r>
      <w:r>
        <w:tab/>
        <w:t>In section 68(2)(b) delete “sections 105(5) and” and insert:</w:t>
      </w:r>
    </w:p>
    <w:p>
      <w:pPr>
        <w:pStyle w:val="BlankOpen"/>
      </w:pPr>
    </w:p>
    <w:p>
      <w:pPr>
        <w:pStyle w:val="Subsection"/>
      </w:pPr>
      <w:r>
        <w:tab/>
      </w:r>
      <w:r>
        <w:tab/>
        <w:t>section</w:t>
      </w:r>
    </w:p>
    <w:p>
      <w:pPr>
        <w:pStyle w:val="BlankClose"/>
      </w:pPr>
    </w:p>
    <w:p>
      <w:pPr>
        <w:pStyle w:val="Heading5"/>
      </w:pPr>
      <w:bookmarkStart w:id="171" w:name="_Toc536693710"/>
      <w:r>
        <w:rPr>
          <w:rStyle w:val="CharSectno"/>
        </w:rPr>
        <w:t>69</w:t>
      </w:r>
      <w:r>
        <w:t>.</w:t>
      </w:r>
      <w:r>
        <w:tab/>
        <w:t>Section 77 amended</w:t>
      </w:r>
      <w:bookmarkEnd w:id="171"/>
    </w:p>
    <w:p>
      <w:pPr>
        <w:pStyle w:val="Subsection"/>
      </w:pPr>
      <w:r>
        <w:tab/>
      </w:r>
      <w:r>
        <w:tab/>
        <w:t>In section 77(2)(c) delete “sections 105(5) and” and insert:</w:t>
      </w:r>
    </w:p>
    <w:p>
      <w:pPr>
        <w:pStyle w:val="BlankOpen"/>
      </w:pPr>
    </w:p>
    <w:p>
      <w:pPr>
        <w:pStyle w:val="Subsection"/>
      </w:pPr>
      <w:r>
        <w:tab/>
      </w:r>
      <w:r>
        <w:tab/>
        <w:t>section</w:t>
      </w:r>
    </w:p>
    <w:p>
      <w:pPr>
        <w:pStyle w:val="BlankClose"/>
      </w:pPr>
    </w:p>
    <w:p>
      <w:pPr>
        <w:pStyle w:val="Heading5"/>
      </w:pPr>
      <w:bookmarkStart w:id="172" w:name="_Toc536693711"/>
      <w:r>
        <w:rPr>
          <w:rStyle w:val="CharSectno"/>
        </w:rPr>
        <w:t>70</w:t>
      </w:r>
      <w:r>
        <w:t>.</w:t>
      </w:r>
      <w:r>
        <w:tab/>
        <w:t>Section 102 deleted</w:t>
      </w:r>
      <w:bookmarkEnd w:id="172"/>
    </w:p>
    <w:p>
      <w:pPr>
        <w:pStyle w:val="Subsection"/>
      </w:pPr>
      <w:r>
        <w:tab/>
      </w:r>
      <w:r>
        <w:tab/>
        <w:t>Delete section 102.</w:t>
      </w:r>
    </w:p>
    <w:p>
      <w:pPr>
        <w:pStyle w:val="Heading5"/>
      </w:pPr>
      <w:bookmarkStart w:id="173" w:name="_Toc536693712"/>
      <w:r>
        <w:rPr>
          <w:rStyle w:val="CharSectno"/>
        </w:rPr>
        <w:t>71</w:t>
      </w:r>
      <w:r>
        <w:t>.</w:t>
      </w:r>
      <w:r>
        <w:tab/>
        <w:t>Section 105 deleted</w:t>
      </w:r>
      <w:bookmarkEnd w:id="173"/>
    </w:p>
    <w:p>
      <w:pPr>
        <w:pStyle w:val="Subsection"/>
      </w:pPr>
      <w:r>
        <w:tab/>
      </w:r>
      <w:r>
        <w:tab/>
        <w:t>Delete section 105.</w:t>
      </w:r>
    </w:p>
    <w:p>
      <w:pPr>
        <w:pStyle w:val="Heading5"/>
      </w:pPr>
      <w:bookmarkStart w:id="174" w:name="_Toc536693713"/>
      <w:r>
        <w:rPr>
          <w:rStyle w:val="CharSectno"/>
        </w:rPr>
        <w:t>72</w:t>
      </w:r>
      <w:r>
        <w:t>.</w:t>
      </w:r>
      <w:r>
        <w:tab/>
        <w:t>Section 106 amended</w:t>
      </w:r>
      <w:bookmarkEnd w:id="174"/>
    </w:p>
    <w:p>
      <w:pPr>
        <w:pStyle w:val="Subsection"/>
      </w:pPr>
      <w:r>
        <w:tab/>
        <w:t>(1)</w:t>
      </w:r>
      <w:r>
        <w:tab/>
        <w:t>Delete section 106(1)(f).</w:t>
      </w:r>
    </w:p>
    <w:p>
      <w:pPr>
        <w:pStyle w:val="Subsection"/>
      </w:pPr>
      <w:r>
        <w:tab/>
        <w:t>(2)</w:t>
      </w:r>
      <w:r>
        <w:tab/>
        <w:t>In section 106(1)(g) delete “or 107”.</w:t>
      </w:r>
    </w:p>
    <w:p>
      <w:pPr>
        <w:pStyle w:val="Heading5"/>
      </w:pPr>
      <w:bookmarkStart w:id="175" w:name="_Toc536693714"/>
      <w:r>
        <w:rPr>
          <w:rStyle w:val="CharSectno"/>
        </w:rPr>
        <w:t>73</w:t>
      </w:r>
      <w:r>
        <w:t>.</w:t>
      </w:r>
      <w:r>
        <w:tab/>
        <w:t>Section 107 deleted</w:t>
      </w:r>
      <w:bookmarkEnd w:id="175"/>
    </w:p>
    <w:p>
      <w:pPr>
        <w:pStyle w:val="Subsection"/>
      </w:pPr>
      <w:r>
        <w:tab/>
      </w:r>
      <w:r>
        <w:tab/>
        <w:t>Delete section 107.</w:t>
      </w:r>
    </w:p>
    <w:p>
      <w:pPr>
        <w:pStyle w:val="Heading5"/>
      </w:pPr>
      <w:bookmarkStart w:id="176" w:name="_Toc536693715"/>
      <w:r>
        <w:rPr>
          <w:rStyle w:val="CharSectno"/>
        </w:rPr>
        <w:t>74</w:t>
      </w:r>
      <w:r>
        <w:t>.</w:t>
      </w:r>
      <w:r>
        <w:tab/>
        <w:t>Section 114 deleted</w:t>
      </w:r>
      <w:bookmarkEnd w:id="176"/>
    </w:p>
    <w:p>
      <w:pPr>
        <w:pStyle w:val="Subsection"/>
        <w:keepNext/>
      </w:pPr>
      <w:r>
        <w:tab/>
      </w:r>
      <w:r>
        <w:tab/>
        <w:t>Delete section 114.</w:t>
      </w:r>
    </w:p>
    <w:p>
      <w:pPr>
        <w:pStyle w:val="Heading5"/>
      </w:pPr>
      <w:bookmarkStart w:id="177" w:name="_Toc536693716"/>
      <w:r>
        <w:rPr>
          <w:rStyle w:val="CharSectno"/>
        </w:rPr>
        <w:t>75</w:t>
      </w:r>
      <w:r>
        <w:t>.</w:t>
      </w:r>
      <w:r>
        <w:tab/>
        <w:t>Part 9 deleted</w:t>
      </w:r>
      <w:bookmarkEnd w:id="177"/>
    </w:p>
    <w:p>
      <w:pPr>
        <w:pStyle w:val="Subsection"/>
        <w:keepNext/>
      </w:pPr>
      <w:r>
        <w:tab/>
      </w:r>
      <w:r>
        <w:tab/>
        <w:t>Delete Part 9.</w:t>
      </w:r>
    </w:p>
    <w:p>
      <w:pPr>
        <w:pStyle w:val="Heading4"/>
      </w:pPr>
      <w:bookmarkStart w:id="178" w:name="_Toc536692755"/>
      <w:bookmarkStart w:id="179" w:name="_Toc536693717"/>
      <w:r>
        <w:t>Subdivision 4 — </w:t>
      </w:r>
      <w:r>
        <w:rPr>
          <w:i/>
        </w:rPr>
        <w:t>Racing Penalties (Appeals) Act 1990</w:t>
      </w:r>
      <w:r>
        <w:t xml:space="preserve"> amended</w:t>
      </w:r>
      <w:bookmarkEnd w:id="178"/>
      <w:bookmarkEnd w:id="179"/>
    </w:p>
    <w:p>
      <w:pPr>
        <w:pStyle w:val="Heading5"/>
      </w:pPr>
      <w:bookmarkStart w:id="180" w:name="_Toc536693718"/>
      <w:r>
        <w:rPr>
          <w:rStyle w:val="CharSectno"/>
        </w:rPr>
        <w:t>76</w:t>
      </w:r>
      <w:r>
        <w:t>.</w:t>
      </w:r>
      <w:r>
        <w:tab/>
        <w:t>Act amended</w:t>
      </w:r>
      <w:bookmarkEnd w:id="180"/>
    </w:p>
    <w:p>
      <w:pPr>
        <w:pStyle w:val="Subsection"/>
      </w:pPr>
      <w:r>
        <w:tab/>
      </w:r>
      <w:r>
        <w:tab/>
        <w:t xml:space="preserve">This Subdivision amends the </w:t>
      </w:r>
      <w:r>
        <w:rPr>
          <w:i/>
        </w:rPr>
        <w:t>Racing Penalties (Appeals) Act 1990</w:t>
      </w:r>
      <w:r>
        <w:t>.</w:t>
      </w:r>
    </w:p>
    <w:p>
      <w:pPr>
        <w:pStyle w:val="Heading5"/>
      </w:pPr>
      <w:bookmarkStart w:id="181" w:name="_Toc536693719"/>
      <w:r>
        <w:rPr>
          <w:rStyle w:val="CharSectno"/>
        </w:rPr>
        <w:t>77</w:t>
      </w:r>
      <w:r>
        <w:t>.</w:t>
      </w:r>
      <w:r>
        <w:tab/>
        <w:t>Section 24 amended</w:t>
      </w:r>
      <w:bookmarkEnd w:id="181"/>
    </w:p>
    <w:p>
      <w:pPr>
        <w:pStyle w:val="Subsection"/>
      </w:pPr>
      <w:r>
        <w:tab/>
      </w:r>
      <w:r>
        <w:tab/>
        <w:t xml:space="preserve">In section 24(4)(a): </w:t>
      </w:r>
    </w:p>
    <w:p>
      <w:pPr>
        <w:pStyle w:val="Indenta"/>
      </w:pPr>
      <w:r>
        <w:tab/>
        <w:t>(a)</w:t>
      </w:r>
      <w:r>
        <w:tab/>
        <w:t>delete “105(1)(h) or”;</w:t>
      </w:r>
    </w:p>
    <w:p>
      <w:pPr>
        <w:pStyle w:val="Indenta"/>
      </w:pPr>
      <w:r>
        <w:tab/>
        <w:t>(b)</w:t>
      </w:r>
      <w:r>
        <w:tab/>
        <w:t>delete “105 or”.</w:t>
      </w:r>
    </w:p>
    <w:p>
      <w:pPr>
        <w:pStyle w:val="Ednotepart"/>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82" w:name="_Toc532461560"/>
      <w:bookmarkStart w:id="183" w:name="_Toc532461602"/>
      <w:bookmarkStart w:id="184" w:name="_Toc532468178"/>
      <w:bookmarkStart w:id="185" w:name="_Toc532545328"/>
      <w:bookmarkStart w:id="186" w:name="_Toc532808586"/>
      <w:bookmarkStart w:id="187" w:name="_Toc536692758"/>
      <w:bookmarkStart w:id="188" w:name="_Toc536693720"/>
      <w:r>
        <w:t>Notes</w:t>
      </w:r>
      <w:bookmarkEnd w:id="182"/>
      <w:bookmarkEnd w:id="183"/>
      <w:bookmarkEnd w:id="184"/>
      <w:bookmarkEnd w:id="185"/>
      <w:bookmarkEnd w:id="186"/>
      <w:bookmarkEnd w:id="187"/>
      <w:bookmarkEnd w:id="188"/>
    </w:p>
    <w:p>
      <w:pPr>
        <w:pStyle w:val="nSubsection"/>
      </w:pPr>
      <w:r>
        <w:rPr>
          <w:vertAlign w:val="superscript"/>
        </w:rPr>
        <w:t>1</w:t>
      </w:r>
      <w:r>
        <w:tab/>
        <w:t xml:space="preserve">This is a compilation of the </w:t>
      </w:r>
      <w:r>
        <w:rPr>
          <w:i/>
          <w:noProof/>
        </w:rPr>
        <w:t>Betting Tax Assessment Act 2018</w:t>
      </w:r>
      <w:r>
        <w:t>.  The following table contains information about that Act.</w:t>
      </w:r>
    </w:p>
    <w:p>
      <w:pPr>
        <w:pStyle w:val="nHeading3"/>
      </w:pPr>
      <w:bookmarkStart w:id="189" w:name="_Toc536693721"/>
      <w:r>
        <w:t>Compilation table</w:t>
      </w:r>
      <w:bookmarkEnd w:id="1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Betting Tax Assessment Act 2018</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Pt. 1: 12 Dec 2018 (see s. 2(a));</w:t>
            </w:r>
            <w:r>
              <w:br/>
              <w:t>Pt. 2-6 and Pt. 8 Div. 1: 1 Jan 2019 (see s. 2(c))</w:t>
            </w:r>
            <w:r>
              <w:br/>
              <w:t xml:space="preserve">Pt. 7 and Pt. 8 Div. 2: 1 Feb 2019 (see s. 2(b) and </w:t>
            </w:r>
            <w:r>
              <w:rPr>
                <w:i/>
              </w:rPr>
              <w:t xml:space="preserve">Gazette </w:t>
            </w:r>
            <w:r>
              <w:t>25</w:t>
            </w:r>
            <w:r>
              <w:rPr>
                <w:i/>
              </w:rPr>
              <w:t> </w:t>
            </w:r>
            <w:r>
              <w:t>Feb 2019 p. 193)</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91" w:name="_Toc532808589"/>
      <w:bookmarkStart w:id="192" w:name="_Toc536692760"/>
      <w:bookmarkStart w:id="193" w:name="_Toc536693722"/>
      <w:r>
        <w:rPr>
          <w:sz w:val="28"/>
        </w:rPr>
        <w:t>Defined terms</w:t>
      </w:r>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 period</w:t>
      </w:r>
      <w:r>
        <w:tab/>
        <w:t>4</w:t>
      </w:r>
    </w:p>
    <w:p>
      <w:pPr>
        <w:pStyle w:val="DefinedTerms"/>
      </w:pPr>
      <w:r>
        <w:t>bet</w:t>
      </w:r>
      <w:r>
        <w:tab/>
        <w:t>4</w:t>
      </w:r>
    </w:p>
    <w:p>
      <w:pPr>
        <w:pStyle w:val="DefinedTerms"/>
      </w:pPr>
      <w:r>
        <w:t>betting exchange</w:t>
      </w:r>
      <w:r>
        <w:tab/>
        <w:t>4</w:t>
      </w:r>
    </w:p>
    <w:p>
      <w:pPr>
        <w:pStyle w:val="DefinedTerms"/>
      </w:pPr>
      <w:r>
        <w:t>betting exchange bet</w:t>
      </w:r>
      <w:r>
        <w:tab/>
        <w:t>4</w:t>
      </w:r>
    </w:p>
    <w:p>
      <w:pPr>
        <w:pStyle w:val="DefinedTerms"/>
      </w:pPr>
      <w:r>
        <w:t>betting operations</w:t>
      </w:r>
      <w:r>
        <w:tab/>
        <w:t>4, 5</w:t>
      </w:r>
    </w:p>
    <w:p>
      <w:pPr>
        <w:pStyle w:val="DefinedTerms"/>
      </w:pPr>
      <w:r>
        <w:t>betting operator</w:t>
      </w:r>
      <w:r>
        <w:tab/>
        <w:t>4</w:t>
      </w:r>
    </w:p>
    <w:p>
      <w:pPr>
        <w:pStyle w:val="DefinedTerms"/>
      </w:pPr>
      <w:r>
        <w:t>betting revenue</w:t>
      </w:r>
      <w:r>
        <w:tab/>
        <w:t>4, 7(2)</w:t>
      </w:r>
    </w:p>
    <w:p>
      <w:pPr>
        <w:pStyle w:val="DefinedTerms"/>
      </w:pPr>
      <w:r>
        <w:t>betting tax</w:t>
      </w:r>
      <w:r>
        <w:tab/>
        <w:t>4</w:t>
      </w:r>
    </w:p>
    <w:p>
      <w:pPr>
        <w:pStyle w:val="DefinedTerms"/>
      </w:pPr>
      <w:r>
        <w:t>betting tax rate</w:t>
      </w:r>
      <w:r>
        <w:tab/>
        <w:t>4</w:t>
      </w:r>
    </w:p>
    <w:p>
      <w:pPr>
        <w:pStyle w:val="DefinedTerms"/>
      </w:pPr>
      <w:r>
        <w:t>eligible payments</w:t>
      </w:r>
      <w:r>
        <w:tab/>
        <w:t>4, 7(3)</w:t>
      </w:r>
    </w:p>
    <w:p>
      <w:pPr>
        <w:pStyle w:val="DefinedTerms"/>
      </w:pPr>
      <w:r>
        <w:t>free component</w:t>
      </w:r>
      <w:r>
        <w:tab/>
        <w:t>4</w:t>
      </w:r>
    </w:p>
    <w:p>
      <w:pPr>
        <w:pStyle w:val="DefinedTerms"/>
      </w:pPr>
      <w:r>
        <w:t>general bet</w:t>
      </w:r>
      <w:r>
        <w:tab/>
        <w:t>4</w:t>
      </w:r>
    </w:p>
    <w:p>
      <w:pPr>
        <w:pStyle w:val="DefinedTerms"/>
      </w:pPr>
      <w:r>
        <w:t>interstate game</w:t>
      </w:r>
      <w:r>
        <w:tab/>
        <w:t>4</w:t>
      </w:r>
    </w:p>
    <w:p>
      <w:pPr>
        <w:pStyle w:val="DefinedTerms"/>
      </w:pPr>
      <w:r>
        <w:t>lay</w:t>
      </w:r>
      <w:r>
        <w:noBreakHyphen/>
        <w:t>off bet</w:t>
      </w:r>
      <w:r>
        <w:tab/>
        <w:t>4</w:t>
      </w:r>
    </w:p>
    <w:p>
      <w:pPr>
        <w:pStyle w:val="DefinedTerms"/>
      </w:pPr>
      <w:r>
        <w:t>participant</w:t>
      </w:r>
      <w:r>
        <w:tab/>
        <w:t>8(1)</w:t>
      </w:r>
    </w:p>
    <w:p>
      <w:pPr>
        <w:pStyle w:val="DefinedTerms"/>
      </w:pPr>
      <w:r>
        <w:t>pool</w:t>
      </w:r>
      <w:r>
        <w:tab/>
        <w:t>4</w:t>
      </w:r>
    </w:p>
    <w:p>
      <w:pPr>
        <w:pStyle w:val="DefinedTerms"/>
      </w:pPr>
      <w:r>
        <w:t>pooled bet</w:t>
      </w:r>
      <w:r>
        <w:tab/>
        <w:t>4</w:t>
      </w:r>
    </w:p>
    <w:p>
      <w:pPr>
        <w:pStyle w:val="DefinedTerms"/>
      </w:pPr>
      <w:r>
        <w:t>prescribed</w:t>
      </w:r>
      <w:r>
        <w:tab/>
        <w:t>4</w:t>
      </w:r>
    </w:p>
    <w:p>
      <w:pPr>
        <w:pStyle w:val="DefinedTerms"/>
      </w:pPr>
      <w:r>
        <w:t>previous return period</w:t>
      </w:r>
      <w:r>
        <w:tab/>
        <w:t>17(1)</w:t>
      </w:r>
    </w:p>
    <w:p>
      <w:pPr>
        <w:pStyle w:val="DefinedTerms"/>
      </w:pPr>
      <w:r>
        <w:t>registered</w:t>
      </w:r>
      <w:r>
        <w:tab/>
        <w:t>4</w:t>
      </w:r>
    </w:p>
    <w:p>
      <w:pPr>
        <w:pStyle w:val="DefinedTerms"/>
      </w:pPr>
      <w:r>
        <w:t>return</w:t>
      </w:r>
      <w:r>
        <w:tab/>
        <w:t>4</w:t>
      </w:r>
    </w:p>
    <w:p>
      <w:pPr>
        <w:pStyle w:val="DefinedTerms"/>
      </w:pPr>
      <w:r>
        <w:t>return period</w:t>
      </w:r>
      <w:r>
        <w:tab/>
        <w:t>4</w:t>
      </w:r>
    </w:p>
    <w:p>
      <w:pPr>
        <w:pStyle w:val="DefinedTerms"/>
      </w:pPr>
      <w:r>
        <w:t>taxable betting revenue</w:t>
      </w:r>
      <w:r>
        <w:tab/>
        <w:t>4, 7(1)</w:t>
      </w:r>
    </w:p>
    <w:p>
      <w:pPr>
        <w:pStyle w:val="DefinedTerms"/>
      </w:pPr>
      <w:r>
        <w:t>threshold amount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573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7120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A406-AD68-4EB8-B239-455926BA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7564</Words>
  <Characters>35930</Characters>
  <Application>Microsoft Office Word</Application>
  <DocSecurity>0</DocSecurity>
  <Lines>1197</Lines>
  <Paragraphs>790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42704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2018 - 00-c0-00</dc:title>
  <dc:subject/>
  <dc:creator/>
  <cp:keywords/>
  <dc:description/>
  <cp:lastModifiedBy>svcMRProcess</cp:lastModifiedBy>
  <cp:revision>4</cp:revision>
  <cp:lastPrinted>2018-12-12T04:58:00Z</cp:lastPrinted>
  <dcterms:created xsi:type="dcterms:W3CDTF">2019-01-31T05:43:00Z</dcterms:created>
  <dcterms:modified xsi:type="dcterms:W3CDTF">2019-01-31T05:43:00Z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AsAtDate">
    <vt:lpwstr>01 Feb 2019</vt:lpwstr>
  </property>
  <property fmtid="{D5CDD505-2E9C-101B-9397-08002B2CF9AE}" pid="6" name="Suffix">
    <vt:lpwstr>00-c0-00</vt:lpwstr>
  </property>
  <property fmtid="{D5CDD505-2E9C-101B-9397-08002B2CF9AE}" pid="7" name="CommencementDate">
    <vt:lpwstr>20190201</vt:lpwstr>
  </property>
</Properties>
</file>