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Gender Reassignment Amendment Act 2019</w:t>
      </w:r>
      <w:r>
        <w:fldChar w:fldCharType="end"/>
      </w:r>
    </w:p>
    <w:p>
      <w:p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Gender Reassignment Amendment Act 2019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_Toc1564319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_Toc1564320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_Toc1564321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15 amended</w:t>
      </w:r>
      <w:r>
        <w:tab/>
      </w:r>
      <w:r>
        <w:fldChar w:fldCharType="begin"/>
      </w:r>
      <w:r>
        <w:instrText xml:space="preserve"> PAGEREF _Toc1564322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3491865</wp:posOffset>
            </wp:positionH>
            <wp:positionV relativeFrom="page">
              <wp:posOffset>1074852</wp:posOffset>
            </wp:positionV>
            <wp:extent cx="569595" cy="415290"/>
            <wp:effectExtent l="0" t="0" r="1905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Gender Reassignment Amendment Act 2019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 of 2019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Gender Reassignment Act 2000</w:t>
      </w:r>
      <w:r>
        <w:t>.</w:t>
      </w:r>
    </w:p>
    <w:p>
      <w:pPr>
        <w:pStyle w:val="AssentNote"/>
      </w:pPr>
      <w:r>
        <w:t>[Assented to 19 February 2019]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468449"/>
      <w:bookmarkStart w:id="5" w:name="_Toc1564319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Gender Reassignment Amendment Act 2019</w:t>
      </w:r>
      <w:r>
        <w:t>.</w:t>
      </w:r>
    </w:p>
    <w:p>
      <w:pPr>
        <w:pStyle w:val="Heading5"/>
      </w:pPr>
      <w:bookmarkStart w:id="6" w:name="_Toc1468450"/>
      <w:bookmarkStart w:id="7" w:name="_Toc1564320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</w:p>
    <w:p>
      <w:pPr>
        <w:pStyle w:val="Subsection"/>
      </w:pPr>
      <w:r>
        <w:tab/>
      </w:r>
      <w:r>
        <w:tab/>
        <w:t>This Act comes into operation as follows —</w:t>
      </w:r>
    </w:p>
    <w:p>
      <w:pPr>
        <w:pStyle w:val="Indenta"/>
      </w:pPr>
      <w:r>
        <w:tab/>
        <w:t>(a)</w:t>
      </w:r>
      <w:r>
        <w:tab/>
        <w:t>sections 1 and 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 28</w:t>
      </w:r>
      <w:r>
        <w:rPr>
          <w:vertAlign w:val="superscript"/>
        </w:rPr>
        <w:t>th</w:t>
      </w:r>
      <w:r>
        <w:t xml:space="preserve"> day after that day.</w:t>
      </w:r>
    </w:p>
    <w:p>
      <w:pPr>
        <w:pStyle w:val="Heading5"/>
        <w:rPr>
          <w:snapToGrid w:val="0"/>
        </w:rPr>
      </w:pPr>
      <w:bookmarkStart w:id="8" w:name="_Toc1468451"/>
      <w:bookmarkStart w:id="9" w:name="_Toc156432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Gender Reassignment Act 2000</w:t>
      </w:r>
      <w:r>
        <w:t>.</w:t>
      </w:r>
    </w:p>
    <w:p>
      <w:pPr>
        <w:pStyle w:val="Heading5"/>
      </w:pPr>
      <w:bookmarkStart w:id="10" w:name="_Toc1468452"/>
      <w:bookmarkStart w:id="11" w:name="_Toc1564322"/>
      <w:r>
        <w:rPr>
          <w:rStyle w:val="CharSectno"/>
        </w:rPr>
        <w:t>4</w:t>
      </w:r>
      <w:r>
        <w:t>.</w:t>
      </w:r>
      <w:r>
        <w:tab/>
        <w:t>Section 15 amended</w:t>
      </w:r>
      <w:bookmarkEnd w:id="10"/>
      <w:bookmarkEnd w:id="11"/>
    </w:p>
    <w:p>
      <w:pPr>
        <w:pStyle w:val="Subsection"/>
      </w:pPr>
      <w:r>
        <w:tab/>
      </w:r>
      <w:r>
        <w:tab/>
        <w:t>Delete section 15(3).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30"/>
          <w:headerReference w:type="default" r:id="rId3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31674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4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35pt;height:19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" stroked="f" strokeweight=".5pt">
                <v:textbox>
                  <w:txbxContent>
                    <w:p w:rsidR="00985D06" w:rsidRDefault="00985D06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left" w:pos="1417"/>
      </w:tabs>
      <w:rPr>
        <w:rFonts w:cs="Arial"/>
        <w:sz w:val="20"/>
      </w:rPr>
    </w:pP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i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b/>
        <w:bCs/>
        <w:sz w:val="20"/>
        <w:lang w:val="en-US"/>
      </w:rPr>
      <w:t>No</w:t>
    </w:r>
    <w:r>
      <w:rPr>
        <w:rFonts w:cs="Arial"/>
        <w:sz w:val="20"/>
      </w:rPr>
      <w:t>. 1 of 2019</w:t>
    </w:r>
    <w:r>
      <w:rPr>
        <w:rFonts w:cs="Arial"/>
        <w:sz w:val="20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right" w:pos="5669"/>
        <w:tab w:val="right" w:pos="7087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b/>
        <w:bCs/>
        <w:sz w:val="20"/>
        <w:lang w:val="en-US"/>
      </w:rPr>
      <w:t>No</w:t>
    </w:r>
    <w:r>
      <w:rPr>
        <w:rFonts w:cs="Arial"/>
        <w:sz w:val="20"/>
      </w:rPr>
      <w:t>. 1 of 2019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i</w:t>
    </w:r>
    <w:r>
      <w:rPr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right" w:pos="5669"/>
        <w:tab w:val="right" w:pos="7058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b/>
        <w:bCs/>
        <w:sz w:val="20"/>
        <w:lang w:val="en-US"/>
      </w:rPr>
      <w:t>No</w:t>
    </w:r>
    <w:r>
      <w:rPr>
        <w:rFonts w:cs="Arial"/>
        <w:sz w:val="20"/>
      </w:rPr>
      <w:t>. 1 of 2019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i</w:t>
    </w:r>
    <w:r>
      <w:rPr>
        <w:rFonts w:cs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left" w:pos="1417"/>
      </w:tabs>
      <w:rPr>
        <w:rFonts w:cs="Arial"/>
        <w:sz w:val="20"/>
      </w:rPr>
    </w:pP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b/>
        <w:bCs/>
        <w:sz w:val="20"/>
        <w:lang w:val="en-US"/>
      </w:rPr>
      <w:t>No</w:t>
    </w:r>
    <w:r>
      <w:rPr>
        <w:rFonts w:cs="Arial"/>
        <w:sz w:val="20"/>
      </w:rPr>
      <w:t>. 1 of 2019</w:t>
    </w:r>
    <w:r>
      <w:rPr>
        <w:rFonts w:cs="Arial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right" w:pos="5669"/>
        <w:tab w:val="right" w:pos="7087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b/>
        <w:bCs/>
        <w:sz w:val="20"/>
        <w:lang w:val="en-US"/>
      </w:rPr>
      <w:t>No</w:t>
    </w:r>
    <w:r>
      <w:rPr>
        <w:rFonts w:cs="Arial"/>
        <w:sz w:val="20"/>
      </w:rPr>
      <w:t>. 1 of 2019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right" w:pos="5669"/>
        <w:tab w:val="right" w:pos="7087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bCs/>
        <w:sz w:val="20"/>
        <w:lang w:val="en-US"/>
      </w:rPr>
      <w:t>No</w:t>
    </w:r>
    <w:r>
      <w:rPr>
        <w:rFonts w:cs="Arial"/>
        <w:sz w:val="20"/>
      </w:rPr>
      <w:t>. 1 of 2019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Gender Reassignment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Gender Reassignment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Gender Reassignment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Gender Reassignment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Gender Reassignment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Gender Reassignment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Gender Reassignment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Gender Reassignment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220140455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220140455" w:val="UpdateStyles,ResetPageSize"/>
    <w:docVar w:name="WAFER_20190220140455_GUID" w:val="47c3c713-b33c-4068-bfe1-a0654000277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otesPerm">
    <w:name w:val="NotesPerm"/>
    <w:basedOn w:val="PermNoteHead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otesPerm">
    <w:name w:val="NotesPerm"/>
    <w:basedOn w:val="PermNoteHead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C20E-7C12-4F78-987D-2DC80EAC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</Words>
  <Characters>1079</Characters>
  <Application>Microsoft Office Word</Application>
  <DocSecurity>0</DocSecurity>
  <Lines>56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1249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Reassignment Amendment Act 2019 - 00-00-01</dc:title>
  <dc:subject/>
  <dc:creator/>
  <cp:keywords/>
  <dc:description/>
  <cp:lastModifiedBy>svcMRProcess</cp:lastModifiedBy>
  <cp:revision>4</cp:revision>
  <cp:lastPrinted>2019-02-19T03:31:00Z</cp:lastPrinted>
  <dcterms:created xsi:type="dcterms:W3CDTF">2019-02-21T00:52:00Z</dcterms:created>
  <dcterms:modified xsi:type="dcterms:W3CDTF">2019-02-21T00:52:00Z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2650</vt:lpwstr>
  </property>
  <property fmtid="{D5CDD505-2E9C-101B-9397-08002B2CF9AE}" pid="3" name="ActNo">
    <vt:lpwstr>1 of 2019</vt:lpwstr>
  </property>
  <property fmtid="{D5CDD505-2E9C-101B-9397-08002B2CF9AE}" pid="4" name="DocumentType">
    <vt:lpwstr>Act</vt:lpwstr>
  </property>
  <property fmtid="{D5CDD505-2E9C-101B-9397-08002B2CF9AE}" pid="5" name="CommencementDate">
    <vt:lpwstr>20190219</vt:lpwstr>
  </property>
  <property fmtid="{D5CDD505-2E9C-101B-9397-08002B2CF9AE}" pid="6" name="ActNoFooter">
    <vt:lpwstr>No. 1 of 2019</vt:lpwstr>
  </property>
</Properties>
</file>