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_Toc5364598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_Toc5364599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_Toc5364600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_Toc5364601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_Toc5364602 \h </w:instrText>
      </w:r>
      <w:r>
        <w:fldChar w:fldCharType="separate"/>
      </w:r>
      <w:r>
        <w:t>3</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_Toc5364603 \h </w:instrText>
      </w:r>
      <w:r>
        <w:fldChar w:fldCharType="separate"/>
      </w:r>
      <w:r>
        <w:t>3</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_Toc5364604 \h </w:instrText>
      </w:r>
      <w:r>
        <w:fldChar w:fldCharType="separate"/>
      </w:r>
      <w:r>
        <w:t>3</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_Toc5364605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_Toc5364607 \h </w:instrText>
      </w:r>
      <w:r>
        <w:fldChar w:fldCharType="separate"/>
      </w:r>
      <w:r>
        <w:t>5</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_Toc5364608 \h </w:instrText>
      </w:r>
      <w:r>
        <w:fldChar w:fldCharType="separate"/>
      </w:r>
      <w:r>
        <w:t>5</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_Toc5364609 \h </w:instrText>
      </w:r>
      <w:r>
        <w:fldChar w:fldCharType="separate"/>
      </w:r>
      <w:r>
        <w:t>6</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_Toc5364610 \h </w:instrText>
      </w:r>
      <w:r>
        <w:fldChar w:fldCharType="separate"/>
      </w:r>
      <w:r>
        <w:t>6</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_Toc5364611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_Toc5364613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_Toc5364614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_Toc5364616 \h </w:instrText>
      </w:r>
      <w:r>
        <w:fldChar w:fldCharType="separate"/>
      </w:r>
      <w:r>
        <w:t>12</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_Toc5364617 \h </w:instrText>
      </w:r>
      <w:r>
        <w:fldChar w:fldCharType="separate"/>
      </w:r>
      <w:r>
        <w:t>12</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_Toc5364618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_Toc5364620 \h </w:instrText>
      </w:r>
      <w:r>
        <w:fldChar w:fldCharType="separate"/>
      </w:r>
      <w:r>
        <w:t>13</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_Toc5364621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_Toc5364622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Other local provisions</w:t>
      </w:r>
    </w:p>
    <w:p>
      <w:pPr>
        <w:pStyle w:val="TOC4"/>
        <w:tabs>
          <w:tab w:val="right" w:leader="dot" w:pos="707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_Toc5364625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_Toc5364627 \h </w:instrText>
      </w:r>
      <w:r>
        <w:fldChar w:fldCharType="separate"/>
      </w:r>
      <w:r>
        <w:t>16</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_Toc5364628 \h </w:instrText>
      </w:r>
      <w:r>
        <w:fldChar w:fldCharType="separate"/>
      </w:r>
      <w:r>
        <w:t>17</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_Toc5364629 \h </w:instrText>
      </w:r>
      <w:r>
        <w:fldChar w:fldCharType="separate"/>
      </w:r>
      <w:r>
        <w:t>17</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_Toc5364630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Various Acts amended</w:t>
      </w:r>
    </w:p>
    <w:p>
      <w:pPr>
        <w:pStyle w:val="TOC4"/>
        <w:tabs>
          <w:tab w:val="right" w:leader="dot" w:pos="707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_Toc5364633 \h </w:instrText>
      </w:r>
      <w:r>
        <w:fldChar w:fldCharType="separate"/>
      </w:r>
      <w:r>
        <w:t>20</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_Toc5364634 \h </w:instrText>
      </w:r>
      <w:r>
        <w:fldChar w:fldCharType="separate"/>
      </w:r>
      <w:r>
        <w:t>20</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_Toc5364635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_Toc5364636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_Toc5364637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_Toc5364638 \h </w:instrText>
      </w:r>
      <w:r>
        <w:fldChar w:fldCharType="separate"/>
      </w:r>
      <w:r>
        <w:t>20</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_Toc5364639 \h </w:instrText>
      </w:r>
      <w:r>
        <w:fldChar w:fldCharType="separate"/>
      </w:r>
      <w:r>
        <w:t>21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_Toc5364640 \h </w:instrText>
      </w:r>
      <w:r>
        <w:fldChar w:fldCharType="separate"/>
      </w:r>
      <w:r>
        <w:t>21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_Toc5364641 \h </w:instrText>
      </w:r>
      <w:r>
        <w:fldChar w:fldCharType="separate"/>
      </w:r>
      <w:r>
        <w:t>21</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_Toc5364643 \h </w:instrText>
      </w:r>
      <w:r>
        <w:fldChar w:fldCharType="separate"/>
      </w:r>
      <w:r>
        <w:t>21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_Toc5364644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_Toc5364646 \h </w:instrText>
      </w:r>
      <w:r>
        <w:fldChar w:fldCharType="separate"/>
      </w:r>
      <w:r>
        <w:t>21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_Toc5364647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_Toc5364649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_Toc5364650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_Toc5364651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_Toc5364652 \h </w:instrText>
      </w:r>
      <w:r>
        <w:fldChar w:fldCharType="separate"/>
      </w:r>
      <w:r>
        <w:t>22</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_Toc5364653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_Toc5364654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_Toc5364655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_Toc5364656 \h </w:instrText>
      </w:r>
      <w:r>
        <w:fldChar w:fldCharType="separate"/>
      </w:r>
      <w:r>
        <w:t>23</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_Toc5364657 \h </w:instrText>
      </w:r>
      <w:r>
        <w:fldChar w:fldCharType="separate"/>
      </w:r>
      <w:r>
        <w:t>24</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_Toc5364658 \h </w:instrText>
      </w:r>
      <w:r>
        <w:fldChar w:fldCharType="separate"/>
      </w:r>
      <w:r>
        <w:t>24</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_Toc5364659 \h </w:instrText>
      </w:r>
      <w:r>
        <w:fldChar w:fldCharType="separate"/>
      </w:r>
      <w:r>
        <w:t>24</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_Toc5364660 \h </w:instrText>
      </w:r>
      <w:r>
        <w:fldChar w:fldCharType="separate"/>
      </w:r>
      <w:r>
        <w:t>25</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_Toc5364661 \h </w:instrText>
      </w:r>
      <w:r>
        <w:fldChar w:fldCharType="separate"/>
      </w:r>
      <w:r>
        <w:t>25</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_Toc5364662 \h </w:instrText>
      </w:r>
      <w:r>
        <w:fldChar w:fldCharType="separate"/>
      </w:r>
      <w:r>
        <w:t>25</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_Toc5364663 \h </w:instrText>
      </w:r>
      <w:r>
        <w:fldChar w:fldCharType="separate"/>
      </w:r>
      <w:r>
        <w:t>25</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_Toc5364664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_Toc5364666 \h </w:instrText>
      </w:r>
      <w:r>
        <w:fldChar w:fldCharType="separate"/>
      </w:r>
      <w:r>
        <w:t>25</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_Toc5364667 \h </w:instrText>
      </w:r>
      <w:r>
        <w:fldChar w:fldCharType="separate"/>
      </w:r>
      <w:r>
        <w:t>26</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_Toc5364668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_Toc5364669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_Toc5364671 \h </w:instrText>
      </w:r>
      <w:r>
        <w:fldChar w:fldCharType="separate"/>
      </w:r>
      <w:r>
        <w:t>27</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_Toc5364672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_Toc5364673 \h </w:instrText>
      </w:r>
      <w:r>
        <w:fldChar w:fldCharType="separate"/>
      </w:r>
      <w:r>
        <w:t>27</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_Toc5364674 \h </w:instrText>
      </w:r>
      <w:r>
        <w:fldChar w:fldCharType="separate"/>
      </w:r>
      <w:r>
        <w:t>27</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_Toc5364675 \h </w:instrText>
      </w:r>
      <w:r>
        <w:fldChar w:fldCharType="separate"/>
      </w:r>
      <w:r>
        <w:t>28</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_Toc5364676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Energy Coordination Act 1994</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_Toc5364678 \h </w:instrText>
      </w:r>
      <w:r>
        <w:fldChar w:fldCharType="separate"/>
      </w:r>
      <w:r>
        <w:t>29</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_Toc5364679 \h </w:instrText>
      </w:r>
      <w:r>
        <w:fldChar w:fldCharType="separate"/>
      </w:r>
      <w:r>
        <w:t>29</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_Toc5364680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_Toc5364681 \h </w:instrText>
      </w:r>
      <w:r>
        <w:fldChar w:fldCharType="separate"/>
      </w:r>
      <w:r>
        <w:t>29</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_Toc5364682 \h </w:instrText>
      </w:r>
      <w:r>
        <w:fldChar w:fldCharType="separate"/>
      </w:r>
      <w:r>
        <w:t>30</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_Toc5364683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_Toc5364685 \h </w:instrText>
      </w:r>
      <w:r>
        <w:fldChar w:fldCharType="separate"/>
      </w:r>
      <w:r>
        <w:t>30</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_Toc5364686 \h </w:instrText>
      </w:r>
      <w:r>
        <w:fldChar w:fldCharType="separate"/>
      </w:r>
      <w:r>
        <w:t>30</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_Toc5364687 \h </w:instrText>
      </w:r>
      <w:r>
        <w:fldChar w:fldCharType="separate"/>
      </w:r>
      <w:r>
        <w:t>31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_Toc5364688 \h </w:instrText>
      </w:r>
      <w:r>
        <w:fldChar w:fldCharType="separate"/>
      </w:r>
      <w:r>
        <w:t>31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_Toc5364689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_Toc5364691 \h </w:instrText>
      </w:r>
      <w:r>
        <w:fldChar w:fldCharType="separate"/>
      </w:r>
      <w:r>
        <w:t>32</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_Toc5364692 \h </w:instrText>
      </w:r>
      <w:r>
        <w:fldChar w:fldCharType="separate"/>
      </w:r>
      <w:r>
        <w:t>32</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_Toc5364693 \h </w:instrText>
      </w:r>
      <w:r>
        <w:fldChar w:fldCharType="separate"/>
      </w:r>
      <w:r>
        <w:t>32</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_Toc5364694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_Toc5364695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_Toc5364696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_Toc5364697 \h </w:instrText>
      </w:r>
      <w:r>
        <w:fldChar w:fldCharType="separate"/>
      </w:r>
      <w:r>
        <w:t>34</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_Toc5364699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_Toc5364700 \h </w:instrText>
      </w:r>
      <w:r>
        <w:fldChar w:fldCharType="separate"/>
      </w:r>
      <w:r>
        <w:t>35</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_Toc5364701 \h </w:instrText>
      </w:r>
      <w:r>
        <w:fldChar w:fldCharType="separate"/>
      </w:r>
      <w:r>
        <w:t>35</w:t>
      </w:r>
      <w:r>
        <w:fldChar w:fldCharType="end"/>
      </w:r>
    </w:p>
    <w:p>
      <w:pPr>
        <w:pStyle w:val="TOC8"/>
        <w:rPr>
          <w:rFonts w:asciiTheme="minorHAnsi" w:eastAsiaTheme="minorEastAsia" w:hAnsiTheme="minorHAnsi" w:cstheme="minorBidi"/>
          <w:szCs w:val="22"/>
        </w:rPr>
      </w:pPr>
      <w:r>
        <w:t>7A.</w:t>
      </w:r>
      <w:r>
        <w:tab/>
        <w:t>Section 30R deleted</w:t>
      </w:r>
      <w:r>
        <w:tab/>
      </w:r>
      <w:r>
        <w:fldChar w:fldCharType="begin"/>
      </w:r>
      <w:r>
        <w:instrText xml:space="preserve"> PAGEREF _Toc5364702 \h </w:instrText>
      </w:r>
      <w:r>
        <w:fldChar w:fldCharType="separate"/>
      </w:r>
      <w:r>
        <w:t>36</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_Toc5364703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_Toc5364705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_Toc5364706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_Toc5364707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_Toc5364708 \h </w:instrText>
      </w:r>
      <w:r>
        <w:fldChar w:fldCharType="separate"/>
      </w:r>
      <w:r>
        <w:t>37</w:t>
      </w:r>
      <w:r>
        <w:fldChar w:fldCharType="end"/>
      </w:r>
    </w:p>
    <w:p>
      <w:pPr>
        <w:pStyle w:val="TOC8"/>
        <w:rPr>
          <w:rFonts w:asciiTheme="minorHAnsi" w:eastAsiaTheme="minorEastAsia" w:hAnsiTheme="minorHAnsi" w:cstheme="minorBidi"/>
          <w:szCs w:val="22"/>
        </w:rPr>
      </w:pPr>
      <w:r>
        <w:t>11.</w:t>
      </w:r>
      <w:r>
        <w:tab/>
        <w:t>Section 240 modified</w:t>
      </w:r>
      <w:r>
        <w:tab/>
      </w:r>
      <w:r>
        <w:fldChar w:fldCharType="begin"/>
      </w:r>
      <w:r>
        <w:instrText xml:space="preserve"> PAGEREF _Toc5364709 \h </w:instrText>
      </w:r>
      <w:r>
        <w:fldChar w:fldCharType="separate"/>
      </w:r>
      <w:r>
        <w:t>38</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_Toc5364710 \h </w:instrText>
      </w:r>
      <w:r>
        <w:fldChar w:fldCharType="separate"/>
      </w:r>
      <w:r>
        <w:t>38</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_Toc5364711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_Toc5364712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_Toc5364713 \h </w:instrText>
      </w:r>
      <w:r>
        <w:fldChar w:fldCharType="separate"/>
      </w:r>
      <w:r>
        <w:t>39</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_Toc5364714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_Toc5364715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_Toc5364716 \h </w:instrText>
      </w:r>
      <w:r>
        <w:fldChar w:fldCharType="separate"/>
      </w:r>
      <w:r>
        <w:t>39</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_Toc5364717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_Toc5364718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17A.</w:t>
      </w:r>
      <w:r>
        <w:tab/>
        <w:t>Schedule 2 clause 51 modified</w:t>
      </w:r>
      <w:r>
        <w:tab/>
      </w:r>
      <w:r>
        <w:fldChar w:fldCharType="begin"/>
      </w:r>
      <w:r>
        <w:instrText xml:space="preserve"> PAGEREF _Toc5364719 \h </w:instrText>
      </w:r>
      <w:r>
        <w:fldChar w:fldCharType="separate"/>
      </w:r>
      <w:r>
        <w:t>40</w:t>
      </w:r>
      <w: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_Toc5364720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_Toc5364722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7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7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_Toc5364726 \h </w:instrText>
      </w:r>
      <w:r>
        <w:fldChar w:fldCharType="separate"/>
      </w:r>
      <w:r>
        <w:t>43</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_Toc5364727 \h </w:instrText>
      </w:r>
      <w:r>
        <w:fldChar w:fldCharType="separate"/>
      </w:r>
      <w:r>
        <w:t>43</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_Toc5364728 \h </w:instrText>
      </w:r>
      <w:r>
        <w:fldChar w:fldCharType="separate"/>
      </w:r>
      <w:r>
        <w:t>64</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_Toc5364729 \h </w:instrText>
      </w:r>
      <w:r>
        <w:fldChar w:fldCharType="separate"/>
      </w:r>
      <w:r>
        <w:t>64</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_Toc5364730 \h </w:instrText>
      </w:r>
      <w:r>
        <w:fldChar w:fldCharType="separate"/>
      </w:r>
      <w:r>
        <w:t>65</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_Toc5364731 \h </w:instrText>
      </w:r>
      <w:r>
        <w:fldChar w:fldCharType="separate"/>
      </w:r>
      <w:r>
        <w:t>66</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_Toc5364732 \h </w:instrText>
      </w:r>
      <w:r>
        <w:fldChar w:fldCharType="separate"/>
      </w:r>
      <w:r>
        <w:t>66</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_Toc5364733 \h </w:instrText>
      </w:r>
      <w:r>
        <w:fldChar w:fldCharType="separate"/>
      </w:r>
      <w:r>
        <w:t>67</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_Toc5364734 \h </w:instrText>
      </w:r>
      <w:r>
        <w:fldChar w:fldCharType="separate"/>
      </w:r>
      <w:r>
        <w:t>68</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_Toc5364735 \h </w:instrText>
      </w:r>
      <w:r>
        <w:fldChar w:fldCharType="separate"/>
      </w:r>
      <w:r>
        <w:t>68</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_Toc5364736 \h </w:instrText>
      </w:r>
      <w:r>
        <w:fldChar w:fldCharType="separate"/>
      </w:r>
      <w:r>
        <w:t>69</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_Toc5364737 \h </w:instrText>
      </w:r>
      <w:r>
        <w:fldChar w:fldCharType="separate"/>
      </w:r>
      <w:r>
        <w:t>69</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_Toc5364738 \h </w:instrText>
      </w:r>
      <w:r>
        <w:fldChar w:fldCharType="separate"/>
      </w:r>
      <w:r>
        <w:t>70</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_Toc5364739 \h </w:instrText>
      </w:r>
      <w:r>
        <w:fldChar w:fldCharType="separate"/>
      </w:r>
      <w:r>
        <w:t>71</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_Toc5364740 \h </w:instrText>
      </w:r>
      <w:r>
        <w:fldChar w:fldCharType="separate"/>
      </w:r>
      <w:r>
        <w:t>71</w:t>
      </w:r>
      <w:r>
        <w:fldChar w:fldCharType="end"/>
      </w:r>
    </w:p>
    <w:p>
      <w:pPr>
        <w:pStyle w:val="TOC8"/>
        <w:rPr>
          <w:rFonts w:asciiTheme="minorHAnsi" w:eastAsiaTheme="minorEastAsia" w:hAnsiTheme="minorHAnsi" w:cstheme="minorBidi"/>
          <w:szCs w:val="22"/>
        </w:rPr>
      </w:pPr>
      <w:r>
        <w:t>14.</w:t>
      </w:r>
      <w:r>
        <w:rPr>
          <w:bCs/>
        </w:rPr>
        <w:tab/>
      </w:r>
      <w:r>
        <w:t>Jurisdictional determination criteria—cross boundary distribution pipelines</w:t>
      </w:r>
      <w:r>
        <w:tab/>
      </w:r>
      <w:r>
        <w:fldChar w:fldCharType="begin"/>
      </w:r>
      <w:r>
        <w:instrText xml:space="preserve"> PAGEREF _Toc5364741 \h </w:instrText>
      </w:r>
      <w:r>
        <w:fldChar w:fldCharType="separate"/>
      </w:r>
      <w:r>
        <w:t>72</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_Toc5364742 \h </w:instrText>
      </w:r>
      <w:r>
        <w:fldChar w:fldCharType="separate"/>
      </w:r>
      <w:r>
        <w:t>72</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_Toc5364743 \h </w:instrText>
      </w:r>
      <w:r>
        <w:fldChar w:fldCharType="separate"/>
      </w:r>
      <w:r>
        <w:t>73</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_Toc5364744 \h </w:instrText>
      </w:r>
      <w:r>
        <w:fldChar w:fldCharType="separate"/>
      </w:r>
      <w:r>
        <w:t>74</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_Toc5364745 \h </w:instrText>
      </w:r>
      <w:r>
        <w:fldChar w:fldCharType="separate"/>
      </w:r>
      <w:r>
        <w:t>75</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_Toc5364746 \h </w:instrText>
      </w:r>
      <w:r>
        <w:fldChar w:fldCharType="separate"/>
      </w:r>
      <w:r>
        <w:t>75</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_Toc5364747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_Toc5364749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_Toc5364751 \h </w:instrText>
      </w:r>
      <w:r>
        <w:fldChar w:fldCharType="separate"/>
      </w:r>
      <w:r>
        <w:t>76</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_Toc5364752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7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_Toc5364755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_Toc5364757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_Toc5364759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_Toc5364761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7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_Toc5364765 \h </w:instrText>
      </w:r>
      <w:r>
        <w:fldChar w:fldCharType="separate"/>
      </w:r>
      <w:r>
        <w:t>80</w:t>
      </w:r>
      <w:r>
        <w:fldChar w:fldCharType="end"/>
      </w:r>
    </w:p>
    <w:p>
      <w:pPr>
        <w:pStyle w:val="TOC8"/>
        <w:rPr>
          <w:rFonts w:asciiTheme="minorHAnsi" w:eastAsiaTheme="minorEastAsia" w:hAnsiTheme="minorHAnsi" w:cstheme="minorBidi"/>
          <w:szCs w:val="22"/>
        </w:rPr>
      </w:pPr>
      <w:r>
        <w:t>28.</w:t>
      </w:r>
      <w:r>
        <w:tab/>
        <w:t>Manner in which AER must perform or exercise AER economic regulatory functions or powers</w:t>
      </w:r>
      <w:r>
        <w:tab/>
      </w:r>
      <w:r>
        <w:fldChar w:fldCharType="begin"/>
      </w:r>
      <w:r>
        <w:instrText xml:space="preserve"> PAGEREF _Toc5364766 \h </w:instrText>
      </w:r>
      <w:r>
        <w:fldChar w:fldCharType="separate"/>
      </w:r>
      <w:r>
        <w:t>81</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_Toc5364767 \h </w:instrText>
      </w:r>
      <w:r>
        <w:fldChar w:fldCharType="separate"/>
      </w:r>
      <w:r>
        <w:t>83</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_Toc5364768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1A—Rate of return instrument</w:t>
      </w:r>
    </w:p>
    <w:p>
      <w:pPr>
        <w:pStyle w:val="TOC6"/>
        <w:tabs>
          <w:tab w:val="right" w:leader="dot" w:pos="7077"/>
        </w:tabs>
        <w:rPr>
          <w:rFonts w:asciiTheme="minorHAnsi" w:eastAsiaTheme="minorEastAsia" w:hAnsiTheme="minorHAnsi" w:cstheme="minorBidi"/>
          <w:b w:val="0"/>
          <w:sz w:val="22"/>
          <w:szCs w:val="22"/>
        </w:rPr>
      </w:pPr>
      <w:r>
        <w:t>Subdivision 1—Preliminary</w:t>
      </w:r>
    </w:p>
    <w:p>
      <w:pPr>
        <w:pStyle w:val="TOC8"/>
        <w:rPr>
          <w:rFonts w:asciiTheme="minorHAnsi" w:eastAsiaTheme="minorEastAsia" w:hAnsiTheme="minorHAnsi" w:cstheme="minorBidi"/>
          <w:szCs w:val="22"/>
        </w:rPr>
      </w:pPr>
      <w:r>
        <w:t>30A.</w:t>
      </w:r>
      <w:r>
        <w:tab/>
        <w:t>Definitions</w:t>
      </w:r>
      <w:r>
        <w:tab/>
      </w:r>
      <w:r>
        <w:fldChar w:fldCharType="begin"/>
      </w:r>
      <w:r>
        <w:instrText xml:space="preserve"> PAGEREF _Toc5364771 \h </w:instrText>
      </w:r>
      <w:r>
        <w:fldChar w:fldCharType="separate"/>
      </w:r>
      <w:r>
        <w:t>84</w:t>
      </w:r>
      <w:r>
        <w:fldChar w:fldCharType="end"/>
      </w:r>
    </w:p>
    <w:p>
      <w:pPr>
        <w:pStyle w:val="TOC8"/>
        <w:rPr>
          <w:rFonts w:asciiTheme="minorHAnsi" w:eastAsiaTheme="minorEastAsia" w:hAnsiTheme="minorHAnsi" w:cstheme="minorBidi"/>
          <w:szCs w:val="22"/>
        </w:rPr>
      </w:pPr>
      <w:r>
        <w:t>30B.</w:t>
      </w:r>
      <w:r>
        <w:tab/>
        <w:t>Rate of return instrument has force of law</w:t>
      </w:r>
      <w:r>
        <w:tab/>
      </w:r>
      <w:r>
        <w:fldChar w:fldCharType="begin"/>
      </w:r>
      <w:r>
        <w:instrText xml:space="preserve"> PAGEREF _Toc5364772 \h </w:instrText>
      </w:r>
      <w:r>
        <w:fldChar w:fldCharType="separate"/>
      </w:r>
      <w:r>
        <w:t>85</w:t>
      </w:r>
      <w:r>
        <w:fldChar w:fldCharType="end"/>
      </w:r>
    </w:p>
    <w:p>
      <w:pPr>
        <w:pStyle w:val="TOC8"/>
        <w:rPr>
          <w:rFonts w:asciiTheme="minorHAnsi" w:eastAsiaTheme="minorEastAsia" w:hAnsiTheme="minorHAnsi" w:cstheme="minorBidi"/>
          <w:szCs w:val="22"/>
        </w:rPr>
      </w:pPr>
      <w:r>
        <w:t>30C.</w:t>
      </w:r>
      <w:r>
        <w:tab/>
        <w:t>Rate of return instrument is binding on AER and covered pipeline service providers</w:t>
      </w:r>
      <w:r>
        <w:tab/>
      </w:r>
      <w:r>
        <w:fldChar w:fldCharType="begin"/>
      </w:r>
      <w:r>
        <w:instrText xml:space="preserve"> PAGEREF _Toc5364773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2—Requirement to make rate of return instrument</w:t>
      </w:r>
    </w:p>
    <w:p>
      <w:pPr>
        <w:pStyle w:val="TOC8"/>
        <w:rPr>
          <w:rFonts w:asciiTheme="minorHAnsi" w:eastAsiaTheme="minorEastAsia" w:hAnsiTheme="minorHAnsi" w:cstheme="minorBidi"/>
          <w:szCs w:val="22"/>
        </w:rPr>
      </w:pPr>
      <w:r>
        <w:t>30D.</w:t>
      </w:r>
      <w:r>
        <w:tab/>
        <w:t>AER to make rate of return instrument</w:t>
      </w:r>
      <w:r>
        <w:tab/>
      </w:r>
      <w:r>
        <w:fldChar w:fldCharType="begin"/>
      </w:r>
      <w:r>
        <w:instrText xml:space="preserve"> PAGEREF _Toc5364775 \h </w:instrText>
      </w:r>
      <w:r>
        <w:fldChar w:fldCharType="separate"/>
      </w:r>
      <w:r>
        <w:t>86</w:t>
      </w:r>
      <w:r>
        <w:fldChar w:fldCharType="end"/>
      </w:r>
    </w:p>
    <w:p>
      <w:pPr>
        <w:pStyle w:val="TOC8"/>
        <w:rPr>
          <w:rFonts w:asciiTheme="minorHAnsi" w:eastAsiaTheme="minorEastAsia" w:hAnsiTheme="minorHAnsi" w:cstheme="minorBidi"/>
          <w:szCs w:val="22"/>
        </w:rPr>
      </w:pPr>
      <w:r>
        <w:t>30E.</w:t>
      </w:r>
      <w:r>
        <w:tab/>
        <w:t>Content of rate of return instrument</w:t>
      </w:r>
      <w:r>
        <w:tab/>
      </w:r>
      <w:r>
        <w:fldChar w:fldCharType="begin"/>
      </w:r>
      <w:r>
        <w:instrText xml:space="preserve"> PAGEREF _Toc5364776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3—Consultation requirements</w:t>
      </w:r>
    </w:p>
    <w:p>
      <w:pPr>
        <w:pStyle w:val="TOC8"/>
        <w:rPr>
          <w:rFonts w:asciiTheme="minorHAnsi" w:eastAsiaTheme="minorEastAsia" w:hAnsiTheme="minorHAnsi" w:cstheme="minorBidi"/>
          <w:szCs w:val="22"/>
        </w:rPr>
      </w:pPr>
      <w:r>
        <w:t>30F.</w:t>
      </w:r>
      <w:r>
        <w:tab/>
        <w:t>Process for making rate of return instrument</w:t>
      </w:r>
      <w:r>
        <w:tab/>
      </w:r>
      <w:r>
        <w:fldChar w:fldCharType="begin"/>
      </w:r>
      <w:r>
        <w:instrText xml:space="preserve"> PAGEREF _Toc5364778 \h </w:instrText>
      </w:r>
      <w:r>
        <w:fldChar w:fldCharType="separate"/>
      </w:r>
      <w:r>
        <w:t>88</w:t>
      </w:r>
      <w:r>
        <w:fldChar w:fldCharType="end"/>
      </w:r>
    </w:p>
    <w:p>
      <w:pPr>
        <w:pStyle w:val="TOC8"/>
        <w:rPr>
          <w:rFonts w:asciiTheme="minorHAnsi" w:eastAsiaTheme="minorEastAsia" w:hAnsiTheme="minorHAnsi" w:cstheme="minorBidi"/>
          <w:szCs w:val="22"/>
        </w:rPr>
      </w:pPr>
      <w:r>
        <w:t>30G.</w:t>
      </w:r>
      <w:r>
        <w:tab/>
        <w:t>Other matters AER must have regard to in making instrument</w:t>
      </w:r>
      <w:r>
        <w:tab/>
      </w:r>
      <w:r>
        <w:fldChar w:fldCharType="begin"/>
      </w:r>
      <w:r>
        <w:instrText xml:space="preserve"> PAGEREF _Toc5364779 \h </w:instrText>
      </w:r>
      <w:r>
        <w:fldChar w:fldCharType="separate"/>
      </w:r>
      <w:r>
        <w:t>88</w:t>
      </w:r>
      <w:r>
        <w:fldChar w:fldCharType="end"/>
      </w:r>
    </w:p>
    <w:p>
      <w:pPr>
        <w:pStyle w:val="TOC8"/>
        <w:rPr>
          <w:rFonts w:asciiTheme="minorHAnsi" w:eastAsiaTheme="minorEastAsia" w:hAnsiTheme="minorHAnsi" w:cstheme="minorBidi"/>
          <w:szCs w:val="22"/>
        </w:rPr>
      </w:pPr>
      <w:r>
        <w:t>30H.</w:t>
      </w:r>
      <w:r>
        <w:tab/>
        <w:t>Requirements before publishing draft instrument</w:t>
      </w:r>
      <w:r>
        <w:tab/>
      </w:r>
      <w:r>
        <w:fldChar w:fldCharType="begin"/>
      </w:r>
      <w:r>
        <w:instrText xml:space="preserve"> PAGEREF _Toc5364780 \h </w:instrText>
      </w:r>
      <w:r>
        <w:fldChar w:fldCharType="separate"/>
      </w:r>
      <w:r>
        <w:t>88</w:t>
      </w:r>
      <w:r>
        <w:fldChar w:fldCharType="end"/>
      </w:r>
    </w:p>
    <w:p>
      <w:pPr>
        <w:pStyle w:val="TOC8"/>
        <w:rPr>
          <w:rFonts w:asciiTheme="minorHAnsi" w:eastAsiaTheme="minorEastAsia" w:hAnsiTheme="minorHAnsi" w:cstheme="minorBidi"/>
          <w:szCs w:val="22"/>
        </w:rPr>
      </w:pPr>
      <w:r>
        <w:t>30I.</w:t>
      </w:r>
      <w:r>
        <w:tab/>
        <w:t>Consumer reference group</w:t>
      </w:r>
      <w:r>
        <w:tab/>
      </w:r>
      <w:r>
        <w:fldChar w:fldCharType="begin"/>
      </w:r>
      <w:r>
        <w:instrText xml:space="preserve"> PAGEREF _Toc5364781 \h </w:instrText>
      </w:r>
      <w:r>
        <w:fldChar w:fldCharType="separate"/>
      </w:r>
      <w:r>
        <w:t>90</w:t>
      </w:r>
      <w:r>
        <w:fldChar w:fldCharType="end"/>
      </w:r>
    </w:p>
    <w:p>
      <w:pPr>
        <w:pStyle w:val="TOC8"/>
        <w:rPr>
          <w:rFonts w:asciiTheme="minorHAnsi" w:eastAsiaTheme="minorEastAsia" w:hAnsiTheme="minorHAnsi" w:cstheme="minorBidi"/>
          <w:szCs w:val="22"/>
        </w:rPr>
      </w:pPr>
      <w:r>
        <w:t>30J.</w:t>
      </w:r>
      <w:r>
        <w:tab/>
        <w:t>Publication of draft instrument and other information</w:t>
      </w:r>
      <w:r>
        <w:tab/>
      </w:r>
      <w:r>
        <w:fldChar w:fldCharType="begin"/>
      </w:r>
      <w:r>
        <w:instrText xml:space="preserve"> PAGEREF _Toc5364782 \h </w:instrText>
      </w:r>
      <w:r>
        <w:fldChar w:fldCharType="separate"/>
      </w:r>
      <w:r>
        <w:t>91</w:t>
      </w:r>
      <w:r>
        <w:fldChar w:fldCharType="end"/>
      </w:r>
    </w:p>
    <w:p>
      <w:pPr>
        <w:pStyle w:val="TOC8"/>
        <w:rPr>
          <w:rFonts w:asciiTheme="minorHAnsi" w:eastAsiaTheme="minorEastAsia" w:hAnsiTheme="minorHAnsi" w:cstheme="minorBidi"/>
          <w:szCs w:val="22"/>
        </w:rPr>
      </w:pPr>
      <w:r>
        <w:t>30K.</w:t>
      </w:r>
      <w:r>
        <w:tab/>
        <w:t>Report about draft instrument by independent panel</w:t>
      </w:r>
      <w:r>
        <w:tab/>
      </w:r>
      <w:r>
        <w:fldChar w:fldCharType="begin"/>
      </w:r>
      <w:r>
        <w:instrText xml:space="preserve"> PAGEREF _Toc5364783 \h </w:instrText>
      </w:r>
      <w:r>
        <w:fldChar w:fldCharType="separate"/>
      </w:r>
      <w:r>
        <w:t>91</w:t>
      </w:r>
      <w:r>
        <w:fldChar w:fldCharType="end"/>
      </w:r>
    </w:p>
    <w:p>
      <w:pPr>
        <w:pStyle w:val="TOC8"/>
        <w:rPr>
          <w:rFonts w:asciiTheme="minorHAnsi" w:eastAsiaTheme="minorEastAsia" w:hAnsiTheme="minorHAnsi" w:cstheme="minorBidi"/>
          <w:szCs w:val="22"/>
        </w:rPr>
      </w:pPr>
      <w:r>
        <w:t>30L.</w:t>
      </w:r>
      <w:r>
        <w:tab/>
        <w:t>Publication of explanatory information</w:t>
      </w:r>
      <w:r>
        <w:tab/>
      </w:r>
      <w:r>
        <w:fldChar w:fldCharType="begin"/>
      </w:r>
      <w:r>
        <w:instrText xml:space="preserve"> PAGEREF _Toc5364784 \h </w:instrText>
      </w:r>
      <w:r>
        <w:fldChar w:fldCharType="separate"/>
      </w:r>
      <w:r>
        <w:t>92</w:t>
      </w:r>
      <w:r>
        <w:fldChar w:fldCharType="end"/>
      </w:r>
    </w:p>
    <w:p>
      <w:pPr>
        <w:pStyle w:val="TOC8"/>
        <w:rPr>
          <w:rFonts w:asciiTheme="minorHAnsi" w:eastAsiaTheme="minorEastAsia" w:hAnsiTheme="minorHAnsi" w:cstheme="minorBidi"/>
          <w:szCs w:val="22"/>
        </w:rPr>
      </w:pPr>
      <w:r>
        <w:t>30M.</w:t>
      </w:r>
      <w:r>
        <w:tab/>
        <w:t>Failure to comply does not affect validity</w:t>
      </w:r>
      <w:r>
        <w:tab/>
      </w:r>
      <w:r>
        <w:fldChar w:fldCharType="begin"/>
      </w:r>
      <w:r>
        <w:instrText xml:space="preserve"> PAGEREF _Toc5364785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4—Publication, review and other matters</w:t>
      </w:r>
    </w:p>
    <w:p>
      <w:pPr>
        <w:pStyle w:val="TOC8"/>
        <w:rPr>
          <w:rFonts w:asciiTheme="minorHAnsi" w:eastAsiaTheme="minorEastAsia" w:hAnsiTheme="minorHAnsi" w:cstheme="minorBidi"/>
          <w:szCs w:val="22"/>
        </w:rPr>
      </w:pPr>
      <w:r>
        <w:t>30N.</w:t>
      </w:r>
      <w:r>
        <w:tab/>
        <w:t>Publication of rate of return instrument</w:t>
      </w:r>
      <w:r>
        <w:tab/>
      </w:r>
      <w:r>
        <w:fldChar w:fldCharType="begin"/>
      </w:r>
      <w:r>
        <w:instrText xml:space="preserve"> PAGEREF _Toc5364787 \h </w:instrText>
      </w:r>
      <w:r>
        <w:fldChar w:fldCharType="separate"/>
      </w:r>
      <w:r>
        <w:t>93</w:t>
      </w:r>
      <w:r>
        <w:fldChar w:fldCharType="end"/>
      </w:r>
    </w:p>
    <w:p>
      <w:pPr>
        <w:pStyle w:val="TOC8"/>
        <w:rPr>
          <w:rFonts w:asciiTheme="minorHAnsi" w:eastAsiaTheme="minorEastAsia" w:hAnsiTheme="minorHAnsi" w:cstheme="minorBidi"/>
          <w:szCs w:val="22"/>
        </w:rPr>
      </w:pPr>
      <w:r>
        <w:t>30O.</w:t>
      </w:r>
      <w:r>
        <w:tab/>
        <w:t>Commencement and duration of instrument</w:t>
      </w:r>
      <w:r>
        <w:tab/>
      </w:r>
      <w:r>
        <w:fldChar w:fldCharType="begin"/>
      </w:r>
      <w:r>
        <w:instrText xml:space="preserve"> PAGEREF _Toc5364788 \h </w:instrText>
      </w:r>
      <w:r>
        <w:fldChar w:fldCharType="separate"/>
      </w:r>
      <w:r>
        <w:t>93</w:t>
      </w:r>
      <w:r>
        <w:fldChar w:fldCharType="end"/>
      </w:r>
    </w:p>
    <w:p>
      <w:pPr>
        <w:pStyle w:val="TOC8"/>
        <w:rPr>
          <w:rFonts w:asciiTheme="minorHAnsi" w:eastAsiaTheme="minorEastAsia" w:hAnsiTheme="minorHAnsi" w:cstheme="minorBidi"/>
          <w:szCs w:val="22"/>
        </w:rPr>
      </w:pPr>
      <w:r>
        <w:t>30P.</w:t>
      </w:r>
      <w:r>
        <w:tab/>
        <w:t>Review and replacement of instrument</w:t>
      </w:r>
      <w:r>
        <w:tab/>
      </w:r>
      <w:r>
        <w:fldChar w:fldCharType="begin"/>
      </w:r>
      <w:r>
        <w:instrText xml:space="preserve"> PAGEREF _Toc5364789 \h </w:instrText>
      </w:r>
      <w:r>
        <w:fldChar w:fldCharType="separate"/>
      </w:r>
      <w:r>
        <w:t>93</w:t>
      </w:r>
      <w:r>
        <w:fldChar w:fldCharType="end"/>
      </w:r>
    </w:p>
    <w:p>
      <w:pPr>
        <w:pStyle w:val="TOC8"/>
        <w:rPr>
          <w:rFonts w:asciiTheme="minorHAnsi" w:eastAsiaTheme="minorEastAsia" w:hAnsiTheme="minorHAnsi" w:cstheme="minorBidi"/>
          <w:szCs w:val="22"/>
        </w:rPr>
      </w:pPr>
      <w:r>
        <w:t>30Q.</w:t>
      </w:r>
      <w:r>
        <w:tab/>
        <w:t>Application of instrument</w:t>
      </w:r>
      <w:r>
        <w:tab/>
      </w:r>
      <w:r>
        <w:fldChar w:fldCharType="begin"/>
      </w:r>
      <w:r>
        <w:instrText xml:space="preserve"> PAGEREF _Toc5364790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5—Confidentiality of information</w:t>
      </w:r>
    </w:p>
    <w:p>
      <w:pPr>
        <w:pStyle w:val="TOC8"/>
        <w:rPr>
          <w:rFonts w:asciiTheme="minorHAnsi" w:eastAsiaTheme="minorEastAsia" w:hAnsiTheme="minorHAnsi" w:cstheme="minorBidi"/>
          <w:szCs w:val="22"/>
        </w:rPr>
      </w:pPr>
      <w:r>
        <w:t>30S.</w:t>
      </w:r>
      <w:r>
        <w:tab/>
        <w:t>Confidentiality</w:t>
      </w:r>
      <w:r>
        <w:tab/>
      </w:r>
      <w:r>
        <w:fldChar w:fldCharType="begin"/>
      </w:r>
      <w:r>
        <w:instrText xml:space="preserve"> PAGEREF _Toc5364792 \h </w:instrText>
      </w:r>
      <w:r>
        <w:fldChar w:fldCharType="separate"/>
      </w:r>
      <w:r>
        <w:t>94</w:t>
      </w:r>
      <w:r>
        <w:fldChar w:fldCharType="end"/>
      </w:r>
    </w:p>
    <w:p>
      <w:pPr>
        <w:pStyle w:val="TOC8"/>
        <w:rPr>
          <w:rFonts w:asciiTheme="minorHAnsi" w:eastAsiaTheme="minorEastAsia" w:hAnsiTheme="minorHAnsi" w:cstheme="minorBidi"/>
          <w:szCs w:val="22"/>
        </w:rPr>
      </w:pPr>
      <w:r>
        <w:t>30T.</w:t>
      </w:r>
      <w:r>
        <w:tab/>
        <w:t>Disclosure of information given in confidence</w:t>
      </w:r>
      <w:r>
        <w:tab/>
      </w:r>
      <w:r>
        <w:fldChar w:fldCharType="begin"/>
      </w:r>
      <w:r>
        <w:instrText xml:space="preserve"> PAGEREF _Toc5364793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_Toc5364795 \h </w:instrText>
      </w:r>
      <w:r>
        <w:fldChar w:fldCharType="separate"/>
      </w:r>
      <w:r>
        <w:t>96</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_Toc5364796 \h </w:instrText>
      </w:r>
      <w:r>
        <w:fldChar w:fldCharType="separate"/>
      </w:r>
      <w:r>
        <w:t>96</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_Toc5364797 \h </w:instrText>
      </w:r>
      <w:r>
        <w:fldChar w:fldCharType="separate"/>
      </w:r>
      <w:r>
        <w:t>96</w:t>
      </w:r>
      <w:r>
        <w:fldChar w:fldCharType="end"/>
      </w:r>
    </w:p>
    <w:p>
      <w:pPr>
        <w:pStyle w:val="TOC8"/>
        <w:rPr>
          <w:rFonts w:asciiTheme="minorHAnsi" w:eastAsiaTheme="minorEastAsia" w:hAnsiTheme="minorHAnsi" w:cstheme="minorBidi"/>
          <w:szCs w:val="22"/>
        </w:rPr>
      </w:pPr>
      <w:r>
        <w:t>34.</w:t>
      </w:r>
      <w:r>
        <w:tab/>
        <w:t>Return of identity cards</w:t>
      </w:r>
      <w:r>
        <w:tab/>
      </w:r>
      <w:r>
        <w:fldChar w:fldCharType="begin"/>
      </w:r>
      <w:r>
        <w:instrText xml:space="preserve"> PAGEREF _Toc5364798 \h </w:instrText>
      </w:r>
      <w:r>
        <w:fldChar w:fldCharType="separate"/>
      </w:r>
      <w:r>
        <w:t>97</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_Toc5364799 \h </w:instrText>
      </w:r>
      <w:r>
        <w:fldChar w:fldCharType="separate"/>
      </w:r>
      <w:r>
        <w:t>97</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_Toc5364800 \h </w:instrText>
      </w:r>
      <w:r>
        <w:fldChar w:fldCharType="separate"/>
      </w:r>
      <w:r>
        <w:t>99</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_Toc5364801 \h </w:instrText>
      </w:r>
      <w:r>
        <w:fldChar w:fldCharType="separate"/>
      </w:r>
      <w:r>
        <w:t>99</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_Toc5364802 \h </w:instrText>
      </w:r>
      <w:r>
        <w:fldChar w:fldCharType="separate"/>
      </w:r>
      <w:r>
        <w:t>100</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_Toc5364803 \h </w:instrText>
      </w:r>
      <w:r>
        <w:fldChar w:fldCharType="separate"/>
      </w:r>
      <w:r>
        <w:t>100</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_Toc5364804 \h </w:instrText>
      </w:r>
      <w:r>
        <w:fldChar w:fldCharType="separate"/>
      </w:r>
      <w:r>
        <w:t>101</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_Toc5364805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_Toc5364807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_Toc5364810 \h </w:instrText>
      </w:r>
      <w:r>
        <w:fldChar w:fldCharType="separate"/>
      </w:r>
      <w:r>
        <w:t>104</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_Toc5364811 \h </w:instrText>
      </w:r>
      <w:r>
        <w:fldChar w:fldCharType="separate"/>
      </w:r>
      <w:r>
        <w:t>105</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_Toc5364812 \h </w:instrText>
      </w:r>
      <w:r>
        <w:fldChar w:fldCharType="separate"/>
      </w:r>
      <w:r>
        <w:t>106</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_Toc5364813 \h </w:instrText>
      </w:r>
      <w:r>
        <w:fldChar w:fldCharType="separate"/>
      </w:r>
      <w:r>
        <w:t>106</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_Toc5364814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_Toc5364816 \h </w:instrText>
      </w:r>
      <w:r>
        <w:fldChar w:fldCharType="separate"/>
      </w:r>
      <w:r>
        <w:t>107</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_Toc5364817 \h </w:instrText>
      </w:r>
      <w:r>
        <w:fldChar w:fldCharType="separate"/>
      </w:r>
      <w:r>
        <w:t>108</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_Toc5364818 \h </w:instrText>
      </w:r>
      <w:r>
        <w:fldChar w:fldCharType="separate"/>
      </w:r>
      <w:r>
        <w:t>110</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_Toc5364819 \h </w:instrText>
      </w:r>
      <w:r>
        <w:fldChar w:fldCharType="separate"/>
      </w:r>
      <w:r>
        <w:t>110</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_Toc5364820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_Toc5364822 \h </w:instrText>
      </w:r>
      <w:r>
        <w:fldChar w:fldCharType="separate"/>
      </w:r>
      <w:r>
        <w:t>112</w:t>
      </w:r>
      <w:r>
        <w:fldChar w:fldCharType="end"/>
      </w:r>
    </w:p>
    <w:p>
      <w:pPr>
        <w:pStyle w:val="TOC8"/>
        <w:rPr>
          <w:rFonts w:asciiTheme="minorHAnsi" w:eastAsiaTheme="minorEastAsia" w:hAnsiTheme="minorHAnsi" w:cstheme="minorBidi"/>
          <w:szCs w:val="22"/>
        </w:rPr>
      </w:pPr>
      <w:r>
        <w:t>54.</w:t>
      </w:r>
      <w:r>
        <w:tab/>
        <w:t>Further provision about the information that may be described in a regulatory information instrument</w:t>
      </w:r>
      <w:r>
        <w:tab/>
      </w:r>
      <w:r>
        <w:fldChar w:fldCharType="begin"/>
      </w:r>
      <w:r>
        <w:instrText xml:space="preserve"> PAGEREF _Toc5364823 \h </w:instrText>
      </w:r>
      <w:r>
        <w:fldChar w:fldCharType="separate"/>
      </w:r>
      <w:r>
        <w:t>113</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_Toc5364824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_Toc5364826 \h </w:instrText>
      </w:r>
      <w:r>
        <w:fldChar w:fldCharType="separate"/>
      </w:r>
      <w:r>
        <w:t>115</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_Toc5364827 \h </w:instrText>
      </w:r>
      <w:r>
        <w:fldChar w:fldCharType="separate"/>
      </w:r>
      <w:r>
        <w:t>115</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_Toc5364828 \h </w:instrText>
      </w:r>
      <w:r>
        <w:fldChar w:fldCharType="separate"/>
      </w:r>
      <w:r>
        <w:t>115</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_Toc5364829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_Toc5364831 \h </w:instrText>
      </w:r>
      <w:r>
        <w:fldChar w:fldCharType="separate"/>
      </w:r>
      <w:r>
        <w:t>117</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_Toc5364832 \h </w:instrText>
      </w:r>
      <w:r>
        <w:fldChar w:fldCharType="separate"/>
      </w:r>
      <w:r>
        <w:t>117</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_Toc5364833 \h </w:instrText>
      </w:r>
      <w:r>
        <w:fldChar w:fldCharType="separate"/>
      </w:r>
      <w:r>
        <w:t>118</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_Toc5364834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_Toc5364836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_Toc5364838 \h </w:instrText>
      </w:r>
      <w:r>
        <w:fldChar w:fldCharType="separate"/>
      </w:r>
      <w:r>
        <w:t>120</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_Toc5364839 \h </w:instrText>
      </w:r>
      <w:r>
        <w:fldChar w:fldCharType="separate"/>
      </w:r>
      <w:r>
        <w:t>120</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_Toc5364840 \h </w:instrText>
      </w:r>
      <w:r>
        <w:fldChar w:fldCharType="separate"/>
      </w:r>
      <w:r>
        <w:t>120</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_Toc5364841 \h </w:instrText>
      </w:r>
      <w:r>
        <w:fldChar w:fldCharType="separate"/>
      </w:r>
      <w:r>
        <w:t>121</w:t>
      </w:r>
      <w:r>
        <w:fldChar w:fldCharType="end"/>
      </w:r>
    </w:p>
    <w:p>
      <w:pPr>
        <w:pStyle w:val="TOC8"/>
        <w:rPr>
          <w:rFonts w:asciiTheme="minorHAnsi" w:eastAsiaTheme="minorEastAsia" w:hAnsiTheme="minorHAnsi" w:cstheme="minorBidi"/>
          <w:szCs w:val="22"/>
        </w:rPr>
      </w:pPr>
      <w:r>
        <w:t>68C.</w:t>
      </w:r>
      <w:r>
        <w:tab/>
        <w:t>Record of designated reviewable regulatory decisions</w:t>
      </w:r>
      <w:r>
        <w:tab/>
      </w:r>
      <w:r>
        <w:fldChar w:fldCharType="begin"/>
      </w:r>
      <w:r>
        <w:instrText xml:space="preserve"> PAGEREF _Toc5364842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_Toc5364844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2 — Functions and powers of the Australian Energy Market Commission</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_Toc5364847 \h </w:instrText>
      </w:r>
      <w:r>
        <w:fldChar w:fldCharType="separate"/>
      </w:r>
      <w:r>
        <w:t>123</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_Toc5364848 \h </w:instrText>
      </w:r>
      <w:r>
        <w:fldChar w:fldCharType="separate"/>
      </w:r>
      <w:r>
        <w:t>124</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_Toc5364849 \h </w:instrText>
      </w:r>
      <w:r>
        <w:fldChar w:fldCharType="separate"/>
      </w:r>
      <w:r>
        <w:t>124</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_Toc5364850 \h </w:instrText>
      </w:r>
      <w:r>
        <w:fldChar w:fldCharType="separate"/>
      </w:r>
      <w:r>
        <w:t>124</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_Toc5364851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_Toc5364853 \h </w:instrText>
      </w:r>
      <w:r>
        <w:fldChar w:fldCharType="separate"/>
      </w:r>
      <w:r>
        <w:t>125</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_Toc5364854 \h </w:instrText>
      </w:r>
      <w:r>
        <w:fldChar w:fldCharType="separate"/>
      </w:r>
      <w:r>
        <w:t>128</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_Toc5364855 \h </w:instrText>
      </w:r>
      <w:r>
        <w:fldChar w:fldCharType="separate"/>
      </w:r>
      <w:r>
        <w:t>128</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_Toc5364856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_Toc5364858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_Toc5364860 \h </w:instrText>
      </w:r>
      <w:r>
        <w:fldChar w:fldCharType="separate"/>
      </w:r>
      <w:r>
        <w:t>130</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_Toc5364861 \h </w:instrText>
      </w:r>
      <w:r>
        <w:fldChar w:fldCharType="separate"/>
      </w:r>
      <w:r>
        <w:t>130</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_Toc5364862 \h </w:instrText>
      </w:r>
      <w:r>
        <w:fldChar w:fldCharType="separate"/>
      </w:r>
      <w:r>
        <w:t>132</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_Toc5364863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_Toc5364865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83A.</w:t>
      </w:r>
      <w:r>
        <w:tab/>
        <w:t>Special information and transparency requirements relating to non</w:t>
      </w:r>
      <w:r>
        <w:noBreakHyphen/>
        <w:t>scheme pipelines</w:t>
      </w:r>
      <w:r>
        <w:tab/>
      </w:r>
      <w:r>
        <w:fldChar w:fldCharType="begin"/>
      </w:r>
      <w:r>
        <w:instrText xml:space="preserve"> PAGEREF _Toc5364867 \h </w:instrText>
      </w:r>
      <w:r>
        <w:fldChar w:fldCharType="separate"/>
      </w:r>
      <w:r>
        <w:t>133</w:t>
      </w:r>
      <w:r>
        <w:fldChar w:fldCharType="end"/>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_Toc5364868 \h </w:instrText>
      </w:r>
      <w:r>
        <w:fldChar w:fldCharType="separate"/>
      </w:r>
      <w:r>
        <w:t>135</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_Toc5364869 \h </w:instrText>
      </w:r>
      <w:r>
        <w:fldChar w:fldCharType="separate"/>
      </w:r>
      <w:r>
        <w:t>135</w:t>
      </w:r>
      <w:r>
        <w:fldChar w:fldCharType="end"/>
      </w:r>
    </w:p>
    <w:p>
      <w:pPr>
        <w:pStyle w:val="TOC8"/>
        <w:rPr>
          <w:rFonts w:asciiTheme="minorHAnsi" w:eastAsiaTheme="minorEastAsia" w:hAnsiTheme="minorHAnsi" w:cstheme="minorBidi"/>
          <w:szCs w:val="22"/>
        </w:rPr>
      </w:pPr>
      <w:r>
        <w:t>86.</w:t>
      </w:r>
      <w:r>
        <w:tab/>
        <w:t>Immunity from personal liability of AEMC officials</w:t>
      </w:r>
      <w:r>
        <w:tab/>
      </w:r>
      <w:r>
        <w:fldChar w:fldCharType="begin"/>
      </w:r>
      <w:r>
        <w:instrText xml:space="preserve"> PAGEREF _Toc5364870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_Toc5364872 \h </w:instrText>
      </w:r>
      <w:r>
        <w:fldChar w:fldCharType="separate"/>
      </w:r>
      <w:r>
        <w:t>136</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_Toc5364873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_Toc5364875 \h </w:instrText>
      </w:r>
      <w:r>
        <w:fldChar w:fldCharType="separate"/>
      </w:r>
      <w:r>
        <w:t>137</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_Toc5364876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_Toc5364878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77"/>
        </w:tabs>
        <w:rPr>
          <w:rFonts w:asciiTheme="minorHAnsi" w:eastAsiaTheme="minorEastAsia" w:hAnsiTheme="minorHAnsi" w:cstheme="minorBidi"/>
          <w:b w:val="0"/>
          <w:szCs w:val="22"/>
        </w:rPr>
      </w:pPr>
      <w:r>
        <w:t>Part 1 — Coverage of pipelines</w:t>
      </w:r>
    </w:p>
    <w:p>
      <w:pPr>
        <w:pStyle w:val="TOC6"/>
        <w:tabs>
          <w:tab w:val="right" w:leader="dot" w:pos="707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_Toc5364882 \h </w:instrText>
      </w:r>
      <w:r>
        <w:fldChar w:fldCharType="separate"/>
      </w:r>
      <w:r>
        <w:t>140</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_Toc5364883 \h </w:instrText>
      </w:r>
      <w:r>
        <w:fldChar w:fldCharType="separate"/>
      </w:r>
      <w:r>
        <w:t>140</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_Toc5364884 \h </w:instrText>
      </w:r>
      <w:r>
        <w:fldChar w:fldCharType="separate"/>
      </w:r>
      <w:r>
        <w:t>140</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_Toc5364885 \h </w:instrText>
      </w:r>
      <w:r>
        <w:fldChar w:fldCharType="separate"/>
      </w:r>
      <w:r>
        <w:t>141</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_Toc5364886 \h </w:instrText>
      </w:r>
      <w:r>
        <w:fldChar w:fldCharType="separate"/>
      </w:r>
      <w:r>
        <w:t>142</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_Toc5364887 \h </w:instrText>
      </w:r>
      <w:r>
        <w:fldChar w:fldCharType="separate"/>
      </w:r>
      <w:r>
        <w:t>142</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_Toc5364888 \h </w:instrText>
      </w:r>
      <w:r>
        <w:fldChar w:fldCharType="separate"/>
      </w:r>
      <w:r>
        <w:t>143</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_Toc5364889 \h </w:instrText>
      </w:r>
      <w:r>
        <w:fldChar w:fldCharType="separate"/>
      </w:r>
      <w:r>
        <w:t>144</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_Toc5364890 \h </w:instrText>
      </w:r>
      <w:r>
        <w:fldChar w:fldCharType="separate"/>
      </w:r>
      <w:r>
        <w:t>145</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_Toc5364891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_Toc5364893 \h </w:instrText>
      </w:r>
      <w:r>
        <w:fldChar w:fldCharType="separate"/>
      </w:r>
      <w:r>
        <w:t>146</w:t>
      </w:r>
      <w:r>
        <w:fldChar w:fldCharType="end"/>
      </w:r>
    </w:p>
    <w:p>
      <w:pPr>
        <w:pStyle w:val="TOC8"/>
        <w:rPr>
          <w:rFonts w:asciiTheme="minorHAnsi" w:eastAsiaTheme="minorEastAsia" w:hAnsiTheme="minorHAnsi" w:cstheme="minorBidi"/>
          <w:szCs w:val="22"/>
        </w:rPr>
      </w:pPr>
      <w:r>
        <w:t>103.</w:t>
      </w:r>
      <w:r>
        <w:tab/>
        <w:t>Application to be dealt with in accordance with the Rules</w:t>
      </w:r>
      <w:r>
        <w:tab/>
      </w:r>
      <w:r>
        <w:fldChar w:fldCharType="begin"/>
      </w:r>
      <w:r>
        <w:instrText xml:space="preserve"> PAGEREF _Toc5364894 \h </w:instrText>
      </w:r>
      <w:r>
        <w:fldChar w:fldCharType="separate"/>
      </w:r>
      <w:r>
        <w:t>146</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_Toc5364895 \h </w:instrText>
      </w:r>
      <w:r>
        <w:fldChar w:fldCharType="separate"/>
      </w:r>
      <w:r>
        <w:t>147</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_Toc5364896 \h </w:instrText>
      </w:r>
      <w:r>
        <w:fldChar w:fldCharType="separate"/>
      </w:r>
      <w:r>
        <w:t>147</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_Toc5364897 \h </w:instrText>
      </w:r>
      <w:r>
        <w:fldChar w:fldCharType="separate"/>
      </w:r>
      <w:r>
        <w:t>148</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_Toc5364898 \h </w:instrText>
      </w:r>
      <w:r>
        <w:fldChar w:fldCharType="separate"/>
      </w:r>
      <w:r>
        <w:t>149</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_Toc5364899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2 — Light regulation of covered pipeline services</w:t>
      </w:r>
    </w:p>
    <w:p>
      <w:pPr>
        <w:pStyle w:val="TOC6"/>
        <w:tabs>
          <w:tab w:val="right" w:leader="dot" w:pos="707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_Toc5364903 \h </w:instrText>
      </w:r>
      <w:r>
        <w:fldChar w:fldCharType="separate"/>
      </w:r>
      <w:r>
        <w:t>150</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_Toc5364904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_Toc5364906 \h </w:instrText>
      </w:r>
      <w:r>
        <w:fldChar w:fldCharType="separate"/>
      </w:r>
      <w:r>
        <w:t>151</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_Toc5364907 \h </w:instrText>
      </w:r>
      <w:r>
        <w:fldChar w:fldCharType="separate"/>
      </w:r>
      <w:r>
        <w:t>152</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_Toc5364908 \h </w:instrText>
      </w:r>
      <w:r>
        <w:fldChar w:fldCharType="separate"/>
      </w:r>
      <w:r>
        <w:t>152</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_Toc5364909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_Toc5364911 \h </w:instrText>
      </w:r>
      <w:r>
        <w:fldChar w:fldCharType="separate"/>
      </w:r>
      <w:r>
        <w:t>153</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_Toc5364912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_Toc5364915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_Toc5364917 \h </w:instrText>
      </w:r>
      <w:r>
        <w:fldChar w:fldCharType="separate"/>
      </w:r>
      <w:r>
        <w:t>155</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_Toc5364918 \h </w:instrText>
      </w:r>
      <w:r>
        <w:fldChar w:fldCharType="separate"/>
      </w:r>
      <w:r>
        <w:t>155</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_Toc5364919 \h </w:instrText>
      </w:r>
      <w:r>
        <w:fldChar w:fldCharType="separate"/>
      </w:r>
      <w:r>
        <w:t>157</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_Toc5364920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_Toc5364922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_Toc5364924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_Toc5364926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_Toc5364928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_Toc5364930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_Toc5364932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_Toc5364934 \h </w:instrText>
      </w:r>
      <w:r>
        <w:fldChar w:fldCharType="separate"/>
      </w:r>
      <w:r>
        <w:t>163</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_Toc5364935 \h </w:instrText>
      </w:r>
      <w:r>
        <w:fldChar w:fldCharType="separate"/>
      </w:r>
      <w:r>
        <w:t>163</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_Toc5364936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Chapter 4 — General requirements for provision of covered pipeline services</w:t>
      </w:r>
    </w:p>
    <w:p>
      <w:pPr>
        <w:pStyle w:val="TOC4"/>
        <w:tabs>
          <w:tab w:val="right" w:leader="dot" w:pos="707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_Toc5364939 \h </w:instrText>
      </w:r>
      <w:r>
        <w:fldChar w:fldCharType="separate"/>
      </w:r>
      <w:r>
        <w:t>165</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_Toc5364940 \h </w:instrText>
      </w:r>
      <w:r>
        <w:fldChar w:fldCharType="separate"/>
      </w:r>
      <w:r>
        <w:t>165</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_Toc5364941 \h </w:instrText>
      </w:r>
      <w:r>
        <w:fldChar w:fldCharType="separate"/>
      </w:r>
      <w:r>
        <w:t>166</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_Toc5364942 \h </w:instrText>
      </w:r>
      <w:r>
        <w:fldChar w:fldCharType="separate"/>
      </w:r>
      <w:r>
        <w:t>168</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_Toc5364943 \h </w:instrText>
      </w:r>
      <w:r>
        <w:fldChar w:fldCharType="separate"/>
      </w:r>
      <w:r>
        <w:t>168</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_Toc5364944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_Toc5364947 \h </w:instrText>
      </w:r>
      <w:r>
        <w:fldChar w:fldCharType="separate"/>
      </w:r>
      <w:r>
        <w:t>169</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_Toc5364948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_Toc5364950 \h </w:instrText>
      </w:r>
      <w:r>
        <w:fldChar w:fldCharType="separate"/>
      </w:r>
      <w:r>
        <w:t>171</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_Toc5364951 \h </w:instrText>
      </w:r>
      <w:r>
        <w:fldChar w:fldCharType="separate"/>
      </w:r>
      <w:r>
        <w:t>171</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_Toc5364952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_Toc5364954 \h </w:instrText>
      </w:r>
      <w:r>
        <w:fldChar w:fldCharType="separate"/>
      </w:r>
      <w:r>
        <w:t>172</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_Toc5364955 \h </w:instrText>
      </w:r>
      <w:r>
        <w:fldChar w:fldCharType="separate"/>
      </w:r>
      <w:r>
        <w:t>172</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_Toc5364956 \h </w:instrText>
      </w:r>
      <w:r>
        <w:fldChar w:fldCharType="separate"/>
      </w:r>
      <w:r>
        <w:t>174</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_Toc5364957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_Toc5364959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_Toc5364961 \h </w:instrText>
      </w:r>
      <w:r>
        <w:fldChar w:fldCharType="separate"/>
      </w:r>
      <w:r>
        <w:t>176</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_Toc5364962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Chapter 5 — Greenfields pipeline incentives</w:t>
      </w:r>
    </w:p>
    <w:p>
      <w:pPr>
        <w:pStyle w:val="TOC4"/>
        <w:tabs>
          <w:tab w:val="right" w:leader="dot" w:pos="707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_Toc5364965 \h </w:instrText>
      </w:r>
      <w:r>
        <w:fldChar w:fldCharType="separate"/>
      </w:r>
      <w:r>
        <w:t>178</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_Toc5364966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_Toc5364968 \h </w:instrText>
      </w:r>
      <w:r>
        <w:fldChar w:fldCharType="separate"/>
      </w:r>
      <w:r>
        <w:t>179</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_Toc5364969 \h </w:instrText>
      </w:r>
      <w:r>
        <w:fldChar w:fldCharType="separate"/>
      </w:r>
      <w:r>
        <w:t>180</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_Toc5364970 \h </w:instrText>
      </w:r>
      <w:r>
        <w:fldChar w:fldCharType="separate"/>
      </w:r>
      <w:r>
        <w:t>180</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_Toc5364971 \h </w:instrText>
      </w:r>
      <w:r>
        <w:fldChar w:fldCharType="separate"/>
      </w:r>
      <w:r>
        <w:t>181</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_Toc5364972 \h </w:instrText>
      </w:r>
      <w:r>
        <w:fldChar w:fldCharType="separate"/>
      </w:r>
      <w:r>
        <w:t>181</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_Toc5364973 \h </w:instrText>
      </w:r>
      <w:r>
        <w:fldChar w:fldCharType="separate"/>
      </w:r>
      <w:r>
        <w:t>182</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_Toc5364974 \h </w:instrText>
      </w:r>
      <w:r>
        <w:fldChar w:fldCharType="separate"/>
      </w:r>
      <w:r>
        <w:t>183</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_Toc5364975 \h </w:instrText>
      </w:r>
      <w:r>
        <w:fldChar w:fldCharType="separate"/>
      </w:r>
      <w:r>
        <w:t>184</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_Toc5364976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3 — Price regulation exemptions</w:t>
      </w:r>
    </w:p>
    <w:p>
      <w:pPr>
        <w:pStyle w:val="TOC6"/>
        <w:tabs>
          <w:tab w:val="right" w:leader="dot" w:pos="707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_Toc5364979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_Toc5364981 \h </w:instrText>
      </w:r>
      <w:r>
        <w:fldChar w:fldCharType="separate"/>
      </w:r>
      <w:r>
        <w:t>186</w:t>
      </w:r>
      <w:r>
        <w:fldChar w:fldCharType="end"/>
      </w:r>
    </w:p>
    <w:p>
      <w:pPr>
        <w:pStyle w:val="TOC8"/>
        <w:rPr>
          <w:rFonts w:asciiTheme="minorHAnsi" w:eastAsiaTheme="minorEastAsia" w:hAnsiTheme="minorHAnsi" w:cstheme="minorBidi"/>
          <w:szCs w:val="22"/>
        </w:rPr>
      </w:pPr>
      <w:r>
        <w:t>162.</w:t>
      </w:r>
      <w:r>
        <w:tab/>
        <w:t>NCC’s recommendation</w:t>
      </w:r>
      <w:r>
        <w:tab/>
      </w:r>
      <w:r>
        <w:fldChar w:fldCharType="begin"/>
      </w:r>
      <w:r>
        <w:instrText xml:space="preserve"> PAGEREF _Toc5364982 \h </w:instrText>
      </w:r>
      <w:r>
        <w:fldChar w:fldCharType="separate"/>
      </w:r>
      <w:r>
        <w:t>186</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_Toc5364983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_Toc5364985 \h </w:instrText>
      </w:r>
      <w:r>
        <w:fldChar w:fldCharType="separate"/>
      </w:r>
      <w:r>
        <w:t>187</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_Toc5364986 \h </w:instrText>
      </w:r>
      <w:r>
        <w:fldChar w:fldCharType="separate"/>
      </w:r>
      <w:r>
        <w:t>187</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_Toc5364987 \h </w:instrText>
      </w:r>
      <w:r>
        <w:fldChar w:fldCharType="separate"/>
      </w:r>
      <w:r>
        <w:t>188</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_Toc5364988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_Toc5364990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_Toc5364992 \h </w:instrText>
      </w:r>
      <w:r>
        <w:fldChar w:fldCharType="separate"/>
      </w:r>
      <w:r>
        <w:t>190</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_Toc5364993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_Toc5364995 \h </w:instrText>
      </w:r>
      <w:r>
        <w:fldChar w:fldCharType="separate"/>
      </w:r>
      <w:r>
        <w:t>191</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_Toc5364996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_Toc5364998 \h </w:instrText>
      </w:r>
      <w:r>
        <w:fldChar w:fldCharType="separate"/>
      </w:r>
      <w:r>
        <w:t>193</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_Toc5364999 \h </w:instrText>
      </w:r>
      <w:r>
        <w:fldChar w:fldCharType="separate"/>
      </w:r>
      <w:r>
        <w:t>193</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_Toc5365000 \h </w:instrText>
      </w:r>
      <w:r>
        <w:fldChar w:fldCharType="separate"/>
      </w:r>
      <w:r>
        <w:t>193</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_Toc5365001 \h </w:instrText>
      </w:r>
      <w:r>
        <w:fldChar w:fldCharType="separate"/>
      </w:r>
      <w:r>
        <w:t>193</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_Toc5365002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Chapter 6 — Access disputes—scheme pipelines</w:t>
      </w:r>
    </w:p>
    <w:p>
      <w:pPr>
        <w:pStyle w:val="TOC4"/>
        <w:tabs>
          <w:tab w:val="right" w:leader="dot" w:pos="707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_Toc5365005 \h </w:instrText>
      </w:r>
      <w:r>
        <w:fldChar w:fldCharType="separate"/>
      </w:r>
      <w:r>
        <w:t>194</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_Toc5365006 \h </w:instrText>
      </w:r>
      <w:r>
        <w:fldChar w:fldCharType="separate"/>
      </w:r>
      <w:r>
        <w:t>194</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_Toc5365007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_Toc5365009 \h </w:instrText>
      </w:r>
      <w:r>
        <w:fldChar w:fldCharType="separate"/>
      </w:r>
      <w:r>
        <w:t>195</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_Toc5365010 \h </w:instrText>
      </w:r>
      <w:r>
        <w:fldChar w:fldCharType="separate"/>
      </w:r>
      <w:r>
        <w:t>195</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_Toc5365011 \h </w:instrText>
      </w:r>
      <w:r>
        <w:fldChar w:fldCharType="separate"/>
      </w:r>
      <w:r>
        <w:t>196</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_Toc5365012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_Toc5365014 \h </w:instrText>
      </w:r>
      <w:r>
        <w:fldChar w:fldCharType="separate"/>
      </w:r>
      <w:r>
        <w:t>197</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_Toc5365015 \h </w:instrText>
      </w:r>
      <w:r>
        <w:fldChar w:fldCharType="separate"/>
      </w:r>
      <w:r>
        <w:t>197</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_Toc5365016 \h </w:instrText>
      </w:r>
      <w:r>
        <w:fldChar w:fldCharType="separate"/>
      </w:r>
      <w:r>
        <w:t>198</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_Toc5365017 \h </w:instrText>
      </w:r>
      <w:r>
        <w:fldChar w:fldCharType="separate"/>
      </w:r>
      <w:r>
        <w:t>199</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_Toc5365018 \h </w:instrText>
      </w:r>
      <w:r>
        <w:fldChar w:fldCharType="separate"/>
      </w:r>
      <w:r>
        <w:t>199</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_Toc5365019 \h </w:instrText>
      </w:r>
      <w:r>
        <w:fldChar w:fldCharType="separate"/>
      </w:r>
      <w:r>
        <w:t>200</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_Toc5365020 \h </w:instrText>
      </w:r>
      <w:r>
        <w:fldChar w:fldCharType="separate"/>
      </w:r>
      <w:r>
        <w:t>200</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_Toc5365021 \h </w:instrText>
      </w:r>
      <w:r>
        <w:fldChar w:fldCharType="separate"/>
      </w:r>
      <w:r>
        <w:t>201</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_Toc5365022 \h </w:instrText>
      </w:r>
      <w:r>
        <w:fldChar w:fldCharType="separate"/>
      </w:r>
      <w:r>
        <w:t>201</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_Toc5365023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_Toc5365025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_Toc5365027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_Toc5365029 \h </w:instrText>
      </w:r>
      <w:r>
        <w:fldChar w:fldCharType="separate"/>
      </w:r>
      <w:r>
        <w:t>203</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_Toc5365030 \h </w:instrText>
      </w:r>
      <w:r>
        <w:fldChar w:fldCharType="separate"/>
      </w:r>
      <w:r>
        <w:t>203</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_Toc5365031 \h </w:instrText>
      </w:r>
      <w:r>
        <w:fldChar w:fldCharType="separate"/>
      </w:r>
      <w:r>
        <w:t>203</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_Toc5365032 \h </w:instrText>
      </w:r>
      <w:r>
        <w:fldChar w:fldCharType="separate"/>
      </w:r>
      <w:r>
        <w:t>204</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_Toc5365033 \h </w:instrText>
      </w:r>
      <w:r>
        <w:fldChar w:fldCharType="separate"/>
      </w:r>
      <w:r>
        <w:t>205</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_Toc5365034 \h </w:instrText>
      </w:r>
      <w:r>
        <w:fldChar w:fldCharType="separate"/>
      </w:r>
      <w:r>
        <w:t>205</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_Toc5365035 \h </w:instrText>
      </w:r>
      <w:r>
        <w:fldChar w:fldCharType="separate"/>
      </w:r>
      <w:r>
        <w:t>205</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_Toc5365036 \h </w:instrText>
      </w:r>
      <w:r>
        <w:fldChar w:fldCharType="separate"/>
      </w:r>
      <w:r>
        <w:t>206</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_Toc5365037 \h </w:instrText>
      </w:r>
      <w:r>
        <w:fldChar w:fldCharType="separate"/>
      </w:r>
      <w:r>
        <w:t>206</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_Toc5365038 \h </w:instrText>
      </w:r>
      <w:r>
        <w:fldChar w:fldCharType="separate"/>
      </w:r>
      <w:r>
        <w:t>207</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_Toc5365039 \h </w:instrText>
      </w:r>
      <w:r>
        <w:fldChar w:fldCharType="separate"/>
      </w:r>
      <w:r>
        <w:t>208</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_Toc5365040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_Toc5365042 \h </w:instrText>
      </w:r>
      <w:r>
        <w:fldChar w:fldCharType="separate"/>
      </w:r>
      <w:r>
        <w:t>210</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_Toc5365043 \h </w:instrText>
      </w:r>
      <w:r>
        <w:fldChar w:fldCharType="separate"/>
      </w:r>
      <w:r>
        <w:t>210</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_Toc5365044 \h </w:instrText>
      </w:r>
      <w:r>
        <w:fldChar w:fldCharType="separate"/>
      </w:r>
      <w:r>
        <w:t>211</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_Toc5365045 \h </w:instrText>
      </w:r>
      <w:r>
        <w:fldChar w:fldCharType="separate"/>
      </w:r>
      <w:r>
        <w:t>211</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_Toc5365046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_Toc5365048 \h </w:instrText>
      </w:r>
      <w:r>
        <w:fldChar w:fldCharType="separate"/>
      </w:r>
      <w:r>
        <w:t>212</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_Toc5365049 \h </w:instrText>
      </w:r>
      <w:r>
        <w:fldChar w:fldCharType="separate"/>
      </w:r>
      <w:r>
        <w:t>212</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_Toc5365050 \h </w:instrText>
      </w:r>
      <w:r>
        <w:fldChar w:fldCharType="separate"/>
      </w:r>
      <w:r>
        <w:t>212</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_Toc5365051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Chapter 6A—Access disputes—non-scheme pipelines</w:t>
      </w:r>
    </w:p>
    <w:p>
      <w:pPr>
        <w:pStyle w:val="TOC4"/>
        <w:tabs>
          <w:tab w:val="right" w:leader="dot" w:pos="7077"/>
        </w:tabs>
        <w:rPr>
          <w:rFonts w:asciiTheme="minorHAnsi" w:eastAsiaTheme="minorEastAsia" w:hAnsiTheme="minorHAnsi" w:cstheme="minorBidi"/>
          <w:b w:val="0"/>
          <w:szCs w:val="22"/>
        </w:rPr>
      </w:pPr>
      <w:r>
        <w:t>Part 1—Interpretation and application</w:t>
      </w:r>
    </w:p>
    <w:p>
      <w:pPr>
        <w:pStyle w:val="TOC8"/>
        <w:rPr>
          <w:rFonts w:asciiTheme="minorHAnsi" w:eastAsiaTheme="minorEastAsia" w:hAnsiTheme="minorHAnsi" w:cstheme="minorBidi"/>
          <w:szCs w:val="22"/>
        </w:rPr>
      </w:pPr>
      <w:r>
        <w:t>216A.</w:t>
      </w:r>
      <w:r>
        <w:tab/>
        <w:t>Definitions</w:t>
      </w:r>
      <w:r>
        <w:tab/>
      </w:r>
      <w:r>
        <w:fldChar w:fldCharType="begin"/>
      </w:r>
      <w:r>
        <w:instrText xml:space="preserve"> PAGEREF _Toc5365054 \h </w:instrText>
      </w:r>
      <w:r>
        <w:fldChar w:fldCharType="separate"/>
      </w:r>
      <w:r>
        <w:t>214</w:t>
      </w:r>
      <w:r>
        <w:fldChar w:fldCharType="end"/>
      </w:r>
    </w:p>
    <w:p>
      <w:pPr>
        <w:pStyle w:val="TOC8"/>
        <w:rPr>
          <w:rFonts w:asciiTheme="minorHAnsi" w:eastAsiaTheme="minorEastAsia" w:hAnsiTheme="minorHAnsi" w:cstheme="minorBidi"/>
          <w:szCs w:val="22"/>
        </w:rPr>
      </w:pPr>
      <w:r>
        <w:t>216B.</w:t>
      </w:r>
      <w:r>
        <w:tab/>
        <w:t>Meaning of prospective user</w:t>
      </w:r>
      <w:r>
        <w:tab/>
      </w:r>
      <w:r>
        <w:fldChar w:fldCharType="begin"/>
      </w:r>
      <w:r>
        <w:instrText xml:space="preserve"> PAGEREF _Toc5365055 \h </w:instrText>
      </w:r>
      <w:r>
        <w:fldChar w:fldCharType="separate"/>
      </w:r>
      <w:r>
        <w:t>215</w:t>
      </w:r>
      <w:r>
        <w:fldChar w:fldCharType="end"/>
      </w:r>
    </w:p>
    <w:p>
      <w:pPr>
        <w:pStyle w:val="TOC8"/>
        <w:rPr>
          <w:rFonts w:asciiTheme="minorHAnsi" w:eastAsiaTheme="minorEastAsia" w:hAnsiTheme="minorHAnsi" w:cstheme="minorBidi"/>
          <w:szCs w:val="22"/>
        </w:rPr>
      </w:pPr>
      <w:r>
        <w:t>216C.</w:t>
      </w:r>
      <w:r>
        <w:tab/>
        <w:t>Application of Chapter</w:t>
      </w:r>
      <w:r>
        <w:tab/>
      </w:r>
      <w:r>
        <w:fldChar w:fldCharType="begin"/>
      </w:r>
      <w:r>
        <w:instrText xml:space="preserve"> PAGEREF _Toc5365056 \h </w:instrText>
      </w:r>
      <w:r>
        <w:fldChar w:fldCharType="separate"/>
      </w:r>
      <w:r>
        <w:t>216</w:t>
      </w:r>
      <w:r>
        <w:fldChar w:fldCharType="end"/>
      </w:r>
    </w:p>
    <w:p>
      <w:pPr>
        <w:pStyle w:val="TOC8"/>
        <w:rPr>
          <w:rFonts w:asciiTheme="minorHAnsi" w:eastAsiaTheme="minorEastAsia" w:hAnsiTheme="minorHAnsi" w:cstheme="minorBidi"/>
          <w:szCs w:val="22"/>
        </w:rPr>
      </w:pPr>
      <w:r>
        <w:t>216D.</w:t>
      </w:r>
      <w:r>
        <w:tab/>
        <w:t>Application of this Chapter to disputes arising under Rules</w:t>
      </w:r>
      <w:r>
        <w:tab/>
      </w:r>
      <w:r>
        <w:fldChar w:fldCharType="begin"/>
      </w:r>
      <w:r>
        <w:instrText xml:space="preserve"> PAGEREF _Toc5365057 \h </w:instrText>
      </w:r>
      <w:r>
        <w:fldChar w:fldCharType="separate"/>
      </w:r>
      <w:r>
        <w:t>216</w:t>
      </w:r>
      <w:r>
        <w:fldChar w:fldCharType="end"/>
      </w:r>
    </w:p>
    <w:p>
      <w:pPr>
        <w:pStyle w:val="TOC8"/>
        <w:rPr>
          <w:rFonts w:asciiTheme="minorHAnsi" w:eastAsiaTheme="minorEastAsia" w:hAnsiTheme="minorHAnsi" w:cstheme="minorBidi"/>
          <w:szCs w:val="22"/>
        </w:rPr>
      </w:pPr>
      <w:r>
        <w:t>216E.</w:t>
      </w:r>
      <w:r>
        <w:tab/>
        <w:t>Chapter does not limit how disputes about access may be raised or dealt with</w:t>
      </w:r>
      <w:r>
        <w:tab/>
      </w:r>
      <w:r>
        <w:fldChar w:fldCharType="begin"/>
      </w:r>
      <w:r>
        <w:instrText xml:space="preserve"> PAGEREF _Toc5365058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Part 2—Negotiation of access</w:t>
      </w:r>
    </w:p>
    <w:p>
      <w:pPr>
        <w:pStyle w:val="TOC8"/>
        <w:rPr>
          <w:rFonts w:asciiTheme="minorHAnsi" w:eastAsiaTheme="minorEastAsia" w:hAnsiTheme="minorHAnsi" w:cstheme="minorBidi"/>
          <w:szCs w:val="22"/>
        </w:rPr>
      </w:pPr>
      <w:r>
        <w:t>216F.</w:t>
      </w:r>
      <w:r>
        <w:tab/>
        <w:t>Access proposals</w:t>
      </w:r>
      <w:r>
        <w:tab/>
      </w:r>
      <w:r>
        <w:fldChar w:fldCharType="begin"/>
      </w:r>
      <w:r>
        <w:instrText xml:space="preserve"> PAGEREF _Toc5365060 \h </w:instrText>
      </w:r>
      <w:r>
        <w:fldChar w:fldCharType="separate"/>
      </w:r>
      <w:r>
        <w:t>217</w:t>
      </w:r>
      <w:r>
        <w:fldChar w:fldCharType="end"/>
      </w:r>
    </w:p>
    <w:p>
      <w:pPr>
        <w:pStyle w:val="TOC8"/>
        <w:rPr>
          <w:rFonts w:asciiTheme="minorHAnsi" w:eastAsiaTheme="minorEastAsia" w:hAnsiTheme="minorHAnsi" w:cstheme="minorBidi"/>
          <w:szCs w:val="22"/>
        </w:rPr>
      </w:pPr>
      <w:r>
        <w:t>216G.</w:t>
      </w:r>
      <w:r>
        <w:tab/>
        <w:t>Duty to negotiate in good faith</w:t>
      </w:r>
      <w:r>
        <w:tab/>
      </w:r>
      <w:r>
        <w:fldChar w:fldCharType="begin"/>
      </w:r>
      <w:r>
        <w:instrText xml:space="preserve"> PAGEREF _Toc5365061 \h </w:instrText>
      </w:r>
      <w:r>
        <w:fldChar w:fldCharType="separate"/>
      </w:r>
      <w:r>
        <w:t>217</w:t>
      </w:r>
      <w:r>
        <w:fldChar w:fldCharType="end"/>
      </w:r>
    </w:p>
    <w:p>
      <w:pPr>
        <w:pStyle w:val="TOC8"/>
        <w:rPr>
          <w:rFonts w:asciiTheme="minorHAnsi" w:eastAsiaTheme="minorEastAsia" w:hAnsiTheme="minorHAnsi" w:cstheme="minorBidi"/>
          <w:szCs w:val="22"/>
        </w:rPr>
      </w:pPr>
      <w:r>
        <w:t>216H.</w:t>
      </w:r>
      <w:r>
        <w:tab/>
        <w:t>Notification of access dispute</w:t>
      </w:r>
      <w:r>
        <w:tab/>
      </w:r>
      <w:r>
        <w:fldChar w:fldCharType="begin"/>
      </w:r>
      <w:r>
        <w:instrText xml:space="preserve"> PAGEREF _Toc5365062 \h </w:instrText>
      </w:r>
      <w:r>
        <w:fldChar w:fldCharType="separate"/>
      </w:r>
      <w:r>
        <w:t>217</w:t>
      </w:r>
      <w:r>
        <w:fldChar w:fldCharType="end"/>
      </w:r>
    </w:p>
    <w:p>
      <w:pPr>
        <w:pStyle w:val="TOC8"/>
        <w:rPr>
          <w:rFonts w:asciiTheme="minorHAnsi" w:eastAsiaTheme="minorEastAsia" w:hAnsiTheme="minorHAnsi" w:cstheme="minorBidi"/>
          <w:szCs w:val="22"/>
        </w:rPr>
      </w:pPr>
      <w:r>
        <w:t>216I.</w:t>
      </w:r>
      <w:r>
        <w:tab/>
        <w:t>Parties to an access dispute</w:t>
      </w:r>
      <w:r>
        <w:tab/>
      </w:r>
      <w:r>
        <w:fldChar w:fldCharType="begin"/>
      </w:r>
      <w:r>
        <w:instrText xml:space="preserve"> PAGEREF _Toc5365063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Part 3—Reference of dispute to arbitration</w:t>
      </w:r>
    </w:p>
    <w:p>
      <w:pPr>
        <w:pStyle w:val="TOC8"/>
        <w:rPr>
          <w:rFonts w:asciiTheme="minorHAnsi" w:eastAsiaTheme="minorEastAsia" w:hAnsiTheme="minorHAnsi" w:cstheme="minorBidi"/>
          <w:szCs w:val="22"/>
        </w:rPr>
      </w:pPr>
      <w:r>
        <w:t>216J.</w:t>
      </w:r>
      <w:r>
        <w:tab/>
        <w:t>Reference of dispute</w:t>
      </w:r>
      <w:r>
        <w:tab/>
      </w:r>
      <w:r>
        <w:fldChar w:fldCharType="begin"/>
      </w:r>
      <w:r>
        <w:instrText xml:space="preserve"> PAGEREF _Toc5365065 \h </w:instrText>
      </w:r>
      <w:r>
        <w:fldChar w:fldCharType="separate"/>
      </w:r>
      <w:r>
        <w:t>219</w:t>
      </w:r>
      <w:r>
        <w:fldChar w:fldCharType="end"/>
      </w:r>
    </w:p>
    <w:p>
      <w:pPr>
        <w:pStyle w:val="TOC8"/>
        <w:rPr>
          <w:rFonts w:asciiTheme="minorHAnsi" w:eastAsiaTheme="minorEastAsia" w:hAnsiTheme="minorHAnsi" w:cstheme="minorBidi"/>
          <w:szCs w:val="22"/>
        </w:rPr>
      </w:pPr>
      <w:r>
        <w:t>216K.</w:t>
      </w:r>
      <w:r>
        <w:tab/>
        <w:t>Selection of arbitrator</w:t>
      </w:r>
      <w:r>
        <w:tab/>
      </w:r>
      <w:r>
        <w:fldChar w:fldCharType="begin"/>
      </w:r>
      <w:r>
        <w:instrText xml:space="preserve"> PAGEREF _Toc5365066 \h </w:instrText>
      </w:r>
      <w:r>
        <w:fldChar w:fldCharType="separate"/>
      </w:r>
      <w:r>
        <w:t>219</w:t>
      </w:r>
      <w:r>
        <w:fldChar w:fldCharType="end"/>
      </w:r>
    </w:p>
    <w:p>
      <w:pPr>
        <w:pStyle w:val="TOC8"/>
        <w:rPr>
          <w:rFonts w:asciiTheme="minorHAnsi" w:eastAsiaTheme="minorEastAsia" w:hAnsiTheme="minorHAnsi" w:cstheme="minorBidi"/>
          <w:szCs w:val="22"/>
        </w:rPr>
      </w:pPr>
      <w:r>
        <w:t>216L.</w:t>
      </w:r>
      <w:r>
        <w:tab/>
        <w:t>Determination of access dispute</w:t>
      </w:r>
      <w:r>
        <w:tab/>
      </w:r>
      <w:r>
        <w:fldChar w:fldCharType="begin"/>
      </w:r>
      <w:r>
        <w:instrText xml:space="preserve"> PAGEREF _Toc5365067 \h </w:instrText>
      </w:r>
      <w:r>
        <w:fldChar w:fldCharType="separate"/>
      </w:r>
      <w:r>
        <w:t>220</w:t>
      </w:r>
      <w:r>
        <w:fldChar w:fldCharType="end"/>
      </w:r>
    </w:p>
    <w:p>
      <w:pPr>
        <w:pStyle w:val="TOC8"/>
        <w:rPr>
          <w:rFonts w:asciiTheme="minorHAnsi" w:eastAsiaTheme="minorEastAsia" w:hAnsiTheme="minorHAnsi" w:cstheme="minorBidi"/>
          <w:szCs w:val="22"/>
        </w:rPr>
      </w:pPr>
      <w:r>
        <w:t>216M.</w:t>
      </w:r>
      <w:r>
        <w:tab/>
        <w:t>Principles to be taken into account</w:t>
      </w:r>
      <w:r>
        <w:tab/>
      </w:r>
      <w:r>
        <w:fldChar w:fldCharType="begin"/>
      </w:r>
      <w:r>
        <w:instrText xml:space="preserve"> PAGEREF _Toc5365068 \h </w:instrText>
      </w:r>
      <w:r>
        <w:fldChar w:fldCharType="separate"/>
      </w:r>
      <w:r>
        <w:t>221</w:t>
      </w:r>
      <w:r>
        <w:fldChar w:fldCharType="end"/>
      </w:r>
    </w:p>
    <w:p>
      <w:pPr>
        <w:pStyle w:val="TOC8"/>
        <w:rPr>
          <w:rFonts w:asciiTheme="minorHAnsi" w:eastAsiaTheme="minorEastAsia" w:hAnsiTheme="minorHAnsi" w:cstheme="minorBidi"/>
          <w:szCs w:val="22"/>
        </w:rPr>
      </w:pPr>
      <w:r>
        <w:t>216N.</w:t>
      </w:r>
      <w:r>
        <w:tab/>
        <w:t>Restrictions on access determinations</w:t>
      </w:r>
      <w:r>
        <w:tab/>
      </w:r>
      <w:r>
        <w:fldChar w:fldCharType="begin"/>
      </w:r>
      <w:r>
        <w:instrText xml:space="preserve"> PAGEREF _Toc5365069 \h </w:instrText>
      </w:r>
      <w:r>
        <w:fldChar w:fldCharType="separate"/>
      </w:r>
      <w:r>
        <w:t>221</w:t>
      </w:r>
      <w:r>
        <w:fldChar w:fldCharType="end"/>
      </w:r>
    </w:p>
    <w:p>
      <w:pPr>
        <w:pStyle w:val="TOC8"/>
        <w:rPr>
          <w:rFonts w:asciiTheme="minorHAnsi" w:eastAsiaTheme="minorEastAsia" w:hAnsiTheme="minorHAnsi" w:cstheme="minorBidi"/>
          <w:szCs w:val="22"/>
        </w:rPr>
      </w:pPr>
      <w:r>
        <w:t>216O.</w:t>
      </w:r>
      <w:r>
        <w:tab/>
        <w:t>Arbitrator's power to terminate arbitration</w:t>
      </w:r>
      <w:r>
        <w:tab/>
      </w:r>
      <w:r>
        <w:fldChar w:fldCharType="begin"/>
      </w:r>
      <w:r>
        <w:instrText xml:space="preserve"> PAGEREF _Toc5365070 \h </w:instrText>
      </w:r>
      <w:r>
        <w:fldChar w:fldCharType="separate"/>
      </w:r>
      <w:r>
        <w:t>222</w:t>
      </w:r>
      <w:r>
        <w:fldChar w:fldCharType="end"/>
      </w:r>
    </w:p>
    <w:p>
      <w:pPr>
        <w:pStyle w:val="TOC8"/>
        <w:rPr>
          <w:rFonts w:asciiTheme="minorHAnsi" w:eastAsiaTheme="minorEastAsia" w:hAnsiTheme="minorHAnsi" w:cstheme="minorBidi"/>
          <w:szCs w:val="22"/>
        </w:rPr>
      </w:pPr>
      <w:r>
        <w:t>216P.</w:t>
      </w:r>
      <w:r>
        <w:tab/>
        <w:t>Access seeker's right to terminate arbitration</w:t>
      </w:r>
      <w:r>
        <w:tab/>
      </w:r>
      <w:r>
        <w:fldChar w:fldCharType="begin"/>
      </w:r>
      <w:r>
        <w:instrText xml:space="preserve"> PAGEREF _Toc5365071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4—Compliance with access determinations</w:t>
      </w:r>
    </w:p>
    <w:p>
      <w:pPr>
        <w:pStyle w:val="TOC8"/>
        <w:rPr>
          <w:rFonts w:asciiTheme="minorHAnsi" w:eastAsiaTheme="minorEastAsia" w:hAnsiTheme="minorHAnsi" w:cstheme="minorBidi"/>
          <w:szCs w:val="22"/>
        </w:rPr>
      </w:pPr>
      <w:r>
        <w:t>216Q.</w:t>
      </w:r>
      <w:r>
        <w:tab/>
        <w:t>Compliance with access determinations</w:t>
      </w:r>
      <w:r>
        <w:tab/>
      </w:r>
      <w:r>
        <w:fldChar w:fldCharType="begin"/>
      </w:r>
      <w:r>
        <w:instrText xml:space="preserve"> PAGEREF _Toc5365073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5—Variation of access determinations</w:t>
      </w:r>
    </w:p>
    <w:p>
      <w:pPr>
        <w:pStyle w:val="TOC8"/>
        <w:rPr>
          <w:rFonts w:asciiTheme="minorHAnsi" w:eastAsiaTheme="minorEastAsia" w:hAnsiTheme="minorHAnsi" w:cstheme="minorBidi"/>
          <w:szCs w:val="22"/>
        </w:rPr>
      </w:pPr>
      <w:r>
        <w:t>216R.</w:t>
      </w:r>
      <w:r>
        <w:tab/>
        <w:t>Variation of access determinations</w:t>
      </w:r>
      <w:r>
        <w:tab/>
      </w:r>
      <w:r>
        <w:fldChar w:fldCharType="begin"/>
      </w:r>
      <w:r>
        <w:instrText xml:space="preserve"> PAGEREF _Toc5365075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6—Hearing procedures</w:t>
      </w:r>
    </w:p>
    <w:p>
      <w:pPr>
        <w:pStyle w:val="TOC8"/>
        <w:rPr>
          <w:rFonts w:asciiTheme="minorHAnsi" w:eastAsiaTheme="minorEastAsia" w:hAnsiTheme="minorHAnsi" w:cstheme="minorBidi"/>
          <w:szCs w:val="22"/>
        </w:rPr>
      </w:pPr>
      <w:r>
        <w:t>216S.</w:t>
      </w:r>
      <w:r>
        <w:tab/>
        <w:t>Hearing procedures</w:t>
      </w:r>
      <w:r>
        <w:tab/>
      </w:r>
      <w:r>
        <w:fldChar w:fldCharType="begin"/>
      </w:r>
      <w:r>
        <w:instrText xml:space="preserve"> PAGEREF _Toc5365077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7—Miscellaneous matters</w:t>
      </w:r>
    </w:p>
    <w:p>
      <w:pPr>
        <w:pStyle w:val="TOC8"/>
        <w:rPr>
          <w:rFonts w:asciiTheme="minorHAnsi" w:eastAsiaTheme="minorEastAsia" w:hAnsiTheme="minorHAnsi" w:cstheme="minorBidi"/>
          <w:szCs w:val="22"/>
        </w:rPr>
      </w:pPr>
      <w:r>
        <w:t>216T.</w:t>
      </w:r>
      <w:r>
        <w:tab/>
        <w:t>Correction of access determinations for clerical mistakes etc</w:t>
      </w:r>
      <w:r>
        <w:tab/>
      </w:r>
      <w:r>
        <w:fldChar w:fldCharType="begin"/>
      </w:r>
      <w:r>
        <w:instrText xml:space="preserve"> PAGEREF _Toc5365079 \h </w:instrText>
      </w:r>
      <w:r>
        <w:fldChar w:fldCharType="separate"/>
      </w:r>
      <w:r>
        <w:t>225</w:t>
      </w:r>
      <w:r>
        <w:fldChar w:fldCharType="end"/>
      </w:r>
    </w:p>
    <w:p>
      <w:pPr>
        <w:pStyle w:val="TOC8"/>
        <w:rPr>
          <w:rFonts w:asciiTheme="minorHAnsi" w:eastAsiaTheme="minorEastAsia" w:hAnsiTheme="minorHAnsi" w:cstheme="minorBidi"/>
          <w:szCs w:val="22"/>
        </w:rPr>
      </w:pPr>
      <w:r>
        <w:t>216U.</w:t>
      </w:r>
      <w:r>
        <w:tab/>
        <w:t>Reservation of capacity during an access dispute</w:t>
      </w:r>
      <w:r>
        <w:tab/>
      </w:r>
      <w:r>
        <w:fldChar w:fldCharType="begin"/>
      </w:r>
      <w:r>
        <w:instrText xml:space="preserve"> PAGEREF _Toc5365080 \h </w:instrText>
      </w:r>
      <w:r>
        <w:fldChar w:fldCharType="separate"/>
      </w:r>
      <w:r>
        <w:t>226</w:t>
      </w:r>
      <w:r>
        <w:fldChar w:fldCharType="end"/>
      </w:r>
    </w:p>
    <w:p>
      <w:pPr>
        <w:pStyle w:val="TOC8"/>
        <w:rPr>
          <w:rFonts w:asciiTheme="minorHAnsi" w:eastAsiaTheme="minorEastAsia" w:hAnsiTheme="minorHAnsi" w:cstheme="minorBidi"/>
          <w:szCs w:val="22"/>
        </w:rPr>
      </w:pPr>
      <w:r>
        <w:t>216V.</w:t>
      </w:r>
      <w:r>
        <w:tab/>
        <w:t>Costs of arbitration</w:t>
      </w:r>
      <w:r>
        <w:tab/>
      </w:r>
      <w:r>
        <w:fldChar w:fldCharType="begin"/>
      </w:r>
      <w:r>
        <w:instrText xml:space="preserve"> PAGEREF _Toc5365081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7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_Toc5365084 \h </w:instrText>
      </w:r>
      <w:r>
        <w:fldChar w:fldCharType="separate"/>
      </w:r>
      <w:r>
        <w:t>227</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_Toc5365085 \h </w:instrText>
      </w:r>
      <w:r>
        <w:fldChar w:fldCharType="separate"/>
      </w:r>
      <w:r>
        <w:t>227</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_Toc5365086 \h </w:instrText>
      </w:r>
      <w:r>
        <w:fldChar w:fldCharType="separate"/>
      </w:r>
      <w:r>
        <w:t>227</w:t>
      </w:r>
      <w:r>
        <w:fldChar w:fldCharType="end"/>
      </w:r>
    </w:p>
    <w:p>
      <w:pPr>
        <w:pStyle w:val="TOC8"/>
        <w:rPr>
          <w:rFonts w:asciiTheme="minorHAnsi" w:eastAsiaTheme="minorEastAsia" w:hAnsiTheme="minorHAnsi" w:cstheme="minorBidi"/>
          <w:szCs w:val="22"/>
        </w:rPr>
      </w:pPr>
      <w:r>
        <w:t>220.</w:t>
      </w:r>
      <w:r>
        <w:tab/>
        <w:t>Powers of the Bulletin Board operator</w:t>
      </w:r>
      <w:r>
        <w:tab/>
      </w:r>
      <w:r>
        <w:fldChar w:fldCharType="begin"/>
      </w:r>
      <w:r>
        <w:instrText xml:space="preserve"> PAGEREF _Toc5365087 \h </w:instrText>
      </w:r>
      <w:r>
        <w:fldChar w:fldCharType="separate"/>
      </w:r>
      <w:r>
        <w:t>228</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_Toc5365088 \h </w:instrText>
      </w:r>
      <w:r>
        <w:fldChar w:fldCharType="separate"/>
      </w:r>
      <w:r>
        <w:t>228</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_Toc5365089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_Toc5365091 \h </w:instrText>
      </w:r>
      <w:r>
        <w:fldChar w:fldCharType="separate"/>
      </w:r>
      <w:r>
        <w:t>229</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_Toc5365092 \h </w:instrText>
      </w:r>
      <w:r>
        <w:fldChar w:fldCharType="separate"/>
      </w:r>
      <w:r>
        <w:t>230</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_Toc5365093 \h </w:instrText>
      </w:r>
      <w:r>
        <w:fldChar w:fldCharType="separate"/>
      </w:r>
      <w:r>
        <w:t>230</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_Toc5365094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_Toc5365096 \h </w:instrText>
      </w:r>
      <w:r>
        <w:fldChar w:fldCharType="separate"/>
      </w:r>
      <w:r>
        <w:t>231</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_Toc5365097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7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_Toc5365100 \h </w:instrText>
      </w:r>
      <w:r>
        <w:fldChar w:fldCharType="separate"/>
      </w:r>
      <w:r>
        <w:t>235</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_Toc5365101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_Toc5365103 \h </w:instrText>
      </w:r>
      <w:r>
        <w:fldChar w:fldCharType="separate"/>
      </w:r>
      <w:r>
        <w:t>236</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_Toc5365104 \h </w:instrText>
      </w:r>
      <w:r>
        <w:fldChar w:fldCharType="separate"/>
      </w:r>
      <w:r>
        <w:t>238</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_Toc5365105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_Toc5365107 \h </w:instrText>
      </w:r>
      <w:r>
        <w:fldChar w:fldCharType="separate"/>
      </w:r>
      <w:r>
        <w:t>239</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_Toc5365108 \h </w:instrText>
      </w:r>
      <w:r>
        <w:fldChar w:fldCharType="separate"/>
      </w:r>
      <w:r>
        <w:t>240</w:t>
      </w:r>
      <w:r>
        <w:fldChar w:fldCharType="end"/>
      </w:r>
    </w:p>
    <w:p>
      <w:pPr>
        <w:pStyle w:val="TOC8"/>
        <w:rPr>
          <w:rFonts w:asciiTheme="minorHAnsi" w:eastAsiaTheme="minorEastAsia" w:hAnsiTheme="minorHAnsi" w:cstheme="minorBidi"/>
          <w:szCs w:val="22"/>
        </w:rPr>
      </w:pPr>
      <w:r>
        <w:t>236.</w:t>
      </w:r>
      <w:r>
        <w:tab/>
        <w:t>Breaches of civil penalty provisions involving continuing failure</w:t>
      </w:r>
      <w:r>
        <w:tab/>
      </w:r>
      <w:r>
        <w:fldChar w:fldCharType="begin"/>
      </w:r>
      <w:r>
        <w:instrText xml:space="preserve"> PAGEREF _Toc5365109 \h </w:instrText>
      </w:r>
      <w:r>
        <w:fldChar w:fldCharType="separate"/>
      </w:r>
      <w:r>
        <w:t>240</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_Toc5365110 \h </w:instrText>
      </w:r>
      <w:r>
        <w:fldChar w:fldCharType="separate"/>
      </w:r>
      <w:r>
        <w:t>240</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_Toc5365111 \h </w:instrText>
      </w:r>
      <w:r>
        <w:fldChar w:fldCharType="separate"/>
      </w:r>
      <w:r>
        <w:t>241</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_Toc5365112 \h </w:instrText>
      </w:r>
      <w:r>
        <w:fldChar w:fldCharType="separate"/>
      </w:r>
      <w:r>
        <w:t>241</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_Toc5365113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_Toc5365115 \h </w:instrText>
      </w:r>
      <w:r>
        <w:fldChar w:fldCharType="separate"/>
      </w:r>
      <w:r>
        <w:t>241</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_Toc5365116 \h </w:instrText>
      </w:r>
      <w:r>
        <w:fldChar w:fldCharType="separate"/>
      </w:r>
      <w:r>
        <w:t>242</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_Toc5365117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_Toc5365120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_Toc5365122 \h </w:instrText>
      </w:r>
      <w:r>
        <w:fldChar w:fldCharType="separate"/>
      </w:r>
      <w:r>
        <w:t>247</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_Toc5365123 \h </w:instrText>
      </w:r>
      <w:r>
        <w:fldChar w:fldCharType="separate"/>
      </w:r>
      <w:r>
        <w:t>248</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_Toc5365124 \h </w:instrText>
      </w:r>
      <w:r>
        <w:fldChar w:fldCharType="separate"/>
      </w:r>
      <w:r>
        <w:t>249</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_Toc5365125 \h </w:instrText>
      </w:r>
      <w:r>
        <w:fldChar w:fldCharType="separate"/>
      </w:r>
      <w:r>
        <w:t>249</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_Toc5365126 \h </w:instrText>
      </w:r>
      <w:r>
        <w:fldChar w:fldCharType="separate"/>
      </w:r>
      <w:r>
        <w:t>250</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_Toc5365127 \h </w:instrText>
      </w:r>
      <w:r>
        <w:fldChar w:fldCharType="separate"/>
      </w:r>
      <w:r>
        <w:t>251</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_Toc5365128 \h </w:instrText>
      </w:r>
      <w:r>
        <w:fldChar w:fldCharType="separate"/>
      </w:r>
      <w:r>
        <w:t>251</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_Toc5365129 \h </w:instrText>
      </w:r>
      <w:r>
        <w:fldChar w:fldCharType="separate"/>
      </w:r>
      <w:r>
        <w:t>252</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_Toc5365130 \h </w:instrText>
      </w:r>
      <w:r>
        <w:fldChar w:fldCharType="separate"/>
      </w:r>
      <w:r>
        <w:t>253</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_Toc5365131 \h </w:instrText>
      </w:r>
      <w:r>
        <w:fldChar w:fldCharType="separate"/>
      </w:r>
      <w:r>
        <w:t>253</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_Toc5365132 \h </w:instrText>
      </w:r>
      <w:r>
        <w:fldChar w:fldCharType="separate"/>
      </w:r>
      <w:r>
        <w:t>253</w:t>
      </w:r>
      <w:r>
        <w:fldChar w:fldCharType="end"/>
      </w:r>
    </w:p>
    <w:p>
      <w:pPr>
        <w:pStyle w:val="TOC8"/>
        <w:rPr>
          <w:rFonts w:asciiTheme="minorHAnsi" w:eastAsiaTheme="minorEastAsia" w:hAnsiTheme="minorHAnsi" w:cstheme="minorBidi"/>
          <w:szCs w:val="22"/>
        </w:rPr>
      </w:pPr>
      <w:r>
        <w:t>256.</w:t>
      </w:r>
      <w:r>
        <w:tab/>
        <w:t>Interveners may raise new grounds for review</w:t>
      </w:r>
      <w:r>
        <w:tab/>
      </w:r>
      <w:r>
        <w:fldChar w:fldCharType="begin"/>
      </w:r>
      <w:r>
        <w:instrText xml:space="preserve"> PAGEREF _Toc5365133 \h </w:instrText>
      </w:r>
      <w:r>
        <w:fldChar w:fldCharType="separate"/>
      </w:r>
      <w:r>
        <w:t>254</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_Toc5365134 \h </w:instrText>
      </w:r>
      <w:r>
        <w:fldChar w:fldCharType="separate"/>
      </w:r>
      <w:r>
        <w:t>255</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_Toc5365135 \h </w:instrText>
      </w:r>
      <w:r>
        <w:fldChar w:fldCharType="separate"/>
      </w:r>
      <w:r>
        <w:t>255</w:t>
      </w:r>
      <w:r>
        <w:fldChar w:fldCharType="end"/>
      </w:r>
    </w:p>
    <w:p>
      <w:pPr>
        <w:pStyle w:val="TOC8"/>
        <w:rPr>
          <w:rFonts w:asciiTheme="minorHAnsi" w:eastAsiaTheme="minorEastAsia" w:hAnsiTheme="minorHAnsi" w:cstheme="minorBidi"/>
          <w:szCs w:val="22"/>
        </w:rPr>
      </w:pPr>
      <w:r>
        <w:t>258A.</w:t>
      </w:r>
      <w:r>
        <w:tab/>
        <w:t>Matters that may and may not be raised in a review (designated reviewable regulatory decisions)</w:t>
      </w:r>
      <w:r>
        <w:tab/>
      </w:r>
      <w:r>
        <w:fldChar w:fldCharType="begin"/>
      </w:r>
      <w:r>
        <w:instrText xml:space="preserve"> PAGEREF _Toc5365136 \h </w:instrText>
      </w:r>
      <w:r>
        <w:fldChar w:fldCharType="separate"/>
      </w:r>
      <w:r>
        <w:t>256</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_Toc5365137 \h </w:instrText>
      </w:r>
      <w:r>
        <w:fldChar w:fldCharType="separate"/>
      </w:r>
      <w:r>
        <w:t>258</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_Toc5365138 \h </w:instrText>
      </w:r>
      <w:r>
        <w:fldChar w:fldCharType="separate"/>
      </w:r>
      <w:r>
        <w:t>261</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_Toc5365139 \h </w:instrText>
      </w:r>
      <w:r>
        <w:fldChar w:fldCharType="separate"/>
      </w:r>
      <w:r>
        <w:t>262</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_Toc5365140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_Toc5365142 \h </w:instrText>
      </w:r>
      <w:r>
        <w:fldChar w:fldCharType="separate"/>
      </w:r>
      <w:r>
        <w:t>267</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_Toc5365143 \h </w:instrText>
      </w:r>
      <w:r>
        <w:fldChar w:fldCharType="separate"/>
      </w:r>
      <w:r>
        <w:t>267</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_Toc5365144 \h </w:instrText>
      </w:r>
      <w:r>
        <w:fldChar w:fldCharType="separate"/>
      </w:r>
      <w:r>
        <w:t>267</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_Toc5365145 \h </w:instrText>
      </w:r>
      <w:r>
        <w:fldChar w:fldCharType="separate"/>
      </w:r>
      <w:r>
        <w:t>268</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_Toc5365146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_Toc5365148 \h </w:instrText>
      </w:r>
      <w:r>
        <w:fldChar w:fldCharType="separate"/>
      </w:r>
      <w:r>
        <w:t>269</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_Toc5365149 \h </w:instrText>
      </w:r>
      <w:r>
        <w:fldChar w:fldCharType="separate"/>
      </w:r>
      <w:r>
        <w:t>270</w:t>
      </w:r>
      <w:r>
        <w:fldChar w:fldCharType="end"/>
      </w:r>
    </w:p>
    <w:p>
      <w:pPr>
        <w:pStyle w:val="TOC8"/>
        <w:rPr>
          <w:rFonts w:asciiTheme="minorHAnsi" w:eastAsiaTheme="minorEastAsia" w:hAnsiTheme="minorHAnsi" w:cstheme="minorBidi"/>
          <w:szCs w:val="22"/>
        </w:rPr>
      </w:pPr>
      <w:r>
        <w:t>269A.</w:t>
      </w:r>
      <w:r>
        <w:tab/>
        <w:t>Costs not to be passed on</w:t>
      </w:r>
      <w:r>
        <w:tab/>
      </w:r>
      <w:r>
        <w:fldChar w:fldCharType="begin"/>
      </w:r>
      <w:r>
        <w:instrText xml:space="preserve"> PAGEREF _Toc5365150 \h </w:instrText>
      </w:r>
      <w:r>
        <w:fldChar w:fldCharType="separate"/>
      </w:r>
      <w:r>
        <w:t>271</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_Toc5365151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_Toc5365153 \h </w:instrText>
      </w:r>
      <w:r>
        <w:fldChar w:fldCharType="separate"/>
      </w:r>
      <w:r>
        <w:t>272</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_Toc5365154 \h </w:instrText>
      </w:r>
      <w:r>
        <w:fldChar w:fldCharType="separate"/>
      </w:r>
      <w:r>
        <w:t>273</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_Toc5365155 \h </w:instrText>
      </w:r>
      <w:r>
        <w:fldChar w:fldCharType="separate"/>
      </w:r>
      <w:r>
        <w:t>273</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_Toc5365156 \h </w:instrText>
      </w:r>
      <w:r>
        <w:fldChar w:fldCharType="separate"/>
      </w:r>
      <w:r>
        <w:t>273</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_Toc5365157 \h </w:instrText>
      </w:r>
      <w:r>
        <w:fldChar w:fldCharType="separate"/>
      </w:r>
      <w:r>
        <w:t>274</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_Toc5365158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_Toc5365160 \h </w:instrText>
      </w:r>
      <w:r>
        <w:fldChar w:fldCharType="separate"/>
      </w:r>
      <w:r>
        <w:t>274</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_Toc5365161 \h </w:instrText>
      </w:r>
      <w:r>
        <w:fldChar w:fldCharType="separate"/>
      </w:r>
      <w:r>
        <w:t>275</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_Toc5365162 \h </w:instrText>
      </w:r>
      <w:r>
        <w:fldChar w:fldCharType="separate"/>
      </w:r>
      <w:r>
        <w:t>276</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_Toc5365163 \h </w:instrText>
      </w:r>
      <w:r>
        <w:fldChar w:fldCharType="separate"/>
      </w:r>
      <w:r>
        <w:t>276</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_Toc5365164 \h </w:instrText>
      </w:r>
      <w:r>
        <w:fldChar w:fldCharType="separate"/>
      </w:r>
      <w:r>
        <w:t>276</w:t>
      </w:r>
      <w:r>
        <w:fldChar w:fldCharType="end"/>
      </w:r>
    </w:p>
    <w:p>
      <w:pPr>
        <w:pStyle w:val="TOC8"/>
        <w:rPr>
          <w:rFonts w:asciiTheme="minorHAnsi" w:eastAsiaTheme="minorEastAsia" w:hAnsiTheme="minorHAnsi" w:cstheme="minorBidi"/>
          <w:szCs w:val="22"/>
        </w:rPr>
      </w:pPr>
      <w:r>
        <w:t>282.</w:t>
      </w:r>
      <w:r>
        <w:tab/>
        <w:t>Withdrawal of notice</w:t>
      </w:r>
      <w:r>
        <w:tab/>
      </w:r>
      <w:r>
        <w:fldChar w:fldCharType="begin"/>
      </w:r>
      <w:r>
        <w:instrText xml:space="preserve"> PAGEREF _Toc5365165 \h </w:instrText>
      </w:r>
      <w:r>
        <w:fldChar w:fldCharType="separate"/>
      </w:r>
      <w:r>
        <w:t>277</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_Toc5365166 \h </w:instrText>
      </w:r>
      <w:r>
        <w:fldChar w:fldCharType="separate"/>
      </w:r>
      <w:r>
        <w:t>277</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_Toc5365167 \h </w:instrText>
      </w:r>
      <w:r>
        <w:fldChar w:fldCharType="separate"/>
      </w:r>
      <w:r>
        <w:t>277</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_Toc5365168 \h </w:instrText>
      </w:r>
      <w:r>
        <w:fldChar w:fldCharType="separate"/>
      </w:r>
      <w:r>
        <w:t>278</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_Toc5365169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_Toc5365171 \h </w:instrText>
      </w:r>
      <w:r>
        <w:fldChar w:fldCharType="separate"/>
      </w:r>
      <w:r>
        <w:t>278</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_Toc5365172 \h </w:instrText>
      </w:r>
      <w:r>
        <w:fldChar w:fldCharType="separate"/>
      </w:r>
      <w:r>
        <w:t>279</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_Toc5365173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Chapter 9 — The making of the National Gas Rules</w:t>
      </w:r>
    </w:p>
    <w:p>
      <w:pPr>
        <w:pStyle w:val="TOC4"/>
        <w:tabs>
          <w:tab w:val="right" w:leader="dot" w:pos="7077"/>
        </w:tabs>
        <w:rPr>
          <w:rFonts w:asciiTheme="minorHAnsi" w:eastAsiaTheme="minorEastAsia" w:hAnsiTheme="minorHAnsi" w:cstheme="minorBidi"/>
          <w:b w:val="0"/>
          <w:szCs w:val="22"/>
        </w:rPr>
      </w:pPr>
      <w:r>
        <w:t>Part 1 — General</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_Toc5365177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_Toc5365179 \h </w:instrText>
      </w:r>
      <w:r>
        <w:fldChar w:fldCharType="separate"/>
      </w:r>
      <w:r>
        <w:t>282</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_Toc5365180 \h </w:instrText>
      </w:r>
      <w:r>
        <w:fldChar w:fldCharType="separate"/>
      </w:r>
      <w:r>
        <w:t>282</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_Toc5365181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_Toc5365183 \h </w:instrText>
      </w:r>
      <w:r>
        <w:fldChar w:fldCharType="separate"/>
      </w:r>
      <w:r>
        <w:t>283</w:t>
      </w:r>
      <w:r>
        <w:fldChar w:fldCharType="end"/>
      </w:r>
    </w:p>
    <w:p>
      <w:pPr>
        <w:pStyle w:val="TOC8"/>
        <w:rPr>
          <w:rFonts w:asciiTheme="minorHAnsi" w:eastAsiaTheme="minorEastAsia" w:hAnsiTheme="minorHAnsi" w:cstheme="minorBidi"/>
          <w:szCs w:val="22"/>
        </w:rPr>
      </w:pPr>
      <w:r>
        <w:t>294CA.</w:t>
      </w:r>
      <w:r>
        <w:tab/>
        <w:t>South Australian Minister may make consequential Rules relating to rate of return instrument</w:t>
      </w:r>
      <w:r>
        <w:tab/>
      </w:r>
      <w:r>
        <w:fldChar w:fldCharType="begin"/>
      </w:r>
      <w:r>
        <w:instrText xml:space="preserve"> PAGEREF _Toc5365184 \h </w:instrText>
      </w:r>
      <w:r>
        <w:fldChar w:fldCharType="separate"/>
      </w:r>
      <w:r>
        <w:t>284</w:t>
      </w:r>
      <w:r>
        <w:fldChar w:fldCharType="end"/>
      </w:r>
    </w:p>
    <w:p>
      <w:pPr>
        <w:pStyle w:val="TOC8"/>
        <w:rPr>
          <w:rFonts w:asciiTheme="minorHAnsi" w:eastAsiaTheme="minorEastAsia" w:hAnsiTheme="minorHAnsi" w:cstheme="minorBidi"/>
          <w:szCs w:val="22"/>
        </w:rPr>
      </w:pPr>
      <w:r>
        <w:t>294F.</w:t>
      </w:r>
      <w:r>
        <w:tab/>
        <w:t>South Australian Minister to make initial Rules relating to access to non</w:t>
      </w:r>
      <w:r>
        <w:noBreakHyphen/>
        <w:t>scheme pipelines</w:t>
      </w:r>
      <w:r>
        <w:tab/>
      </w:r>
      <w:r>
        <w:fldChar w:fldCharType="begin"/>
      </w:r>
      <w:r>
        <w:instrText xml:space="preserve"> PAGEREF _Toc5365185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_Toc5365187 \h </w:instrText>
      </w:r>
      <w:r>
        <w:fldChar w:fldCharType="separate"/>
      </w:r>
      <w:r>
        <w:t>286</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_Toc5365188 \h </w:instrText>
      </w:r>
      <w:r>
        <w:fldChar w:fldCharType="separate"/>
      </w:r>
      <w:r>
        <w:t>287</w:t>
      </w:r>
      <w:r>
        <w:fldChar w:fldCharType="end"/>
      </w:r>
    </w:p>
    <w:p>
      <w:pPr>
        <w:pStyle w:val="TOC8"/>
        <w:rPr>
          <w:rFonts w:asciiTheme="minorHAnsi" w:eastAsiaTheme="minorEastAsia" w:hAnsiTheme="minorHAnsi" w:cstheme="minorBidi"/>
          <w:szCs w:val="22"/>
        </w:rPr>
      </w:pPr>
      <w:r>
        <w:t>297.</w:t>
      </w:r>
      <w:r>
        <w:tab/>
        <w:t>AEMC may make Rules that are consequential to a Rule request</w:t>
      </w:r>
      <w:r>
        <w:tab/>
      </w:r>
      <w:r>
        <w:fldChar w:fldCharType="begin"/>
      </w:r>
      <w:r>
        <w:instrText xml:space="preserve"> PAGEREF _Toc5365189 \h </w:instrText>
      </w:r>
      <w:r>
        <w:fldChar w:fldCharType="separate"/>
      </w:r>
      <w:r>
        <w:t>287</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_Toc5365190 \h </w:instrText>
      </w:r>
      <w:r>
        <w:fldChar w:fldCharType="separate"/>
      </w:r>
      <w:r>
        <w:t>287</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_Toc5365191 \h </w:instrText>
      </w:r>
      <w:r>
        <w:fldChar w:fldCharType="separate"/>
      </w:r>
      <w:r>
        <w:t>287</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_Toc5365192 \h </w:instrText>
      </w:r>
      <w:r>
        <w:fldChar w:fldCharType="separate"/>
      </w:r>
      <w:r>
        <w:t>288</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_Toc5365193 \h </w:instrText>
      </w:r>
      <w:r>
        <w:fldChar w:fldCharType="separate"/>
      </w:r>
      <w:r>
        <w:t>288</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_Toc5365194 \h </w:instrText>
      </w:r>
      <w:r>
        <w:fldChar w:fldCharType="separate"/>
      </w:r>
      <w:r>
        <w:t>290</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_Toc5365195 \h </w:instrText>
      </w:r>
      <w:r>
        <w:fldChar w:fldCharType="separate"/>
      </w:r>
      <w:r>
        <w:t>290</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_Toc5365196 \h </w:instrText>
      </w:r>
      <w:r>
        <w:fldChar w:fldCharType="separate"/>
      </w:r>
      <w:r>
        <w:t>291</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_Toc5365197 \h </w:instrText>
      </w:r>
      <w:r>
        <w:fldChar w:fldCharType="separate"/>
      </w:r>
      <w:r>
        <w:t>292</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_Toc5365198 \h </w:instrText>
      </w:r>
      <w:r>
        <w:fldChar w:fldCharType="separate"/>
      </w:r>
      <w:r>
        <w:t>294</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_Toc5365199 \h </w:instrText>
      </w:r>
      <w:r>
        <w:fldChar w:fldCharType="separate"/>
      </w:r>
      <w:r>
        <w:t>294</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_Toc5365200 \h </w:instrText>
      </w:r>
      <w:r>
        <w:fldChar w:fldCharType="separate"/>
      </w:r>
      <w:r>
        <w:t>294</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_Toc5365201 \h </w:instrText>
      </w:r>
      <w:r>
        <w:fldChar w:fldCharType="separate"/>
      </w:r>
      <w:r>
        <w:t>296</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_Toc5365202 \h </w:instrText>
      </w:r>
      <w:r>
        <w:fldChar w:fldCharType="separate"/>
      </w:r>
      <w:r>
        <w:t>296</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_Toc5365203 \h </w:instrText>
      </w:r>
      <w:r>
        <w:fldChar w:fldCharType="separate"/>
      </w:r>
      <w:r>
        <w:t>297</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_Toc5365204 \h </w:instrText>
      </w:r>
      <w:r>
        <w:fldChar w:fldCharType="separate"/>
      </w:r>
      <w:r>
        <w:t>299</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_Toc5365205 \h </w:instrText>
      </w:r>
      <w:r>
        <w:fldChar w:fldCharType="separate"/>
      </w:r>
      <w:r>
        <w:t>299</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_Toc5365206 \h </w:instrText>
      </w:r>
      <w:r>
        <w:fldChar w:fldCharType="separate"/>
      </w:r>
      <w:r>
        <w:t>299</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_Toc5365207 \h </w:instrText>
      </w:r>
      <w:r>
        <w:fldChar w:fldCharType="separate"/>
      </w:r>
      <w:r>
        <w:t>300</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_Toc5365208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_Toc5365210 \h </w:instrText>
      </w:r>
      <w:r>
        <w:fldChar w:fldCharType="separate"/>
      </w:r>
      <w:r>
        <w:t>300</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_Toc5365211 \h </w:instrText>
      </w:r>
      <w:r>
        <w:fldChar w:fldCharType="separate"/>
      </w:r>
      <w:r>
        <w:t>301</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_Toc5365212 \h </w:instrText>
      </w:r>
      <w:r>
        <w:fldChar w:fldCharType="separate"/>
      </w:r>
      <w:r>
        <w:t>302</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_Toc5365213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Chapter 10 — General</w:t>
      </w:r>
    </w:p>
    <w:p>
      <w:pPr>
        <w:pStyle w:val="TOC4"/>
        <w:tabs>
          <w:tab w:val="right" w:leader="dot" w:pos="707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_Toc5365216 \h </w:instrText>
      </w:r>
      <w:r>
        <w:fldChar w:fldCharType="separate"/>
      </w:r>
      <w:r>
        <w:t>304</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_Toc5365217 \h </w:instrText>
      </w:r>
      <w:r>
        <w:fldChar w:fldCharType="separate"/>
      </w:r>
      <w:r>
        <w:t>305</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_Toc5365218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Part 2 — Handling of confidential information</w:t>
      </w:r>
    </w:p>
    <w:p>
      <w:pPr>
        <w:pStyle w:val="TOC6"/>
        <w:tabs>
          <w:tab w:val="right" w:leader="dot" w:pos="707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_Toc5365221 \h </w:instrText>
      </w:r>
      <w:r>
        <w:fldChar w:fldCharType="separate"/>
      </w:r>
      <w:r>
        <w:t>305</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_Toc5365222 \h </w:instrText>
      </w:r>
      <w:r>
        <w:fldChar w:fldCharType="separate"/>
      </w:r>
      <w:r>
        <w:t>306</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_Toc5365223 \h </w:instrText>
      </w:r>
      <w:r>
        <w:fldChar w:fldCharType="separate"/>
      </w:r>
      <w:r>
        <w:t>306</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_Toc5365224 \h </w:instrText>
      </w:r>
      <w:r>
        <w:fldChar w:fldCharType="separate"/>
      </w:r>
      <w:r>
        <w:t>306</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_Toc5365225 \h </w:instrText>
      </w:r>
      <w:r>
        <w:fldChar w:fldCharType="separate"/>
      </w:r>
      <w:r>
        <w:t>307</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_Toc5365226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_Toc5365228 \h </w:instrText>
      </w:r>
      <w:r>
        <w:fldChar w:fldCharType="separate"/>
      </w:r>
      <w:r>
        <w:t>310</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_Toc5365229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_Toc5365231 \h </w:instrText>
      </w:r>
      <w:r>
        <w:fldChar w:fldCharType="separate"/>
      </w:r>
      <w:r>
        <w:t>313</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_Toc5365232 \h </w:instrText>
      </w:r>
      <w:r>
        <w:fldChar w:fldCharType="separate"/>
      </w:r>
      <w:r>
        <w:t>313</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_Toc5365233 \h </w:instrText>
      </w:r>
      <w:r>
        <w:fldChar w:fldCharType="separate"/>
      </w:r>
      <w:r>
        <w:t>314</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_Toc5365234 \h </w:instrText>
      </w:r>
      <w:r>
        <w:fldChar w:fldCharType="separate"/>
      </w:r>
      <w:r>
        <w:t>314</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_Toc5365235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the National Gas Rules</w:t>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_Toc5365239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_Toc5365241 \h </w:instrText>
      </w:r>
      <w:r>
        <w:fldChar w:fldCharType="separate"/>
      </w:r>
      <w:r>
        <w:t>326</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_Toc5365242 \h </w:instrText>
      </w:r>
      <w:r>
        <w:fldChar w:fldCharType="separate"/>
      </w:r>
      <w:r>
        <w:t>327</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_Toc5365243 \h </w:instrText>
      </w:r>
      <w:r>
        <w:fldChar w:fldCharType="separate"/>
      </w:r>
      <w:r>
        <w:t>328</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_Toc5365244 \h </w:instrText>
      </w:r>
      <w:r>
        <w:fldChar w:fldCharType="separate"/>
      </w:r>
      <w:r>
        <w:t>328</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_Toc5365245 \h </w:instrText>
      </w:r>
      <w:r>
        <w:fldChar w:fldCharType="separate"/>
      </w:r>
      <w:r>
        <w:t>329</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_Toc5365246 \h </w:instrText>
      </w:r>
      <w:r>
        <w:fldChar w:fldCharType="separate"/>
      </w:r>
      <w:r>
        <w:t>329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_Toc5365247 \h </w:instrText>
      </w:r>
      <w:r>
        <w:fldChar w:fldCharType="separate"/>
      </w:r>
      <w:r>
        <w:t>330</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_Toc5365248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_Toc5365250 \h </w:instrText>
      </w:r>
      <w:r>
        <w:fldChar w:fldCharType="separate"/>
      </w:r>
      <w:r>
        <w:t>332</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_Toc5365251 \h </w:instrText>
      </w:r>
      <w:r>
        <w:fldChar w:fldCharType="separate"/>
      </w:r>
      <w:r>
        <w:t>337</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_Toc5365252 \h </w:instrText>
      </w:r>
      <w:r>
        <w:fldChar w:fldCharType="separate"/>
      </w:r>
      <w:r>
        <w:t>337</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_Toc5365253 \h </w:instrText>
      </w:r>
      <w:r>
        <w:fldChar w:fldCharType="separate"/>
      </w:r>
      <w:r>
        <w:t>337</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_Toc5365254 \h </w:instrText>
      </w:r>
      <w:r>
        <w:fldChar w:fldCharType="separate"/>
      </w:r>
      <w:r>
        <w:t>338</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_Toc5365255 \h </w:instrText>
      </w:r>
      <w:r>
        <w:fldChar w:fldCharType="separate"/>
      </w:r>
      <w:r>
        <w:t>339</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_Toc5365256 \h </w:instrText>
      </w:r>
      <w:r>
        <w:fldChar w:fldCharType="separate"/>
      </w:r>
      <w:r>
        <w:t>339</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_Toc5365257 \h </w:instrText>
      </w:r>
      <w:r>
        <w:fldChar w:fldCharType="separate"/>
      </w:r>
      <w:r>
        <w:t>340</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_Toc5365258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_Toc5365260 \h </w:instrText>
      </w:r>
      <w:r>
        <w:fldChar w:fldCharType="separate"/>
      </w:r>
      <w:r>
        <w:t>341</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_Toc5365261 \h </w:instrText>
      </w:r>
      <w:r>
        <w:fldChar w:fldCharType="separate"/>
      </w:r>
      <w:r>
        <w:t>342</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_Toc5365262 \h </w:instrText>
      </w:r>
      <w:r>
        <w:fldChar w:fldCharType="separate"/>
      </w:r>
      <w:r>
        <w:t>342</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_Toc5365263 \h </w:instrText>
      </w:r>
      <w:r>
        <w:fldChar w:fldCharType="separate"/>
      </w:r>
      <w:r>
        <w:t>343</w:t>
      </w:r>
      <w:r>
        <w:fldChar w:fldCharType="end"/>
      </w:r>
    </w:p>
    <w:p>
      <w:pPr>
        <w:pStyle w:val="TOC8"/>
        <w:rPr>
          <w:rFonts w:asciiTheme="minorHAnsi" w:eastAsiaTheme="minorEastAsia" w:hAnsiTheme="minorHAnsi" w:cstheme="minorBidi"/>
          <w:szCs w:val="22"/>
        </w:rPr>
      </w:pPr>
      <w:r>
        <w:t>23.</w:t>
      </w:r>
      <w:r>
        <w:tab/>
        <w:t>Appointments may be made by name or office</w:t>
      </w:r>
      <w:r>
        <w:tab/>
      </w:r>
      <w:r>
        <w:fldChar w:fldCharType="begin"/>
      </w:r>
      <w:r>
        <w:instrText xml:space="preserve"> PAGEREF _Toc5365264 \h </w:instrText>
      </w:r>
      <w:r>
        <w:fldChar w:fldCharType="separate"/>
      </w:r>
      <w:r>
        <w:t>344</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_Toc5365265 \h </w:instrText>
      </w:r>
      <w:r>
        <w:fldChar w:fldCharType="separate"/>
      </w:r>
      <w:r>
        <w:t>344</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_Toc5365266 \h </w:instrText>
      </w:r>
      <w:r>
        <w:fldChar w:fldCharType="separate"/>
      </w:r>
      <w:r>
        <w:t>346</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_Toc5365267 \h </w:instrText>
      </w:r>
      <w:r>
        <w:fldChar w:fldCharType="separate"/>
      </w:r>
      <w:r>
        <w:t>347</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_Toc5365268 \h </w:instrText>
      </w:r>
      <w:r>
        <w:fldChar w:fldCharType="separate"/>
      </w:r>
      <w:r>
        <w:t>348</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_Toc5365269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_Toc5365271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_Toc5365273 \h </w:instrText>
      </w:r>
      <w:r>
        <w:fldChar w:fldCharType="separate"/>
      </w:r>
      <w:r>
        <w:t>352</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_Toc5365274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Part 7 — Evidentiary matters</w:t>
      </w:r>
    </w:p>
    <w:p>
      <w:pPr>
        <w:pStyle w:val="TOC6"/>
        <w:tabs>
          <w:tab w:val="right" w:leader="dot" w:pos="707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_Toc5365277 \h </w:instrText>
      </w:r>
      <w:r>
        <w:fldChar w:fldCharType="separate"/>
      </w:r>
      <w:r>
        <w:t>354</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_Toc5365278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_Toc5365280 \h </w:instrText>
      </w:r>
      <w:r>
        <w:fldChar w:fldCharType="separate"/>
      </w:r>
      <w:r>
        <w:t>355</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_Toc5365281 \h </w:instrText>
      </w:r>
      <w:r>
        <w:fldChar w:fldCharType="separate"/>
      </w:r>
      <w:r>
        <w:t>356</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_Toc5365282 \h </w:instrText>
      </w:r>
      <w:r>
        <w:fldChar w:fldCharType="separate"/>
      </w:r>
      <w:r>
        <w:t>358</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_Toc5365283 \h </w:instrText>
      </w:r>
      <w:r>
        <w:fldChar w:fldCharType="separate"/>
      </w:r>
      <w:r>
        <w:t>358</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_Toc5365284 \h </w:instrText>
      </w:r>
      <w:r>
        <w:fldChar w:fldCharType="separate"/>
      </w:r>
      <w:r>
        <w:t>359</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_Toc5365285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_Toc5365287 \h </w:instrText>
      </w:r>
      <w:r>
        <w:fldChar w:fldCharType="separate"/>
      </w:r>
      <w:r>
        <w:t>360</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_Toc5365288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_Toc5365290 \h </w:instrText>
      </w:r>
      <w:r>
        <w:fldChar w:fldCharType="separate"/>
      </w:r>
      <w:r>
        <w:t>360</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_Toc5365291 \h </w:instrText>
      </w:r>
      <w:r>
        <w:fldChar w:fldCharType="separate"/>
      </w:r>
      <w:r>
        <w:t>361</w:t>
      </w:r>
      <w:r>
        <w:fldChar w:fldCharType="end"/>
      </w:r>
    </w:p>
    <w:p>
      <w:pPr>
        <w:pStyle w:val="TOC8"/>
        <w:rPr>
          <w:rFonts w:asciiTheme="minorHAnsi" w:eastAsiaTheme="minorEastAsia" w:hAnsiTheme="minorHAnsi" w:cstheme="minorBidi"/>
          <w:szCs w:val="22"/>
        </w:rPr>
      </w:pPr>
      <w:r>
        <w:t>43.</w:t>
      </w:r>
      <w:r>
        <w:tab/>
        <w:t>Saving of operation of repealed Law, Regulation or Rule provisions</w:t>
      </w:r>
      <w:r>
        <w:tab/>
      </w:r>
      <w:r>
        <w:fldChar w:fldCharType="begin"/>
      </w:r>
      <w:r>
        <w:instrText xml:space="preserve"> PAGEREF _Toc5365292 \h </w:instrText>
      </w:r>
      <w:r>
        <w:fldChar w:fldCharType="separate"/>
      </w:r>
      <w:r>
        <w:t>361</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_Toc5365293 \h </w:instrText>
      </w:r>
      <w:r>
        <w:fldChar w:fldCharType="separate"/>
      </w:r>
      <w:r>
        <w:t>362</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_Toc5365294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_Toc5365296 \h </w:instrText>
      </w:r>
      <w:r>
        <w:fldChar w:fldCharType="separate"/>
      </w:r>
      <w:r>
        <w:t>362</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_Toc5365297 \h </w:instrText>
      </w:r>
      <w:r>
        <w:fldChar w:fldCharType="separate"/>
      </w:r>
      <w:r>
        <w:t>363</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_Toc5365298 \h </w:instrText>
      </w:r>
      <w:r>
        <w:fldChar w:fldCharType="separate"/>
      </w:r>
      <w:r>
        <w:t>363</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_Toc5365299 \h </w:instrText>
      </w:r>
      <w:r>
        <w:fldChar w:fldCharType="separate"/>
      </w:r>
      <w:r>
        <w:t>364</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_Toc5365300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_Toc5365302 \h </w:instrText>
      </w:r>
      <w:r>
        <w:fldChar w:fldCharType="separate"/>
      </w:r>
      <w:r>
        <w:t>365</w:t>
      </w:r>
      <w:r>
        <w:fldChar w:fldCharType="end"/>
      </w:r>
    </w:p>
    <w:p>
      <w:pPr>
        <w:pStyle w:val="TOC8"/>
        <w:rPr>
          <w:rFonts w:asciiTheme="minorHAnsi" w:eastAsiaTheme="minorEastAsia" w:hAnsiTheme="minorHAnsi" w:cstheme="minorBidi"/>
          <w:szCs w:val="22"/>
        </w:rPr>
      </w:pPr>
      <w:r>
        <w:t>51A.</w:t>
      </w:r>
      <w:r>
        <w:tab/>
        <w:t>Rate of return instrument construed not to exceed the legislative power of the Legislature of this jurisdiction or the powers conferred by this Law</w:t>
      </w:r>
      <w:r>
        <w:tab/>
      </w:r>
      <w:r>
        <w:fldChar w:fldCharType="begin"/>
      </w:r>
      <w:r>
        <w:instrText xml:space="preserve"> PAGEREF _Toc5365303 \h </w:instrText>
      </w:r>
      <w:r>
        <w:fldChar w:fldCharType="separate"/>
      </w:r>
      <w:r>
        <w:t>366</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_Toc5365304 \h </w:instrText>
      </w:r>
      <w:r>
        <w:fldChar w:fldCharType="separate"/>
      </w:r>
      <w:r>
        <w:t>366</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_Toc5365305 \h </w:instrText>
      </w:r>
      <w:r>
        <w:fldChar w:fldCharType="separate"/>
      </w:r>
      <w:r>
        <w:t>368</w:t>
      </w:r>
      <w:r>
        <w:fldChar w:fldCharType="end"/>
      </w:r>
    </w:p>
    <w:p>
      <w:pPr>
        <w:pStyle w:val="TOC8"/>
        <w:rPr>
          <w:rFonts w:asciiTheme="minorHAnsi" w:eastAsiaTheme="minorEastAsia" w:hAnsiTheme="minorHAnsi" w:cstheme="minorBidi"/>
          <w:szCs w:val="22"/>
        </w:rPr>
      </w:pPr>
      <w:r>
        <w:t>53A.</w:t>
      </w:r>
      <w:r>
        <w:tab/>
        <w:t>Invalid rate of return instrument</w:t>
      </w:r>
      <w:r>
        <w:tab/>
      </w:r>
      <w:r>
        <w:fldChar w:fldCharType="begin"/>
      </w:r>
      <w:r>
        <w:instrText xml:space="preserve"> PAGEREF _Toc5365306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transitionals</w:t>
      </w:r>
    </w:p>
    <w:p>
      <w:pPr>
        <w:pStyle w:val="TOC4"/>
        <w:tabs>
          <w:tab w:val="right" w:leader="dot" w:pos="707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_Toc5365309 \h </w:instrText>
      </w:r>
      <w:r>
        <w:fldChar w:fldCharType="separate"/>
      </w:r>
      <w:r>
        <w:t>370</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_Toc5365310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_Toc5365312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_Toc5365314 \h </w:instrText>
      </w:r>
      <w:r>
        <w:fldChar w:fldCharType="separate"/>
      </w:r>
      <w:r>
        <w:t>374</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_Toc5365315 \h </w:instrText>
      </w:r>
      <w:r>
        <w:fldChar w:fldCharType="separate"/>
      </w:r>
      <w:r>
        <w:t>374</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_Toc5365316 \h </w:instrText>
      </w:r>
      <w:r>
        <w:fldChar w:fldCharType="separate"/>
      </w:r>
      <w:r>
        <w:t>374</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_Toc5365317 \h </w:instrText>
      </w:r>
      <w:r>
        <w:fldChar w:fldCharType="separate"/>
      </w:r>
      <w:r>
        <w:t>374</w:t>
      </w:r>
      <w:r>
        <w:fldChar w:fldCharType="end"/>
      </w:r>
    </w:p>
    <w:p>
      <w:pPr>
        <w:pStyle w:val="TOC8"/>
        <w:rPr>
          <w:rFonts w:asciiTheme="minorHAnsi" w:eastAsiaTheme="minorEastAsia" w:hAnsiTheme="minorHAnsi" w:cstheme="minorBidi"/>
          <w:szCs w:val="22"/>
        </w:rPr>
      </w:pPr>
      <w:r>
        <w:t>8.</w:t>
      </w:r>
      <w:r>
        <w:tab/>
        <w:t>Pending coverage applications under old scheme (before NCC recommendation)</w:t>
      </w:r>
      <w:r>
        <w:tab/>
      </w:r>
      <w:r>
        <w:fldChar w:fldCharType="begin"/>
      </w:r>
      <w:r>
        <w:instrText xml:space="preserve"> PAGEREF _Toc5365318 \h </w:instrText>
      </w:r>
      <w:r>
        <w:fldChar w:fldCharType="separate"/>
      </w:r>
      <w:r>
        <w:t>375</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_Toc5365319 \h </w:instrText>
      </w:r>
      <w:r>
        <w:fldChar w:fldCharType="separate"/>
      </w:r>
      <w:r>
        <w:t>375</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_Toc5365320 \h </w:instrText>
      </w:r>
      <w:r>
        <w:fldChar w:fldCharType="separate"/>
      </w:r>
      <w:r>
        <w:t>376</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_Toc5365321 \h </w:instrText>
      </w:r>
      <w:r>
        <w:fldChar w:fldCharType="separate"/>
      </w:r>
      <w:r>
        <w:t>378</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_Toc5365322 \h </w:instrText>
      </w:r>
      <w:r>
        <w:fldChar w:fldCharType="separate"/>
      </w:r>
      <w:r>
        <w:t>378</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_Toc5365323 \h </w:instrText>
      </w:r>
      <w:r>
        <w:fldChar w:fldCharType="separate"/>
      </w:r>
      <w:r>
        <w:t>379</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_Toc5365324 \h </w:instrText>
      </w:r>
      <w:r>
        <w:fldChar w:fldCharType="separate"/>
      </w:r>
      <w:r>
        <w:t>380</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_Toc5365325 \h </w:instrText>
      </w:r>
      <w:r>
        <w:fldChar w:fldCharType="separate"/>
      </w:r>
      <w:r>
        <w:t>381</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_Toc5365326 \h </w:instrText>
      </w:r>
      <w:r>
        <w:fldChar w:fldCharType="separate"/>
      </w:r>
      <w:r>
        <w:t>381</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_Toc5365327 \h </w:instrText>
      </w:r>
      <w:r>
        <w:fldChar w:fldCharType="separate"/>
      </w:r>
      <w:r>
        <w:t>382</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_Toc5365328 \h </w:instrText>
      </w:r>
      <w:r>
        <w:fldChar w:fldCharType="separate"/>
      </w:r>
      <w:r>
        <w:t>384</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_Toc5365329 \h </w:instrText>
      </w:r>
      <w:r>
        <w:fldChar w:fldCharType="separate"/>
      </w:r>
      <w:r>
        <w:t>385</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_Toc5365330 \h </w:instrText>
      </w:r>
      <w:r>
        <w:fldChar w:fldCharType="separate"/>
      </w:r>
      <w:r>
        <w:t>386</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_Toc5365331 \h </w:instrText>
      </w:r>
      <w:r>
        <w:fldChar w:fldCharType="separate"/>
      </w:r>
      <w:r>
        <w:t>386</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_Toc5365332 \h </w:instrText>
      </w:r>
      <w:r>
        <w:fldChar w:fldCharType="separate"/>
      </w:r>
      <w:r>
        <w:t>388</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_Toc5365333 \h </w:instrText>
      </w:r>
      <w:r>
        <w:fldChar w:fldCharType="separate"/>
      </w:r>
      <w:r>
        <w:t>388</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_Toc5365334 \h </w:instrText>
      </w:r>
      <w:r>
        <w:fldChar w:fldCharType="separate"/>
      </w:r>
      <w:r>
        <w:t>388</w:t>
      </w:r>
      <w:r>
        <w:fldChar w:fldCharType="end"/>
      </w:r>
    </w:p>
    <w:p>
      <w:pPr>
        <w:pStyle w:val="TOC8"/>
        <w:rPr>
          <w:rFonts w:asciiTheme="minorHAnsi" w:eastAsiaTheme="minorEastAsia" w:hAnsiTheme="minorHAnsi" w:cstheme="minorBidi"/>
          <w:szCs w:val="22"/>
        </w:rPr>
      </w:pPr>
      <w:r>
        <w:t>25.</w:t>
      </w:r>
      <w:r>
        <w:tab/>
        <w:t>Pending relevant Minister decisions in relation to binding no</w:t>
      </w:r>
      <w:r>
        <w:noBreakHyphen/>
        <w:t>coverage determinations that are reviewed under old scheme</w:t>
      </w:r>
      <w:r>
        <w:tab/>
      </w:r>
      <w:r>
        <w:fldChar w:fldCharType="begin"/>
      </w:r>
      <w:r>
        <w:instrText xml:space="preserve"> PAGEREF _Toc5365335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_Toc5365337 \h </w:instrText>
      </w:r>
      <w:r>
        <w:fldChar w:fldCharType="separate"/>
      </w:r>
      <w:r>
        <w:t>391</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_Toc5365338 \h </w:instrText>
      </w:r>
      <w:r>
        <w:fldChar w:fldCharType="separate"/>
      </w:r>
      <w:r>
        <w:t>391</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_Toc5365339 \h </w:instrText>
      </w:r>
      <w:r>
        <w:fldChar w:fldCharType="separate"/>
      </w:r>
      <w:r>
        <w:t>392</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_Toc5365340 \h </w:instrText>
      </w:r>
      <w:r>
        <w:fldChar w:fldCharType="separate"/>
      </w:r>
      <w:r>
        <w:t>393</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_Toc5365341 \h </w:instrText>
      </w:r>
      <w:r>
        <w:fldChar w:fldCharType="separate"/>
      </w:r>
      <w:r>
        <w:t>394</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_Toc5365342 \h </w:instrText>
      </w:r>
      <w:r>
        <w:fldChar w:fldCharType="separate"/>
      </w:r>
      <w:r>
        <w:t>395</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_Toc5365343 \h </w:instrText>
      </w:r>
      <w:r>
        <w:fldChar w:fldCharType="separate"/>
      </w:r>
      <w:r>
        <w:t>396</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_Toc5365344 \h </w:instrText>
      </w:r>
      <w:r>
        <w:fldChar w:fldCharType="separate"/>
      </w:r>
      <w:r>
        <w:t>397</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_Toc5365345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_Toc5365347 \h </w:instrText>
      </w:r>
      <w:r>
        <w:fldChar w:fldCharType="separate"/>
      </w:r>
      <w:r>
        <w:t>397</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_Toc5365348 \h </w:instrText>
      </w:r>
      <w:r>
        <w:fldChar w:fldCharType="separate"/>
      </w:r>
      <w:r>
        <w:t>397</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_Toc5365349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_Toc5365351 \h </w:instrText>
      </w:r>
      <w:r>
        <w:fldChar w:fldCharType="separate"/>
      </w:r>
      <w:r>
        <w:t>399</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_Toc5365352 \h </w:instrText>
      </w:r>
      <w:r>
        <w:fldChar w:fldCharType="separate"/>
      </w:r>
      <w:r>
        <w:t>400</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_Toc5365353 \h </w:instrText>
      </w:r>
      <w:r>
        <w:fldChar w:fldCharType="separate"/>
      </w:r>
      <w:r>
        <w:t>400</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_Toc5365354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_Toc5365356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_Toc5365358 \h </w:instrText>
      </w:r>
      <w:r>
        <w:fldChar w:fldCharType="separate"/>
      </w:r>
      <w:r>
        <w:t>402</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_Toc5365359 \h </w:instrText>
      </w:r>
      <w:r>
        <w:fldChar w:fldCharType="separate"/>
      </w:r>
      <w:r>
        <w:t>403</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_Toc5365360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_Toc5365362 \h </w:instrText>
      </w:r>
      <w:r>
        <w:fldChar w:fldCharType="separate"/>
      </w:r>
      <w:r>
        <w:t>404</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_Toc5365363 \h </w:instrText>
      </w:r>
      <w:r>
        <w:fldChar w:fldCharType="separate"/>
      </w:r>
      <w:r>
        <w:t>404</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_Toc5365364 \h </w:instrText>
      </w:r>
      <w:r>
        <w:fldChar w:fldCharType="separate"/>
      </w:r>
      <w:r>
        <w:t>406</w:t>
      </w:r>
      <w:r>
        <w:fldChar w:fldCharType="end"/>
      </w:r>
    </w:p>
    <w:p>
      <w:pPr>
        <w:pStyle w:val="TOC4"/>
        <w:tabs>
          <w:tab w:val="right" w:leader="dot" w:pos="707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_Toc5365366 \h </w:instrText>
      </w:r>
      <w:r>
        <w:fldChar w:fldCharType="separate"/>
      </w:r>
      <w:r>
        <w:t>406</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_Toc5365367 \h </w:instrText>
      </w:r>
      <w:r>
        <w:fldChar w:fldCharType="separate"/>
      </w:r>
      <w:r>
        <w:t>406</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_Toc5365368 \h </w:instrText>
      </w:r>
      <w:r>
        <w:fldChar w:fldCharType="separate"/>
      </w:r>
      <w:r>
        <w:t>407</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_Toc5365369 \h </w:instrText>
      </w:r>
      <w:r>
        <w:fldChar w:fldCharType="separate"/>
      </w:r>
      <w:r>
        <w:t>407</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_Toc5365370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Part 17—Transitional provisions for rate of return instrument</w:t>
      </w:r>
    </w:p>
    <w:p>
      <w:pPr>
        <w:pStyle w:val="TOC8"/>
        <w:rPr>
          <w:rFonts w:asciiTheme="minorHAnsi" w:eastAsiaTheme="minorEastAsia" w:hAnsiTheme="minorHAnsi" w:cstheme="minorBidi"/>
          <w:szCs w:val="22"/>
        </w:rPr>
      </w:pPr>
      <w:r>
        <w:t>95.</w:t>
      </w:r>
      <w:r>
        <w:tab/>
        <w:t>Definitions</w:t>
      </w:r>
      <w:r>
        <w:tab/>
      </w:r>
      <w:r>
        <w:fldChar w:fldCharType="begin"/>
      </w:r>
      <w:r>
        <w:instrText xml:space="preserve"> PAGEREF _Toc5365372 \h </w:instrText>
      </w:r>
      <w:r>
        <w:fldChar w:fldCharType="separate"/>
      </w:r>
      <w:r>
        <w:t>408</w:t>
      </w:r>
      <w:r>
        <w:fldChar w:fldCharType="end"/>
      </w:r>
    </w:p>
    <w:p>
      <w:pPr>
        <w:pStyle w:val="TOC8"/>
        <w:rPr>
          <w:rFonts w:asciiTheme="minorHAnsi" w:eastAsiaTheme="minorEastAsia" w:hAnsiTheme="minorHAnsi" w:cstheme="minorBidi"/>
          <w:szCs w:val="22"/>
        </w:rPr>
      </w:pPr>
      <w:r>
        <w:t>96.</w:t>
      </w:r>
      <w:r>
        <w:tab/>
        <w:t>Making first rate of return instrument if review not completed before commencement</w:t>
      </w:r>
      <w:r>
        <w:tab/>
      </w:r>
      <w:r>
        <w:fldChar w:fldCharType="begin"/>
      </w:r>
      <w:r>
        <w:instrText xml:space="preserve"> PAGEREF _Toc5365373 \h </w:instrText>
      </w:r>
      <w:r>
        <w:fldChar w:fldCharType="separate"/>
      </w:r>
      <w:r>
        <w:t>409</w:t>
      </w:r>
      <w:r>
        <w:fldChar w:fldCharType="end"/>
      </w:r>
    </w:p>
    <w:p>
      <w:pPr>
        <w:pStyle w:val="TOC8"/>
        <w:rPr>
          <w:rFonts w:asciiTheme="minorHAnsi" w:eastAsiaTheme="minorEastAsia" w:hAnsiTheme="minorHAnsi" w:cstheme="minorBidi"/>
          <w:szCs w:val="22"/>
        </w:rPr>
      </w:pPr>
      <w:r>
        <w:t>97.</w:t>
      </w:r>
      <w:r>
        <w:tab/>
        <w:t>Making first rate of return instrument if review completed before commencement</w:t>
      </w:r>
      <w:r>
        <w:tab/>
      </w:r>
      <w:r>
        <w:fldChar w:fldCharType="begin"/>
      </w:r>
      <w:r>
        <w:instrText xml:space="preserve"> PAGEREF _Toc5365374 \h </w:instrText>
      </w:r>
      <w:r>
        <w:fldChar w:fldCharType="separate"/>
      </w:r>
      <w:r>
        <w:t>410</w:t>
      </w:r>
      <w:r>
        <w:fldChar w:fldCharType="end"/>
      </w:r>
    </w:p>
    <w:p>
      <w:pPr>
        <w:pStyle w:val="TOC8"/>
        <w:rPr>
          <w:rFonts w:asciiTheme="minorHAnsi" w:eastAsiaTheme="minorEastAsia" w:hAnsiTheme="minorHAnsi" w:cstheme="minorBidi"/>
          <w:szCs w:val="22"/>
        </w:rPr>
      </w:pPr>
      <w:r>
        <w:t>98.</w:t>
      </w:r>
      <w:r>
        <w:tab/>
        <w:t>Application of this Law to particular decisions</w:t>
      </w:r>
      <w:r>
        <w:tab/>
      </w:r>
      <w:r>
        <w:fldChar w:fldCharType="begin"/>
      </w:r>
      <w:r>
        <w:instrText xml:space="preserve"> PAGEREF _Toc5365375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_Toc5365377 \h </w:instrText>
      </w:r>
      <w:r>
        <w:fldChar w:fldCharType="separate"/>
      </w:r>
      <w:r>
        <w:t>412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3" w:name="BillCited"/>
      <w:bookmarkEnd w:id="3"/>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01633702"/>
      <w:bookmarkStart w:id="5" w:name="_Toc501712598"/>
      <w:bookmarkStart w:id="6" w:name="_Toc536781792"/>
      <w:bookmarkStart w:id="7" w:name="_Toc5346823"/>
      <w:bookmarkStart w:id="8" w:name="_Toc5363376"/>
      <w:bookmarkStart w:id="9" w:name="_Toc536459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5364598"/>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11" w:name="_Toc5364599"/>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2" w:name="_Toc5364600"/>
      <w:r>
        <w:rPr>
          <w:rStyle w:val="CharSectno"/>
        </w:rPr>
        <w:t>3</w:t>
      </w:r>
      <w:r>
        <w:t>.</w:t>
      </w:r>
      <w:r>
        <w:tab/>
        <w:t>Terms used in this Act</w:t>
      </w:r>
      <w:bookmarkEnd w:id="12"/>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3" w:name="_Toc5364601"/>
      <w:r>
        <w:rPr>
          <w:rStyle w:val="CharSectno"/>
        </w:rPr>
        <w:t>4</w:t>
      </w:r>
      <w:r>
        <w:t>.</w:t>
      </w:r>
      <w:r>
        <w:tab/>
        <w:t>Crown bound</w:t>
      </w:r>
      <w:bookmarkEnd w:id="13"/>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4" w:name="_Toc5364602"/>
      <w:r>
        <w:rPr>
          <w:rStyle w:val="CharSectno"/>
        </w:rPr>
        <w:t>5</w:t>
      </w:r>
      <w:r>
        <w:t>.</w:t>
      </w:r>
      <w:r>
        <w:tab/>
        <w:t>Application to coastal waters</w:t>
      </w:r>
      <w:bookmarkEnd w:id="14"/>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5" w:name="_Toc5364603"/>
      <w:r>
        <w:rPr>
          <w:rStyle w:val="CharSectno"/>
        </w:rPr>
        <w:t>6</w:t>
      </w:r>
      <w:r>
        <w:t>.</w:t>
      </w:r>
      <w:r>
        <w:tab/>
        <w:t>Extra</w:t>
      </w:r>
      <w:r>
        <w:noBreakHyphen/>
        <w:t>territorial operation</w:t>
      </w:r>
      <w:bookmarkEnd w:id="15"/>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6" w:name="_Toc5364604"/>
      <w:r>
        <w:rPr>
          <w:bCs/>
        </w:rPr>
        <w:t>6A</w:t>
      </w:r>
      <w:r>
        <w:t>.</w:t>
      </w:r>
      <w:r>
        <w:tab/>
        <w:t>Extension to certain pipelines for hauling gas other than natural gas</w:t>
      </w:r>
      <w:bookmarkEnd w:id="16"/>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7" w:name="_Toc5364605"/>
      <w:r>
        <w:rPr>
          <w:rStyle w:val="CharSectno"/>
        </w:rPr>
        <w:t>6B</w:t>
      </w:r>
      <w:r>
        <w:t>.</w:t>
      </w:r>
      <w:r>
        <w:tab/>
      </w:r>
      <w:r>
        <w:rPr>
          <w:i/>
          <w:iCs/>
        </w:rPr>
        <w:t>Interpretation Act 1984</w:t>
      </w:r>
      <w:r>
        <w:t xml:space="preserve"> does not apply</w:t>
      </w:r>
      <w:bookmarkEnd w:id="17"/>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8" w:name="_Toc501633711"/>
      <w:bookmarkStart w:id="19" w:name="_Toc501712607"/>
      <w:bookmarkStart w:id="20" w:name="_Toc536781801"/>
      <w:bookmarkStart w:id="21" w:name="_Toc5346832"/>
      <w:bookmarkStart w:id="22" w:name="_Toc5363385"/>
      <w:bookmarkStart w:id="23" w:name="_Toc5364606"/>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18"/>
      <w:bookmarkEnd w:id="19"/>
      <w:bookmarkEnd w:id="20"/>
      <w:bookmarkEnd w:id="21"/>
      <w:bookmarkEnd w:id="22"/>
      <w:bookmarkEnd w:id="23"/>
    </w:p>
    <w:p>
      <w:pPr>
        <w:pStyle w:val="Heading5"/>
      </w:pPr>
      <w:bookmarkStart w:id="24" w:name="_Toc5364607"/>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24"/>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25" w:name="_Toc5364608"/>
      <w:r>
        <w:rPr>
          <w:rStyle w:val="CharSectno"/>
        </w:rPr>
        <w:t>7A</w:t>
      </w:r>
      <w:r>
        <w:t>.</w:t>
      </w:r>
      <w:r>
        <w:tab/>
        <w:t>Amendments to Schedule to South Australian Act</w:t>
      </w:r>
      <w:bookmarkEnd w:id="25"/>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26" w:name="_Toc5364609"/>
      <w:r>
        <w:rPr>
          <w:rStyle w:val="CharSectno"/>
        </w:rPr>
        <w:t>7B</w:t>
      </w:r>
      <w:r>
        <w:t>.</w:t>
      </w:r>
      <w:r>
        <w:tab/>
        <w:t>Regulations amending Schedule 1 consequentially</w:t>
      </w:r>
      <w:bookmarkEnd w:id="26"/>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27" w:name="_Toc5364610"/>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27"/>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28" w:name="_Toc5364611"/>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28"/>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29" w:name="_Toc501633717"/>
      <w:bookmarkStart w:id="30" w:name="_Toc501712613"/>
      <w:bookmarkStart w:id="31" w:name="_Toc536781807"/>
      <w:bookmarkStart w:id="32" w:name="_Toc5346838"/>
      <w:bookmarkStart w:id="33" w:name="_Toc5363391"/>
      <w:bookmarkStart w:id="34" w:name="_Toc5364612"/>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29"/>
      <w:bookmarkEnd w:id="30"/>
      <w:bookmarkEnd w:id="31"/>
      <w:bookmarkEnd w:id="32"/>
      <w:bookmarkEnd w:id="33"/>
      <w:bookmarkEnd w:id="34"/>
    </w:p>
    <w:p>
      <w:pPr>
        <w:pStyle w:val="Heading5"/>
      </w:pPr>
      <w:bookmarkStart w:id="35" w:name="_Toc5364613"/>
      <w:r>
        <w:rPr>
          <w:rStyle w:val="CharSectno"/>
        </w:rPr>
        <w:t>10</w:t>
      </w:r>
      <w:r>
        <w:t>.</w:t>
      </w:r>
      <w:r>
        <w:tab/>
        <w:t>Making regulations</w:t>
      </w:r>
      <w:bookmarkEnd w:id="35"/>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36" w:name="_Toc5364614"/>
      <w:r>
        <w:rPr>
          <w:rStyle w:val="CharSectno"/>
        </w:rPr>
        <w:t>11</w:t>
      </w:r>
      <w:r>
        <w:t>.</w:t>
      </w:r>
      <w:r>
        <w:tab/>
        <w:t>Regulations may deal with transitional matters</w:t>
      </w:r>
      <w:bookmarkEnd w:id="3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37" w:name="_Toc501633720"/>
      <w:bookmarkStart w:id="38" w:name="_Toc501712616"/>
      <w:bookmarkStart w:id="39" w:name="_Toc536781810"/>
      <w:bookmarkStart w:id="40" w:name="_Toc5346841"/>
      <w:bookmarkStart w:id="41" w:name="_Toc5363394"/>
      <w:bookmarkStart w:id="42" w:name="_Toc5364615"/>
      <w:r>
        <w:rPr>
          <w:rStyle w:val="CharPartNo"/>
        </w:rPr>
        <w:t>Part 4</w:t>
      </w:r>
      <w:r>
        <w:t> — </w:t>
      </w:r>
      <w:r>
        <w:rPr>
          <w:rStyle w:val="CharPartText"/>
        </w:rPr>
        <w:t>Cross vesting of functions and powers</w:t>
      </w:r>
      <w:bookmarkEnd w:id="37"/>
      <w:bookmarkEnd w:id="38"/>
      <w:bookmarkEnd w:id="39"/>
      <w:bookmarkEnd w:id="40"/>
      <w:bookmarkEnd w:id="41"/>
      <w:bookmarkEnd w:id="42"/>
    </w:p>
    <w:p>
      <w:pPr>
        <w:pStyle w:val="Heading5"/>
      </w:pPr>
      <w:bookmarkStart w:id="43" w:name="_Toc5364616"/>
      <w:r>
        <w:rPr>
          <w:rStyle w:val="CharSectno"/>
        </w:rPr>
        <w:t>12</w:t>
      </w:r>
      <w:r>
        <w:t>.</w:t>
      </w:r>
      <w:r>
        <w:tab/>
        <w:t>Conferral of powers on Commonwealth Minister and Commonwealth bodies to act in this State</w:t>
      </w:r>
      <w:bookmarkEnd w:id="43"/>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44" w:name="_Toc5364617"/>
      <w:r>
        <w:rPr>
          <w:rStyle w:val="CharSectno"/>
        </w:rPr>
        <w:t>13</w:t>
      </w:r>
      <w:r>
        <w:t>.</w:t>
      </w:r>
      <w:r>
        <w:tab/>
        <w:t>Conferral of powers on Ministers of other</w:t>
      </w:r>
      <w:r>
        <w:rPr>
          <w:b w:val="0"/>
          <w:bCs/>
        </w:rPr>
        <w:t xml:space="preserve"> </w:t>
      </w:r>
      <w:r>
        <w:t>participating States and Territories to act in this State</w:t>
      </w:r>
      <w:bookmarkEnd w:id="44"/>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45" w:name="_Toc5364618"/>
      <w:r>
        <w:rPr>
          <w:rStyle w:val="CharSectno"/>
        </w:rPr>
        <w:t>14</w:t>
      </w:r>
      <w:r>
        <w:t>.</w:t>
      </w:r>
      <w:r>
        <w:tab/>
        <w:t>Conferral of functions or powers on State bodies</w:t>
      </w:r>
      <w:bookmarkEnd w:id="45"/>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46" w:name="_Toc501633724"/>
      <w:bookmarkStart w:id="47" w:name="_Toc501712620"/>
      <w:bookmarkStart w:id="48" w:name="_Toc536781814"/>
      <w:bookmarkStart w:id="49" w:name="_Toc5346845"/>
      <w:bookmarkStart w:id="50" w:name="_Toc5363398"/>
      <w:bookmarkStart w:id="51" w:name="_Toc5364619"/>
      <w:r>
        <w:rPr>
          <w:rStyle w:val="CharPartNo"/>
        </w:rPr>
        <w:t>Part 5</w:t>
      </w:r>
      <w:r>
        <w:t> — </w:t>
      </w:r>
      <w:r>
        <w:rPr>
          <w:rStyle w:val="CharPartText"/>
        </w:rPr>
        <w:t>General</w:t>
      </w:r>
      <w:bookmarkEnd w:id="46"/>
      <w:bookmarkEnd w:id="47"/>
      <w:bookmarkEnd w:id="48"/>
      <w:bookmarkEnd w:id="49"/>
      <w:bookmarkEnd w:id="50"/>
      <w:bookmarkEnd w:id="51"/>
    </w:p>
    <w:p>
      <w:pPr>
        <w:pStyle w:val="Heading5"/>
      </w:pPr>
      <w:bookmarkStart w:id="52" w:name="_Toc5364620"/>
      <w:r>
        <w:rPr>
          <w:rStyle w:val="CharSectno"/>
        </w:rPr>
        <w:t>15</w:t>
      </w:r>
      <w:r>
        <w:t>.</w:t>
      </w:r>
      <w:r>
        <w:tab/>
        <w:t>Exemption from taxes</w:t>
      </w:r>
      <w:bookmarkEnd w:id="52"/>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53" w:name="_Toc5364621"/>
      <w:r>
        <w:rPr>
          <w:rStyle w:val="CharSectno"/>
        </w:rPr>
        <w:t>16</w:t>
      </w:r>
      <w:r>
        <w:t>.</w:t>
      </w:r>
      <w:r>
        <w:tab/>
        <w:t>Actions in relation to cross boundary pipelines</w:t>
      </w:r>
      <w:bookmarkEnd w:id="53"/>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54" w:name="_Toc5364622"/>
      <w:r>
        <w:rPr>
          <w:rStyle w:val="CharSectno"/>
        </w:rPr>
        <w:t>17</w:t>
      </w:r>
      <w:r>
        <w:t>.</w:t>
      </w:r>
      <w:r>
        <w:tab/>
        <w:t>Conferral of functions and powers on Commonwealth bodies</w:t>
      </w:r>
      <w:bookmarkEnd w:id="54"/>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55" w:name="_Toc501633728"/>
      <w:bookmarkStart w:id="56" w:name="_Toc501712624"/>
      <w:bookmarkStart w:id="57" w:name="_Toc536781818"/>
      <w:bookmarkStart w:id="58" w:name="_Toc5346849"/>
      <w:bookmarkStart w:id="59" w:name="_Toc5363402"/>
      <w:bookmarkStart w:id="60" w:name="_Toc5364623"/>
      <w:r>
        <w:rPr>
          <w:rStyle w:val="CharPartNo"/>
        </w:rPr>
        <w:t>Part 6</w:t>
      </w:r>
      <w:r>
        <w:t> — </w:t>
      </w:r>
      <w:r>
        <w:rPr>
          <w:rStyle w:val="CharPartText"/>
        </w:rPr>
        <w:t>Other local provisions</w:t>
      </w:r>
      <w:bookmarkEnd w:id="55"/>
      <w:bookmarkEnd w:id="56"/>
      <w:bookmarkEnd w:id="57"/>
      <w:bookmarkEnd w:id="58"/>
      <w:bookmarkEnd w:id="59"/>
      <w:bookmarkEnd w:id="60"/>
    </w:p>
    <w:p>
      <w:pPr>
        <w:pStyle w:val="Heading3"/>
      </w:pPr>
      <w:bookmarkStart w:id="61" w:name="_Toc501633729"/>
      <w:bookmarkStart w:id="62" w:name="_Toc501712625"/>
      <w:bookmarkStart w:id="63" w:name="_Toc536781819"/>
      <w:bookmarkStart w:id="64" w:name="_Toc5346850"/>
      <w:bookmarkStart w:id="65" w:name="_Toc5363403"/>
      <w:bookmarkStart w:id="66" w:name="_Toc5364624"/>
      <w:r>
        <w:rPr>
          <w:rStyle w:val="CharDivNo"/>
        </w:rPr>
        <w:t>Division 1</w:t>
      </w:r>
      <w:r>
        <w:t> — </w:t>
      </w:r>
      <w:r>
        <w:rPr>
          <w:rStyle w:val="CharDivText"/>
        </w:rPr>
        <w:t>Economic Regulation Authority</w:t>
      </w:r>
      <w:bookmarkEnd w:id="61"/>
      <w:bookmarkEnd w:id="62"/>
      <w:bookmarkEnd w:id="63"/>
      <w:bookmarkEnd w:id="64"/>
      <w:bookmarkEnd w:id="65"/>
      <w:bookmarkEnd w:id="66"/>
    </w:p>
    <w:p>
      <w:pPr>
        <w:pStyle w:val="Heading5"/>
      </w:pPr>
      <w:bookmarkStart w:id="67" w:name="_Toc5364625"/>
      <w:r>
        <w:rPr>
          <w:rStyle w:val="CharSectno"/>
        </w:rPr>
        <w:t>18</w:t>
      </w:r>
      <w:r>
        <w:t>.</w:t>
      </w:r>
      <w:r>
        <w:tab/>
        <w:t>Expertise of Director of Energy Safety to be used</w:t>
      </w:r>
      <w:bookmarkEnd w:id="6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68" w:name="_Toc501633731"/>
      <w:bookmarkStart w:id="69" w:name="_Toc501712627"/>
      <w:bookmarkStart w:id="70" w:name="_Toc536781821"/>
      <w:bookmarkStart w:id="71" w:name="_Toc5346852"/>
      <w:bookmarkStart w:id="72" w:name="_Toc5363405"/>
      <w:bookmarkStart w:id="73" w:name="_Toc5364626"/>
      <w:r>
        <w:rPr>
          <w:rStyle w:val="CharDivNo"/>
        </w:rPr>
        <w:t>Division 2</w:t>
      </w:r>
      <w:r>
        <w:t> — </w:t>
      </w:r>
      <w:r>
        <w:rPr>
          <w:rStyle w:val="CharDivText"/>
        </w:rPr>
        <w:t>Miscellaneous</w:t>
      </w:r>
      <w:bookmarkEnd w:id="68"/>
      <w:bookmarkEnd w:id="69"/>
      <w:bookmarkEnd w:id="70"/>
      <w:bookmarkEnd w:id="71"/>
      <w:bookmarkEnd w:id="72"/>
      <w:bookmarkEnd w:id="73"/>
    </w:p>
    <w:p>
      <w:pPr>
        <w:pStyle w:val="Heading5"/>
        <w:ind w:left="720"/>
        <w:rPr>
          <w:rFonts w:eastAsia="Arial Unicode MS"/>
          <w:snapToGrid w:val="0"/>
          <w:szCs w:val="22"/>
        </w:rPr>
      </w:pPr>
      <w:bookmarkStart w:id="74" w:name="_Toc5364627"/>
      <w:r>
        <w:rPr>
          <w:rStyle w:val="CharSectno"/>
        </w:rPr>
        <w:t>19</w:t>
      </w:r>
      <w:r>
        <w:rPr>
          <w:snapToGrid w:val="0"/>
          <w:szCs w:val="22"/>
        </w:rPr>
        <w:t>.</w:t>
      </w:r>
      <w:r>
        <w:rPr>
          <w:snapToGrid w:val="0"/>
          <w:szCs w:val="22"/>
        </w:rPr>
        <w:tab/>
        <w:t>Preservation of certain contracts relating to privatised DBNGP system</w:t>
      </w:r>
      <w:bookmarkEnd w:id="74"/>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75" w:name="_Toc5364628"/>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75"/>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76" w:name="_Toc5364629"/>
      <w:r>
        <w:rPr>
          <w:rStyle w:val="CharSectno"/>
        </w:rPr>
        <w:t>21</w:t>
      </w:r>
      <w:r>
        <w:t>.</w:t>
      </w:r>
      <w:r>
        <w:tab/>
        <w:t>Regulations</w:t>
      </w:r>
      <w:bookmarkEnd w:id="7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77" w:name="_Toc5364630"/>
      <w:r>
        <w:rPr>
          <w:rStyle w:val="CharSectno"/>
        </w:rPr>
        <w:t>22</w:t>
      </w:r>
      <w:r>
        <w:t>.</w:t>
      </w:r>
      <w:r>
        <w:tab/>
        <w:t>Review of Act</w:t>
      </w:r>
      <w:bookmarkEnd w:id="77"/>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78" w:name="_Toc501633736"/>
      <w:bookmarkStart w:id="79" w:name="_Toc501712632"/>
      <w:bookmarkStart w:id="80" w:name="_Toc536781826"/>
      <w:bookmarkStart w:id="81" w:name="_Toc5346857"/>
      <w:bookmarkStart w:id="82" w:name="_Toc5363410"/>
      <w:bookmarkStart w:id="83" w:name="_Toc5364631"/>
      <w:r>
        <w:rPr>
          <w:rStyle w:val="CharPartNo"/>
        </w:rPr>
        <w:t>Part 7</w:t>
      </w:r>
      <w:r>
        <w:t> — </w:t>
      </w:r>
      <w:r>
        <w:rPr>
          <w:rStyle w:val="CharPartText"/>
        </w:rPr>
        <w:t>Various Acts amended</w:t>
      </w:r>
      <w:bookmarkEnd w:id="78"/>
      <w:bookmarkEnd w:id="79"/>
      <w:bookmarkEnd w:id="80"/>
      <w:bookmarkEnd w:id="81"/>
      <w:bookmarkEnd w:id="82"/>
      <w:bookmarkEnd w:id="83"/>
    </w:p>
    <w:p>
      <w:pPr>
        <w:pStyle w:val="Heading3"/>
        <w:spacing w:before="120"/>
      </w:pPr>
      <w:bookmarkStart w:id="84" w:name="_Toc501633737"/>
      <w:bookmarkStart w:id="85" w:name="_Toc501712633"/>
      <w:bookmarkStart w:id="86" w:name="_Toc536781827"/>
      <w:bookmarkStart w:id="87" w:name="_Toc5346858"/>
      <w:bookmarkStart w:id="88" w:name="_Toc5363411"/>
      <w:bookmarkStart w:id="89" w:name="_Toc5364632"/>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84"/>
      <w:bookmarkEnd w:id="85"/>
      <w:bookmarkEnd w:id="86"/>
      <w:bookmarkEnd w:id="87"/>
      <w:bookmarkEnd w:id="88"/>
      <w:bookmarkEnd w:id="89"/>
    </w:p>
    <w:p>
      <w:pPr>
        <w:pStyle w:val="Heading5"/>
        <w:spacing w:before="120"/>
      </w:pPr>
      <w:bookmarkStart w:id="90" w:name="_Toc5364633"/>
      <w:r>
        <w:rPr>
          <w:rStyle w:val="CharSectno"/>
        </w:rPr>
        <w:t>23</w:t>
      </w:r>
      <w:r>
        <w:t>.</w:t>
      </w:r>
      <w:r>
        <w:tab/>
        <w:t>Act amended</w:t>
      </w:r>
      <w:bookmarkEnd w:id="90"/>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91" w:name="_Toc5364634"/>
      <w:r>
        <w:rPr>
          <w:rStyle w:val="CharSectno"/>
        </w:rPr>
        <w:t>24</w:t>
      </w:r>
      <w:r>
        <w:t>.</w:t>
      </w:r>
      <w:r>
        <w:tab/>
        <w:t>Long title replaced</w:t>
      </w:r>
      <w:bookmarkEnd w:id="91"/>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92" w:name="_Toc5364635"/>
      <w:r>
        <w:rPr>
          <w:rStyle w:val="CharSectno"/>
        </w:rPr>
        <w:t>25</w:t>
      </w:r>
      <w:r>
        <w:t>.</w:t>
      </w:r>
      <w:r>
        <w:tab/>
        <w:t>Preamble deleted</w:t>
      </w:r>
      <w:bookmarkEnd w:id="92"/>
    </w:p>
    <w:p>
      <w:pPr>
        <w:pStyle w:val="Subsection"/>
      </w:pPr>
      <w:r>
        <w:tab/>
      </w:r>
      <w:r>
        <w:tab/>
        <w:t>Delete the preamble.</w:t>
      </w:r>
    </w:p>
    <w:p>
      <w:pPr>
        <w:pStyle w:val="Heading5"/>
      </w:pPr>
      <w:bookmarkStart w:id="93" w:name="_Toc5364636"/>
      <w:r>
        <w:rPr>
          <w:rStyle w:val="CharSectno"/>
        </w:rPr>
        <w:t>26</w:t>
      </w:r>
      <w:r>
        <w:t>.</w:t>
      </w:r>
      <w:r>
        <w:tab/>
        <w:t>Section 1 amended</w:t>
      </w:r>
      <w:bookmarkEnd w:id="93"/>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94" w:name="_Toc5364637"/>
      <w:r>
        <w:rPr>
          <w:rStyle w:val="CharSectno"/>
        </w:rPr>
        <w:t>27</w:t>
      </w:r>
      <w:r>
        <w:t>.</w:t>
      </w:r>
      <w:r>
        <w:tab/>
        <w:t>Sections 2 to 4 deleted</w:t>
      </w:r>
      <w:bookmarkEnd w:id="94"/>
    </w:p>
    <w:p>
      <w:pPr>
        <w:pStyle w:val="Subsection"/>
      </w:pPr>
      <w:r>
        <w:tab/>
      </w:r>
      <w:r>
        <w:tab/>
        <w:t>Delete sections 2 to 4.</w:t>
      </w:r>
    </w:p>
    <w:p>
      <w:pPr>
        <w:pStyle w:val="Heading5"/>
      </w:pPr>
      <w:bookmarkStart w:id="95" w:name="_Toc5364638"/>
      <w:r>
        <w:rPr>
          <w:rStyle w:val="CharSectno"/>
        </w:rPr>
        <w:t>28</w:t>
      </w:r>
      <w:r>
        <w:t>.</w:t>
      </w:r>
      <w:r>
        <w:tab/>
        <w:t>Section 5 amended</w:t>
      </w:r>
      <w:bookmarkEnd w:id="95"/>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96" w:name="_Toc5364639"/>
      <w:r>
        <w:rPr>
          <w:rStyle w:val="CharSectno"/>
        </w:rPr>
        <w:t>29</w:t>
      </w:r>
      <w:r>
        <w:t>.</w:t>
      </w:r>
      <w:r>
        <w:tab/>
        <w:t>Sections 6 to 8 deleted</w:t>
      </w:r>
      <w:bookmarkEnd w:id="96"/>
    </w:p>
    <w:p>
      <w:pPr>
        <w:pStyle w:val="Subsection"/>
        <w:spacing w:before="120"/>
      </w:pPr>
      <w:r>
        <w:tab/>
      </w:r>
      <w:r>
        <w:tab/>
        <w:t>Delete sections 6 to 8.</w:t>
      </w:r>
    </w:p>
    <w:p>
      <w:pPr>
        <w:pStyle w:val="Heading5"/>
      </w:pPr>
      <w:bookmarkStart w:id="97" w:name="_Toc5364640"/>
      <w:r>
        <w:rPr>
          <w:rStyle w:val="CharSectno"/>
        </w:rPr>
        <w:t>30</w:t>
      </w:r>
      <w:r>
        <w:t>.</w:t>
      </w:r>
      <w:r>
        <w:tab/>
        <w:t>Parts 2 to 5 deleted</w:t>
      </w:r>
      <w:bookmarkEnd w:id="97"/>
    </w:p>
    <w:p>
      <w:pPr>
        <w:pStyle w:val="Subsection"/>
        <w:spacing w:before="120"/>
      </w:pPr>
      <w:r>
        <w:tab/>
      </w:r>
      <w:r>
        <w:tab/>
        <w:t>Delete Parts 2 to 5.</w:t>
      </w:r>
    </w:p>
    <w:p>
      <w:pPr>
        <w:pStyle w:val="Heading5"/>
      </w:pPr>
      <w:bookmarkStart w:id="98" w:name="_Toc5364641"/>
      <w:r>
        <w:rPr>
          <w:rStyle w:val="CharSectno"/>
        </w:rPr>
        <w:t>31</w:t>
      </w:r>
      <w:r>
        <w:t>.</w:t>
      </w:r>
      <w:r>
        <w:tab/>
        <w:t>Part 6 heading replaced</w:t>
      </w:r>
      <w:bookmarkEnd w:id="98"/>
    </w:p>
    <w:p>
      <w:pPr>
        <w:pStyle w:val="Subsection"/>
        <w:spacing w:before="120"/>
      </w:pPr>
      <w:r>
        <w:tab/>
      </w:r>
      <w:r>
        <w:tab/>
        <w:t>Delete the heading to Part 6 and insert:</w:t>
      </w:r>
    </w:p>
    <w:p>
      <w:pPr>
        <w:pStyle w:val="BlankOpen"/>
      </w:pPr>
    </w:p>
    <w:p>
      <w:pPr>
        <w:pStyle w:val="zHeading2"/>
        <w:spacing w:before="0"/>
      </w:pPr>
      <w:bookmarkStart w:id="99" w:name="_Toc501633747"/>
      <w:bookmarkStart w:id="100" w:name="_Toc501712643"/>
      <w:bookmarkStart w:id="101" w:name="_Toc536781837"/>
      <w:bookmarkStart w:id="102" w:name="_Toc5346868"/>
      <w:bookmarkStart w:id="103" w:name="_Toc5363421"/>
      <w:bookmarkStart w:id="104" w:name="_Toc5364642"/>
      <w:r>
        <w:t>Part 6</w:t>
      </w:r>
      <w:r>
        <w:rPr>
          <w:b w:val="0"/>
        </w:rPr>
        <w:t> </w:t>
      </w:r>
      <w:r>
        <w:t>—</w:t>
      </w:r>
      <w:r>
        <w:rPr>
          <w:b w:val="0"/>
        </w:rPr>
        <w:t> </w:t>
      </w:r>
      <w:r>
        <w:t>Review board and arbitrator</w:t>
      </w:r>
      <w:bookmarkEnd w:id="99"/>
      <w:bookmarkEnd w:id="100"/>
      <w:bookmarkEnd w:id="101"/>
      <w:bookmarkEnd w:id="102"/>
      <w:bookmarkEnd w:id="103"/>
      <w:bookmarkEnd w:id="104"/>
    </w:p>
    <w:p>
      <w:pPr>
        <w:pStyle w:val="BlankClose"/>
      </w:pPr>
    </w:p>
    <w:p>
      <w:pPr>
        <w:pStyle w:val="Heading5"/>
        <w:spacing w:before="180"/>
      </w:pPr>
      <w:bookmarkStart w:id="105" w:name="_Toc5364643"/>
      <w:r>
        <w:rPr>
          <w:rStyle w:val="CharSectno"/>
        </w:rPr>
        <w:t>32</w:t>
      </w:r>
      <w:r>
        <w:t>.</w:t>
      </w:r>
      <w:r>
        <w:tab/>
        <w:t>Part 6 Division 1 deleted</w:t>
      </w:r>
      <w:bookmarkEnd w:id="105"/>
    </w:p>
    <w:p>
      <w:pPr>
        <w:pStyle w:val="Subsection"/>
        <w:spacing w:before="120"/>
      </w:pPr>
      <w:r>
        <w:tab/>
      </w:r>
      <w:r>
        <w:tab/>
        <w:t>Delete Part 6 Division 1.</w:t>
      </w:r>
    </w:p>
    <w:p>
      <w:pPr>
        <w:pStyle w:val="Heading5"/>
        <w:spacing w:before="180"/>
      </w:pPr>
      <w:bookmarkStart w:id="106" w:name="_Toc5364644"/>
      <w:r>
        <w:rPr>
          <w:rStyle w:val="CharSectno"/>
        </w:rPr>
        <w:t>33</w:t>
      </w:r>
      <w:r>
        <w:t>.</w:t>
      </w:r>
      <w:r>
        <w:tab/>
        <w:t>Part 6 Division 2 heading replaced</w:t>
      </w:r>
      <w:bookmarkEnd w:id="106"/>
    </w:p>
    <w:p>
      <w:pPr>
        <w:pStyle w:val="Subsection"/>
        <w:spacing w:before="120"/>
      </w:pPr>
      <w:r>
        <w:tab/>
      </w:r>
      <w:r>
        <w:tab/>
        <w:t>Delete the heading to Part 6 Division 2 and insert:</w:t>
      </w:r>
    </w:p>
    <w:p>
      <w:pPr>
        <w:pStyle w:val="BlankOpen"/>
      </w:pPr>
    </w:p>
    <w:p>
      <w:pPr>
        <w:pStyle w:val="zHeading3"/>
        <w:spacing w:before="0"/>
      </w:pPr>
      <w:bookmarkStart w:id="107" w:name="_Toc501633750"/>
      <w:bookmarkStart w:id="108" w:name="_Toc501712646"/>
      <w:bookmarkStart w:id="109" w:name="_Toc536781840"/>
      <w:bookmarkStart w:id="110" w:name="_Toc5346871"/>
      <w:bookmarkStart w:id="111" w:name="_Toc5363424"/>
      <w:bookmarkStart w:id="112" w:name="_Toc5364645"/>
      <w:r>
        <w:t>Division 2 — Review board</w:t>
      </w:r>
      <w:bookmarkEnd w:id="107"/>
      <w:bookmarkEnd w:id="108"/>
      <w:bookmarkEnd w:id="109"/>
      <w:bookmarkEnd w:id="110"/>
      <w:bookmarkEnd w:id="111"/>
      <w:bookmarkEnd w:id="112"/>
    </w:p>
    <w:p>
      <w:pPr>
        <w:pStyle w:val="BlankClose"/>
      </w:pPr>
    </w:p>
    <w:p>
      <w:pPr>
        <w:pStyle w:val="Heading5"/>
        <w:spacing w:before="180"/>
      </w:pPr>
      <w:bookmarkStart w:id="113" w:name="_Toc5364646"/>
      <w:r>
        <w:rPr>
          <w:rStyle w:val="CharSectno"/>
        </w:rPr>
        <w:t>34</w:t>
      </w:r>
      <w:r>
        <w:t>.</w:t>
      </w:r>
      <w:r>
        <w:tab/>
        <w:t>Section 49 amended</w:t>
      </w:r>
      <w:bookmarkEnd w:id="113"/>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14" w:name="_Toc5364647"/>
      <w:r>
        <w:rPr>
          <w:rStyle w:val="CharSectno"/>
        </w:rPr>
        <w:t>35</w:t>
      </w:r>
      <w:r>
        <w:t>.</w:t>
      </w:r>
      <w:r>
        <w:tab/>
        <w:t>Part 6 Division 2 Subdivision 2 heading replaced</w:t>
      </w:r>
      <w:bookmarkEnd w:id="114"/>
    </w:p>
    <w:p>
      <w:pPr>
        <w:pStyle w:val="Subsection"/>
        <w:spacing w:before="120"/>
      </w:pPr>
      <w:r>
        <w:tab/>
      </w:r>
      <w:r>
        <w:tab/>
        <w:t>Delete the heading to Part 6 Division 2 Subdivision 2 and insert:</w:t>
      </w:r>
    </w:p>
    <w:p>
      <w:pPr>
        <w:pStyle w:val="BlankOpen"/>
      </w:pPr>
    </w:p>
    <w:p>
      <w:pPr>
        <w:pStyle w:val="zHeading4"/>
        <w:spacing w:before="0"/>
      </w:pPr>
      <w:bookmarkStart w:id="115" w:name="_Toc501633753"/>
      <w:bookmarkStart w:id="116" w:name="_Toc501712649"/>
      <w:bookmarkStart w:id="117" w:name="_Toc536781843"/>
      <w:bookmarkStart w:id="118" w:name="_Toc5346874"/>
      <w:bookmarkStart w:id="119" w:name="_Toc5363427"/>
      <w:bookmarkStart w:id="120" w:name="_Toc5364648"/>
      <w:r>
        <w:t>Subdivision 2 — Western Australian Electricity Review Board established</w:t>
      </w:r>
      <w:bookmarkEnd w:id="115"/>
      <w:bookmarkEnd w:id="116"/>
      <w:bookmarkEnd w:id="117"/>
      <w:bookmarkEnd w:id="118"/>
      <w:bookmarkEnd w:id="119"/>
      <w:bookmarkEnd w:id="120"/>
    </w:p>
    <w:p>
      <w:pPr>
        <w:pStyle w:val="BlankClose"/>
      </w:pPr>
    </w:p>
    <w:p>
      <w:pPr>
        <w:pStyle w:val="Heading5"/>
      </w:pPr>
      <w:bookmarkStart w:id="121" w:name="_Toc5364649"/>
      <w:r>
        <w:rPr>
          <w:rStyle w:val="CharSectno"/>
        </w:rPr>
        <w:t>36</w:t>
      </w:r>
      <w:r>
        <w:t>.</w:t>
      </w:r>
      <w:r>
        <w:tab/>
        <w:t>Section 50 amended</w:t>
      </w:r>
      <w:bookmarkEnd w:id="12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22" w:name="_Toc5364650"/>
      <w:r>
        <w:rPr>
          <w:rStyle w:val="CharSectno"/>
        </w:rPr>
        <w:t>37</w:t>
      </w:r>
      <w:r>
        <w:t>.</w:t>
      </w:r>
      <w:r>
        <w:tab/>
        <w:t>Section 57 amended</w:t>
      </w:r>
      <w:bookmarkEnd w:id="122"/>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123" w:name="_Toc5364651"/>
      <w:r>
        <w:rPr>
          <w:rStyle w:val="CharSectno"/>
        </w:rPr>
        <w:t>38</w:t>
      </w:r>
      <w:r>
        <w:t>.</w:t>
      </w:r>
      <w:r>
        <w:tab/>
        <w:t>Section 59 amended</w:t>
      </w:r>
      <w:bookmarkEnd w:id="123"/>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124" w:name="_Toc5364652"/>
      <w:r>
        <w:rPr>
          <w:rStyle w:val="CharSectno"/>
        </w:rPr>
        <w:t>39</w:t>
      </w:r>
      <w:r>
        <w:t>.</w:t>
      </w:r>
      <w:r>
        <w:tab/>
        <w:t>Section 61 amended</w:t>
      </w:r>
      <w:bookmarkEnd w:id="124"/>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125" w:name="_Toc5364653"/>
      <w:r>
        <w:rPr>
          <w:rStyle w:val="CharSectno"/>
        </w:rPr>
        <w:t>40</w:t>
      </w:r>
      <w:r>
        <w:t>.</w:t>
      </w:r>
      <w:r>
        <w:tab/>
        <w:t>Part 6 Division 3 Subdivision 2 heading amended</w:t>
      </w:r>
      <w:bookmarkEnd w:id="125"/>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126" w:name="_Toc5364654"/>
      <w:r>
        <w:rPr>
          <w:rStyle w:val="CharSectno"/>
        </w:rPr>
        <w:t>41</w:t>
      </w:r>
      <w:r>
        <w:t>.</w:t>
      </w:r>
      <w:r>
        <w:tab/>
        <w:t>Section 62 amended</w:t>
      </w:r>
      <w:bookmarkEnd w:id="12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127" w:name="_Toc5364655"/>
      <w:r>
        <w:rPr>
          <w:rStyle w:val="CharSectno"/>
        </w:rPr>
        <w:t>42</w:t>
      </w:r>
      <w:r>
        <w:t>.</w:t>
      </w:r>
      <w:r>
        <w:tab/>
        <w:t>Section 73 amended</w:t>
      </w:r>
      <w:bookmarkEnd w:id="127"/>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128" w:name="_Toc5364656"/>
      <w:r>
        <w:rPr>
          <w:rStyle w:val="CharSectno"/>
        </w:rPr>
        <w:t>43</w:t>
      </w:r>
      <w:r>
        <w:t>.</w:t>
      </w:r>
      <w:r>
        <w:tab/>
        <w:t>Section 74 amended</w:t>
      </w:r>
      <w:bookmarkEnd w:id="128"/>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129" w:name="_Toc5364657"/>
      <w:r>
        <w:rPr>
          <w:rStyle w:val="CharSectno"/>
        </w:rPr>
        <w:t>44</w:t>
      </w:r>
      <w:r>
        <w:t>.</w:t>
      </w:r>
      <w:r>
        <w:tab/>
        <w:t>Section 76 amended</w:t>
      </w:r>
      <w:bookmarkEnd w:id="129"/>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130" w:name="_Toc5364658"/>
      <w:r>
        <w:rPr>
          <w:rStyle w:val="CharSectno"/>
        </w:rPr>
        <w:t>45</w:t>
      </w:r>
      <w:r>
        <w:t>.</w:t>
      </w:r>
      <w:r>
        <w:tab/>
        <w:t>Section 77 amended</w:t>
      </w:r>
      <w:bookmarkEnd w:id="130"/>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131" w:name="_Toc5364659"/>
      <w:r>
        <w:rPr>
          <w:rStyle w:val="CharSectno"/>
        </w:rPr>
        <w:t>46</w:t>
      </w:r>
      <w:r>
        <w:t>.</w:t>
      </w:r>
      <w:r>
        <w:tab/>
        <w:t>Section 81 amended</w:t>
      </w:r>
      <w:bookmarkEnd w:id="131"/>
    </w:p>
    <w:p>
      <w:pPr>
        <w:pStyle w:val="Subsection"/>
        <w:rPr>
          <w:b/>
          <w:i/>
        </w:rPr>
      </w:pPr>
      <w:r>
        <w:tab/>
      </w:r>
      <w:r>
        <w:tab/>
        <w:t>In section 81 delete “under this Act”.</w:t>
      </w:r>
    </w:p>
    <w:p>
      <w:pPr>
        <w:pStyle w:val="Heading5"/>
      </w:pPr>
      <w:bookmarkStart w:id="132" w:name="_Toc5364660"/>
      <w:r>
        <w:rPr>
          <w:rStyle w:val="CharSectno"/>
        </w:rPr>
        <w:t>47</w:t>
      </w:r>
      <w:r>
        <w:t>.</w:t>
      </w:r>
      <w:r>
        <w:tab/>
        <w:t>Section 82 amended</w:t>
      </w:r>
      <w:bookmarkEnd w:id="13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133" w:name="_Toc5364661"/>
      <w:r>
        <w:rPr>
          <w:rStyle w:val="CharSectno"/>
        </w:rPr>
        <w:t>48</w:t>
      </w:r>
      <w:r>
        <w:t>.</w:t>
      </w:r>
      <w:r>
        <w:tab/>
        <w:t>Section 87 deleted</w:t>
      </w:r>
      <w:bookmarkEnd w:id="133"/>
    </w:p>
    <w:p>
      <w:pPr>
        <w:pStyle w:val="Subsection"/>
      </w:pPr>
      <w:r>
        <w:tab/>
      </w:r>
      <w:r>
        <w:tab/>
        <w:t>Delete section 87.</w:t>
      </w:r>
    </w:p>
    <w:p>
      <w:pPr>
        <w:pStyle w:val="Heading5"/>
      </w:pPr>
      <w:bookmarkStart w:id="134" w:name="_Toc5364662"/>
      <w:r>
        <w:rPr>
          <w:rStyle w:val="CharSectno"/>
        </w:rPr>
        <w:t>49</w:t>
      </w:r>
      <w:r>
        <w:t>.</w:t>
      </w:r>
      <w:r>
        <w:tab/>
        <w:t>Section 88 deleted</w:t>
      </w:r>
      <w:bookmarkEnd w:id="134"/>
    </w:p>
    <w:p>
      <w:pPr>
        <w:pStyle w:val="Subsection"/>
      </w:pPr>
      <w:r>
        <w:tab/>
      </w:r>
      <w:r>
        <w:tab/>
        <w:t>Delete section 88.</w:t>
      </w:r>
    </w:p>
    <w:p>
      <w:pPr>
        <w:pStyle w:val="Heading5"/>
      </w:pPr>
      <w:bookmarkStart w:id="135" w:name="_Toc5364663"/>
      <w:r>
        <w:rPr>
          <w:rStyle w:val="CharSectno"/>
        </w:rPr>
        <w:t>50</w:t>
      </w:r>
      <w:r>
        <w:t>.</w:t>
      </w:r>
      <w:r>
        <w:tab/>
        <w:t>Parts 7 and 8 deleted</w:t>
      </w:r>
      <w:bookmarkEnd w:id="135"/>
    </w:p>
    <w:p>
      <w:pPr>
        <w:pStyle w:val="Subsection"/>
      </w:pPr>
      <w:r>
        <w:tab/>
      </w:r>
      <w:r>
        <w:tab/>
        <w:t>Delete Parts 7 and 8.</w:t>
      </w:r>
    </w:p>
    <w:p>
      <w:pPr>
        <w:pStyle w:val="Heading5"/>
      </w:pPr>
      <w:bookmarkStart w:id="136" w:name="_Toc5364664"/>
      <w:r>
        <w:rPr>
          <w:rStyle w:val="CharSectno"/>
        </w:rPr>
        <w:t>51</w:t>
      </w:r>
      <w:r>
        <w:t>.</w:t>
      </w:r>
      <w:r>
        <w:tab/>
        <w:t>Schedules deleted</w:t>
      </w:r>
      <w:bookmarkEnd w:id="136"/>
    </w:p>
    <w:p>
      <w:pPr>
        <w:pStyle w:val="Subsection"/>
      </w:pPr>
      <w:r>
        <w:tab/>
      </w:r>
      <w:r>
        <w:tab/>
        <w:t>Delete Schedule 1 and its Appendix and Schedules 2 and 3.</w:t>
      </w:r>
    </w:p>
    <w:p>
      <w:pPr>
        <w:pStyle w:val="Heading3"/>
      </w:pPr>
      <w:bookmarkStart w:id="137" w:name="_Toc501633770"/>
      <w:bookmarkStart w:id="138" w:name="_Toc501712666"/>
      <w:bookmarkStart w:id="139" w:name="_Toc536781860"/>
      <w:bookmarkStart w:id="140" w:name="_Toc5346891"/>
      <w:bookmarkStart w:id="141" w:name="_Toc5363444"/>
      <w:bookmarkStart w:id="142" w:name="_Toc5364665"/>
      <w:r>
        <w:rPr>
          <w:rStyle w:val="CharDivNo"/>
        </w:rPr>
        <w:t>Division 2</w:t>
      </w:r>
      <w:r>
        <w:t> — </w:t>
      </w:r>
      <w:r>
        <w:rPr>
          <w:rStyle w:val="CharDivText"/>
          <w:i/>
          <w:iCs/>
        </w:rPr>
        <w:t>Economic Regulation Authority Act 2003</w:t>
      </w:r>
      <w:bookmarkEnd w:id="137"/>
      <w:bookmarkEnd w:id="138"/>
      <w:bookmarkEnd w:id="139"/>
      <w:bookmarkEnd w:id="140"/>
      <w:bookmarkEnd w:id="141"/>
      <w:bookmarkEnd w:id="142"/>
    </w:p>
    <w:p>
      <w:pPr>
        <w:pStyle w:val="Heading5"/>
      </w:pPr>
      <w:bookmarkStart w:id="143" w:name="_Toc5364666"/>
      <w:r>
        <w:rPr>
          <w:rStyle w:val="CharSectno"/>
        </w:rPr>
        <w:t>52</w:t>
      </w:r>
      <w:r>
        <w:t>.</w:t>
      </w:r>
      <w:r>
        <w:tab/>
        <w:t>Act amended</w:t>
      </w:r>
      <w:bookmarkEnd w:id="143"/>
    </w:p>
    <w:p>
      <w:pPr>
        <w:pStyle w:val="Subsection"/>
      </w:pPr>
      <w:r>
        <w:tab/>
      </w:r>
      <w:r>
        <w:tab/>
        <w:t xml:space="preserve">This Division amends the </w:t>
      </w:r>
      <w:r>
        <w:rPr>
          <w:i/>
          <w:iCs/>
        </w:rPr>
        <w:t>Economic Regulation Authority Act 2003</w:t>
      </w:r>
      <w:r>
        <w:t>.</w:t>
      </w:r>
    </w:p>
    <w:p>
      <w:pPr>
        <w:pStyle w:val="Heading5"/>
      </w:pPr>
      <w:bookmarkStart w:id="144" w:name="_Toc5364667"/>
      <w:r>
        <w:rPr>
          <w:rStyle w:val="CharSectno"/>
        </w:rPr>
        <w:t>53</w:t>
      </w:r>
      <w:r>
        <w:t>.</w:t>
      </w:r>
      <w:r>
        <w:tab/>
        <w:t>Section 25 amended</w:t>
      </w:r>
      <w:bookmarkEnd w:id="144"/>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45" w:name="_Toc5364668"/>
      <w:r>
        <w:rPr>
          <w:rStyle w:val="CharSectno"/>
        </w:rPr>
        <w:t>54</w:t>
      </w:r>
      <w:r>
        <w:t>.</w:t>
      </w:r>
      <w:r>
        <w:tab/>
        <w:t>Section 28 amended</w:t>
      </w:r>
      <w:bookmarkEnd w:id="145"/>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146" w:name="_Toc5364669"/>
      <w:r>
        <w:rPr>
          <w:rStyle w:val="CharSectno"/>
        </w:rPr>
        <w:t>55</w:t>
      </w:r>
      <w:r>
        <w:t>.</w:t>
      </w:r>
      <w:r>
        <w:tab/>
        <w:t>Section 32 amended</w:t>
      </w:r>
      <w:bookmarkEnd w:id="146"/>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147" w:name="_Toc501633775"/>
      <w:bookmarkStart w:id="148" w:name="_Toc501712671"/>
      <w:bookmarkStart w:id="149" w:name="_Toc536781865"/>
      <w:bookmarkStart w:id="150" w:name="_Toc5346896"/>
      <w:bookmarkStart w:id="151" w:name="_Toc5363449"/>
      <w:bookmarkStart w:id="152" w:name="_Toc5364670"/>
      <w:r>
        <w:rPr>
          <w:rStyle w:val="CharDivNo"/>
        </w:rPr>
        <w:t>Division 3</w:t>
      </w:r>
      <w:r>
        <w:t> — </w:t>
      </w:r>
      <w:r>
        <w:rPr>
          <w:rStyle w:val="CharDivText"/>
          <w:i/>
          <w:iCs/>
        </w:rPr>
        <w:t>Electricity Industry Act 2004</w:t>
      </w:r>
      <w:bookmarkEnd w:id="147"/>
      <w:bookmarkEnd w:id="148"/>
      <w:bookmarkEnd w:id="149"/>
      <w:bookmarkEnd w:id="150"/>
      <w:bookmarkEnd w:id="151"/>
      <w:bookmarkEnd w:id="152"/>
    </w:p>
    <w:p>
      <w:pPr>
        <w:pStyle w:val="Heading5"/>
      </w:pPr>
      <w:bookmarkStart w:id="153" w:name="_Toc5364671"/>
      <w:r>
        <w:rPr>
          <w:rStyle w:val="CharSectno"/>
        </w:rPr>
        <w:t>56</w:t>
      </w:r>
      <w:r>
        <w:t>.</w:t>
      </w:r>
      <w:r>
        <w:tab/>
        <w:t>Act amended</w:t>
      </w:r>
      <w:bookmarkEnd w:id="153"/>
    </w:p>
    <w:p>
      <w:pPr>
        <w:pStyle w:val="Subsection"/>
        <w:spacing w:before="120"/>
      </w:pPr>
      <w:r>
        <w:tab/>
      </w:r>
      <w:r>
        <w:tab/>
        <w:t xml:space="preserve">This Division amends the </w:t>
      </w:r>
      <w:r>
        <w:rPr>
          <w:i/>
          <w:iCs/>
        </w:rPr>
        <w:t>Electricity Industry Act 2004</w:t>
      </w:r>
      <w:r>
        <w:t>.</w:t>
      </w:r>
    </w:p>
    <w:p>
      <w:pPr>
        <w:pStyle w:val="Heading5"/>
      </w:pPr>
      <w:bookmarkStart w:id="154" w:name="_Toc5364672"/>
      <w:r>
        <w:rPr>
          <w:rStyle w:val="CharSectno"/>
        </w:rPr>
        <w:t>57</w:t>
      </w:r>
      <w:r>
        <w:t>.</w:t>
      </w:r>
      <w:r>
        <w:tab/>
        <w:t>Section 3 amended</w:t>
      </w:r>
      <w:bookmarkEnd w:id="15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55" w:name="_Toc5364673"/>
      <w:r>
        <w:rPr>
          <w:rStyle w:val="CharSectno"/>
        </w:rPr>
        <w:t>58</w:t>
      </w:r>
      <w:r>
        <w:t>.</w:t>
      </w:r>
      <w:r>
        <w:tab/>
        <w:t>Section 113 deleted</w:t>
      </w:r>
      <w:bookmarkEnd w:id="155"/>
    </w:p>
    <w:p>
      <w:pPr>
        <w:pStyle w:val="Subsection"/>
        <w:spacing w:before="120"/>
      </w:pPr>
      <w:r>
        <w:tab/>
      </w:r>
      <w:r>
        <w:tab/>
        <w:t>Delete section 113.</w:t>
      </w:r>
    </w:p>
    <w:p>
      <w:pPr>
        <w:pStyle w:val="Heading5"/>
      </w:pPr>
      <w:bookmarkStart w:id="156" w:name="_Toc5364674"/>
      <w:r>
        <w:rPr>
          <w:rStyle w:val="CharSectno"/>
        </w:rPr>
        <w:t>59</w:t>
      </w:r>
      <w:r>
        <w:t>.</w:t>
      </w:r>
      <w:r>
        <w:tab/>
        <w:t>Section 125 amended</w:t>
      </w:r>
      <w:bookmarkEnd w:id="156"/>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57" w:name="_Toc5364675"/>
      <w:r>
        <w:rPr>
          <w:rStyle w:val="CharSectno"/>
        </w:rPr>
        <w:t>60</w:t>
      </w:r>
      <w:r>
        <w:t>.</w:t>
      </w:r>
      <w:r>
        <w:tab/>
        <w:t>Section 130 amended</w:t>
      </w:r>
      <w:bookmarkEnd w:id="157"/>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58" w:name="_Toc5364676"/>
      <w:r>
        <w:rPr>
          <w:rStyle w:val="CharSectno"/>
        </w:rPr>
        <w:t>61</w:t>
      </w:r>
      <w:r>
        <w:t>.</w:t>
      </w:r>
      <w:r>
        <w:tab/>
        <w:t>Section 133 amended</w:t>
      </w:r>
      <w:bookmarkEnd w:id="158"/>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59" w:name="_Toc501633782"/>
      <w:bookmarkStart w:id="160" w:name="_Toc501712678"/>
      <w:bookmarkStart w:id="161" w:name="_Toc536781872"/>
      <w:bookmarkStart w:id="162" w:name="_Toc5346903"/>
      <w:bookmarkStart w:id="163" w:name="_Toc5363456"/>
      <w:bookmarkStart w:id="164" w:name="_Toc5364677"/>
      <w:r>
        <w:rPr>
          <w:rStyle w:val="CharDivNo"/>
        </w:rPr>
        <w:t>Division 4</w:t>
      </w:r>
      <w:r>
        <w:t> — </w:t>
      </w:r>
      <w:r>
        <w:rPr>
          <w:rStyle w:val="CharDivText"/>
          <w:i/>
          <w:iCs/>
        </w:rPr>
        <w:t>Energy Coordination Act 1994</w:t>
      </w:r>
      <w:bookmarkEnd w:id="159"/>
      <w:bookmarkEnd w:id="160"/>
      <w:bookmarkEnd w:id="161"/>
      <w:bookmarkEnd w:id="162"/>
      <w:bookmarkEnd w:id="163"/>
      <w:bookmarkEnd w:id="164"/>
    </w:p>
    <w:p>
      <w:pPr>
        <w:pStyle w:val="Heading5"/>
      </w:pPr>
      <w:bookmarkStart w:id="165" w:name="_Toc5364678"/>
      <w:r>
        <w:rPr>
          <w:rStyle w:val="CharSectno"/>
        </w:rPr>
        <w:t>62</w:t>
      </w:r>
      <w:r>
        <w:t>.</w:t>
      </w:r>
      <w:r>
        <w:tab/>
        <w:t>Act amended</w:t>
      </w:r>
      <w:bookmarkEnd w:id="165"/>
    </w:p>
    <w:p>
      <w:pPr>
        <w:pStyle w:val="Subsection"/>
      </w:pPr>
      <w:r>
        <w:tab/>
      </w:r>
      <w:r>
        <w:tab/>
        <w:t xml:space="preserve">This Division amends the </w:t>
      </w:r>
      <w:r>
        <w:rPr>
          <w:i/>
          <w:iCs/>
        </w:rPr>
        <w:t>Energy Coordination Act 1994</w:t>
      </w:r>
      <w:r>
        <w:t>.</w:t>
      </w:r>
    </w:p>
    <w:p>
      <w:pPr>
        <w:pStyle w:val="Heading5"/>
        <w:spacing w:before="120"/>
      </w:pPr>
      <w:bookmarkStart w:id="166" w:name="_Toc5364679"/>
      <w:r>
        <w:rPr>
          <w:rStyle w:val="CharSectno"/>
        </w:rPr>
        <w:t>63</w:t>
      </w:r>
      <w:r>
        <w:t>.</w:t>
      </w:r>
      <w:r>
        <w:tab/>
        <w:t>Section 11J deleted</w:t>
      </w:r>
      <w:bookmarkEnd w:id="166"/>
    </w:p>
    <w:p>
      <w:pPr>
        <w:pStyle w:val="Subsection"/>
        <w:spacing w:before="100"/>
      </w:pPr>
      <w:r>
        <w:tab/>
      </w:r>
      <w:r>
        <w:tab/>
        <w:t>Delete section 11J.</w:t>
      </w:r>
    </w:p>
    <w:p>
      <w:pPr>
        <w:pStyle w:val="Heading5"/>
      </w:pPr>
      <w:bookmarkStart w:id="167" w:name="_Toc5364680"/>
      <w:r>
        <w:rPr>
          <w:rStyle w:val="CharSectno"/>
        </w:rPr>
        <w:t>64</w:t>
      </w:r>
      <w:r>
        <w:t>.</w:t>
      </w:r>
      <w:r>
        <w:tab/>
        <w:t>Section 11M amended</w:t>
      </w:r>
      <w:bookmarkEnd w:id="167"/>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168" w:name="_Toc5364681"/>
      <w:r>
        <w:rPr>
          <w:rStyle w:val="CharSectno"/>
        </w:rPr>
        <w:t>65</w:t>
      </w:r>
      <w:r>
        <w:t>.</w:t>
      </w:r>
      <w:r>
        <w:tab/>
        <w:t>Section 11V amended</w:t>
      </w:r>
      <w:bookmarkEnd w:id="16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69" w:name="_Toc5364682"/>
      <w:r>
        <w:rPr>
          <w:rStyle w:val="CharSectno"/>
        </w:rPr>
        <w:t>66</w:t>
      </w:r>
      <w:r>
        <w:t>.</w:t>
      </w:r>
      <w:r>
        <w:tab/>
        <w:t>Section 11ZAC amended</w:t>
      </w:r>
      <w:bookmarkEnd w:id="169"/>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70" w:name="_Toc5364683"/>
      <w:r>
        <w:rPr>
          <w:rStyle w:val="CharSectno"/>
        </w:rPr>
        <w:t>67</w:t>
      </w:r>
      <w:r>
        <w:t>.</w:t>
      </w:r>
      <w:r>
        <w:tab/>
        <w:t>Schedule 1A amended</w:t>
      </w:r>
      <w:bookmarkEnd w:id="170"/>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171" w:name="_Toc501633789"/>
      <w:bookmarkStart w:id="172" w:name="_Toc501712685"/>
      <w:bookmarkStart w:id="173" w:name="_Toc536781879"/>
      <w:bookmarkStart w:id="174" w:name="_Toc5346910"/>
      <w:bookmarkStart w:id="175" w:name="_Toc5363463"/>
      <w:bookmarkStart w:id="176" w:name="_Toc5364684"/>
      <w:r>
        <w:rPr>
          <w:rStyle w:val="CharDivNo"/>
        </w:rPr>
        <w:t>Division 5</w:t>
      </w:r>
      <w:r>
        <w:t> — </w:t>
      </w:r>
      <w:r>
        <w:rPr>
          <w:rStyle w:val="CharDivText"/>
          <w:iCs/>
        </w:rPr>
        <w:t>Other Acts amended</w:t>
      </w:r>
      <w:bookmarkEnd w:id="171"/>
      <w:bookmarkEnd w:id="172"/>
      <w:bookmarkEnd w:id="173"/>
      <w:bookmarkEnd w:id="174"/>
      <w:bookmarkEnd w:id="175"/>
      <w:bookmarkEnd w:id="176"/>
    </w:p>
    <w:p>
      <w:pPr>
        <w:pStyle w:val="Heading5"/>
      </w:pPr>
      <w:bookmarkStart w:id="177" w:name="_Toc5364685"/>
      <w:r>
        <w:rPr>
          <w:rStyle w:val="CharSectno"/>
        </w:rPr>
        <w:t>68</w:t>
      </w:r>
      <w:r>
        <w:t>.</w:t>
      </w:r>
      <w:r>
        <w:tab/>
      </w:r>
      <w:r>
        <w:rPr>
          <w:i/>
          <w:iCs/>
        </w:rPr>
        <w:t>Constitution Acts Amendment Act 1899 amended</w:t>
      </w:r>
      <w:bookmarkEnd w:id="17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178" w:name="_Toc5364686"/>
      <w:r>
        <w:rPr>
          <w:rStyle w:val="CharSectno"/>
        </w:rPr>
        <w:t>69</w:t>
      </w:r>
      <w:r>
        <w:t>.</w:t>
      </w:r>
      <w:r>
        <w:tab/>
      </w:r>
      <w:r>
        <w:rPr>
          <w:i/>
          <w:iCs/>
        </w:rPr>
        <w:t>Financial Management Act 2006 amended</w:t>
      </w:r>
      <w:bookmarkEnd w:id="178"/>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179" w:name="_Toc5364687"/>
      <w:r>
        <w:rPr>
          <w:rStyle w:val="CharSectno"/>
        </w:rPr>
        <w:t>70</w:t>
      </w:r>
      <w:r>
        <w:t>.</w:t>
      </w:r>
      <w:r>
        <w:tab/>
      </w:r>
      <w:r>
        <w:rPr>
          <w:i/>
          <w:iCs/>
        </w:rPr>
        <w:t>Freedom of Information Act 1992 amended</w:t>
      </w:r>
      <w:bookmarkEnd w:id="179"/>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180" w:name="_Toc5364688"/>
      <w:r>
        <w:rPr>
          <w:rStyle w:val="CharSectno"/>
        </w:rPr>
        <w:t>71</w:t>
      </w:r>
      <w:r>
        <w:t>.</w:t>
      </w:r>
      <w:r>
        <w:tab/>
      </w:r>
      <w:r>
        <w:rPr>
          <w:i/>
        </w:rPr>
        <w:t>Parliamentary Commissioner Act 1971</w:t>
      </w:r>
      <w:r>
        <w:rPr>
          <w:i/>
          <w:iCs/>
        </w:rPr>
        <w:t xml:space="preserve"> amended</w:t>
      </w:r>
      <w:bookmarkEnd w:id="180"/>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181" w:name="_Toc5364689"/>
      <w:r>
        <w:rPr>
          <w:rStyle w:val="CharSectno"/>
        </w:rPr>
        <w:t>72</w:t>
      </w:r>
      <w:r>
        <w:t>.</w:t>
      </w:r>
      <w:r>
        <w:tab/>
      </w:r>
      <w:r>
        <w:rPr>
          <w:i/>
          <w:iCs/>
        </w:rPr>
        <w:t>Petroleum Pipelines Act 1969 amended</w:t>
      </w:r>
      <w:bookmarkEnd w:id="181"/>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82" w:name="_Toc501633795"/>
      <w:bookmarkStart w:id="183" w:name="_Toc501712691"/>
      <w:bookmarkStart w:id="184" w:name="_Toc536781885"/>
      <w:bookmarkStart w:id="185" w:name="_Toc5346916"/>
      <w:bookmarkStart w:id="186" w:name="_Toc5363469"/>
      <w:bookmarkStart w:id="187" w:name="_Toc5364690"/>
      <w:r>
        <w:rPr>
          <w:rStyle w:val="CharSchNo"/>
        </w:rPr>
        <w:t>Schedule 1</w:t>
      </w:r>
      <w:r>
        <w:rPr>
          <w:rStyle w:val="CharSDivNo"/>
        </w:rPr>
        <w:t> </w:t>
      </w:r>
      <w:r>
        <w:t>— </w:t>
      </w:r>
      <w:r>
        <w:rPr>
          <w:rStyle w:val="CharSchText"/>
        </w:rPr>
        <w:t>Some modifications to National Gas Law as in Schedule to South Australian Act</w:t>
      </w:r>
      <w:bookmarkEnd w:id="182"/>
      <w:bookmarkEnd w:id="183"/>
      <w:bookmarkEnd w:id="184"/>
      <w:bookmarkEnd w:id="185"/>
      <w:bookmarkEnd w:id="186"/>
      <w:bookmarkEnd w:id="187"/>
    </w:p>
    <w:p>
      <w:pPr>
        <w:pStyle w:val="yShoulderClause"/>
      </w:pPr>
      <w:r>
        <w:t>[s. 7(2)]</w:t>
      </w:r>
    </w:p>
    <w:p>
      <w:pPr>
        <w:pStyle w:val="yHeading5"/>
      </w:pPr>
      <w:bookmarkStart w:id="188" w:name="_Toc5364691"/>
      <w:r>
        <w:rPr>
          <w:rStyle w:val="CharSClsNo"/>
        </w:rPr>
        <w:t>1</w:t>
      </w:r>
      <w:r>
        <w:t>.</w:t>
      </w:r>
      <w:r>
        <w:tab/>
        <w:t>Purpose of this Schedule</w:t>
      </w:r>
      <w:bookmarkEnd w:id="188"/>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189" w:name="_Toc5364692"/>
      <w:r>
        <w:rPr>
          <w:rStyle w:val="CharSClsNo"/>
        </w:rPr>
        <w:t>2</w:t>
      </w:r>
      <w:r>
        <w:t>.</w:t>
      </w:r>
      <w:r>
        <w:tab/>
        <w:t>Section 1 modified</w:t>
      </w:r>
      <w:bookmarkEnd w:id="189"/>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190" w:name="_Toc5364693"/>
      <w:r>
        <w:rPr>
          <w:rStyle w:val="CharSClsNo"/>
        </w:rPr>
        <w:t>3</w:t>
      </w:r>
      <w:r>
        <w:t>.</w:t>
      </w:r>
      <w:r>
        <w:tab/>
        <w:t>Section 2 modified</w:t>
      </w:r>
      <w:bookmarkEnd w:id="190"/>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191" w:name="RuleErr_5"/>
      <w:r>
        <w:rPr>
          <w:i/>
          <w:sz w:val="23"/>
          <w:szCs w:val="23"/>
        </w:rPr>
        <w:t>National Gas Access (Pipelines-Arbitration Amendment) Rules 2017</w:t>
      </w:r>
      <w:bookmarkEnd w:id="191"/>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pStyle w:val="zDefpara"/>
      </w:pPr>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Ednotesubsection"/>
      </w:pPr>
      <w:r>
        <w:tab/>
        <w:t>[(5)</w:t>
      </w:r>
      <w:r>
        <w:tab/>
        <w:t>deleted]</w:t>
      </w:r>
    </w:p>
    <w:p>
      <w:pPr>
        <w:pStyle w:val="yFootnotesection"/>
        <w:rPr>
          <w:sz w:val="23"/>
        </w:rPr>
      </w:pPr>
      <w:r>
        <w:tab/>
        <w:t>[Clause 3 amended: Gazette 22 Dec 2017 p. 5985; 5 Apr 2019 p. 1009.]</w:t>
      </w:r>
    </w:p>
    <w:p>
      <w:pPr>
        <w:pStyle w:val="yHeading5"/>
      </w:pPr>
      <w:bookmarkStart w:id="192" w:name="_Toc5364694"/>
      <w:r>
        <w:rPr>
          <w:rStyle w:val="CharSClsNo"/>
        </w:rPr>
        <w:t>4</w:t>
      </w:r>
      <w:r>
        <w:t>.</w:t>
      </w:r>
      <w:r>
        <w:tab/>
        <w:t>Sections 2A and 2B inserted</w:t>
      </w:r>
      <w:bookmarkEnd w:id="192"/>
    </w:p>
    <w:p>
      <w:pPr>
        <w:pStyle w:val="ySubsection"/>
      </w:pPr>
      <w:r>
        <w:tab/>
      </w:r>
      <w:r>
        <w:tab/>
        <w:t>After section 2 insert:</w:t>
      </w:r>
    </w:p>
    <w:p>
      <w:pPr>
        <w:pStyle w:val="BlankOpen"/>
      </w:pPr>
    </w:p>
    <w:p>
      <w:pPr>
        <w:pStyle w:val="zHeading5"/>
        <w:spacing w:before="0"/>
      </w:pPr>
      <w:bookmarkStart w:id="193" w:name="_Toc5364695"/>
      <w:r>
        <w:t>2A.</w:t>
      </w:r>
      <w:r>
        <w:rPr>
          <w:b w:val="0"/>
        </w:rPr>
        <w:tab/>
      </w:r>
      <w:r>
        <w:t>Meaning of AER modified</w:t>
      </w:r>
      <w:bookmarkEnd w:id="193"/>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94" w:name="_Toc5364696"/>
      <w:r>
        <w:t>2B.</w:t>
      </w:r>
      <w:r>
        <w:rPr>
          <w:b w:val="0"/>
        </w:rPr>
        <w:tab/>
      </w:r>
      <w:r>
        <w:t>References to WA application Act</w:t>
      </w:r>
      <w:bookmarkEnd w:id="194"/>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95" w:name="_Toc5364697"/>
      <w:r>
        <w:rPr>
          <w:rStyle w:val="CharSClsNo"/>
        </w:rPr>
        <w:t>5</w:t>
      </w:r>
      <w:r>
        <w:t>.</w:t>
      </w:r>
      <w:r>
        <w:tab/>
        <w:t>Chapter 1 Part 1A inserted</w:t>
      </w:r>
      <w:bookmarkEnd w:id="195"/>
    </w:p>
    <w:p>
      <w:pPr>
        <w:pStyle w:val="ySubsection"/>
        <w:keepNext/>
      </w:pPr>
      <w:r>
        <w:tab/>
      </w:r>
      <w:r>
        <w:tab/>
        <w:t>After Chapter 1 Part 1 insert:</w:t>
      </w:r>
    </w:p>
    <w:p>
      <w:pPr>
        <w:pStyle w:val="BlankOpen"/>
      </w:pPr>
    </w:p>
    <w:p>
      <w:pPr>
        <w:pStyle w:val="zHeading3"/>
        <w:spacing w:before="0"/>
      </w:pPr>
      <w:bookmarkStart w:id="196" w:name="_Toc501633803"/>
      <w:bookmarkStart w:id="197" w:name="_Toc501712699"/>
      <w:bookmarkStart w:id="198" w:name="_Toc536781893"/>
      <w:bookmarkStart w:id="199" w:name="_Toc5346924"/>
      <w:bookmarkStart w:id="200" w:name="_Toc5363477"/>
      <w:bookmarkStart w:id="201" w:name="_Toc5364698"/>
      <w:r>
        <w:t>Part 1A</w:t>
      </w:r>
      <w:r>
        <w:rPr>
          <w:b w:val="0"/>
        </w:rPr>
        <w:t> — </w:t>
      </w:r>
      <w:r>
        <w:t>Postponement of Natural Gas Services Bulletin Board provisions</w:t>
      </w:r>
      <w:bookmarkEnd w:id="196"/>
      <w:bookmarkEnd w:id="197"/>
      <w:bookmarkEnd w:id="198"/>
      <w:bookmarkEnd w:id="199"/>
      <w:bookmarkEnd w:id="200"/>
      <w:bookmarkEnd w:id="201"/>
    </w:p>
    <w:p>
      <w:pPr>
        <w:pStyle w:val="zHeading5"/>
      </w:pPr>
      <w:bookmarkStart w:id="202" w:name="_Toc5364699"/>
      <w:r>
        <w:t>20A.</w:t>
      </w:r>
      <w:r>
        <w:rPr>
          <w:b w:val="0"/>
        </w:rPr>
        <w:tab/>
      </w:r>
      <w:r>
        <w:t>Minister may fix day on which provisions apply</w:t>
      </w:r>
      <w:bookmarkEnd w:id="202"/>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203" w:name="_Toc5364700"/>
      <w:r>
        <w:rPr>
          <w:rStyle w:val="CharSClsNo"/>
        </w:rPr>
        <w:t>6</w:t>
      </w:r>
      <w:r>
        <w:t>.</w:t>
      </w:r>
      <w:r>
        <w:tab/>
        <w:t>Section 29 modified</w:t>
      </w:r>
      <w:bookmarkEnd w:id="203"/>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204" w:name="_Toc5364701"/>
      <w:r>
        <w:rPr>
          <w:rStyle w:val="CharSClsNo"/>
        </w:rPr>
        <w:t>7</w:t>
      </w:r>
      <w:r>
        <w:t>.</w:t>
      </w:r>
      <w:r>
        <w:tab/>
        <w:t>Section 30 modified</w:t>
      </w:r>
      <w:bookmarkEnd w:id="204"/>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pPr>
      <w:bookmarkStart w:id="205" w:name="_Toc3550697"/>
      <w:bookmarkStart w:id="206" w:name="_Toc3551037"/>
      <w:bookmarkStart w:id="207" w:name="_Toc5364702"/>
      <w:r>
        <w:rPr>
          <w:rStyle w:val="CharSClsNo"/>
        </w:rPr>
        <w:t>7A</w:t>
      </w:r>
      <w:r>
        <w:t>.</w:t>
      </w:r>
      <w:r>
        <w:tab/>
        <w:t>Section 30R deleted</w:t>
      </w:r>
      <w:bookmarkEnd w:id="205"/>
      <w:bookmarkEnd w:id="206"/>
      <w:bookmarkEnd w:id="207"/>
    </w:p>
    <w:p>
      <w:pPr>
        <w:pStyle w:val="ySubsection"/>
      </w:pPr>
      <w:r>
        <w:tab/>
      </w:r>
      <w:r>
        <w:tab/>
        <w:t>Delete section 30R.</w:t>
      </w:r>
    </w:p>
    <w:p>
      <w:pPr>
        <w:pStyle w:val="yFootnotesection"/>
        <w:rPr>
          <w:sz w:val="23"/>
        </w:rPr>
      </w:pPr>
      <w:r>
        <w:tab/>
        <w:t>[Clause 7A inserted: Gazette 5 Apr 2019 p. 1010.]</w:t>
      </w:r>
    </w:p>
    <w:p>
      <w:pPr>
        <w:pStyle w:val="yHeading5"/>
        <w:spacing w:before="120"/>
      </w:pPr>
      <w:bookmarkStart w:id="208" w:name="_Toc5364703"/>
      <w:r>
        <w:rPr>
          <w:rStyle w:val="CharSClsNo"/>
        </w:rPr>
        <w:t>8</w:t>
      </w:r>
      <w:r>
        <w:t>.</w:t>
      </w:r>
      <w:r>
        <w:tab/>
        <w:t>Chapter 2 Part 1A inserted</w:t>
      </w:r>
      <w:bookmarkEnd w:id="208"/>
    </w:p>
    <w:p>
      <w:pPr>
        <w:pStyle w:val="ySubsection"/>
      </w:pPr>
      <w:r>
        <w:tab/>
      </w:r>
      <w:r>
        <w:tab/>
        <w:t>After Chapter 2 Part 1 insert:</w:t>
      </w:r>
    </w:p>
    <w:p>
      <w:pPr>
        <w:pStyle w:val="BlankOpen"/>
      </w:pPr>
    </w:p>
    <w:p>
      <w:pPr>
        <w:pStyle w:val="zHeading3"/>
        <w:spacing w:before="0"/>
      </w:pPr>
      <w:bookmarkStart w:id="209" w:name="_Toc501633808"/>
      <w:bookmarkStart w:id="210" w:name="_Toc501712704"/>
      <w:bookmarkStart w:id="211" w:name="_Toc536781898"/>
      <w:bookmarkStart w:id="212" w:name="_Toc5346930"/>
      <w:bookmarkStart w:id="213" w:name="_Toc5363483"/>
      <w:bookmarkStart w:id="214" w:name="_Toc5364704"/>
      <w:r>
        <w:t>Part 1A</w:t>
      </w:r>
      <w:r>
        <w:rPr>
          <w:b w:val="0"/>
        </w:rPr>
        <w:t> — </w:t>
      </w:r>
      <w:r>
        <w:t>Functions and powers of WA arbitrator</w:t>
      </w:r>
      <w:bookmarkEnd w:id="209"/>
      <w:bookmarkEnd w:id="210"/>
      <w:bookmarkEnd w:id="211"/>
      <w:bookmarkEnd w:id="212"/>
      <w:bookmarkEnd w:id="213"/>
      <w:bookmarkEnd w:id="214"/>
    </w:p>
    <w:p>
      <w:pPr>
        <w:pStyle w:val="zHeading5"/>
      </w:pPr>
      <w:bookmarkStart w:id="215" w:name="_Toc5364705"/>
      <w:r>
        <w:t>68A.</w:t>
      </w:r>
      <w:r>
        <w:rPr>
          <w:b w:val="0"/>
        </w:rPr>
        <w:tab/>
      </w:r>
      <w:r>
        <w:t>Manner in which WA arbitrator must perform or exercise certain functions or powers</w:t>
      </w:r>
      <w:bookmarkEnd w:id="215"/>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216" w:name="_Toc5364706"/>
      <w:r>
        <w:rPr>
          <w:rStyle w:val="CharSClsNo"/>
        </w:rPr>
        <w:t>9</w:t>
      </w:r>
      <w:r>
        <w:t>.</w:t>
      </w:r>
      <w:r>
        <w:tab/>
        <w:t>Section 181A inserted</w:t>
      </w:r>
      <w:bookmarkEnd w:id="216"/>
    </w:p>
    <w:p>
      <w:pPr>
        <w:pStyle w:val="ySubsection"/>
      </w:pPr>
      <w:r>
        <w:tab/>
      </w:r>
      <w:r>
        <w:tab/>
        <w:t>After section 181 insert:</w:t>
      </w:r>
    </w:p>
    <w:p>
      <w:pPr>
        <w:pStyle w:val="BlankOpen"/>
      </w:pPr>
    </w:p>
    <w:p>
      <w:pPr>
        <w:pStyle w:val="zHeading5"/>
        <w:spacing w:before="0"/>
      </w:pPr>
      <w:bookmarkStart w:id="217" w:name="_Toc5364707"/>
      <w:r>
        <w:t>181A.</w:t>
      </w:r>
      <w:r>
        <w:rPr>
          <w:b w:val="0"/>
        </w:rPr>
        <w:tab/>
      </w:r>
      <w:r>
        <w:t>Providing information for certain disputes</w:t>
      </w:r>
      <w:bookmarkEnd w:id="217"/>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218" w:name="_Toc5364708"/>
      <w:r>
        <w:rPr>
          <w:rStyle w:val="CharSClsNo"/>
        </w:rPr>
        <w:t>10</w:t>
      </w:r>
      <w:r>
        <w:t>.</w:t>
      </w:r>
      <w:r>
        <w:tab/>
        <w:t>Section 231 modified</w:t>
      </w:r>
      <w:bookmarkEnd w:id="218"/>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219" w:name="_Toc5364709"/>
      <w:r>
        <w:rPr>
          <w:rStyle w:val="CharSClsNo"/>
        </w:rPr>
        <w:t>11</w:t>
      </w:r>
      <w:r>
        <w:t>.</w:t>
      </w:r>
      <w:r>
        <w:tab/>
        <w:t>Section 240 modified</w:t>
      </w:r>
      <w:bookmarkEnd w:id="219"/>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220" w:name="_Toc5364710"/>
      <w:r>
        <w:rPr>
          <w:rStyle w:val="CharSClsNo"/>
        </w:rPr>
        <w:t>12</w:t>
      </w:r>
      <w:r>
        <w:t>.</w:t>
      </w:r>
      <w:r>
        <w:tab/>
        <w:t>Section 290 modified</w:t>
      </w:r>
      <w:bookmarkEnd w:id="220"/>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221" w:name="_Toc5364711"/>
      <w:r>
        <w:rPr>
          <w:rStyle w:val="CharSClsNo"/>
        </w:rPr>
        <w:t>13</w:t>
      </w:r>
      <w:r>
        <w:t>.</w:t>
      </w:r>
      <w:r>
        <w:tab/>
        <w:t>Section 294 replaced</w:t>
      </w:r>
      <w:bookmarkEnd w:id="221"/>
    </w:p>
    <w:p>
      <w:pPr>
        <w:pStyle w:val="ySubsection"/>
      </w:pPr>
      <w:r>
        <w:tab/>
      </w:r>
      <w:r>
        <w:tab/>
        <w:t>Delete section 294 and insert:</w:t>
      </w:r>
    </w:p>
    <w:p>
      <w:pPr>
        <w:pStyle w:val="BlankOpen"/>
      </w:pPr>
    </w:p>
    <w:p>
      <w:pPr>
        <w:pStyle w:val="zHeading5"/>
        <w:spacing w:before="0"/>
      </w:pPr>
      <w:bookmarkStart w:id="222" w:name="_Toc5364712"/>
      <w:r>
        <w:rPr>
          <w:rStyle w:val="CharSectno"/>
        </w:rPr>
        <w:t>294</w:t>
      </w:r>
      <w:r>
        <w:t>.</w:t>
      </w:r>
      <w:r>
        <w:tab/>
        <w:t>Initial National Gas Rules for WA</w:t>
      </w:r>
      <w:bookmarkEnd w:id="222"/>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spacing w:before="120"/>
      </w:pPr>
      <w:bookmarkStart w:id="223" w:name="_Toc5364713"/>
      <w:r>
        <w:rPr>
          <w:rStyle w:val="CharSClsNo"/>
        </w:rPr>
        <w:t>14</w:t>
      </w:r>
      <w:r>
        <w:t>.</w:t>
      </w:r>
      <w:r>
        <w:tab/>
        <w:t>Schedule 1 modified</w:t>
      </w:r>
      <w:bookmarkEnd w:id="223"/>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224" w:name="_Toc5364714"/>
      <w:r>
        <w:rPr>
          <w:rStyle w:val="CharSClsNo"/>
        </w:rPr>
        <w:t>15</w:t>
      </w:r>
      <w:r>
        <w:t>.</w:t>
      </w:r>
      <w:r>
        <w:tab/>
        <w:t>Schedule 2 clause 27A inserted</w:t>
      </w:r>
      <w:bookmarkEnd w:id="224"/>
    </w:p>
    <w:p>
      <w:pPr>
        <w:pStyle w:val="ySubsection"/>
      </w:pPr>
      <w:r>
        <w:tab/>
      </w:r>
      <w:r>
        <w:tab/>
        <w:t>After Schedule 2 clause 27 insert:</w:t>
      </w:r>
    </w:p>
    <w:p>
      <w:pPr>
        <w:pStyle w:val="BlankOpen"/>
      </w:pPr>
    </w:p>
    <w:p>
      <w:pPr>
        <w:pStyle w:val="zyHeading5"/>
        <w:spacing w:before="0"/>
      </w:pPr>
      <w:bookmarkStart w:id="225" w:name="_Toc5364715"/>
      <w:r>
        <w:t>27A.</w:t>
      </w:r>
      <w:r>
        <w:rPr>
          <w:b w:val="0"/>
        </w:rPr>
        <w:tab/>
      </w:r>
      <w:r>
        <w:t>WA modifications of clause 27</w:t>
      </w:r>
      <w:bookmarkEnd w:id="225"/>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226" w:name="_Toc5364716"/>
      <w:r>
        <w:rPr>
          <w:rStyle w:val="CharSClsNo"/>
        </w:rPr>
        <w:t>16</w:t>
      </w:r>
      <w:r>
        <w:t>.</w:t>
      </w:r>
      <w:r>
        <w:tab/>
        <w:t>Schedule 2 clause 34 modified</w:t>
      </w:r>
      <w:bookmarkEnd w:id="226"/>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227" w:name="_Toc5364717"/>
      <w:r>
        <w:rPr>
          <w:rStyle w:val="CharSClsNo"/>
        </w:rPr>
        <w:t>17</w:t>
      </w:r>
      <w:r>
        <w:t>.</w:t>
      </w:r>
      <w:r>
        <w:tab/>
        <w:t>Schedule 2 clause 50 replaced</w:t>
      </w:r>
      <w:bookmarkEnd w:id="227"/>
    </w:p>
    <w:p>
      <w:pPr>
        <w:pStyle w:val="ySubsection"/>
        <w:keepNext/>
      </w:pPr>
      <w:r>
        <w:tab/>
      </w:r>
      <w:r>
        <w:tab/>
        <w:t>Delete Schedule 2 clause 50 and insert:</w:t>
      </w:r>
    </w:p>
    <w:p>
      <w:pPr>
        <w:pStyle w:val="BlankOpen"/>
      </w:pPr>
    </w:p>
    <w:p>
      <w:pPr>
        <w:pStyle w:val="zyHeading5"/>
        <w:spacing w:before="0"/>
      </w:pPr>
      <w:bookmarkStart w:id="228" w:name="_Toc5364718"/>
      <w:r>
        <w:t>50.</w:t>
      </w:r>
      <w:r>
        <w:rPr>
          <w:b w:val="0"/>
        </w:rPr>
        <w:tab/>
      </w:r>
      <w:r>
        <w:t>Attempts and incitement</w:t>
      </w:r>
      <w:bookmarkEnd w:id="228"/>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229" w:name="_Toc182332"/>
      <w:bookmarkStart w:id="230" w:name="_Toc5364719"/>
      <w:r>
        <w:rPr>
          <w:rStyle w:val="CharSClsNo"/>
        </w:rPr>
        <w:t>17A</w:t>
      </w:r>
      <w:r>
        <w:t>.</w:t>
      </w:r>
      <w:r>
        <w:tab/>
        <w:t>Schedule 2 clause 51 modified</w:t>
      </w:r>
      <w:bookmarkEnd w:id="229"/>
      <w:bookmarkEnd w:id="230"/>
    </w:p>
    <w:p>
      <w:pPr>
        <w:pStyle w:val="ySubsection"/>
      </w:pPr>
      <w:r>
        <w:tab/>
      </w:r>
      <w:r>
        <w:tab/>
        <w:t xml:space="preserve">In Schedule 2 clause 51(3) delete the definition of </w:t>
      </w:r>
      <w:r>
        <w:rPr>
          <w:b/>
          <w:i/>
        </w:rPr>
        <w:t>statutory instrument</w:t>
      </w:r>
      <w:r>
        <w:t xml:space="preserve"> and insert:</w:t>
      </w:r>
    </w:p>
    <w:p>
      <w:pPr>
        <w:pStyle w:val="BlankOpen"/>
      </w:pPr>
    </w:p>
    <w:p>
      <w:pPr>
        <w:pStyle w:val="yDefstart"/>
      </w:pPr>
      <w:r>
        <w:tab/>
      </w:r>
      <w:r>
        <w:rPr>
          <w:rStyle w:val="CharDefText"/>
        </w:rPr>
        <w:t>statutory instrument</w:t>
      </w:r>
      <w:r>
        <w:t xml:space="preserve"> includes the Regulations, the rate of return instrument or the Rules.</w:t>
      </w:r>
    </w:p>
    <w:p>
      <w:pPr>
        <w:pStyle w:val="BlankClose"/>
      </w:pPr>
    </w:p>
    <w:p>
      <w:pPr>
        <w:pStyle w:val="yFootnotesection"/>
        <w:rPr>
          <w:sz w:val="23"/>
        </w:rPr>
      </w:pPr>
      <w:r>
        <w:tab/>
        <w:t>[Clause 17A inserted: Gazette 5 Apr 2019 p. 1010.]</w:t>
      </w:r>
    </w:p>
    <w:p>
      <w:pPr>
        <w:pStyle w:val="yHeading5"/>
        <w:spacing w:before="180"/>
      </w:pPr>
      <w:bookmarkStart w:id="231" w:name="_Toc5364720"/>
      <w:r>
        <w:rPr>
          <w:rStyle w:val="CharSClsNo"/>
        </w:rPr>
        <w:t>18</w:t>
      </w:r>
      <w:r>
        <w:t>.</w:t>
      </w:r>
      <w:r>
        <w:tab/>
        <w:t>Schedule 3 modified</w:t>
      </w:r>
      <w:bookmarkEnd w:id="231"/>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pStyle w:val="ySubsection"/>
      </w:pPr>
      <w:r>
        <w:tab/>
        <w:t>(3)</w:t>
      </w:r>
      <w:r>
        <w:tab/>
        <w:t>In Schedule 3 clause 95 insert in alphabetical order:</w:t>
      </w:r>
    </w:p>
    <w:p>
      <w:pPr>
        <w:pStyle w:val="BlankOpen"/>
      </w:pPr>
    </w:p>
    <w:p>
      <w:pPr>
        <w:pStyle w:val="zyDefstart"/>
        <w:rPr>
          <w:sz w:val="23"/>
          <w:szCs w:val="23"/>
        </w:rPr>
      </w:pPr>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p>
    <w:p>
      <w:pPr>
        <w:pStyle w:val="BlankClose"/>
      </w:pPr>
    </w:p>
    <w:p>
      <w:pPr>
        <w:pStyle w:val="ySubsection"/>
      </w:pPr>
      <w:r>
        <w:tab/>
        <w:t>(4)</w:t>
      </w:r>
      <w:r>
        <w:tab/>
        <w:t>In Schedule 3 clause 96(1)(a)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commencement;</w:t>
      </w:r>
    </w:p>
    <w:p>
      <w:pPr>
        <w:pStyle w:val="BlankClose"/>
      </w:pPr>
    </w:p>
    <w:p>
      <w:pPr>
        <w:pStyle w:val="ySubsection"/>
      </w:pPr>
      <w:r>
        <w:tab/>
        <w:t>(5)</w:t>
      </w:r>
      <w:r>
        <w:tab/>
        <w:t>In Schedule 3 clause 97(1)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 xml:space="preserve">commencement— </w:t>
      </w:r>
    </w:p>
    <w:p>
      <w:pPr>
        <w:pStyle w:val="BlankClose"/>
      </w:pPr>
    </w:p>
    <w:p>
      <w:pPr>
        <w:pStyle w:val="ySubsection"/>
      </w:pPr>
      <w:r>
        <w:tab/>
        <w:t>(6)</w:t>
      </w:r>
      <w:r>
        <w:tab/>
        <w:t xml:space="preserve">In Schedule 3 clause 98(3) delete the definitions of </w:t>
      </w:r>
      <w:r>
        <w:rPr>
          <w:b/>
          <w:i/>
        </w:rPr>
        <w:t>amended Law</w:t>
      </w:r>
      <w:r>
        <w:t xml:space="preserve"> and </w:t>
      </w:r>
      <w:r>
        <w:rPr>
          <w:b/>
          <w:i/>
        </w:rPr>
        <w:t>commencement</w:t>
      </w:r>
      <w:r>
        <w:t xml:space="preserve"> and insert:</w:t>
      </w:r>
    </w:p>
    <w:p>
      <w:pPr>
        <w:pStyle w:val="BlankOpen"/>
      </w:pPr>
    </w:p>
    <w:p>
      <w:pPr>
        <w:pStyle w:val="zyDefstart"/>
        <w:rPr>
          <w:sz w:val="23"/>
          <w:szCs w:val="23"/>
        </w:rPr>
      </w:pPr>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yFootnotesection"/>
        <w:rPr>
          <w:sz w:val="23"/>
        </w:rPr>
      </w:pPr>
      <w:r>
        <w:tab/>
        <w:t>[Clause 18 amended: Gazette 5 Apr 2019 p. 1010.]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233" w:name="_Toc501633824"/>
      <w:bookmarkStart w:id="234" w:name="_Toc501712720"/>
      <w:bookmarkStart w:id="235" w:name="_Toc536781914"/>
      <w:bookmarkStart w:id="236" w:name="_Toc5346947"/>
      <w:bookmarkStart w:id="237" w:name="_Toc5363500"/>
      <w:bookmarkStart w:id="238" w:name="_Toc5364721"/>
      <w:r>
        <w:t xml:space="preserve">Notes about </w:t>
      </w:r>
      <w:r>
        <w:rPr>
          <w:i/>
          <w:iCs/>
        </w:rPr>
        <w:t>National Gas Access (WA) Act 2009</w:t>
      </w:r>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239" w:name="_Toc5364722"/>
      <w:r>
        <w:rPr>
          <w:snapToGrid w:val="0"/>
        </w:rPr>
        <w:t>Compilation table</w:t>
      </w:r>
      <w:bookmarkEnd w:id="2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552" w:type="dxa"/>
            <w:tcBorders>
              <w:top w:val="nil"/>
              <w:bottom w:val="nil"/>
            </w:tcBorders>
          </w:tcPr>
          <w:p>
            <w:pPr>
              <w:pStyle w:val="nTable"/>
              <w:spacing w:after="40"/>
            </w:pPr>
            <w:r>
              <w:t xml:space="preserve">25 May 2011 (see s. 2(b) </w:t>
            </w:r>
            <w:r>
              <w:rPr>
                <w:i/>
              </w:rPr>
              <w:t>Gazette</w:t>
            </w:r>
            <w:r>
              <w:t xml:space="preserve"> 24 May 2011 p. 1892)</w:t>
            </w:r>
          </w:p>
        </w:tc>
      </w:tr>
      <w:tr>
        <w:tc>
          <w:tcPr>
            <w:tcW w:w="4536" w:type="dxa"/>
            <w:gridSpan w:val="3"/>
            <w:tcBorders>
              <w:top w:val="nil"/>
              <w:bottom w:val="nil"/>
            </w:tcBorders>
          </w:tcPr>
          <w:p>
            <w:pPr>
              <w:pStyle w:val="nTable"/>
              <w:spacing w:after="40"/>
            </w:pPr>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p>
        </w:tc>
        <w:tc>
          <w:tcPr>
            <w:tcW w:w="2552" w:type="dxa"/>
            <w:tcBorders>
              <w:top w:val="nil"/>
              <w:bottom w:val="nil"/>
            </w:tcBorders>
          </w:tcPr>
          <w:p>
            <w:pPr>
              <w:pStyle w:val="nTable"/>
              <w:spacing w:after="40"/>
            </w:pPr>
            <w:r>
              <w:rPr>
                <w:rFonts w:ascii="Times" w:hAnsi="Times"/>
                <w:bCs/>
                <w:snapToGrid w:val="0"/>
                <w:spacing w:val="-2"/>
              </w:rPr>
              <w:t>r. 1 and 2: 22 Dec 2017 (see r. 2(a));</w:t>
            </w:r>
            <w:r>
              <w:rPr>
                <w:rFonts w:ascii="Times" w:hAnsi="Times"/>
                <w:bCs/>
                <w:snapToGrid w:val="0"/>
                <w:spacing w:val="-2"/>
              </w:rPr>
              <w:br/>
              <w:t xml:space="preserve">Regulations other than r. 1 and 2: 23 Dec 2017 (see r. 2(b) and </w:t>
            </w:r>
            <w:r>
              <w:rPr>
                <w:rFonts w:ascii="Times" w:hAnsi="Times"/>
                <w:bCs/>
                <w:i/>
                <w:snapToGrid w:val="0"/>
                <w:spacing w:val="-2"/>
              </w:rPr>
              <w:t>Gazette</w:t>
            </w:r>
            <w:r>
              <w:rPr>
                <w:rFonts w:ascii="Times" w:hAnsi="Times"/>
                <w:bCs/>
                <w:snapToGrid w:val="0"/>
                <w:spacing w:val="-2"/>
              </w:rPr>
              <w:t xml:space="preserve"> 22 Dec 2017 p. 5984)</w:t>
            </w:r>
          </w:p>
        </w:tc>
      </w:tr>
      <w:tr>
        <w:tc>
          <w:tcPr>
            <w:tcW w:w="4536" w:type="dxa"/>
            <w:gridSpan w:val="3"/>
            <w:tcBorders>
              <w:top w:val="nil"/>
            </w:tcBorders>
          </w:tcPr>
          <w:p>
            <w:pPr>
              <w:pStyle w:val="nTable"/>
              <w:spacing w:after="40"/>
              <w:rPr>
                <w:i/>
                <w:snapToGrid w:val="0"/>
              </w:rPr>
            </w:pPr>
            <w:r>
              <w:rPr>
                <w:i/>
                <w:snapToGrid w:val="0"/>
              </w:rPr>
              <w:t>National Gas Access (WA) (Act Amendment) Regulations 2019</w:t>
            </w:r>
            <w:r>
              <w:rPr>
                <w:snapToGrid w:val="0"/>
              </w:rPr>
              <w:t xml:space="preserve"> published in </w:t>
            </w:r>
            <w:r>
              <w:rPr>
                <w:i/>
                <w:snapToGrid w:val="0"/>
              </w:rPr>
              <w:t xml:space="preserve">Gazette </w:t>
            </w:r>
            <w:r>
              <w:rPr>
                <w:snapToGrid w:val="0"/>
              </w:rPr>
              <w:t>5 Apr 2019 p. 1009</w:t>
            </w:r>
            <w:r>
              <w:rPr>
                <w:snapToGrid w:val="0"/>
              </w:rPr>
              <w:noBreakHyphen/>
              <w:t>10</w:t>
            </w:r>
          </w:p>
        </w:tc>
        <w:tc>
          <w:tcPr>
            <w:tcW w:w="2552" w:type="dxa"/>
            <w:tcBorders>
              <w:top w:val="nil"/>
            </w:tcBorders>
          </w:tcPr>
          <w:p>
            <w:pPr>
              <w:pStyle w:val="nTable"/>
              <w:spacing w:after="40"/>
              <w:rPr>
                <w:rFonts w:ascii="Times" w:hAnsi="Times"/>
                <w:bCs/>
                <w:snapToGrid w:val="0"/>
                <w:spacing w:val="-2"/>
              </w:rPr>
            </w:pPr>
            <w:r>
              <w:rPr>
                <w:rFonts w:ascii="Times" w:hAnsi="Times"/>
                <w:bCs/>
                <w:snapToGrid w:val="0"/>
                <w:spacing w:val="-2"/>
              </w:rPr>
              <w:t>r. 1 and 2: 5 Apr 2019 (see r. 2(a));</w:t>
            </w:r>
            <w:r>
              <w:rPr>
                <w:rFonts w:ascii="Times" w:hAnsi="Times"/>
                <w:bCs/>
                <w:snapToGrid w:val="0"/>
                <w:spacing w:val="-2"/>
              </w:rPr>
              <w:br/>
              <w:t xml:space="preserve">Regulations other than r. 1 and 2: 6 Apr 2019 (see r. 2(b) and </w:t>
            </w:r>
            <w:r>
              <w:rPr>
                <w:rFonts w:ascii="Times" w:hAnsi="Times"/>
                <w:bCs/>
                <w:i/>
                <w:snapToGrid w:val="0"/>
                <w:spacing w:val="-2"/>
              </w:rPr>
              <w:t>Gazette</w:t>
            </w:r>
            <w:r>
              <w:rPr>
                <w:rFonts w:ascii="Times" w:hAnsi="Times"/>
                <w:bCs/>
                <w:snapToGrid w:val="0"/>
                <w:spacing w:val="-2"/>
              </w:rPr>
              <w:t xml:space="preserve"> 5 Apr 2019 p. 1007)</w:t>
            </w:r>
          </w:p>
        </w:tc>
      </w:tr>
    </w:tbl>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240" w:name="_Toc501633826"/>
      <w:bookmarkStart w:id="241" w:name="_Toc501712722"/>
      <w:bookmarkStart w:id="242" w:name="_Toc536781916"/>
      <w:bookmarkStart w:id="243" w:name="_Toc5346949"/>
      <w:bookmarkStart w:id="244" w:name="_Toc5363502"/>
      <w:bookmarkStart w:id="245" w:name="_Toc5364723"/>
      <w:r>
        <w:rPr>
          <w:rStyle w:val="CharSchNo"/>
        </w:rPr>
        <w:t>Note</w:t>
      </w:r>
      <w:r>
        <w:rPr>
          <w:rStyle w:val="CharSDivNo"/>
        </w:rPr>
        <w:t> </w:t>
      </w:r>
      <w:r>
        <w:t>—</w:t>
      </w:r>
      <w:r>
        <w:rPr>
          <w:rStyle w:val="CharSDivText"/>
        </w:rPr>
        <w:t> </w:t>
      </w:r>
      <w:r>
        <w:rPr>
          <w:rStyle w:val="CharSchText"/>
        </w:rPr>
        <w:t>Western Australian National Gas Access Law text</w:t>
      </w:r>
      <w:bookmarkEnd w:id="240"/>
      <w:bookmarkEnd w:id="241"/>
      <w:bookmarkEnd w:id="242"/>
      <w:bookmarkEnd w:id="243"/>
      <w:bookmarkEnd w:id="244"/>
      <w:bookmarkEnd w:id="245"/>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246" w:name="_Toc501633827"/>
      <w:bookmarkStart w:id="247" w:name="_Toc501712723"/>
      <w:bookmarkStart w:id="248" w:name="_Toc536781917"/>
      <w:bookmarkStart w:id="249" w:name="_Toc5346950"/>
      <w:bookmarkStart w:id="250" w:name="_Toc5363503"/>
      <w:bookmarkStart w:id="251" w:name="_Toc5364724"/>
      <w:r>
        <w:rPr>
          <w:rStyle w:val="CharPartNo"/>
          <w:sz w:val="28"/>
        </w:rPr>
        <w:t xml:space="preserve">Chapter 1 </w:t>
      </w:r>
      <w:r>
        <w:t>—</w:t>
      </w:r>
      <w:r>
        <w:rPr>
          <w:color w:val="000000"/>
          <w:szCs w:val="34"/>
        </w:rPr>
        <w:t xml:space="preserve"> </w:t>
      </w:r>
      <w:r>
        <w:rPr>
          <w:rStyle w:val="CharPartText"/>
          <w:sz w:val="28"/>
        </w:rPr>
        <w:t>Preliminary</w:t>
      </w:r>
      <w:bookmarkEnd w:id="246"/>
      <w:bookmarkEnd w:id="247"/>
      <w:bookmarkEnd w:id="248"/>
      <w:bookmarkEnd w:id="249"/>
      <w:bookmarkEnd w:id="250"/>
      <w:bookmarkEnd w:id="251"/>
    </w:p>
    <w:p>
      <w:pPr>
        <w:pStyle w:val="Heading3"/>
        <w:rPr>
          <w:szCs w:val="26"/>
        </w:rPr>
      </w:pPr>
      <w:bookmarkStart w:id="252" w:name="_Toc501633828"/>
      <w:bookmarkStart w:id="253" w:name="_Toc501712724"/>
      <w:bookmarkStart w:id="254" w:name="_Toc536781918"/>
      <w:bookmarkStart w:id="255" w:name="_Toc5346951"/>
      <w:bookmarkStart w:id="256" w:name="_Toc5363504"/>
      <w:bookmarkStart w:id="257" w:name="_Toc5364725"/>
      <w:r>
        <w:rPr>
          <w:rStyle w:val="CharDivNo"/>
        </w:rPr>
        <w:t xml:space="preserve">Part 1 </w:t>
      </w:r>
      <w:r>
        <w:rPr>
          <w:szCs w:val="26"/>
        </w:rPr>
        <w:t>—</w:t>
      </w:r>
      <w:r>
        <w:rPr>
          <w:color w:val="000000"/>
          <w:szCs w:val="32"/>
        </w:rPr>
        <w:t xml:space="preserve"> </w:t>
      </w:r>
      <w:r>
        <w:rPr>
          <w:rStyle w:val="CharDivText"/>
        </w:rPr>
        <w:t>Citation and interpretation</w:t>
      </w:r>
      <w:bookmarkEnd w:id="252"/>
      <w:bookmarkEnd w:id="253"/>
      <w:bookmarkEnd w:id="254"/>
      <w:bookmarkEnd w:id="255"/>
      <w:bookmarkEnd w:id="256"/>
      <w:bookmarkEnd w:id="257"/>
    </w:p>
    <w:p>
      <w:pPr>
        <w:pStyle w:val="Heading5"/>
      </w:pPr>
      <w:bookmarkStart w:id="258" w:name="_Toc5364726"/>
      <w:r>
        <w:rPr>
          <w:rStyle w:val="CharSectno"/>
        </w:rPr>
        <w:t>1</w:t>
      </w:r>
      <w:r>
        <w:t>.</w:t>
      </w:r>
      <w:r>
        <w:tab/>
        <w:t>Citation</w:t>
      </w:r>
      <w:bookmarkEnd w:id="258"/>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259" w:name="_Toc5364727"/>
      <w:r>
        <w:rPr>
          <w:rStyle w:val="CharSectno"/>
        </w:rPr>
        <w:t>2</w:t>
      </w:r>
      <w:r>
        <w:t>.</w:t>
      </w:r>
      <w:r>
        <w:tab/>
        <w:t>Definitions</w:t>
      </w:r>
      <w:bookmarkEnd w:id="259"/>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(other than making a rate of return instrument)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(other than making a rate of return instrument)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b/>
          <w:color w:val="000000"/>
          <w:sz w:val="20"/>
        </w:rPr>
      </w:pPr>
      <w:r>
        <w:rPr>
          <w:b/>
          <w:color w:val="000000"/>
          <w:sz w:val="20"/>
        </w:rPr>
        <w:t>Note—</w:t>
      </w:r>
    </w:p>
    <w:p>
      <w:pPr>
        <w:keepLines/>
        <w:autoSpaceDE w:val="0"/>
        <w:autoSpaceDN w:val="0"/>
        <w:adjustRightInd w:val="0"/>
        <w:spacing w:before="120"/>
        <w:ind w:left="2382"/>
        <w:rPr>
          <w:color w:val="000000"/>
          <w:sz w:val="20"/>
        </w:rPr>
      </w:pPr>
      <w:r>
        <w:rPr>
          <w:color w:val="000000"/>
          <w:sz w:val="20"/>
        </w:rPr>
        <w:t>The application of a rate of return instrument under this Law is an AER economic regulatory function or power. See section 30Q(2).</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sz w:val="23"/>
          <w:szCs w:val="23"/>
        </w:rPr>
        <w:t>rate of return instrument</w:t>
      </w:r>
      <w:r>
        <w:rPr>
          <w:color w:val="000000"/>
          <w:sz w:val="23"/>
          <w:szCs w:val="23"/>
        </w:rPr>
        <w:t>—see section 30D(2);</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 SA Act No. 33 of 2018 and WA Gazette 5 Apr 2019 p. 1007</w:t>
      </w:r>
      <w:r>
        <w:noBreakHyphen/>
        <w:t>8.]</w:t>
      </w:r>
    </w:p>
    <w:p>
      <w:pPr>
        <w:pStyle w:val="Heading5"/>
        <w:keepNext w:val="0"/>
        <w:keepLines w:val="0"/>
      </w:pPr>
      <w:bookmarkStart w:id="260" w:name="_Toc5364728"/>
      <w:r>
        <w:rPr>
          <w:rStyle w:val="CharSectno"/>
        </w:rPr>
        <w:t>2A</w:t>
      </w:r>
      <w:r>
        <w:t>.</w:t>
      </w:r>
      <w:r>
        <w:tab/>
        <w:t>Meaning of AER modified</w:t>
      </w:r>
      <w:bookmarkEnd w:id="26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261" w:name="_Toc5364729"/>
      <w:r>
        <w:t>2B.</w:t>
      </w:r>
      <w:r>
        <w:rPr>
          <w:b w:val="0"/>
        </w:rPr>
        <w:tab/>
      </w:r>
      <w:r>
        <w:t>References to WA application Act</w:t>
      </w:r>
      <w:bookmarkEnd w:id="261"/>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262" w:name="_Toc5364730"/>
      <w:r>
        <w:rPr>
          <w:rStyle w:val="CharSectno"/>
        </w:rPr>
        <w:t>3</w:t>
      </w:r>
      <w:r>
        <w:t>.</w:t>
      </w:r>
      <w:r>
        <w:tab/>
        <w:t>Meaning of civil penalty provision</w:t>
      </w:r>
      <w:bookmarkEnd w:id="262"/>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263" w:name="_Toc5364731"/>
      <w:r>
        <w:rPr>
          <w:rStyle w:val="CharSectno"/>
        </w:rPr>
        <w:t>4</w:t>
      </w:r>
      <w:r>
        <w:t>.</w:t>
      </w:r>
      <w:r>
        <w:tab/>
        <w:t>Meaning of conduct provision</w:t>
      </w:r>
      <w:bookmarkEnd w:id="263"/>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264" w:name="_Toc5364732"/>
      <w:r>
        <w:rPr>
          <w:rStyle w:val="CharSectno"/>
        </w:rPr>
        <w:t>5</w:t>
      </w:r>
      <w:r>
        <w:t>.</w:t>
      </w:r>
      <w:r>
        <w:tab/>
        <w:t>Meaning of prospective user</w:t>
      </w:r>
      <w:bookmarkEnd w:id="2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265" w:name="_Toc5364733"/>
      <w:r>
        <w:rPr>
          <w:rStyle w:val="CharSectno"/>
        </w:rPr>
        <w:t>6</w:t>
      </w:r>
      <w:r>
        <w:t>.</w:t>
      </w:r>
      <w:r>
        <w:tab/>
        <w:t>Meaning of regulatory obligation or requirement</w:t>
      </w:r>
      <w:bookmarkEnd w:id="2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266" w:name="_Toc5364734"/>
      <w:r>
        <w:rPr>
          <w:rStyle w:val="CharSectno"/>
        </w:rPr>
        <w:t>7</w:t>
      </w:r>
      <w:r>
        <w:t>.</w:t>
      </w:r>
      <w:r>
        <w:tab/>
        <w:t>Meaning of regulatory payment</w:t>
      </w:r>
      <w:bookmarkEnd w:id="266"/>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267" w:name="_Toc5364735"/>
      <w:r>
        <w:rPr>
          <w:rStyle w:val="CharSectno"/>
        </w:rPr>
        <w:t>8</w:t>
      </w:r>
      <w:r>
        <w:t>.</w:t>
      </w:r>
      <w:r>
        <w:tab/>
        <w:t>Meaning of service provider</w:t>
      </w:r>
      <w:bookmarkEnd w:id="2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268" w:name="_Toc5364736"/>
      <w:r>
        <w:rPr>
          <w:rStyle w:val="CharSectno"/>
        </w:rPr>
        <w:t>9</w:t>
      </w:r>
      <w:r>
        <w:t>.</w:t>
      </w:r>
      <w:r>
        <w:tab/>
        <w:t>Passive owners of scheme pipelines deemed to provide or intend to provide pipeline services</w:t>
      </w:r>
      <w:bookmarkEnd w:id="2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269" w:name="_Toc5364737"/>
      <w:r>
        <w:rPr>
          <w:rStyle w:val="CharSectno"/>
        </w:rPr>
        <w:t>10</w:t>
      </w:r>
      <w:r>
        <w:t>.</w:t>
      </w:r>
      <w:r>
        <w:tab/>
        <w:t>Things done by 1 service provider to be treated as being done by all of service provider group</w:t>
      </w:r>
      <w:bookmarkEnd w:id="2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270" w:name="_Toc5364738"/>
      <w:r>
        <w:rPr>
          <w:rStyle w:val="CharSectno"/>
        </w:rPr>
        <w:t>11</w:t>
      </w:r>
      <w:r>
        <w:t>.</w:t>
      </w:r>
      <w:r>
        <w:tab/>
        <w:t>Local agents of foreign service providers</w:t>
      </w:r>
      <w:bookmarkEnd w:id="270"/>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271" w:name="_Toc5364739"/>
      <w:r>
        <w:rPr>
          <w:rStyle w:val="CharSectno"/>
        </w:rPr>
        <w:t>12</w:t>
      </w:r>
      <w:r>
        <w:rPr>
          <w:bCs/>
        </w:rPr>
        <w:t>.</w:t>
      </w:r>
      <w:r>
        <w:rPr>
          <w:bCs/>
        </w:rPr>
        <w:tab/>
      </w:r>
      <w:r>
        <w:t>Commissioning of a pipeline</w:t>
      </w:r>
      <w:bookmarkEnd w:id="271"/>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272" w:name="_Toc5364740"/>
      <w:r>
        <w:rPr>
          <w:rStyle w:val="CharSectno"/>
        </w:rPr>
        <w:t>13</w:t>
      </w:r>
      <w:r>
        <w:rPr>
          <w:rStyle w:val="CharSectno"/>
          <w:bCs/>
        </w:rPr>
        <w:t>.</w:t>
      </w:r>
      <w:r>
        <w:rPr>
          <w:rStyle w:val="CharSectno"/>
          <w:bCs/>
        </w:rPr>
        <w:tab/>
      </w:r>
      <w:r>
        <w:t>Pipeline classification criterion</w:t>
      </w:r>
      <w:bookmarkEnd w:id="2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273" w:name="_Toc5364741"/>
      <w:r>
        <w:rPr>
          <w:rStyle w:val="CharSectno"/>
        </w:rPr>
        <w:t>14</w:t>
      </w:r>
      <w:r>
        <w:t>.</w:t>
      </w:r>
      <w:r>
        <w:rPr>
          <w:rStyle w:val="CharSectno"/>
          <w:bCs/>
        </w:rPr>
        <w:tab/>
      </w:r>
      <w:r>
        <w:t>Jurisdictional determination criteria—cross boundary distribution pipelines</w:t>
      </w:r>
      <w:bookmarkEnd w:id="273"/>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274" w:name="_Toc5364742"/>
      <w:r>
        <w:rPr>
          <w:rStyle w:val="CharSectno"/>
        </w:rPr>
        <w:t>15</w:t>
      </w:r>
      <w:r>
        <w:t>.</w:t>
      </w:r>
      <w:r>
        <w:tab/>
        <w:t>Pipeline coverage criteria</w:t>
      </w:r>
      <w:bookmarkEnd w:id="274"/>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275" w:name="_Toc5364743"/>
      <w:r>
        <w:rPr>
          <w:rStyle w:val="CharSectno"/>
        </w:rPr>
        <w:t>16</w:t>
      </w:r>
      <w:r>
        <w:t>.</w:t>
      </w:r>
      <w:r>
        <w:tab/>
        <w:t>Form of regulation factors</w:t>
      </w:r>
      <w:bookmarkEnd w:id="275"/>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276" w:name="_Toc5364744"/>
      <w:r>
        <w:rPr>
          <w:rStyle w:val="CharSectno"/>
        </w:rPr>
        <w:t>17</w:t>
      </w:r>
      <w:r>
        <w:rPr>
          <w:bCs/>
        </w:rPr>
        <w:t>.</w:t>
      </w:r>
      <w:r>
        <w:rPr>
          <w:bCs/>
        </w:rPr>
        <w:tab/>
      </w:r>
      <w:r>
        <w:t>Effect of separate and consolidated access arrangements in certain cases</w:t>
      </w:r>
      <w:bookmarkEnd w:id="2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277" w:name="_Toc5364745"/>
      <w:r>
        <w:rPr>
          <w:rStyle w:val="CharSectno"/>
        </w:rPr>
        <w:t>18</w:t>
      </w:r>
      <w:r>
        <w:t>.</w:t>
      </w:r>
      <w:r>
        <w:tab/>
        <w:t>Certain extensions to, or expansion of the capacity of, pipelines to be taken to be part of a covered pipeline</w:t>
      </w:r>
      <w:bookmarkEnd w:id="277"/>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278" w:name="_Toc5364746"/>
      <w:r>
        <w:rPr>
          <w:rStyle w:val="CharSectno"/>
        </w:rPr>
        <w:t>19</w:t>
      </w:r>
      <w:r>
        <w:rPr>
          <w:bCs/>
        </w:rPr>
        <w:t>.</w:t>
      </w:r>
      <w:r>
        <w:rPr>
          <w:bCs/>
        </w:rPr>
        <w:tab/>
      </w:r>
      <w:r>
        <w:t>Expansions of and extensions to covered pipeline by which light regulation services are provided</w:t>
      </w:r>
      <w:bookmarkEnd w:id="278"/>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279" w:name="_Toc5364747"/>
      <w:r>
        <w:rPr>
          <w:rStyle w:val="CharSectno"/>
        </w:rPr>
        <w:t>20</w:t>
      </w:r>
      <w:r>
        <w:t>.</w:t>
      </w:r>
      <w:r>
        <w:tab/>
        <w:t>Interpretation generally</w:t>
      </w:r>
      <w:bookmarkEnd w:id="279"/>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280" w:name="_Toc501633851"/>
      <w:bookmarkStart w:id="281" w:name="_Toc501712747"/>
      <w:bookmarkStart w:id="282" w:name="_Toc536781941"/>
      <w:bookmarkStart w:id="283" w:name="_Toc5346974"/>
      <w:bookmarkStart w:id="284" w:name="_Toc5363527"/>
      <w:bookmarkStart w:id="285" w:name="_Toc5364748"/>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280"/>
      <w:bookmarkEnd w:id="281"/>
      <w:bookmarkEnd w:id="282"/>
      <w:bookmarkEnd w:id="283"/>
      <w:bookmarkEnd w:id="284"/>
      <w:bookmarkEnd w:id="285"/>
    </w:p>
    <w:p>
      <w:pPr>
        <w:pStyle w:val="Footnotesection"/>
      </w:pPr>
      <w:r>
        <w:tab/>
        <w:t>[Heading inserted: WA Act Sch. 1 cl. 5.]</w:t>
      </w:r>
    </w:p>
    <w:p>
      <w:pPr>
        <w:pStyle w:val="Heading5"/>
      </w:pPr>
      <w:bookmarkStart w:id="286" w:name="_Toc5364749"/>
      <w:r>
        <w:rPr>
          <w:rStyle w:val="CharSectno"/>
        </w:rPr>
        <w:t>20A</w:t>
      </w:r>
      <w:r>
        <w:rPr>
          <w:bCs/>
        </w:rPr>
        <w:t>.</w:t>
      </w:r>
      <w:r>
        <w:rPr>
          <w:bCs/>
        </w:rPr>
        <w:tab/>
      </w:r>
      <w:r>
        <w:t>Minister may fix day on which provisions apply</w:t>
      </w:r>
      <w:bookmarkEnd w:id="286"/>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287" w:name="_Toc501633853"/>
      <w:bookmarkStart w:id="288" w:name="_Toc501712749"/>
      <w:bookmarkStart w:id="289" w:name="_Toc536781943"/>
      <w:bookmarkStart w:id="290" w:name="_Toc5346976"/>
      <w:bookmarkStart w:id="291" w:name="_Toc5363529"/>
      <w:bookmarkStart w:id="292" w:name="_Toc5364750"/>
      <w:r>
        <w:rPr>
          <w:rStyle w:val="CharDivNo"/>
        </w:rPr>
        <w:t>Part 2</w:t>
      </w:r>
      <w:r>
        <w:rPr>
          <w:color w:val="000000"/>
          <w:sz w:val="32"/>
          <w:szCs w:val="32"/>
        </w:rPr>
        <w:t xml:space="preserve"> — </w:t>
      </w:r>
      <w:r>
        <w:rPr>
          <w:rStyle w:val="CharDivText"/>
        </w:rPr>
        <w:t>Participating jurisdictions</w:t>
      </w:r>
      <w:bookmarkEnd w:id="287"/>
      <w:bookmarkEnd w:id="288"/>
      <w:bookmarkEnd w:id="289"/>
      <w:bookmarkEnd w:id="290"/>
      <w:bookmarkEnd w:id="291"/>
      <w:bookmarkEnd w:id="292"/>
    </w:p>
    <w:p>
      <w:pPr>
        <w:pStyle w:val="Heading5"/>
      </w:pPr>
      <w:bookmarkStart w:id="293" w:name="_Toc5364751"/>
      <w:r>
        <w:rPr>
          <w:rStyle w:val="CharSectno"/>
        </w:rPr>
        <w:t>21</w:t>
      </w:r>
      <w:r>
        <w:t>.</w:t>
      </w:r>
      <w:r>
        <w:tab/>
        <w:t>Participating jurisdictions</w:t>
      </w:r>
      <w:bookmarkEnd w:id="293"/>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294" w:name="_Toc5364752"/>
      <w:r>
        <w:rPr>
          <w:rStyle w:val="CharSectno"/>
        </w:rPr>
        <w:t>22</w:t>
      </w:r>
      <w:r>
        <w:rPr>
          <w:bCs/>
        </w:rPr>
        <w:t>.</w:t>
      </w:r>
      <w:r>
        <w:rPr>
          <w:bCs/>
        </w:rPr>
        <w:tab/>
      </w:r>
      <w:r>
        <w:t>Ministers of participating jurisdictions</w:t>
      </w:r>
      <w:bookmarkEnd w:id="294"/>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295" w:name="_Toc501633856"/>
      <w:bookmarkStart w:id="296" w:name="_Toc501712752"/>
      <w:bookmarkStart w:id="297" w:name="_Toc536781946"/>
      <w:bookmarkStart w:id="298" w:name="_Toc5346979"/>
      <w:bookmarkStart w:id="299" w:name="_Toc5363532"/>
      <w:bookmarkStart w:id="300" w:name="_Toc5364753"/>
      <w:r>
        <w:rPr>
          <w:rStyle w:val="CharDivNo"/>
        </w:rPr>
        <w:t>Part 3</w:t>
      </w:r>
      <w:r>
        <w:rPr>
          <w:color w:val="000000"/>
          <w:sz w:val="32"/>
          <w:szCs w:val="32"/>
        </w:rPr>
        <w:t xml:space="preserve"> — </w:t>
      </w:r>
      <w:r>
        <w:rPr>
          <w:rStyle w:val="CharDivText"/>
        </w:rPr>
        <w:t>National gas objective and principles</w:t>
      </w:r>
      <w:bookmarkEnd w:id="295"/>
      <w:bookmarkEnd w:id="296"/>
      <w:bookmarkEnd w:id="297"/>
      <w:bookmarkEnd w:id="298"/>
      <w:bookmarkEnd w:id="299"/>
      <w:bookmarkEnd w:id="300"/>
    </w:p>
    <w:p>
      <w:pPr>
        <w:pStyle w:val="Heading4"/>
      </w:pPr>
      <w:bookmarkStart w:id="301" w:name="_Toc501633857"/>
      <w:bookmarkStart w:id="302" w:name="_Toc501712753"/>
      <w:bookmarkStart w:id="303" w:name="_Toc536781947"/>
      <w:bookmarkStart w:id="304" w:name="_Toc5346980"/>
      <w:bookmarkStart w:id="305" w:name="_Toc5363533"/>
      <w:bookmarkStart w:id="306" w:name="_Toc5364754"/>
      <w:r>
        <w:t>Division 1 — National gas objective</w:t>
      </w:r>
      <w:bookmarkEnd w:id="301"/>
      <w:bookmarkEnd w:id="302"/>
      <w:bookmarkEnd w:id="303"/>
      <w:bookmarkEnd w:id="304"/>
      <w:bookmarkEnd w:id="305"/>
      <w:bookmarkEnd w:id="306"/>
    </w:p>
    <w:p>
      <w:pPr>
        <w:pStyle w:val="Heading5"/>
      </w:pPr>
      <w:bookmarkStart w:id="307" w:name="_Toc5364755"/>
      <w:r>
        <w:rPr>
          <w:rStyle w:val="CharSectno"/>
        </w:rPr>
        <w:t>23</w:t>
      </w:r>
      <w:r>
        <w:t>.</w:t>
      </w:r>
      <w:r>
        <w:tab/>
        <w:t>National gas objective</w:t>
      </w:r>
      <w:bookmarkEnd w:id="307"/>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308" w:name="_Toc501633859"/>
      <w:bookmarkStart w:id="309" w:name="_Toc501712755"/>
      <w:bookmarkStart w:id="310" w:name="_Toc536781949"/>
      <w:bookmarkStart w:id="311" w:name="_Toc5346982"/>
      <w:bookmarkStart w:id="312" w:name="_Toc5363535"/>
      <w:bookmarkStart w:id="313" w:name="_Toc5364756"/>
      <w:r>
        <w:t>Division 2 — Revenue and pricing principles</w:t>
      </w:r>
      <w:bookmarkEnd w:id="308"/>
      <w:bookmarkEnd w:id="309"/>
      <w:bookmarkEnd w:id="310"/>
      <w:bookmarkEnd w:id="311"/>
      <w:bookmarkEnd w:id="312"/>
      <w:bookmarkEnd w:id="313"/>
    </w:p>
    <w:p>
      <w:pPr>
        <w:pStyle w:val="Heading5"/>
      </w:pPr>
      <w:bookmarkStart w:id="314" w:name="_Toc5364757"/>
      <w:r>
        <w:rPr>
          <w:rStyle w:val="CharSectno"/>
        </w:rPr>
        <w:t>24</w:t>
      </w:r>
      <w:r>
        <w:rPr>
          <w:bCs/>
        </w:rPr>
        <w:t>.</w:t>
      </w:r>
      <w:r>
        <w:rPr>
          <w:bCs/>
        </w:rPr>
        <w:tab/>
      </w:r>
      <w:r>
        <w:t>Revenue and pricing principles</w:t>
      </w:r>
      <w:bookmarkEnd w:id="3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315" w:name="_Toc501633861"/>
      <w:bookmarkStart w:id="316" w:name="_Toc501712757"/>
      <w:bookmarkStart w:id="317" w:name="_Toc536781951"/>
      <w:bookmarkStart w:id="318" w:name="_Toc5346984"/>
      <w:bookmarkStart w:id="319" w:name="_Toc5363537"/>
      <w:bookmarkStart w:id="320" w:name="_Toc5364758"/>
      <w:r>
        <w:t>Division 3 — MCE policy principles</w:t>
      </w:r>
      <w:bookmarkEnd w:id="315"/>
      <w:bookmarkEnd w:id="316"/>
      <w:bookmarkEnd w:id="317"/>
      <w:bookmarkEnd w:id="318"/>
      <w:bookmarkEnd w:id="319"/>
      <w:bookmarkEnd w:id="320"/>
    </w:p>
    <w:p>
      <w:pPr>
        <w:pStyle w:val="Heading5"/>
      </w:pPr>
      <w:bookmarkStart w:id="321" w:name="_Toc5364759"/>
      <w:r>
        <w:rPr>
          <w:rStyle w:val="CharSectno"/>
        </w:rPr>
        <w:t>25</w:t>
      </w:r>
      <w:r>
        <w:rPr>
          <w:bCs/>
        </w:rPr>
        <w:t>.</w:t>
      </w:r>
      <w:r>
        <w:rPr>
          <w:bCs/>
        </w:rPr>
        <w:tab/>
      </w:r>
      <w:r>
        <w:t>MCE statements of policy principles</w:t>
      </w:r>
      <w:bookmarkEnd w:id="3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322" w:name="_Toc501633863"/>
      <w:bookmarkStart w:id="323" w:name="_Toc501712759"/>
      <w:bookmarkStart w:id="324" w:name="_Toc536781953"/>
      <w:bookmarkStart w:id="325" w:name="_Toc5346986"/>
      <w:bookmarkStart w:id="326" w:name="_Toc5363539"/>
      <w:bookmarkStart w:id="327" w:name="_Toc5364760"/>
      <w:r>
        <w:rPr>
          <w:rStyle w:val="CharDivNo"/>
        </w:rPr>
        <w:t>Part 4</w:t>
      </w:r>
      <w:r>
        <w:t xml:space="preserve"> — </w:t>
      </w:r>
      <w:r>
        <w:rPr>
          <w:rStyle w:val="CharDivText"/>
        </w:rPr>
        <w:t>Operation and effect of National Gas Rules</w:t>
      </w:r>
      <w:bookmarkEnd w:id="322"/>
      <w:bookmarkEnd w:id="323"/>
      <w:bookmarkEnd w:id="324"/>
      <w:bookmarkEnd w:id="325"/>
      <w:bookmarkEnd w:id="326"/>
      <w:bookmarkEnd w:id="327"/>
    </w:p>
    <w:p>
      <w:pPr>
        <w:pStyle w:val="Heading5"/>
      </w:pPr>
      <w:bookmarkStart w:id="328" w:name="_Toc5364761"/>
      <w:r>
        <w:rPr>
          <w:rStyle w:val="CharSectno"/>
        </w:rPr>
        <w:t>26</w:t>
      </w:r>
      <w:r>
        <w:t>.</w:t>
      </w:r>
      <w:r>
        <w:rPr>
          <w:rStyle w:val="CharSectno"/>
        </w:rPr>
        <w:tab/>
      </w:r>
      <w:r>
        <w:t>National Gas Rules to have force of law</w:t>
      </w:r>
      <w:bookmarkEnd w:id="328"/>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329" w:name="_Toc501633865"/>
      <w:bookmarkStart w:id="330" w:name="_Toc501712761"/>
      <w:bookmarkStart w:id="331" w:name="_Toc536781955"/>
      <w:bookmarkStart w:id="332" w:name="_Toc5346988"/>
      <w:bookmarkStart w:id="333" w:name="_Toc5363541"/>
      <w:bookmarkStart w:id="334" w:name="_Toc5364762"/>
      <w:r>
        <w:rPr>
          <w:rStyle w:val="CharPartNo"/>
        </w:rPr>
        <w:t>Chapter 2</w:t>
      </w:r>
      <w:r>
        <w:t xml:space="preserve"> — </w:t>
      </w:r>
      <w:r>
        <w:rPr>
          <w:rStyle w:val="CharPartText"/>
        </w:rPr>
        <w:t>Functions and powers of gas market regulatory entities</w:t>
      </w:r>
      <w:bookmarkEnd w:id="329"/>
      <w:bookmarkEnd w:id="330"/>
      <w:bookmarkEnd w:id="331"/>
      <w:bookmarkEnd w:id="332"/>
      <w:bookmarkEnd w:id="333"/>
      <w:bookmarkEnd w:id="334"/>
    </w:p>
    <w:p>
      <w:pPr>
        <w:pStyle w:val="Heading3"/>
      </w:pPr>
      <w:bookmarkStart w:id="335" w:name="_Toc501633866"/>
      <w:bookmarkStart w:id="336" w:name="_Toc501712762"/>
      <w:bookmarkStart w:id="337" w:name="_Toc536781956"/>
      <w:bookmarkStart w:id="338" w:name="_Toc5346989"/>
      <w:bookmarkStart w:id="339" w:name="_Toc5363542"/>
      <w:bookmarkStart w:id="340" w:name="_Toc5364763"/>
      <w:r>
        <w:rPr>
          <w:rStyle w:val="CharDivNo"/>
        </w:rPr>
        <w:t>Part 1</w:t>
      </w:r>
      <w:r>
        <w:t xml:space="preserve"> — </w:t>
      </w:r>
      <w:r>
        <w:rPr>
          <w:rStyle w:val="CharDivText"/>
        </w:rPr>
        <w:t>Functions and powers of the Australian Energy Regulator</w:t>
      </w:r>
      <w:bookmarkEnd w:id="335"/>
      <w:bookmarkEnd w:id="336"/>
      <w:bookmarkEnd w:id="337"/>
      <w:bookmarkEnd w:id="338"/>
      <w:bookmarkEnd w:id="339"/>
      <w:bookmarkEnd w:id="340"/>
    </w:p>
    <w:p>
      <w:pPr>
        <w:pStyle w:val="Heading4"/>
        <w:rPr>
          <w:szCs w:val="28"/>
        </w:rPr>
      </w:pPr>
      <w:bookmarkStart w:id="341" w:name="_Toc501633867"/>
      <w:bookmarkStart w:id="342" w:name="_Toc501712763"/>
      <w:bookmarkStart w:id="343" w:name="_Toc536781957"/>
      <w:bookmarkStart w:id="344" w:name="_Toc5346990"/>
      <w:bookmarkStart w:id="345" w:name="_Toc5363543"/>
      <w:bookmarkStart w:id="346" w:name="_Toc5364764"/>
      <w:r>
        <w:rPr>
          <w:szCs w:val="28"/>
        </w:rPr>
        <w:t>Division 1</w:t>
      </w:r>
      <w:r>
        <w:rPr>
          <w:rStyle w:val="CharSDivNo"/>
        </w:rPr>
        <w:t xml:space="preserve"> </w:t>
      </w:r>
      <w:r>
        <w:rPr>
          <w:szCs w:val="28"/>
        </w:rPr>
        <w:t>—</w:t>
      </w:r>
      <w:r>
        <w:t xml:space="preserve"> </w:t>
      </w:r>
      <w:r>
        <w:rPr>
          <w:szCs w:val="28"/>
        </w:rPr>
        <w:t>General</w:t>
      </w:r>
      <w:bookmarkEnd w:id="341"/>
      <w:bookmarkEnd w:id="342"/>
      <w:bookmarkEnd w:id="343"/>
      <w:bookmarkEnd w:id="344"/>
      <w:bookmarkEnd w:id="345"/>
      <w:bookmarkEnd w:id="346"/>
    </w:p>
    <w:p>
      <w:pPr>
        <w:pStyle w:val="Heading5"/>
      </w:pPr>
      <w:bookmarkStart w:id="347" w:name="_Toc5364765"/>
      <w:r>
        <w:rPr>
          <w:rStyle w:val="CharSectno"/>
        </w:rPr>
        <w:t>27</w:t>
      </w:r>
      <w:r>
        <w:t>.</w:t>
      </w:r>
      <w:r>
        <w:rPr>
          <w:bCs/>
        </w:rPr>
        <w:tab/>
      </w:r>
      <w:r>
        <w:t>Functions and powers of the AER</w:t>
      </w:r>
      <w:bookmarkEnd w:id="3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(da)</w:t>
      </w:r>
      <w:r>
        <w:rPr>
          <w:color w:val="000000"/>
          <w:sz w:val="23"/>
          <w:szCs w:val="23"/>
        </w:rPr>
        <w:tab/>
        <w:t>to make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szCs w:val="23"/>
        </w:rPr>
      </w:pPr>
      <w:r>
        <w:tab/>
        <w:t>[Section 27 amended: see SA Act No. 33 of 2018 s. 14 and WA Gazette 5 Apr 2019 p. 1007.]</w:t>
      </w:r>
    </w:p>
    <w:p>
      <w:pPr>
        <w:pStyle w:val="Heading5"/>
      </w:pPr>
      <w:bookmarkStart w:id="348" w:name="_Toc5364766"/>
      <w:r>
        <w:rPr>
          <w:rStyle w:val="CharSectno"/>
        </w:rPr>
        <w:t>28</w:t>
      </w:r>
      <w:r>
        <w:t>.</w:t>
      </w:r>
      <w:r>
        <w:tab/>
        <w:t>Manner in which AER must perform or exercise AER economic regulatory functions or powers</w:t>
      </w:r>
      <w:bookmarkEnd w:id="3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349" w:name="_Toc5364767"/>
      <w:r>
        <w:rPr>
          <w:rStyle w:val="CharSectno"/>
        </w:rPr>
        <w:t>29</w:t>
      </w:r>
      <w:r>
        <w:t>.</w:t>
      </w:r>
      <w:r>
        <w:tab/>
        <w:t>Delegations</w:t>
      </w:r>
      <w:bookmarkEnd w:id="349"/>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350" w:name="_Toc5364768"/>
      <w:r>
        <w:rPr>
          <w:rStyle w:val="CharSectno"/>
        </w:rPr>
        <w:t>30</w:t>
      </w:r>
      <w:r>
        <w:t>.</w:t>
      </w:r>
      <w:r>
        <w:tab/>
        <w:t>Confidentiality</w:t>
      </w:r>
      <w:bookmarkEnd w:id="3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pPr>
      <w:bookmarkStart w:id="351" w:name="_Toc182382"/>
      <w:bookmarkStart w:id="352" w:name="_Toc5346995"/>
      <w:bookmarkStart w:id="353" w:name="_Toc5363548"/>
      <w:bookmarkStart w:id="354" w:name="_Toc5364769"/>
      <w:bookmarkStart w:id="355" w:name="_Toc501633872"/>
      <w:bookmarkStart w:id="356" w:name="_Toc501712768"/>
      <w:bookmarkStart w:id="357" w:name="_Toc536781962"/>
      <w:r>
        <w:t>Division 1A—Rate of return instrument</w:t>
      </w:r>
      <w:bookmarkEnd w:id="351"/>
      <w:bookmarkEnd w:id="352"/>
      <w:bookmarkEnd w:id="353"/>
      <w:bookmarkEnd w:id="354"/>
    </w:p>
    <w:p>
      <w:pPr>
        <w:pStyle w:val="Footnoteheading"/>
      </w:pPr>
      <w:r>
        <w:tab/>
        <w:t>[Heading inserted: see SA Act No. 33 of 2018 s. 15 and WA Gazette 5 Apr 2019 p. 1007.]</w:t>
      </w:r>
    </w:p>
    <w:p>
      <w:pPr>
        <w:pStyle w:val="Heading4"/>
      </w:pPr>
      <w:bookmarkStart w:id="358" w:name="_Toc182383"/>
      <w:bookmarkStart w:id="359" w:name="_Toc5346996"/>
      <w:bookmarkStart w:id="360" w:name="_Toc5363549"/>
      <w:bookmarkStart w:id="361" w:name="_Toc5364770"/>
      <w:r>
        <w:t>Subdivision 1—Preliminary</w:t>
      </w:r>
      <w:bookmarkEnd w:id="358"/>
      <w:bookmarkEnd w:id="359"/>
      <w:bookmarkEnd w:id="360"/>
      <w:bookmarkEnd w:id="361"/>
    </w:p>
    <w:p>
      <w:pPr>
        <w:pStyle w:val="Footnoteheading"/>
      </w:pPr>
      <w:r>
        <w:tab/>
        <w:t>[Heading inserted: see SA Act No. 33 of 2018 s. 15 and WA Gazette 5 Apr 2019 p. 1007.]</w:t>
      </w:r>
    </w:p>
    <w:p>
      <w:pPr>
        <w:pStyle w:val="Heading5"/>
        <w:rPr>
          <w:b w:val="0"/>
        </w:rPr>
      </w:pPr>
      <w:bookmarkStart w:id="362" w:name="_Toc182384"/>
      <w:bookmarkStart w:id="363" w:name="_Toc5364771"/>
      <w:r>
        <w:rPr>
          <w:rStyle w:val="CharSectno"/>
        </w:rPr>
        <w:t>30A</w:t>
      </w:r>
      <w:r>
        <w:t>.</w:t>
      </w:r>
      <w:r>
        <w:tab/>
        <w:t>Definitions</w:t>
      </w:r>
      <w:bookmarkEnd w:id="362"/>
      <w:bookmarkEnd w:id="363"/>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sz w:val="23"/>
          <w:szCs w:val="23"/>
        </w:rPr>
        <w:t>consumer reference group</w:t>
      </w:r>
      <w:r>
        <w:rPr>
          <w:color w:val="000000"/>
          <w:sz w:val="23"/>
          <w:szCs w:val="23"/>
        </w:rPr>
        <w:t xml:space="preserve">, for making a rate of return instrument, see </w:t>
      </w:r>
      <w:hyperlink w:anchor="id72f52006_4c51_4fb9_8278_cb348f29de" w:history="1">
        <w:r>
          <w:rPr>
            <w:color w:val="000000"/>
            <w:sz w:val="23"/>
            <w:szCs w:val="23"/>
          </w:rPr>
          <w:t>section 30H(1)(a)</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for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how the stated value, or the way to calculate the rate or value, was decided;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instrument replaces another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differences (if any) between the instrument and the replaced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reasons for any differences;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how the AER had regard to the following in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matters mentioned in </w:t>
      </w:r>
      <w:hyperlink w:anchor="id0ff8a509_7876_447b_9127_a68ef60d88" w:history="1">
        <w:r>
          <w:rPr>
            <w:color w:val="000000"/>
            <w:sz w:val="23"/>
            <w:szCs w:val="23"/>
          </w:rPr>
          <w:t>section 30G</w:t>
        </w:r>
      </w:hyperlink>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estimation methods, financial models, market data and other evidence relevant to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prevailing conditions in the market for equity funds;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interrelationships between financial parameters used, or to be used, in relation to deciding the rate or value.</w:t>
      </w:r>
    </w:p>
    <w:p>
      <w:pPr>
        <w:pStyle w:val="Footnotesection"/>
      </w:pPr>
      <w:r>
        <w:tab/>
        <w:t>[Section 30A inserted: see SA Act No. 33 of 2018 s. 15 and WA Gazette 5 Apr 2019 p. 1007.]</w:t>
      </w:r>
    </w:p>
    <w:p>
      <w:pPr>
        <w:pStyle w:val="Heading5"/>
        <w:rPr>
          <w:b w:val="0"/>
        </w:rPr>
      </w:pPr>
      <w:bookmarkStart w:id="364" w:name="_Toc182385"/>
      <w:bookmarkStart w:id="365" w:name="_Toc5364772"/>
      <w:r>
        <w:rPr>
          <w:rStyle w:val="CharSectno"/>
        </w:rPr>
        <w:t>30B</w:t>
      </w:r>
      <w:r>
        <w:t>.</w:t>
      </w:r>
      <w:r>
        <w:tab/>
        <w:t>Rate of return instrument has force of law</w:t>
      </w:r>
      <w:bookmarkEnd w:id="364"/>
      <w:bookmarkEnd w:id="3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has the force of law in this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Act of this jurisdiction regulating the making of subordinate legislation does not apply to a rate of return instrument.</w:t>
      </w:r>
    </w:p>
    <w:p>
      <w:pPr>
        <w:pStyle w:val="Footnotesection"/>
      </w:pPr>
      <w:r>
        <w:tab/>
        <w:t>[Section 30B inserted: see SA Act No. 33 of 2018 s. 15 and WA Gazette 5 Apr 2019 p. 1007.]</w:t>
      </w:r>
    </w:p>
    <w:p>
      <w:pPr>
        <w:pStyle w:val="Heading5"/>
        <w:rPr>
          <w:b w:val="0"/>
        </w:rPr>
      </w:pPr>
      <w:bookmarkStart w:id="366" w:name="_Toc182386"/>
      <w:bookmarkStart w:id="367" w:name="_Toc5364773"/>
      <w:r>
        <w:rPr>
          <w:rStyle w:val="CharSectno"/>
        </w:rPr>
        <w:t>30C</w:t>
      </w:r>
      <w:r>
        <w:t>.</w:t>
      </w:r>
      <w:r>
        <w:tab/>
        <w:t>Rate of return instrument is binding on AER and covered pipeline service providers</w:t>
      </w:r>
      <w:bookmarkEnd w:id="366"/>
      <w:bookmarkEnd w:id="367"/>
    </w:p>
    <w:p>
      <w:pPr>
        <w:keepNext/>
        <w:keepLines/>
        <w:autoSpaceDE w:val="0"/>
        <w:autoSpaceDN w:val="0"/>
        <w:adjustRightInd w:val="0"/>
        <w:spacing w:before="120"/>
        <w:ind w:left="1588"/>
        <w:rPr>
          <w:color w:val="000000"/>
          <w:sz w:val="23"/>
          <w:szCs w:val="23"/>
        </w:rPr>
      </w:pPr>
      <w:r>
        <w:rPr>
          <w:color w:val="000000"/>
          <w:sz w:val="23"/>
          <w:szCs w:val="23"/>
        </w:rPr>
        <w:t>A rate of return instrument is binding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p>
    <w:p>
      <w:pPr>
        <w:pStyle w:val="Footnotesection"/>
      </w:pPr>
      <w:r>
        <w:tab/>
        <w:t>[Section 30C inserted: see SA Act No. 33 of 2018 s. 15 and WA Gazette 5 Apr 2019 p. 1007.]</w:t>
      </w:r>
    </w:p>
    <w:p>
      <w:pPr>
        <w:pStyle w:val="Heading4"/>
      </w:pPr>
      <w:bookmarkStart w:id="368" w:name="_Toc182387"/>
      <w:bookmarkStart w:id="369" w:name="_Toc5347000"/>
      <w:bookmarkStart w:id="370" w:name="_Toc5363553"/>
      <w:bookmarkStart w:id="371" w:name="_Toc5364774"/>
      <w:r>
        <w:t>Subdivision 2—Requirement to make rate of return instrument</w:t>
      </w:r>
      <w:bookmarkEnd w:id="368"/>
      <w:bookmarkEnd w:id="369"/>
      <w:bookmarkEnd w:id="370"/>
      <w:bookmarkEnd w:id="371"/>
    </w:p>
    <w:p>
      <w:pPr>
        <w:pStyle w:val="Footnoteheading"/>
      </w:pPr>
      <w:r>
        <w:tab/>
        <w:t>[Heading inserted: see SA Act No. 33 of 2018 s. 15 and WA Gazette 5 Apr 2019 p. 1007.]</w:t>
      </w:r>
    </w:p>
    <w:p>
      <w:pPr>
        <w:pStyle w:val="Heading5"/>
        <w:rPr>
          <w:b w:val="0"/>
        </w:rPr>
      </w:pPr>
      <w:bookmarkStart w:id="372" w:name="_Toc182388"/>
      <w:bookmarkStart w:id="373" w:name="_Toc5364775"/>
      <w:r>
        <w:rPr>
          <w:rStyle w:val="CharSectno"/>
        </w:rPr>
        <w:t>30D</w:t>
      </w:r>
      <w:r>
        <w:t>.</w:t>
      </w:r>
      <w:r>
        <w:tab/>
        <w:t>AER to make rate of return instrument</w:t>
      </w:r>
      <w:bookmarkEnd w:id="372"/>
      <w:bookmarkEnd w:id="3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rate of return on capital—the way to calculate the rate;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value of imputation credits—the value or the way to calculate the value.</w:t>
      </w:r>
    </w:p>
    <w:p>
      <w:pPr>
        <w:keepLines/>
        <w:tabs>
          <w:tab w:val="center" w:pos="1191"/>
          <w:tab w:val="left" w:pos="1588"/>
        </w:tabs>
        <w:autoSpaceDE w:val="0"/>
        <w:autoSpaceDN w:val="0"/>
        <w:adjustRightInd w:val="0"/>
        <w:spacing w:before="120"/>
        <w:ind w:left="1588" w:hanging="794"/>
        <w:rPr>
          <w:color w:val="000000"/>
          <w:sz w:val="23"/>
          <w:szCs w:val="23"/>
        </w:rPr>
      </w:pPr>
      <w:bookmarkStart w:id="374" w:name="id9b8853f5_7d27_438d_9781_ada0a1ec1e"/>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3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Subject to </w:t>
      </w:r>
      <w:hyperlink w:anchor="id9b8853f5_7d27_438d_9781_ada0a1ec1e" w:history="1">
        <w:r>
          <w:rPr>
            <w:color w:val="000000"/>
            <w:sz w:val="23"/>
            <w:szCs w:val="23"/>
          </w:rPr>
          <w:t>subsection (3)</w:t>
        </w:r>
      </w:hyperlink>
      <w:r>
        <w:rPr>
          <w:color w:val="000000"/>
          <w:sz w:val="23"/>
          <w:szCs w:val="23"/>
        </w:rPr>
        <w:t>, the way to calculate a rate of return on capital must include a weighted average of an allowed return on equity and an allowed return on debt.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making an instrument,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revenue and pricing principles;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other information the AER considers appropriate.</w:t>
      </w:r>
    </w:p>
    <w:p>
      <w:pPr>
        <w:pStyle w:val="Footnotesection"/>
      </w:pPr>
      <w:r>
        <w:tab/>
        <w:t>[Section 30D inserted: see SA Act No. 33 of 2018 s. 15 and WA Gazette 5 Apr 2019 p. 1007.]</w:t>
      </w:r>
    </w:p>
    <w:p>
      <w:pPr>
        <w:pStyle w:val="Heading5"/>
        <w:rPr>
          <w:b w:val="0"/>
        </w:rPr>
      </w:pPr>
      <w:bookmarkStart w:id="375" w:name="_Toc182389"/>
      <w:bookmarkStart w:id="376" w:name="_Toc5364776"/>
      <w:r>
        <w:rPr>
          <w:rStyle w:val="CharSectno"/>
        </w:rPr>
        <w:t>30E</w:t>
      </w:r>
      <w:r>
        <w:t>.</w:t>
      </w:r>
      <w:r>
        <w:tab/>
        <w:t>Content of rate of return instrument</w:t>
      </w:r>
      <w:bookmarkEnd w:id="375"/>
      <w:bookmarkEnd w:id="376"/>
    </w:p>
    <w:p>
      <w:pPr>
        <w:keepLines/>
        <w:tabs>
          <w:tab w:val="center" w:pos="1191"/>
          <w:tab w:val="left" w:pos="1588"/>
        </w:tabs>
        <w:autoSpaceDE w:val="0"/>
        <w:autoSpaceDN w:val="0"/>
        <w:adjustRightInd w:val="0"/>
        <w:spacing w:before="120"/>
        <w:ind w:left="1588" w:hanging="794"/>
        <w:rPr>
          <w:color w:val="000000"/>
          <w:sz w:val="23"/>
          <w:szCs w:val="23"/>
        </w:rPr>
      </w:pPr>
      <w:bookmarkStart w:id="377" w:name="id06c5f023_a283_4d2b_9097_c782232148"/>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377"/>
    </w:p>
    <w:p>
      <w:pPr>
        <w:keepLines/>
        <w:tabs>
          <w:tab w:val="center" w:pos="1191"/>
          <w:tab w:val="left" w:pos="1588"/>
        </w:tabs>
        <w:autoSpaceDE w:val="0"/>
        <w:autoSpaceDN w:val="0"/>
        <w:adjustRightInd w:val="0"/>
        <w:spacing w:before="120"/>
        <w:ind w:left="1588" w:hanging="794"/>
        <w:rPr>
          <w:color w:val="000000"/>
          <w:sz w:val="23"/>
          <w:szCs w:val="23"/>
        </w:rPr>
      </w:pPr>
      <w:bookmarkStart w:id="378" w:name="id49cda631_9ac5_4134_9ed1_22b9ec72d5"/>
      <w:r>
        <w:rPr>
          <w:color w:val="000000"/>
          <w:sz w:val="23"/>
          <w:szCs w:val="23"/>
        </w:rPr>
        <w:tab/>
        <w:t>(2)</w:t>
      </w:r>
      <w:r>
        <w:rPr>
          <w:color w:val="000000"/>
          <w:sz w:val="23"/>
          <w:szCs w:val="23"/>
        </w:rPr>
        <w:tab/>
        <w:t>If a rate of return instrument states a way to calculate the rate of return on capital or the value of imputation credits, the instrument must—</w:t>
      </w:r>
      <w:bookmarkEnd w:id="37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p>
    <w:p>
      <w:pPr>
        <w:keepNext/>
        <w:keepLines/>
        <w:autoSpaceDE w:val="0"/>
        <w:autoSpaceDN w:val="0"/>
        <w:adjustRightInd w:val="0"/>
        <w:spacing w:before="120"/>
        <w:ind w:left="1560" w:hanging="794"/>
        <w:rPr>
          <w:b/>
          <w:bCs/>
          <w:color w:val="000000"/>
          <w:sz w:val="20"/>
        </w:rPr>
      </w:pPr>
      <w:r>
        <w:rPr>
          <w:b/>
          <w:bCs/>
          <w:color w:val="000000"/>
          <w:sz w:val="20"/>
        </w:rPr>
        <w:tab/>
        <w:t>Example for paragraph (b)—</w:t>
      </w:r>
    </w:p>
    <w:p>
      <w:pPr>
        <w:keepLines/>
        <w:autoSpaceDE w:val="0"/>
        <w:autoSpaceDN w:val="0"/>
        <w:adjustRightInd w:val="0"/>
        <w:spacing w:before="120"/>
        <w:ind w:left="2410"/>
        <w:rPr>
          <w:color w:val="000000"/>
          <w:sz w:val="20"/>
        </w:rPr>
      </w:pPr>
      <w:r>
        <w:rPr>
          <w:color w:val="000000"/>
          <w:sz w:val="20"/>
        </w:rPr>
        <w:t>The instrument can not include different methodologies or a band of values from which the AER could choose in applying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Subject to </w:t>
      </w:r>
      <w:hyperlink w:anchor="id06c5f023_a283_4d2b_9097_c782232148" w:history="1">
        <w:r>
          <w:rPr>
            <w:color w:val="000000"/>
            <w:sz w:val="23"/>
            <w:szCs w:val="23"/>
          </w:rPr>
          <w:t>subsections (1)</w:t>
        </w:r>
      </w:hyperlink>
      <w:r>
        <w:rPr>
          <w:color w:val="000000"/>
          <w:sz w:val="23"/>
          <w:szCs w:val="23"/>
        </w:rPr>
        <w:t xml:space="preserve"> and </w:t>
      </w:r>
      <w:hyperlink w:anchor="id49cda631_9ac5_4134_9ed1_22b9ec72d5" w:history="1">
        <w:r>
          <w:rPr>
            <w:color w:val="000000"/>
            <w:sz w:val="23"/>
            <w:szCs w:val="23"/>
          </w:rPr>
          <w:t>(2)</w:t>
        </w:r>
      </w:hyperlink>
      <w:r>
        <w:rPr>
          <w:color w:val="000000"/>
          <w:sz w:val="23"/>
          <w:szCs w:val="23"/>
        </w:rPr>
        <w:t>, the instrument may include other matters the AER considers appropriate.</w:t>
      </w:r>
    </w:p>
    <w:p>
      <w:pPr>
        <w:keepNext/>
        <w:keepLines/>
        <w:autoSpaceDE w:val="0"/>
        <w:autoSpaceDN w:val="0"/>
        <w:adjustRightInd w:val="0"/>
        <w:spacing w:before="120"/>
        <w:ind w:left="3176" w:hanging="1552"/>
        <w:rPr>
          <w:b/>
          <w:bCs/>
          <w:color w:val="000000"/>
          <w:sz w:val="20"/>
        </w:rPr>
      </w:pPr>
      <w:r>
        <w:rPr>
          <w:b/>
          <w:bCs/>
          <w:color w:val="000000"/>
          <w:sz w:val="20"/>
        </w:rPr>
        <w:t>Example—</w:t>
      </w:r>
    </w:p>
    <w:p>
      <w:pPr>
        <w:keepLines/>
        <w:autoSpaceDE w:val="0"/>
        <w:autoSpaceDN w:val="0"/>
        <w:adjustRightInd w:val="0"/>
        <w:spacing w:before="120"/>
        <w:ind w:left="2436"/>
        <w:rPr>
          <w:color w:val="000000"/>
          <w:sz w:val="20"/>
        </w:rPr>
      </w:pPr>
      <w:r>
        <w:rPr>
          <w:color w:val="000000"/>
          <w:sz w:val="20"/>
        </w:rPr>
        <w:t>Matters to help a covered pipeline service provider calculate a rate of return or the value of imputation credits.</w:t>
      </w:r>
    </w:p>
    <w:p>
      <w:pPr>
        <w:pStyle w:val="Footnotesection"/>
      </w:pPr>
      <w:r>
        <w:tab/>
        <w:t>[Section 30E inserted: see SA Act No. 33 of 2018 s. 15 and WA Gazette 5 Apr 2019 p. 1007.]</w:t>
      </w:r>
    </w:p>
    <w:p>
      <w:pPr>
        <w:pStyle w:val="Heading4"/>
      </w:pPr>
      <w:bookmarkStart w:id="379" w:name="_Toc182390"/>
      <w:bookmarkStart w:id="380" w:name="_Toc5347003"/>
      <w:bookmarkStart w:id="381" w:name="_Toc5363556"/>
      <w:bookmarkStart w:id="382" w:name="_Toc5364777"/>
      <w:r>
        <w:t>Subdivision 3—Consultation requirements</w:t>
      </w:r>
      <w:bookmarkEnd w:id="379"/>
      <w:bookmarkEnd w:id="380"/>
      <w:bookmarkEnd w:id="381"/>
      <w:bookmarkEnd w:id="382"/>
    </w:p>
    <w:p>
      <w:pPr>
        <w:pStyle w:val="Footnoteheading"/>
      </w:pPr>
      <w:r>
        <w:tab/>
        <w:t>[Heading inserted: see SA Act No. 33 of 2018 s. 15 and WA Gazette 5 Apr 2019 p. 1007.]</w:t>
      </w:r>
    </w:p>
    <w:p>
      <w:pPr>
        <w:pStyle w:val="Heading5"/>
        <w:rPr>
          <w:b w:val="0"/>
        </w:rPr>
      </w:pPr>
      <w:bookmarkStart w:id="383" w:name="_Toc182391"/>
      <w:bookmarkStart w:id="384" w:name="_Toc5364778"/>
      <w:r>
        <w:rPr>
          <w:rStyle w:val="CharSectno"/>
        </w:rPr>
        <w:t>30F</w:t>
      </w:r>
      <w:r>
        <w:t>.</w:t>
      </w:r>
      <w:r>
        <w:tab/>
        <w:t>Process for making rate of return instrument</w:t>
      </w:r>
      <w:bookmarkEnd w:id="383"/>
      <w:bookmarkEnd w:id="384"/>
    </w:p>
    <w:p>
      <w:pPr>
        <w:keepNext/>
        <w:keepLines/>
        <w:autoSpaceDE w:val="0"/>
        <w:autoSpaceDN w:val="0"/>
        <w:adjustRightInd w:val="0"/>
        <w:spacing w:before="120"/>
        <w:ind w:left="1588"/>
        <w:rPr>
          <w:color w:val="000000"/>
          <w:sz w:val="23"/>
          <w:szCs w:val="23"/>
        </w:rPr>
      </w:pPr>
      <w:r>
        <w:rPr>
          <w:color w:val="000000"/>
          <w:sz w:val="23"/>
          <w:szCs w:val="23"/>
        </w:rPr>
        <w:t>Subject to this Division, the AER may make a rate of return instrument in the way it considers appropriate.</w:t>
      </w:r>
    </w:p>
    <w:p>
      <w:pPr>
        <w:pStyle w:val="Footnotesection"/>
      </w:pPr>
      <w:r>
        <w:tab/>
        <w:t>[Section 30F inserted: see SA Act No. 33 of 2018 s. 15 and WA Gazette 5 Apr 2019 p. 1007.]</w:t>
      </w:r>
    </w:p>
    <w:p>
      <w:pPr>
        <w:pStyle w:val="Heading5"/>
        <w:rPr>
          <w:b w:val="0"/>
        </w:rPr>
      </w:pPr>
      <w:bookmarkStart w:id="385" w:name="_Toc182392"/>
      <w:bookmarkStart w:id="386" w:name="_Toc5364779"/>
      <w:r>
        <w:rPr>
          <w:rStyle w:val="CharSectno"/>
        </w:rPr>
        <w:t>30G</w:t>
      </w:r>
      <w:r>
        <w:t>.</w:t>
      </w:r>
      <w:r>
        <w:tab/>
        <w:t>Other matters AER must have regard to in making instrument</w:t>
      </w:r>
      <w:bookmarkEnd w:id="385"/>
      <w:bookmarkEnd w:id="386"/>
    </w:p>
    <w:p>
      <w:pPr>
        <w:keepNext/>
        <w:keepLines/>
        <w:autoSpaceDE w:val="0"/>
        <w:autoSpaceDN w:val="0"/>
        <w:adjustRightInd w:val="0"/>
        <w:spacing w:before="120"/>
        <w:ind w:left="1588"/>
        <w:rPr>
          <w:color w:val="000000"/>
          <w:sz w:val="23"/>
          <w:szCs w:val="23"/>
        </w:rPr>
      </w:pPr>
      <w:r>
        <w:rPr>
          <w:color w:val="000000"/>
          <w:sz w:val="23"/>
          <w:szCs w:val="23"/>
        </w:rPr>
        <w:t>In making a rate of return instrument, the AER must also have regard to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advice, recommendations or submissions given by a consumer reference group;</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submissions made, and the report published, under </w:t>
      </w:r>
      <w:hyperlink w:anchor="id7851299a_476a_4fd0_ba62_63b083861e" w:history="1">
        <w:r>
          <w:rPr>
            <w:sz w:val="23"/>
          </w:rPr>
          <w:t>section 30H</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submissions made under </w:t>
      </w:r>
      <w:hyperlink w:anchor="id3d007769_d366_4fc9_9b90_8b940a1592" w:history="1">
        <w:r>
          <w:rPr>
            <w:sz w:val="23"/>
          </w:rPr>
          <w:t>section 30J</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(d)</w:t>
      </w:r>
      <w:r>
        <w:rPr>
          <w:sz w:val="23"/>
        </w:rPr>
        <w:tab/>
        <w:t xml:space="preserve">the report given by the independent panel under </w:t>
      </w:r>
      <w:hyperlink w:anchor="idfe4b9e6b_76a9_4ca8_8bef_4d00e67b60" w:history="1">
        <w:r>
          <w:rPr>
            <w:sz w:val="23"/>
          </w:rPr>
          <w:t>section 30K</w:t>
        </w:r>
      </w:hyperlink>
      <w:r>
        <w:rPr>
          <w:sz w:val="23"/>
        </w:rPr>
        <w:t>.</w:t>
      </w:r>
    </w:p>
    <w:p>
      <w:pPr>
        <w:pStyle w:val="Footnotesection"/>
      </w:pPr>
      <w:r>
        <w:tab/>
        <w:t>[Section 30G inserted: see SA Act No. 33 of 2018 s. 15 and WA Gazette 5 Apr 2019 p. 1007.]</w:t>
      </w:r>
    </w:p>
    <w:p>
      <w:pPr>
        <w:pStyle w:val="Heading5"/>
        <w:rPr>
          <w:b w:val="0"/>
        </w:rPr>
      </w:pPr>
      <w:bookmarkStart w:id="387" w:name="_Toc182393"/>
      <w:bookmarkStart w:id="388" w:name="_Toc5364780"/>
      <w:r>
        <w:rPr>
          <w:rStyle w:val="CharSectno"/>
        </w:rPr>
        <w:t>30H</w:t>
      </w:r>
      <w:r>
        <w:t>.</w:t>
      </w:r>
      <w:r>
        <w:tab/>
        <w:t>Requirements before publishing draft instrument</w:t>
      </w:r>
      <w:bookmarkEnd w:id="387"/>
      <w:bookmarkEnd w:id="388"/>
    </w:p>
    <w:p>
      <w:pPr>
        <w:keepLines/>
        <w:tabs>
          <w:tab w:val="center" w:pos="1191"/>
          <w:tab w:val="left" w:pos="1588"/>
        </w:tabs>
        <w:autoSpaceDE w:val="0"/>
        <w:autoSpaceDN w:val="0"/>
        <w:adjustRightInd w:val="0"/>
        <w:spacing w:before="120"/>
        <w:ind w:left="1588" w:hanging="794"/>
        <w:rPr>
          <w:color w:val="000000"/>
          <w:sz w:val="23"/>
          <w:szCs w:val="23"/>
        </w:rPr>
      </w:pPr>
      <w:bookmarkStart w:id="389" w:name="id4ed2c1b1_4d16_45f9_8783_7955d727cb"/>
      <w:r>
        <w:rPr>
          <w:color w:val="000000"/>
          <w:sz w:val="23"/>
          <w:szCs w:val="23"/>
        </w:rPr>
        <w:tab/>
        <w:t>(1)</w:t>
      </w:r>
      <w:r>
        <w:rPr>
          <w:color w:val="000000"/>
          <w:sz w:val="23"/>
          <w:szCs w:val="23"/>
        </w:rPr>
        <w:tab/>
        <w:t>Before publishing a draft rate of return instrument under this Subdivision, the AER must—</w:t>
      </w:r>
      <w:bookmarkEnd w:id="389"/>
    </w:p>
    <w:p>
      <w:pPr>
        <w:keepLines/>
        <w:tabs>
          <w:tab w:val="center" w:pos="1985"/>
          <w:tab w:val="left" w:pos="2382"/>
        </w:tabs>
        <w:autoSpaceDE w:val="0"/>
        <w:autoSpaceDN w:val="0"/>
        <w:adjustRightInd w:val="0"/>
        <w:spacing w:before="120"/>
        <w:ind w:left="2382" w:hanging="794"/>
        <w:rPr>
          <w:color w:val="000000"/>
          <w:sz w:val="23"/>
          <w:szCs w:val="23"/>
        </w:rPr>
      </w:pPr>
      <w:bookmarkStart w:id="390" w:name="id72f52006_4c51_4fb9_8278_cb348f29de"/>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39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on its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seek concurrent expert opinions or evidence about the proposed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Subject to </w:t>
      </w:r>
      <w:hyperlink w:anchor="idf9ce6eb5_2545_46ba_b42e_06f502792a" w:history="1">
        <w:r>
          <w:rPr>
            <w:color w:val="000000"/>
            <w:sz w:val="23"/>
            <w:szCs w:val="23"/>
          </w:rPr>
          <w:t>subsections (4)</w:t>
        </w:r>
      </w:hyperlink>
      <w:r>
        <w:rPr>
          <w:color w:val="000000"/>
          <w:sz w:val="23"/>
          <w:szCs w:val="23"/>
        </w:rPr>
        <w:t xml:space="preserve"> and </w:t>
      </w:r>
      <w:hyperlink w:anchor="id36efa138_c002_43f9_a5b7_65e8ea8217" w:history="1">
        <w:r>
          <w:rPr>
            <w:color w:val="000000"/>
            <w:sz w:val="23"/>
            <w:szCs w:val="23"/>
          </w:rPr>
          <w:t>(5)</w:t>
        </w:r>
      </w:hyperlink>
      <w:r>
        <w:rPr>
          <w:color w:val="000000"/>
          <w:sz w:val="23"/>
          <w:szCs w:val="23"/>
        </w:rPr>
        <w:t>, the AER may seek the expert opinions or evidence in the way it considers appropriate.</w:t>
      </w:r>
    </w:p>
    <w:p>
      <w:pPr>
        <w:keepNext/>
        <w:keepLines/>
        <w:autoSpaceDE w:val="0"/>
        <w:autoSpaceDN w:val="0"/>
        <w:adjustRightInd w:val="0"/>
        <w:spacing w:before="120"/>
        <w:ind w:left="3176" w:hanging="1616"/>
        <w:rPr>
          <w:b/>
          <w:bCs/>
          <w:color w:val="000000"/>
          <w:sz w:val="20"/>
        </w:rPr>
      </w:pPr>
      <w:r>
        <w:rPr>
          <w:b/>
          <w:bCs/>
          <w:color w:val="000000"/>
          <w:sz w:val="20"/>
        </w:rPr>
        <w:t>Example—</w:t>
      </w:r>
    </w:p>
    <w:p>
      <w:pPr>
        <w:keepLines/>
        <w:autoSpaceDE w:val="0"/>
        <w:autoSpaceDN w:val="0"/>
        <w:adjustRightInd w:val="0"/>
        <w:spacing w:before="120"/>
        <w:ind w:left="2310"/>
        <w:rPr>
          <w:color w:val="000000"/>
          <w:sz w:val="20"/>
        </w:rPr>
      </w:pPr>
      <w:r>
        <w:rPr>
          <w:color w:val="000000"/>
          <w:sz w:val="20"/>
        </w:rPr>
        <w:t>The AER might convene a conference of experts to identify key issues, and areas of dispute and agreement among the experts, about the content of the proposed instrument.</w:t>
      </w:r>
    </w:p>
    <w:p>
      <w:pPr>
        <w:keepLines/>
        <w:tabs>
          <w:tab w:val="center" w:pos="1191"/>
          <w:tab w:val="left" w:pos="1588"/>
        </w:tabs>
        <w:autoSpaceDE w:val="0"/>
        <w:autoSpaceDN w:val="0"/>
        <w:adjustRightInd w:val="0"/>
        <w:spacing w:before="120"/>
        <w:ind w:left="1588" w:hanging="794"/>
        <w:rPr>
          <w:color w:val="000000"/>
          <w:sz w:val="23"/>
          <w:szCs w:val="23"/>
        </w:rPr>
      </w:pPr>
      <w:bookmarkStart w:id="391" w:name="idf9ce6eb5_2545_46ba_b42e_06f502792a"/>
      <w:r>
        <w:rPr>
          <w:color w:val="000000"/>
          <w:sz w:val="23"/>
          <w:szCs w:val="23"/>
        </w:rPr>
        <w:tab/>
        <w:t>(4)</w:t>
      </w:r>
      <w:r>
        <w:rPr>
          <w:color w:val="000000"/>
          <w:sz w:val="23"/>
          <w:szCs w:val="23"/>
        </w:rPr>
        <w:tab/>
        <w:t>The AER must call for nominations of eligible experts but may seek the expert opinions or evidence from any eligible expert.</w:t>
      </w:r>
      <w:bookmarkEnd w:id="391"/>
    </w:p>
    <w:p>
      <w:pPr>
        <w:keepLines/>
        <w:tabs>
          <w:tab w:val="center" w:pos="1191"/>
          <w:tab w:val="left" w:pos="1588"/>
        </w:tabs>
        <w:autoSpaceDE w:val="0"/>
        <w:autoSpaceDN w:val="0"/>
        <w:adjustRightInd w:val="0"/>
        <w:spacing w:before="120"/>
        <w:ind w:left="1588" w:hanging="794"/>
        <w:rPr>
          <w:color w:val="000000"/>
          <w:sz w:val="23"/>
          <w:szCs w:val="23"/>
        </w:rPr>
      </w:pPr>
      <w:bookmarkStart w:id="392" w:name="id36efa138_c002_43f9_a5b7_65e8ea8217"/>
      <w:r>
        <w:rPr>
          <w:color w:val="000000"/>
          <w:sz w:val="23"/>
          <w:szCs w:val="23"/>
        </w:rPr>
        <w:tab/>
        <w:t>(5)</w:t>
      </w:r>
      <w:r>
        <w:rPr>
          <w:color w:val="000000"/>
          <w:sz w:val="23"/>
          <w:szCs w:val="23"/>
        </w:rPr>
        <w:tab/>
        <w:t>If practicable, the AER must seek the expert opinions or evidence from at least 3 eligible experts.</w:t>
      </w:r>
      <w:bookmarkEnd w:id="3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on its website—</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submissions made under this section;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a report on the outcomes of seeking the expert opinions or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p>
    <w:p>
      <w:pPr>
        <w:keepNext/>
        <w:keepLines/>
        <w:autoSpaceDE w:val="0"/>
        <w:autoSpaceDN w:val="0"/>
        <w:adjustRightInd w:val="0"/>
        <w:spacing w:before="120"/>
        <w:ind w:left="3176" w:hanging="1552"/>
        <w:rPr>
          <w:b/>
          <w:bCs/>
          <w:color w:val="000000"/>
          <w:sz w:val="20"/>
        </w:rPr>
      </w:pPr>
      <w:r>
        <w:rPr>
          <w:b/>
          <w:bCs/>
          <w:color w:val="000000"/>
          <w:sz w:val="20"/>
        </w:rPr>
        <w:t>Examples of relevant fields—</w:t>
      </w:r>
    </w:p>
    <w:p>
      <w:pPr>
        <w:keepLines/>
        <w:autoSpaceDE w:val="0"/>
        <w:autoSpaceDN w:val="0"/>
        <w:adjustRightInd w:val="0"/>
        <w:spacing w:before="120"/>
        <w:ind w:left="2506"/>
        <w:rPr>
          <w:color w:val="000000"/>
          <w:sz w:val="20"/>
        </w:rPr>
      </w:pPr>
      <w:r>
        <w:rPr>
          <w:color w:val="000000"/>
          <w:sz w:val="20"/>
        </w:rPr>
        <w:t>Finance, economics, law, consumer affairs, institutional investment.</w:t>
      </w:r>
    </w:p>
    <w:p>
      <w:pPr>
        <w:pStyle w:val="Footnotesection"/>
      </w:pPr>
      <w:r>
        <w:tab/>
        <w:t>[Section 30H inserted: see SA Act No. 33 of 2018 s. 15 and WA Gazette 5 Apr 2019 p. 1007.]</w:t>
      </w:r>
    </w:p>
    <w:p>
      <w:pPr>
        <w:pStyle w:val="Heading5"/>
        <w:rPr>
          <w:b w:val="0"/>
        </w:rPr>
      </w:pPr>
      <w:bookmarkStart w:id="393" w:name="_Toc182394"/>
      <w:bookmarkStart w:id="394" w:name="_Toc5364781"/>
      <w:r>
        <w:rPr>
          <w:rStyle w:val="CharSectno"/>
        </w:rPr>
        <w:t>30I</w:t>
      </w:r>
      <w:r>
        <w:t>.</w:t>
      </w:r>
      <w:r>
        <w:tab/>
        <w:t>Consumer reference group</w:t>
      </w:r>
      <w:bookmarkEnd w:id="393"/>
      <w:bookmarkEnd w:id="394"/>
    </w:p>
    <w:p>
      <w:pPr>
        <w:keepLines/>
        <w:tabs>
          <w:tab w:val="center" w:pos="1191"/>
          <w:tab w:val="left" w:pos="1588"/>
        </w:tabs>
        <w:autoSpaceDE w:val="0"/>
        <w:autoSpaceDN w:val="0"/>
        <w:adjustRightInd w:val="0"/>
        <w:spacing w:before="120"/>
        <w:ind w:left="1588" w:hanging="794"/>
        <w:rPr>
          <w:color w:val="000000"/>
          <w:sz w:val="23"/>
          <w:szCs w:val="23"/>
        </w:rPr>
      </w:pPr>
      <w:bookmarkStart w:id="395" w:name="id7c8202bb_c300_409e_80bc_5c69e8dde5"/>
      <w:r>
        <w:rPr>
          <w:color w:val="000000"/>
          <w:sz w:val="23"/>
          <w:szCs w:val="23"/>
        </w:rPr>
        <w:tab/>
        <w:t>(1)</w:t>
      </w:r>
      <w:r>
        <w:rPr>
          <w:color w:val="000000"/>
          <w:sz w:val="23"/>
          <w:szCs w:val="23"/>
        </w:rPr>
        <w:tab/>
        <w:t>A consumer reference group for making a rate of return instrument—</w:t>
      </w:r>
      <w:bookmarkEnd w:id="395"/>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to consist of the members appointed by the AER; and</w:t>
      </w:r>
    </w:p>
    <w:p>
      <w:pPr>
        <w:keepLines/>
        <w:tabs>
          <w:tab w:val="center" w:pos="1985"/>
          <w:tab w:val="left" w:pos="2382"/>
        </w:tabs>
        <w:autoSpaceDE w:val="0"/>
        <w:autoSpaceDN w:val="0"/>
        <w:adjustRightInd w:val="0"/>
        <w:spacing w:before="120"/>
        <w:ind w:left="2382" w:hanging="794"/>
        <w:rPr>
          <w:sz w:val="23"/>
        </w:rPr>
      </w:pPr>
      <w:bookmarkStart w:id="396" w:name="idaffe0aac_73d3_4f1e_abe4_201e1caac3"/>
      <w:r>
        <w:rPr>
          <w:sz w:val="23"/>
        </w:rPr>
        <w:tab/>
        <w:t>(b)</w:t>
      </w:r>
      <w:r>
        <w:rPr>
          <w:sz w:val="23"/>
        </w:rPr>
        <w:tab/>
        <w:t>may carry out its activities, including giving advice or recommendations to the AER about the instrument, in the way it considers appropriate.</w:t>
      </w:r>
      <w:bookmarkEnd w:id="3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affe0aac_73d3_4f1e_abe4_201e1caac3" w:history="1">
        <w:r>
          <w:rPr>
            <w:color w:val="000000"/>
            <w:sz w:val="23"/>
            <w:szCs w:val="23"/>
          </w:rPr>
          <w:t>subsection (1)(b)</w:t>
        </w:r>
      </w:hyperlink>
      <w:r>
        <w:rPr>
          <w:color w:val="000000"/>
          <w:sz w:val="23"/>
          <w:szCs w:val="23"/>
        </w:rPr>
        <w:t>, the consumer reference group may—</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consult with consumers of natural gas;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facilitate consumer engagement in the process for making the instrument;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make written submissions to the AER about the content of the instrument and the process for making 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on its website any written advice, recommendations or submissions given to it by the consumer reference group.</w:t>
      </w:r>
    </w:p>
    <w:p>
      <w:pPr>
        <w:pStyle w:val="Footnotesection"/>
      </w:pPr>
      <w:r>
        <w:tab/>
        <w:t>[Section 30I inserted: see SA Act No. 33 of 2018 s. 15 and WA Gazette 5 Apr 2019 p. 1007.]</w:t>
      </w:r>
    </w:p>
    <w:p>
      <w:pPr>
        <w:pStyle w:val="Heading5"/>
        <w:rPr>
          <w:b w:val="0"/>
        </w:rPr>
      </w:pPr>
      <w:bookmarkStart w:id="397" w:name="_Toc182395"/>
      <w:bookmarkStart w:id="398" w:name="_Toc5364782"/>
      <w:r>
        <w:rPr>
          <w:rStyle w:val="CharSectno"/>
        </w:rPr>
        <w:t>30J</w:t>
      </w:r>
      <w:r>
        <w:t>.</w:t>
      </w:r>
      <w:r>
        <w:tab/>
        <w:t>Publication of draft instrument and other information</w:t>
      </w:r>
      <w:bookmarkEnd w:id="397"/>
      <w:bookmarkEnd w:id="3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at least 6 months before making a rate of return instrument,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w:t>
      </w:r>
      <w:r>
        <w:rPr>
          <w:sz w:val="23"/>
        </w:rPr>
        <w:t>notice</w:t>
      </w:r>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submissions made under this section on its website.</w:t>
      </w:r>
    </w:p>
    <w:p>
      <w:pPr>
        <w:pStyle w:val="Footnotesection"/>
      </w:pPr>
      <w:r>
        <w:tab/>
        <w:t>[Section 30J inserted: see SA Act No. 33 of 2018 s. 15 and WA Gazette 5 Apr 2019 p. 1007.]</w:t>
      </w:r>
    </w:p>
    <w:p>
      <w:pPr>
        <w:pStyle w:val="Heading5"/>
        <w:rPr>
          <w:b w:val="0"/>
        </w:rPr>
      </w:pPr>
      <w:bookmarkStart w:id="399" w:name="_Toc182396"/>
      <w:bookmarkStart w:id="400" w:name="_Toc5364783"/>
      <w:r>
        <w:rPr>
          <w:rStyle w:val="CharSectno"/>
        </w:rPr>
        <w:t>30K</w:t>
      </w:r>
      <w:r>
        <w:t>.</w:t>
      </w:r>
      <w:r>
        <w:tab/>
        <w:t>Report about draft instrument by independent panel</w:t>
      </w:r>
      <w:bookmarkEnd w:id="399"/>
      <w:bookmarkEnd w:id="4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panel—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carry out its activities, including giving the report, in the way it considers appropriate;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panel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p>
    <w:p>
      <w:pPr>
        <w:keepNext/>
        <w:keepLines/>
        <w:autoSpaceDE w:val="0"/>
        <w:autoSpaceDN w:val="0"/>
        <w:adjustRightInd w:val="0"/>
        <w:spacing w:before="120"/>
        <w:ind w:left="3970" w:hanging="1534"/>
        <w:rPr>
          <w:b/>
          <w:bCs/>
          <w:color w:val="000000"/>
          <w:sz w:val="20"/>
        </w:rPr>
      </w:pPr>
      <w:r>
        <w:rPr>
          <w:b/>
          <w:bCs/>
          <w:color w:val="000000"/>
          <w:sz w:val="20"/>
        </w:rPr>
        <w:t>Examples of relevant fields—</w:t>
      </w:r>
    </w:p>
    <w:p>
      <w:pPr>
        <w:keepLines/>
        <w:autoSpaceDE w:val="0"/>
        <w:autoSpaceDN w:val="0"/>
        <w:adjustRightInd w:val="0"/>
        <w:spacing w:before="120"/>
        <w:ind w:left="3332"/>
        <w:rPr>
          <w:color w:val="000000"/>
          <w:sz w:val="20"/>
        </w:rPr>
      </w:pPr>
      <w:r>
        <w:rPr>
          <w:color w:val="000000"/>
          <w:sz w:val="20"/>
        </w:rPr>
        <w:t>Finance, economics, law, consumer affairs, institutional investment.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report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state whether the report is given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the report on its website.</w:t>
      </w:r>
    </w:p>
    <w:p>
      <w:pPr>
        <w:pStyle w:val="Footnotesection"/>
      </w:pPr>
      <w:r>
        <w:tab/>
        <w:t>[Section 30K inserted: see SA Act No. 33 of 2018 s. 15 and WA Gazette 5 Apr 2019 p. 1007.]</w:t>
      </w:r>
    </w:p>
    <w:p>
      <w:pPr>
        <w:pStyle w:val="Heading5"/>
        <w:rPr>
          <w:b w:val="0"/>
        </w:rPr>
      </w:pPr>
      <w:bookmarkStart w:id="401" w:name="_Toc182397"/>
      <w:bookmarkStart w:id="402" w:name="_Toc5364784"/>
      <w:r>
        <w:rPr>
          <w:rStyle w:val="CharSectno"/>
        </w:rPr>
        <w:t>30L</w:t>
      </w:r>
      <w:r>
        <w:t>.</w:t>
      </w:r>
      <w:r>
        <w:tab/>
        <w:t>Publication of explanatory information</w:t>
      </w:r>
      <w:bookmarkEnd w:id="401"/>
      <w:bookmarkEnd w:id="402"/>
    </w:p>
    <w:p>
      <w:pPr>
        <w:keepNext/>
        <w:keepLines/>
        <w:autoSpaceDE w:val="0"/>
        <w:autoSpaceDN w:val="0"/>
        <w:adjustRightInd w:val="0"/>
        <w:spacing w:before="120"/>
        <w:ind w:left="1588"/>
        <w:rPr>
          <w:color w:val="000000"/>
          <w:sz w:val="23"/>
          <w:szCs w:val="23"/>
        </w:rPr>
      </w:pPr>
      <w:r>
        <w:rPr>
          <w:color w:val="000000"/>
          <w:sz w:val="23"/>
          <w:szCs w:val="23"/>
        </w:rPr>
        <w:t xml:space="preserve">The AER must publish explanatory information for a rate of return instrument on its website when the instrument is published under </w:t>
      </w:r>
      <w:hyperlink w:anchor="idc8fe1e2f_9f92_4006_b0ab_3b84eb5628" w:history="1">
        <w:r>
          <w:rPr>
            <w:color w:val="000000"/>
            <w:sz w:val="23"/>
            <w:szCs w:val="23"/>
          </w:rPr>
          <w:t>section 30N</w:t>
        </w:r>
      </w:hyperlink>
      <w:r>
        <w:rPr>
          <w:color w:val="000000"/>
          <w:sz w:val="23"/>
          <w:szCs w:val="23"/>
        </w:rPr>
        <w:t>.</w:t>
      </w:r>
    </w:p>
    <w:p>
      <w:pPr>
        <w:pStyle w:val="Footnotesection"/>
      </w:pPr>
      <w:r>
        <w:tab/>
        <w:t>[Section 30L inserted: see SA Act No. 33 of 2018 s. 15 and WA Gazette 5 Apr 2019 p. 1007.]</w:t>
      </w:r>
    </w:p>
    <w:p>
      <w:pPr>
        <w:pStyle w:val="Heading5"/>
        <w:rPr>
          <w:b w:val="0"/>
        </w:rPr>
      </w:pPr>
      <w:bookmarkStart w:id="403" w:name="_Toc182398"/>
      <w:bookmarkStart w:id="404" w:name="_Toc5364785"/>
      <w:r>
        <w:rPr>
          <w:rStyle w:val="CharSectno"/>
        </w:rPr>
        <w:t>30M</w:t>
      </w:r>
      <w:r>
        <w:t>.</w:t>
      </w:r>
      <w:r>
        <w:tab/>
        <w:t>Failure to comply does not affect validity</w:t>
      </w:r>
      <w:bookmarkEnd w:id="403"/>
      <w:bookmarkEnd w:id="4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Failure to comply with this Subdivision does not invalidate or otherwise affect a rate of return instrument.</w:t>
      </w:r>
    </w:p>
    <w:p>
      <w:pPr>
        <w:pStyle w:val="Footnotesection"/>
      </w:pPr>
      <w:r>
        <w:tab/>
        <w:t>[Section 30M inserted: see SA Act No. 33 of 2018 s. 15 and WA Gazette 5 Apr 2019 p. 1007.]</w:t>
      </w:r>
    </w:p>
    <w:p>
      <w:pPr>
        <w:pStyle w:val="Heading4"/>
      </w:pPr>
      <w:bookmarkStart w:id="405" w:name="_Toc182399"/>
      <w:bookmarkStart w:id="406" w:name="_Toc5347012"/>
      <w:bookmarkStart w:id="407" w:name="_Toc5363565"/>
      <w:bookmarkStart w:id="408" w:name="_Toc5364786"/>
      <w:r>
        <w:t>Subdivision 4—Publication, review and other matters</w:t>
      </w:r>
      <w:bookmarkEnd w:id="405"/>
      <w:bookmarkEnd w:id="406"/>
      <w:bookmarkEnd w:id="407"/>
      <w:bookmarkEnd w:id="408"/>
    </w:p>
    <w:p>
      <w:pPr>
        <w:pStyle w:val="Footnoteheading"/>
      </w:pPr>
      <w:r>
        <w:tab/>
        <w:t>[Heading inserted: see SA Act No. 33 of 2018 s. 15 and WA Gazette 5 Apr 2019 p. 1007.]</w:t>
      </w:r>
    </w:p>
    <w:p>
      <w:pPr>
        <w:pStyle w:val="Heading5"/>
        <w:rPr>
          <w:b w:val="0"/>
        </w:rPr>
      </w:pPr>
      <w:bookmarkStart w:id="409" w:name="_Toc182400"/>
      <w:bookmarkStart w:id="410" w:name="_Toc5364787"/>
      <w:r>
        <w:rPr>
          <w:rStyle w:val="CharSectno"/>
        </w:rPr>
        <w:t>30N</w:t>
      </w:r>
      <w:r>
        <w:t>.</w:t>
      </w:r>
      <w:r>
        <w:tab/>
        <w:t>Publication of rate of return instrument</w:t>
      </w:r>
      <w:bookmarkEnd w:id="409"/>
      <w:bookmarkEnd w:id="410"/>
    </w:p>
    <w:p>
      <w:pPr>
        <w:keepNext/>
        <w:keepLines/>
        <w:autoSpaceDE w:val="0"/>
        <w:autoSpaceDN w:val="0"/>
        <w:adjustRightInd w:val="0"/>
        <w:spacing w:before="120"/>
        <w:ind w:left="1588"/>
        <w:rPr>
          <w:color w:val="000000"/>
          <w:sz w:val="23"/>
          <w:szCs w:val="23"/>
        </w:rPr>
      </w:pPr>
      <w:r>
        <w:rPr>
          <w:color w:val="000000"/>
          <w:sz w:val="23"/>
          <w:szCs w:val="23"/>
        </w:rPr>
        <w:t>After making a rate of return instrument, the AER must publish the instrument on its website.</w:t>
      </w:r>
    </w:p>
    <w:p>
      <w:pPr>
        <w:keepNext/>
        <w:keepLines/>
        <w:autoSpaceDE w:val="0"/>
        <w:autoSpaceDN w:val="0"/>
        <w:adjustRightInd w:val="0"/>
        <w:spacing w:before="120"/>
        <w:ind w:left="3176" w:hanging="1552"/>
        <w:rPr>
          <w:b/>
          <w:bCs/>
          <w:color w:val="000000"/>
          <w:sz w:val="20"/>
        </w:rPr>
      </w:pPr>
      <w:r>
        <w:rPr>
          <w:b/>
          <w:bCs/>
          <w:color w:val="000000"/>
          <w:sz w:val="20"/>
        </w:rPr>
        <w:t>Note—</w:t>
      </w:r>
    </w:p>
    <w:p>
      <w:pPr>
        <w:keepLines/>
        <w:autoSpaceDE w:val="0"/>
        <w:autoSpaceDN w:val="0"/>
        <w:adjustRightInd w:val="0"/>
        <w:spacing w:before="120"/>
        <w:ind w:left="2282"/>
        <w:rPr>
          <w:color w:val="000000"/>
          <w:sz w:val="20"/>
        </w:rPr>
      </w:pPr>
      <w:r>
        <w:rPr>
          <w:color w:val="000000"/>
          <w:sz w:val="20"/>
        </w:rPr>
        <w:t xml:space="preserve">See </w:t>
      </w:r>
      <w:hyperlink w:anchor="id41250aee_635f_4b12_97f6_68ee866bd3" w:history="1">
        <w:r>
          <w:rPr>
            <w:color w:val="000000"/>
            <w:sz w:val="20"/>
          </w:rPr>
          <w:t>section 30L</w:t>
        </w:r>
      </w:hyperlink>
      <w:r>
        <w:rPr>
          <w:color w:val="000000"/>
          <w:sz w:val="20"/>
        </w:rPr>
        <w:t xml:space="preserve"> for the requirement to publish explanatory information for the instrument.</w:t>
      </w:r>
    </w:p>
    <w:p>
      <w:pPr>
        <w:pStyle w:val="Footnotesection"/>
      </w:pPr>
      <w:r>
        <w:tab/>
        <w:t>[Section 30N inserted: see SA Act No. 33 of 2018 s. 15 and WA Gazette 5 Apr 2019 p. 1007.]</w:t>
      </w:r>
    </w:p>
    <w:p>
      <w:pPr>
        <w:pStyle w:val="Heading5"/>
        <w:rPr>
          <w:b w:val="0"/>
        </w:rPr>
      </w:pPr>
      <w:bookmarkStart w:id="411" w:name="_Toc182401"/>
      <w:bookmarkStart w:id="412" w:name="_Toc5364788"/>
      <w:r>
        <w:rPr>
          <w:rStyle w:val="CharSectno"/>
        </w:rPr>
        <w:t>30O</w:t>
      </w:r>
      <w:r>
        <w:t>.</w:t>
      </w:r>
      <w:r>
        <w:tab/>
        <w:t>Commencement and duration of instrument</w:t>
      </w:r>
      <w:bookmarkEnd w:id="411"/>
      <w:bookmarkEnd w:id="412"/>
    </w:p>
    <w:p>
      <w:pPr>
        <w:keepNext/>
        <w:keepLines/>
        <w:autoSpaceDE w:val="0"/>
        <w:autoSpaceDN w:val="0"/>
        <w:adjustRightInd w:val="0"/>
        <w:spacing w:before="120"/>
        <w:ind w:left="1588"/>
        <w:rPr>
          <w:color w:val="000000"/>
          <w:sz w:val="23"/>
          <w:szCs w:val="23"/>
        </w:rPr>
      </w:pPr>
      <w:r>
        <w:rPr>
          <w:color w:val="000000"/>
          <w:sz w:val="23"/>
          <w:szCs w:val="23"/>
        </w:rPr>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commences on the day after it is published on the AER’s website;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remains in force until the end of the day it is replaced under </w:t>
      </w:r>
      <w:hyperlink w:anchor="id23795abd_ecc3_45c6_87a8_ac301c01c7" w:history="1">
        <w:r>
          <w:rPr>
            <w:sz w:val="23"/>
          </w:rPr>
          <w:t>section 30P</w:t>
        </w:r>
      </w:hyperlink>
      <w:r>
        <w:rPr>
          <w:sz w:val="23"/>
        </w:rPr>
        <w:t>.</w:t>
      </w:r>
    </w:p>
    <w:p>
      <w:pPr>
        <w:pStyle w:val="Footnotesection"/>
      </w:pPr>
      <w:r>
        <w:tab/>
        <w:t>[Section 30O inserted: see SA Act No. 33 of 2018 s. 15 and WA Gazette 5 Apr 2019 p. 1007.]</w:t>
      </w:r>
    </w:p>
    <w:p>
      <w:pPr>
        <w:pStyle w:val="Heading5"/>
        <w:rPr>
          <w:b w:val="0"/>
        </w:rPr>
      </w:pPr>
      <w:bookmarkStart w:id="413" w:name="_Toc182402"/>
      <w:bookmarkStart w:id="414" w:name="_Toc5364789"/>
      <w:r>
        <w:rPr>
          <w:rStyle w:val="CharSectno"/>
        </w:rPr>
        <w:t>30P</w:t>
      </w:r>
      <w:r>
        <w:t>.</w:t>
      </w:r>
      <w:r>
        <w:tab/>
        <w:t>Review and replacement of instrument</w:t>
      </w:r>
      <w:bookmarkEnd w:id="413"/>
      <w:bookmarkEnd w:id="4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review each rate of return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make a new rate of return instrument under this Division to replace the reviewed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replace the reviewed instrument by publishing the new instrument on its website on the day that is—</w:t>
      </w:r>
    </w:p>
    <w:p>
      <w:pPr>
        <w:keepLines/>
        <w:tabs>
          <w:tab w:val="center" w:pos="1985"/>
          <w:tab w:val="left" w:pos="2382"/>
        </w:tabs>
        <w:autoSpaceDE w:val="0"/>
        <w:autoSpaceDN w:val="0"/>
        <w:adjustRightInd w:val="0"/>
        <w:spacing w:before="120"/>
        <w:ind w:left="2382" w:hanging="794"/>
        <w:rPr>
          <w:sz w:val="23"/>
        </w:rPr>
      </w:pPr>
      <w:bookmarkStart w:id="415" w:name="ide68ac82a_69fa_49e3_8f33_05844174a6"/>
      <w:r>
        <w:rPr>
          <w:sz w:val="23"/>
        </w:rPr>
        <w:tab/>
        <w:t>(a)</w:t>
      </w:r>
      <w:r>
        <w:rPr>
          <w:sz w:val="23"/>
        </w:rPr>
        <w:tab/>
        <w:t>the fourth anniversary of the day the reviewed instrument was published; or</w:t>
      </w:r>
      <w:bookmarkEnd w:id="415"/>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if the day mentioned in </w:t>
      </w:r>
      <w:hyperlink w:anchor="ide68ac82a_69fa_49e3_8f33_05844174a6" w:history="1">
        <w:r>
          <w:rPr>
            <w:sz w:val="23"/>
          </w:rPr>
          <w:t>paragraph (a)</w:t>
        </w:r>
      </w:hyperlink>
      <w:r>
        <w:rPr>
          <w:sz w:val="23"/>
        </w:rPr>
        <w:t xml:space="preserve"> is not a business day—the first business day after that day.</w:t>
      </w:r>
    </w:p>
    <w:p>
      <w:pPr>
        <w:pStyle w:val="Footnotesection"/>
      </w:pPr>
      <w:r>
        <w:tab/>
        <w:t>[Section 30P inserted: see SA Act No. 33 of 2018 s. 15 and WA Gazette 5 Apr 2019 p. 1007.]</w:t>
      </w:r>
    </w:p>
    <w:p>
      <w:pPr>
        <w:pStyle w:val="Heading5"/>
        <w:rPr>
          <w:b w:val="0"/>
        </w:rPr>
      </w:pPr>
      <w:bookmarkStart w:id="416" w:name="_Toc182403"/>
      <w:bookmarkStart w:id="417" w:name="_Toc5364790"/>
      <w:r>
        <w:rPr>
          <w:rStyle w:val="CharSectno"/>
        </w:rPr>
        <w:t>30Q</w:t>
      </w:r>
      <w:r>
        <w:t>.</w:t>
      </w:r>
      <w:r>
        <w:tab/>
        <w:t>Application of instrument</w:t>
      </w:r>
      <w:bookmarkEnd w:id="416"/>
      <w:bookmarkEnd w:id="4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applies for the purposes of an AER economic regulatory decision made after the commencement of the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does not affect an AER economic regulatory decision made before the commencement of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p>
    <w:p>
      <w:pPr>
        <w:pStyle w:val="Footnotesection"/>
      </w:pPr>
      <w:r>
        <w:tab/>
        <w:t>[Section 30Q inserted: see SA Act No. 33 of 2018 s. 15 and WA Gazette 5 Apr 2019 p. 1007.]</w:t>
      </w:r>
    </w:p>
    <w:p>
      <w:pPr>
        <w:pStyle w:val="Ednotesection"/>
      </w:pPr>
      <w:r>
        <w:t>[</w:t>
      </w:r>
      <w:r>
        <w:rPr>
          <w:b/>
        </w:rPr>
        <w:t>30R.</w:t>
      </w:r>
      <w:r>
        <w:rPr>
          <w:b/>
        </w:rPr>
        <w:tab/>
      </w:r>
      <w:r>
        <w:t>Section 30R inserted: see SA Act No. 33 of 2018 s. 15 and WA Gazette 5 Apr 2019 p. 1007; deleted: WA Act Sch. 1 cl. 7A.]</w:t>
      </w:r>
    </w:p>
    <w:p>
      <w:pPr>
        <w:pStyle w:val="Heading4"/>
      </w:pPr>
      <w:bookmarkStart w:id="418" w:name="_Toc182404"/>
      <w:bookmarkStart w:id="419" w:name="_Toc5347017"/>
      <w:bookmarkStart w:id="420" w:name="_Toc5363570"/>
      <w:bookmarkStart w:id="421" w:name="_Toc5364791"/>
      <w:r>
        <w:t>Subdivision 5—Confidentiality of information</w:t>
      </w:r>
      <w:bookmarkEnd w:id="418"/>
      <w:bookmarkEnd w:id="419"/>
      <w:bookmarkEnd w:id="420"/>
      <w:bookmarkEnd w:id="421"/>
    </w:p>
    <w:p>
      <w:pPr>
        <w:pStyle w:val="Footnoteheading"/>
      </w:pPr>
      <w:r>
        <w:tab/>
        <w:t>[Heading inserted: see SA Act No. 33 of 2018 s. 15 and WA Gazette 5 Apr 2019 p. 1007.]</w:t>
      </w:r>
    </w:p>
    <w:p>
      <w:pPr>
        <w:pStyle w:val="Heading5"/>
        <w:rPr>
          <w:b w:val="0"/>
        </w:rPr>
      </w:pPr>
      <w:bookmarkStart w:id="422" w:name="_Toc182405"/>
      <w:bookmarkStart w:id="423" w:name="_Toc5364792"/>
      <w:r>
        <w:rPr>
          <w:rStyle w:val="CharSectno"/>
        </w:rPr>
        <w:t>30S</w:t>
      </w:r>
      <w:r>
        <w:t>.</w:t>
      </w:r>
      <w:r>
        <w:tab/>
        <w:t>Confidentiality</w:t>
      </w:r>
      <w:bookmarkEnd w:id="422"/>
      <w:bookmarkEnd w:id="423"/>
    </w:p>
    <w:p>
      <w:pPr>
        <w:keepLines/>
        <w:tabs>
          <w:tab w:val="center" w:pos="1191"/>
          <w:tab w:val="left" w:pos="1588"/>
        </w:tabs>
        <w:autoSpaceDE w:val="0"/>
        <w:autoSpaceDN w:val="0"/>
        <w:adjustRightInd w:val="0"/>
        <w:spacing w:before="120"/>
        <w:ind w:left="1588" w:hanging="794"/>
        <w:rPr>
          <w:color w:val="000000"/>
          <w:sz w:val="23"/>
          <w:szCs w:val="23"/>
        </w:rPr>
      </w:pPr>
      <w:bookmarkStart w:id="424" w:name="id7b991313_de91_485f_867a_676e631da1"/>
      <w:r>
        <w:rPr>
          <w:color w:val="000000"/>
          <w:sz w:val="23"/>
          <w:szCs w:val="23"/>
        </w:rPr>
        <w:tab/>
        <w:t>(1)</w:t>
      </w:r>
      <w:r>
        <w:rPr>
          <w:color w:val="000000"/>
          <w:sz w:val="23"/>
          <w:szCs w:val="23"/>
        </w:rPr>
        <w:tab/>
        <w:t>If a person wishes to give information to the AER for the purposes of this Division in confidence—</w:t>
      </w:r>
      <w:bookmarkEnd w:id="424"/>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the person must give the AER written notice that the person claims the information is confidential;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give reasons to support the claim,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information about the detriment that might be caused to the person if the information were disclosed by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information that—</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(A)</w:t>
      </w:r>
      <w:r>
        <w:rPr>
          <w:color w:val="000000"/>
          <w:sz w:val="23"/>
          <w:szCs w:val="23"/>
        </w:rPr>
        <w:tab/>
        <w:t>is reasonably within the person’s knowledge and capacity to give; and</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(B)</w:t>
      </w:r>
      <w:r>
        <w:rPr>
          <w:color w:val="000000"/>
          <w:sz w:val="23"/>
          <w:szCs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giving reasons to support a claim under </w:t>
      </w:r>
      <w:hyperlink w:anchor="id7b991313_de91_485f_867a_676e631da1" w:history="1">
        <w:r>
          <w:rPr>
            <w:color w:val="000000"/>
            <w:sz w:val="23"/>
            <w:szCs w:val="23"/>
          </w:rPr>
          <w:t>subsection (1)</w:t>
        </w:r>
      </w:hyperlink>
      <w:r>
        <w:rPr>
          <w:color w:val="000000"/>
          <w:sz w:val="23"/>
          <w:szCs w:val="23"/>
        </w:rPr>
        <w:t xml:space="preserve"> about information received from another person (a </w:t>
      </w:r>
      <w:r>
        <w:rPr>
          <w:rStyle w:val="CharDefText"/>
          <w:sz w:val="23"/>
          <w:szCs w:val="23"/>
        </w:rPr>
        <w:t>third party</w:t>
      </w:r>
      <w:r>
        <w:rPr>
          <w:color w:val="000000"/>
          <w:sz w:val="23"/>
          <w:szCs w:val="23"/>
        </w:rPr>
        <w:t>), a person may include information that—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reasonably within the person’s knowledge and capacity to give;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is about the detriment that might be caused to the third party if the information were disclosed by the AER;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In acting under </w:t>
      </w:r>
      <w:hyperlink w:anchor="id7b991313_de91_485f_867a_676e631da1" w:history="1">
        <w:r>
          <w:rPr>
            <w:color w:val="000000"/>
            <w:sz w:val="23"/>
            <w:szCs w:val="23"/>
          </w:rPr>
          <w:t>subsection (1)</w:t>
        </w:r>
      </w:hyperlink>
      <w:r>
        <w:rPr>
          <w:color w:val="000000"/>
          <w:sz w:val="23"/>
          <w:szCs w:val="23"/>
        </w:rPr>
        <w:t>, a person must specifically identify the information in relation to which the claim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p>
    <w:p>
      <w:pPr>
        <w:pStyle w:val="Footnotesection"/>
      </w:pPr>
      <w:r>
        <w:tab/>
        <w:t>[Section 30S inserted: see SA Act No. 33 of 2018 s. 15 and WA Gazette 5 Apr 2019 p. 1007.]</w:t>
      </w:r>
    </w:p>
    <w:p>
      <w:pPr>
        <w:pStyle w:val="Heading5"/>
        <w:rPr>
          <w:b w:val="0"/>
        </w:rPr>
      </w:pPr>
      <w:bookmarkStart w:id="425" w:name="_Toc182406"/>
      <w:bookmarkStart w:id="426" w:name="_Toc5364793"/>
      <w:r>
        <w:rPr>
          <w:rStyle w:val="CharSectno"/>
        </w:rPr>
        <w:t>30T</w:t>
      </w:r>
      <w:r>
        <w:t>.</w:t>
      </w:r>
      <w:r>
        <w:tab/>
        <w:t>Disclosure of information given in confidence</w:t>
      </w:r>
      <w:bookmarkEnd w:id="425"/>
      <w:bookmarkEnd w:id="4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Chapter 10 Part 2 Division 1 applies in relation to publishing information given to the AER in confidence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information</w:t>
      </w:r>
      <w:r>
        <w:t xml:space="preserve"> </w:t>
      </w:r>
      <w:r>
        <w:rPr>
          <w:color w:val="000000"/>
          <w:sz w:val="23"/>
          <w:szCs w:val="23"/>
        </w:rPr>
        <w:t>includes advice, recommendations, submissions and reports.</w:t>
      </w:r>
    </w:p>
    <w:p>
      <w:pPr>
        <w:pStyle w:val="Footnotesection"/>
      </w:pPr>
      <w:r>
        <w:tab/>
        <w:t>[Section 30T inserted: see SA Act No. 33 of 2018 s. 15 and WA Gazette 5 Apr 2019 p. 1007.]</w:t>
      </w:r>
    </w:p>
    <w:p>
      <w:pPr>
        <w:pStyle w:val="Heading4"/>
        <w:rPr>
          <w:szCs w:val="28"/>
        </w:rPr>
      </w:pPr>
      <w:bookmarkStart w:id="427" w:name="_Toc5347020"/>
      <w:bookmarkStart w:id="428" w:name="_Toc5363573"/>
      <w:bookmarkStart w:id="429" w:name="_Toc5364794"/>
      <w:r>
        <w:rPr>
          <w:szCs w:val="28"/>
        </w:rPr>
        <w:t>Division 2 — Search warrants</w:t>
      </w:r>
      <w:bookmarkEnd w:id="355"/>
      <w:bookmarkEnd w:id="356"/>
      <w:bookmarkEnd w:id="357"/>
      <w:bookmarkEnd w:id="427"/>
      <w:bookmarkEnd w:id="428"/>
      <w:bookmarkEnd w:id="429"/>
    </w:p>
    <w:p>
      <w:pPr>
        <w:pStyle w:val="Heading5"/>
      </w:pPr>
      <w:bookmarkStart w:id="430" w:name="_Toc5364795"/>
      <w:r>
        <w:rPr>
          <w:rStyle w:val="CharSectno"/>
        </w:rPr>
        <w:t>31</w:t>
      </w:r>
      <w:r>
        <w:t>.</w:t>
      </w:r>
      <w:r>
        <w:tab/>
        <w:t>Definitions</w:t>
      </w:r>
      <w:bookmarkEnd w:id="43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431" w:name="_Toc5364796"/>
      <w:r>
        <w:rPr>
          <w:rStyle w:val="CharSectno"/>
        </w:rPr>
        <w:t>32</w:t>
      </w:r>
      <w:r>
        <w:t>.</w:t>
      </w:r>
      <w:r>
        <w:tab/>
        <w:t>Authorised person</w:t>
      </w:r>
      <w:bookmarkEnd w:id="4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432" w:name="_Toc5364797"/>
      <w:r>
        <w:rPr>
          <w:rStyle w:val="CharSectno"/>
        </w:rPr>
        <w:t>33</w:t>
      </w:r>
      <w:r>
        <w:t>.</w:t>
      </w:r>
      <w:r>
        <w:tab/>
        <w:t>Identity cards</w:t>
      </w:r>
      <w:bookmarkEnd w:id="4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433" w:name="_Toc5364798"/>
      <w:r>
        <w:rPr>
          <w:rStyle w:val="CharSectno"/>
        </w:rPr>
        <w:t>34</w:t>
      </w:r>
      <w:r>
        <w:t>.</w:t>
      </w:r>
      <w:r>
        <w:tab/>
        <w:t>Return of identity cards</w:t>
      </w:r>
      <w:bookmarkEnd w:id="433"/>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434" w:name="_Toc5364799"/>
      <w:r>
        <w:rPr>
          <w:rStyle w:val="CharSectno"/>
        </w:rPr>
        <w:t>35</w:t>
      </w:r>
      <w:r>
        <w:t>.</w:t>
      </w:r>
      <w:r>
        <w:tab/>
        <w:t>Search warrant</w:t>
      </w:r>
      <w:bookmarkEnd w:id="4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435" w:name="_Toc5364800"/>
      <w:r>
        <w:rPr>
          <w:rStyle w:val="CharSectno"/>
        </w:rPr>
        <w:t>36</w:t>
      </w:r>
      <w:r>
        <w:t>.</w:t>
      </w:r>
      <w:r>
        <w:tab/>
        <w:t>Announcement of entry and details of warrant to be given to occupier or other person at premises</w:t>
      </w:r>
      <w:bookmarkEnd w:id="4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436" w:name="_Toc5364801"/>
      <w:r>
        <w:rPr>
          <w:rStyle w:val="CharSectno"/>
        </w:rPr>
        <w:t>37</w:t>
      </w:r>
      <w:r>
        <w:t>.</w:t>
      </w:r>
      <w:r>
        <w:tab/>
        <w:t>Immediate entry permitted in certain cases</w:t>
      </w:r>
      <w:bookmarkEnd w:id="436"/>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437" w:name="_Toc5364802"/>
      <w:r>
        <w:rPr>
          <w:rStyle w:val="CharSectno"/>
        </w:rPr>
        <w:t>38</w:t>
      </w:r>
      <w:r>
        <w:t>.</w:t>
      </w:r>
      <w:r>
        <w:tab/>
        <w:t>Copies of seized documents</w:t>
      </w:r>
      <w:bookmarkEnd w:id="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438" w:name="_Toc5364803"/>
      <w:r>
        <w:rPr>
          <w:rStyle w:val="CharSectno"/>
        </w:rPr>
        <w:t>39</w:t>
      </w:r>
      <w:r>
        <w:t>.</w:t>
      </w:r>
      <w:r>
        <w:tab/>
        <w:t>Retention and return of seized documents or things</w:t>
      </w:r>
      <w:bookmarkEnd w:id="43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439" w:name="_Toc5364804"/>
      <w:r>
        <w:rPr>
          <w:rStyle w:val="CharSectno"/>
        </w:rPr>
        <w:t>40</w:t>
      </w:r>
      <w:r>
        <w:t>.</w:t>
      </w:r>
      <w:r>
        <w:tab/>
        <w:t>Extension of period of retention of documents or things seized</w:t>
      </w:r>
      <w:bookmarkEnd w:id="4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440" w:name="_Toc5364805"/>
      <w:r>
        <w:rPr>
          <w:rStyle w:val="CharSectno"/>
        </w:rPr>
        <w:t>41</w:t>
      </w:r>
      <w:r>
        <w:t>.</w:t>
      </w:r>
      <w:r>
        <w:tab/>
        <w:t>Obstruction of persons authorised to enter</w:t>
      </w:r>
      <w:bookmarkEnd w:id="440"/>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441" w:name="_Toc501633884"/>
      <w:bookmarkStart w:id="442" w:name="_Toc501712780"/>
      <w:bookmarkStart w:id="443" w:name="_Toc536781974"/>
      <w:bookmarkStart w:id="444" w:name="_Toc5347032"/>
      <w:bookmarkStart w:id="445" w:name="_Toc5363585"/>
      <w:bookmarkStart w:id="446" w:name="_Toc5364806"/>
      <w:r>
        <w:t>Division 3 — General information gathering powers</w:t>
      </w:r>
      <w:bookmarkEnd w:id="441"/>
      <w:bookmarkEnd w:id="442"/>
      <w:bookmarkEnd w:id="443"/>
      <w:bookmarkEnd w:id="444"/>
      <w:bookmarkEnd w:id="445"/>
      <w:bookmarkEnd w:id="446"/>
    </w:p>
    <w:p>
      <w:pPr>
        <w:pStyle w:val="Heading5"/>
      </w:pPr>
      <w:bookmarkStart w:id="447" w:name="_Toc5364807"/>
      <w:r>
        <w:rPr>
          <w:rStyle w:val="CharSectno"/>
        </w:rPr>
        <w:t>42</w:t>
      </w:r>
      <w:r>
        <w:t>.</w:t>
      </w:r>
      <w:r>
        <w:tab/>
        <w:t>Power to obtain information and documents in relation to performance and exercise of functions and powers</w:t>
      </w:r>
      <w:bookmarkEnd w:id="4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448" w:name="_Toc501633886"/>
      <w:bookmarkStart w:id="449" w:name="_Toc501712782"/>
      <w:bookmarkStart w:id="450" w:name="_Toc536781976"/>
      <w:bookmarkStart w:id="451" w:name="_Toc5347034"/>
      <w:bookmarkStart w:id="452" w:name="_Toc5363587"/>
      <w:bookmarkStart w:id="453" w:name="_Toc5364808"/>
      <w:r>
        <w:t>Division 4 — Regulatory information notices and general regulatory information orders</w:t>
      </w:r>
      <w:bookmarkEnd w:id="448"/>
      <w:bookmarkEnd w:id="449"/>
      <w:bookmarkEnd w:id="450"/>
      <w:bookmarkEnd w:id="451"/>
      <w:bookmarkEnd w:id="452"/>
      <w:bookmarkEnd w:id="453"/>
    </w:p>
    <w:p>
      <w:pPr>
        <w:pStyle w:val="Heading4"/>
      </w:pPr>
      <w:bookmarkStart w:id="454" w:name="_Toc501633887"/>
      <w:bookmarkStart w:id="455" w:name="_Toc501712783"/>
      <w:bookmarkStart w:id="456" w:name="_Toc536781977"/>
      <w:bookmarkStart w:id="457" w:name="_Toc5347035"/>
      <w:bookmarkStart w:id="458" w:name="_Toc5363588"/>
      <w:bookmarkStart w:id="459" w:name="_Toc5364809"/>
      <w:r>
        <w:t>Subdivision 1 — Interpretation</w:t>
      </w:r>
      <w:bookmarkEnd w:id="454"/>
      <w:bookmarkEnd w:id="455"/>
      <w:bookmarkEnd w:id="456"/>
      <w:bookmarkEnd w:id="457"/>
      <w:bookmarkEnd w:id="458"/>
      <w:bookmarkEnd w:id="459"/>
    </w:p>
    <w:p>
      <w:pPr>
        <w:pStyle w:val="Heading5"/>
      </w:pPr>
      <w:bookmarkStart w:id="460" w:name="_Toc5364810"/>
      <w:r>
        <w:rPr>
          <w:rStyle w:val="CharSectno"/>
        </w:rPr>
        <w:t>43</w:t>
      </w:r>
      <w:r>
        <w:t>.</w:t>
      </w:r>
      <w:r>
        <w:tab/>
        <w:t>Definitions</w:t>
      </w:r>
      <w:bookmarkEnd w:id="46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461" w:name="_Toc5364811"/>
      <w:r>
        <w:rPr>
          <w:rStyle w:val="CharSectno"/>
        </w:rPr>
        <w:t>44</w:t>
      </w:r>
      <w:r>
        <w:t>.</w:t>
      </w:r>
      <w:r>
        <w:tab/>
        <w:t>Meaning of contributing service</w:t>
      </w:r>
      <w:bookmarkEnd w:id="4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462" w:name="_Toc5364812"/>
      <w:r>
        <w:rPr>
          <w:rStyle w:val="CharSectno"/>
        </w:rPr>
        <w:t>45</w:t>
      </w:r>
      <w:r>
        <w:t>.</w:t>
      </w:r>
      <w:r>
        <w:tab/>
        <w:t>Meaning of general regulatory information order</w:t>
      </w:r>
      <w:bookmarkEnd w:id="462"/>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463" w:name="_Toc5364813"/>
      <w:r>
        <w:rPr>
          <w:rStyle w:val="CharSectno"/>
        </w:rPr>
        <w:t>46</w:t>
      </w:r>
      <w:r>
        <w:t>.</w:t>
      </w:r>
      <w:r>
        <w:tab/>
        <w:t>Meaning of regulatory information notice</w:t>
      </w:r>
      <w:bookmarkEnd w:id="463"/>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464" w:name="_Toc5364814"/>
      <w:r>
        <w:rPr>
          <w:rStyle w:val="CharSectno"/>
        </w:rPr>
        <w:t>47</w:t>
      </w:r>
      <w:r>
        <w:t>.</w:t>
      </w:r>
      <w:r>
        <w:tab/>
        <w:t>Division does not limit operation of information gathering powers under Division 3</w:t>
      </w:r>
      <w:bookmarkEnd w:id="464"/>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465" w:name="_Toc501633893"/>
      <w:bookmarkStart w:id="466" w:name="_Toc501712789"/>
      <w:bookmarkStart w:id="467" w:name="_Toc536781983"/>
      <w:bookmarkStart w:id="468" w:name="_Toc5347041"/>
      <w:bookmarkStart w:id="469" w:name="_Toc5363594"/>
      <w:bookmarkStart w:id="470" w:name="_Toc5364815"/>
      <w:r>
        <w:t>Subdivision 2 — Serving and making of regulatory information instruments</w:t>
      </w:r>
      <w:bookmarkEnd w:id="465"/>
      <w:bookmarkEnd w:id="466"/>
      <w:bookmarkEnd w:id="467"/>
      <w:bookmarkEnd w:id="468"/>
      <w:bookmarkEnd w:id="469"/>
      <w:bookmarkEnd w:id="470"/>
    </w:p>
    <w:p>
      <w:pPr>
        <w:pStyle w:val="Heading5"/>
      </w:pPr>
      <w:bookmarkStart w:id="471" w:name="_Toc5364816"/>
      <w:r>
        <w:rPr>
          <w:rStyle w:val="CharSectno"/>
        </w:rPr>
        <w:t>48</w:t>
      </w:r>
      <w:r>
        <w:t>.</w:t>
      </w:r>
      <w:r>
        <w:tab/>
        <w:t>Service and making of regulatory information instrument</w:t>
      </w:r>
      <w:bookmarkEnd w:id="4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472" w:name="_Toc5364817"/>
      <w:r>
        <w:rPr>
          <w:rStyle w:val="CharSectno"/>
        </w:rPr>
        <w:t>49</w:t>
      </w:r>
      <w:r>
        <w:t>.</w:t>
      </w:r>
      <w:r>
        <w:tab/>
        <w:t>Additional matters to be considered for related provider regulatory information instruments</w:t>
      </w:r>
      <w:bookmarkEnd w:id="4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473" w:name="_Toc5364818"/>
      <w:r>
        <w:rPr>
          <w:rStyle w:val="CharSectno"/>
        </w:rPr>
        <w:t>50</w:t>
      </w:r>
      <w:r>
        <w:t>.</w:t>
      </w:r>
      <w:r>
        <w:tab/>
        <w:t>AER must consult before publishing a general regulatory information order</w:t>
      </w:r>
      <w:bookmarkEnd w:id="473"/>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474" w:name="_Toc5364819"/>
      <w:r>
        <w:rPr>
          <w:rStyle w:val="CharSectno"/>
        </w:rPr>
        <w:t>51</w:t>
      </w:r>
      <w:r>
        <w:t>.</w:t>
      </w:r>
      <w:r>
        <w:tab/>
        <w:t>Publication requirements for general regulatory information orders</w:t>
      </w:r>
      <w:bookmarkEnd w:id="4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475" w:name="_Toc5364820"/>
      <w:r>
        <w:rPr>
          <w:rStyle w:val="CharSectno"/>
        </w:rPr>
        <w:t>52</w:t>
      </w:r>
      <w:r>
        <w:t>.</w:t>
      </w:r>
      <w:r>
        <w:tab/>
      </w:r>
      <w:smartTag w:uri="urn:schemas-microsoft-com:office:smarttags" w:element="place">
        <w:r>
          <w:t>Opportunity</w:t>
        </w:r>
      </w:smartTag>
      <w:r>
        <w:t xml:space="preserve"> to be heard before regulatory information notice is served</w:t>
      </w:r>
      <w:bookmarkEnd w:id="4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or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or a rate of return instrument,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pPr>
      <w:bookmarkStart w:id="476" w:name="_Toc501633899"/>
      <w:bookmarkStart w:id="477" w:name="_Toc501712795"/>
      <w:bookmarkStart w:id="478" w:name="_Toc536781989"/>
      <w:r>
        <w:tab/>
        <w:t>[Section 52 amended: see SA Act No. 33 of 2018 s. 16 and WA Gazette 5 Apr 2019 p. 1007.]</w:t>
      </w:r>
    </w:p>
    <w:p>
      <w:pPr>
        <w:pStyle w:val="Heading4"/>
      </w:pPr>
      <w:bookmarkStart w:id="479" w:name="_Toc5347047"/>
      <w:bookmarkStart w:id="480" w:name="_Toc5363600"/>
      <w:bookmarkStart w:id="481" w:name="_Toc5364821"/>
      <w:r>
        <w:t>Subdivision 3 — Form and content of regulatory information instruments</w:t>
      </w:r>
      <w:bookmarkEnd w:id="476"/>
      <w:bookmarkEnd w:id="477"/>
      <w:bookmarkEnd w:id="478"/>
      <w:bookmarkEnd w:id="479"/>
      <w:bookmarkEnd w:id="480"/>
      <w:bookmarkEnd w:id="481"/>
    </w:p>
    <w:p>
      <w:pPr>
        <w:pStyle w:val="Heading5"/>
      </w:pPr>
      <w:bookmarkStart w:id="482" w:name="_Toc5364822"/>
      <w:r>
        <w:rPr>
          <w:rStyle w:val="CharSectno"/>
        </w:rPr>
        <w:t>53</w:t>
      </w:r>
      <w:r>
        <w:t>.</w:t>
      </w:r>
      <w:r>
        <w:tab/>
        <w:t>Form and content of regulatory information instrument</w:t>
      </w:r>
      <w:bookmarkEnd w:id="4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483" w:name="_Toc5364823"/>
      <w:r>
        <w:rPr>
          <w:rStyle w:val="CharSectno"/>
        </w:rPr>
        <w:t>54</w:t>
      </w:r>
      <w:r>
        <w:t>.</w:t>
      </w:r>
      <w:r>
        <w:tab/>
        <w:t>Further provision about the information that may be described in a regulatory information instrument</w:t>
      </w:r>
      <w:bookmarkEnd w:id="483"/>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484" w:name="_Toc5364824"/>
      <w:r>
        <w:rPr>
          <w:rStyle w:val="CharSectno"/>
        </w:rPr>
        <w:t>55</w:t>
      </w:r>
      <w:r>
        <w:t>.</w:t>
      </w:r>
      <w:r>
        <w:tab/>
        <w:t>Further provision about manner in which information must be provided to AER or kept</w:t>
      </w:r>
      <w:bookmarkEnd w:id="484"/>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485" w:name="_Toc501633903"/>
      <w:bookmarkStart w:id="486" w:name="_Toc501712799"/>
      <w:bookmarkStart w:id="487" w:name="_Toc536781993"/>
      <w:bookmarkStart w:id="488" w:name="_Toc5347051"/>
      <w:bookmarkStart w:id="489" w:name="_Toc5363604"/>
      <w:bookmarkStart w:id="490" w:name="_Toc5364825"/>
      <w:r>
        <w:t>Subdivision 4 — Compliance with regulatory information instruments</w:t>
      </w:r>
      <w:bookmarkEnd w:id="485"/>
      <w:bookmarkEnd w:id="486"/>
      <w:bookmarkEnd w:id="487"/>
      <w:bookmarkEnd w:id="488"/>
      <w:bookmarkEnd w:id="489"/>
      <w:bookmarkEnd w:id="490"/>
    </w:p>
    <w:p>
      <w:pPr>
        <w:pStyle w:val="Heading5"/>
      </w:pPr>
      <w:bookmarkStart w:id="491" w:name="_Toc5364826"/>
      <w:r>
        <w:rPr>
          <w:rStyle w:val="CharSectno"/>
        </w:rPr>
        <w:t>56</w:t>
      </w:r>
      <w:r>
        <w:t>.</w:t>
      </w:r>
      <w:r>
        <w:tab/>
        <w:t>Compliance with regulatory information notice that is served</w:t>
      </w:r>
      <w:bookmarkEnd w:id="491"/>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492" w:name="_Toc5364827"/>
      <w:r>
        <w:rPr>
          <w:rStyle w:val="CharSectno"/>
        </w:rPr>
        <w:t>57</w:t>
      </w:r>
      <w:r>
        <w:t>.</w:t>
      </w:r>
      <w:r>
        <w:tab/>
        <w:t>Compliance with general regulatory information order</w:t>
      </w:r>
      <w:bookmarkEnd w:id="4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493" w:name="_Toc5364828"/>
      <w:r>
        <w:rPr>
          <w:rStyle w:val="CharSectno"/>
        </w:rPr>
        <w:t>58</w:t>
      </w:r>
      <w:r>
        <w:t>.</w:t>
      </w:r>
      <w:r>
        <w:tab/>
        <w:t>Exemptions from compliance with general regulatory information order</w:t>
      </w:r>
      <w:bookmarkEnd w:id="4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494" w:name="_Toc5364829"/>
      <w:r>
        <w:rPr>
          <w:rStyle w:val="CharSectno"/>
        </w:rPr>
        <w:t>59</w:t>
      </w:r>
      <w:r>
        <w:t>.</w:t>
      </w:r>
      <w:r>
        <w:tab/>
        <w:t>Assumptions where there is non</w:t>
      </w:r>
      <w:r>
        <w:noBreakHyphen/>
        <w:t>compliance with regulatory information instrument</w:t>
      </w:r>
      <w:bookmarkEnd w:id="4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 to make a rate of return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or the making of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or the rate of return instrument on the basis of the information the AER has at the time it makes that decision or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or instrument,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pPr>
      <w:bookmarkStart w:id="495" w:name="_Toc501633908"/>
      <w:bookmarkStart w:id="496" w:name="_Toc501712804"/>
      <w:bookmarkStart w:id="497" w:name="_Toc536781998"/>
      <w:r>
        <w:tab/>
        <w:t>[Section 59 amended: see SA Act No. 33 of 2018 s. 17 and WA Gazette 5 Apr 2019 p. 1007.]</w:t>
      </w:r>
    </w:p>
    <w:p>
      <w:pPr>
        <w:pStyle w:val="Heading4"/>
      </w:pPr>
      <w:bookmarkStart w:id="498" w:name="_Toc5347056"/>
      <w:bookmarkStart w:id="499" w:name="_Toc5363609"/>
      <w:bookmarkStart w:id="500" w:name="_Toc5364830"/>
      <w:r>
        <w:t>Subdivision 5 — General</w:t>
      </w:r>
      <w:bookmarkEnd w:id="495"/>
      <w:bookmarkEnd w:id="496"/>
      <w:bookmarkEnd w:id="497"/>
      <w:bookmarkEnd w:id="498"/>
      <w:bookmarkEnd w:id="499"/>
      <w:bookmarkEnd w:id="500"/>
    </w:p>
    <w:p>
      <w:pPr>
        <w:pStyle w:val="Heading5"/>
      </w:pPr>
      <w:bookmarkStart w:id="501" w:name="_Toc5364831"/>
      <w:r>
        <w:rPr>
          <w:rStyle w:val="CharSectno"/>
        </w:rPr>
        <w:t>60</w:t>
      </w:r>
      <w:r>
        <w:t>.</w:t>
      </w:r>
      <w:r>
        <w:tab/>
        <w:t>Providing to AER false and misleading information</w:t>
      </w:r>
      <w:bookmarkEnd w:id="501"/>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502" w:name="_Toc5364832"/>
      <w:r>
        <w:rPr>
          <w:rStyle w:val="CharSectno"/>
        </w:rPr>
        <w:t>61</w:t>
      </w:r>
      <w:r>
        <w:t>.</w:t>
      </w:r>
      <w:r>
        <w:tab/>
        <w:t>Person cannot rely on duty of confidence to avoid compliance with regulatory information instrument</w:t>
      </w:r>
      <w:bookmarkEnd w:id="5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503" w:name="_Toc5364833"/>
      <w:r>
        <w:rPr>
          <w:rStyle w:val="CharSectno"/>
        </w:rPr>
        <w:t>62</w:t>
      </w:r>
      <w:r>
        <w:t>.</w:t>
      </w:r>
      <w:r>
        <w:tab/>
        <w:t>Legal professional privilege not affected</w:t>
      </w:r>
      <w:bookmarkEnd w:id="503"/>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504" w:name="_Toc5364834"/>
      <w:r>
        <w:rPr>
          <w:rStyle w:val="CharSectno"/>
        </w:rPr>
        <w:t>63</w:t>
      </w:r>
      <w:r>
        <w:t>.</w:t>
      </w:r>
      <w:r>
        <w:tab/>
        <w:t>Protection against self</w:t>
      </w:r>
      <w:r>
        <w:noBreakHyphen/>
        <w:t>incrimination</w:t>
      </w:r>
      <w:bookmarkEnd w:id="5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505" w:name="_Toc501633913"/>
      <w:bookmarkStart w:id="506" w:name="_Toc501712809"/>
      <w:bookmarkStart w:id="507" w:name="_Toc536782003"/>
      <w:bookmarkStart w:id="508" w:name="_Toc5347061"/>
      <w:bookmarkStart w:id="509" w:name="_Toc5363614"/>
      <w:bookmarkStart w:id="510" w:name="_Toc5364835"/>
      <w:r>
        <w:t>Division 5 — Service provider performance reports</w:t>
      </w:r>
      <w:bookmarkEnd w:id="505"/>
      <w:bookmarkEnd w:id="506"/>
      <w:bookmarkEnd w:id="507"/>
      <w:bookmarkEnd w:id="508"/>
      <w:bookmarkEnd w:id="509"/>
      <w:bookmarkEnd w:id="510"/>
    </w:p>
    <w:p>
      <w:pPr>
        <w:pStyle w:val="Heading5"/>
      </w:pPr>
      <w:bookmarkStart w:id="511" w:name="_Toc5364836"/>
      <w:r>
        <w:rPr>
          <w:rStyle w:val="CharSectno"/>
        </w:rPr>
        <w:t>64</w:t>
      </w:r>
      <w:r>
        <w:t>.</w:t>
      </w:r>
      <w:r>
        <w:tab/>
        <w:t>Preparation of service provider performance reports</w:t>
      </w:r>
      <w:bookmarkEnd w:id="5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512" w:name="_Toc501633915"/>
      <w:bookmarkStart w:id="513" w:name="_Toc501712811"/>
      <w:bookmarkStart w:id="514" w:name="_Toc536782005"/>
      <w:bookmarkStart w:id="515" w:name="_Toc5347063"/>
      <w:bookmarkStart w:id="516" w:name="_Toc5363616"/>
      <w:bookmarkStart w:id="517" w:name="_Toc5364837"/>
      <w:r>
        <w:t>Division 6 — Miscellaneous matters</w:t>
      </w:r>
      <w:bookmarkEnd w:id="512"/>
      <w:bookmarkEnd w:id="513"/>
      <w:bookmarkEnd w:id="514"/>
      <w:bookmarkEnd w:id="515"/>
      <w:bookmarkEnd w:id="516"/>
      <w:bookmarkEnd w:id="517"/>
    </w:p>
    <w:p>
      <w:pPr>
        <w:pStyle w:val="Heading5"/>
      </w:pPr>
      <w:bookmarkStart w:id="518" w:name="_Toc5364838"/>
      <w:r>
        <w:rPr>
          <w:rStyle w:val="CharSectno"/>
        </w:rPr>
        <w:t>65</w:t>
      </w:r>
      <w:r>
        <w:t>.</w:t>
      </w:r>
      <w:r>
        <w:tab/>
        <w:t>Consideration by the AER of submissions or comments made to it under this Law or the Rules</w:t>
      </w:r>
      <w:bookmarkEnd w:id="518"/>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519" w:name="_Toc5364839"/>
      <w:r>
        <w:rPr>
          <w:rStyle w:val="CharSectno"/>
        </w:rPr>
        <w:t>66</w:t>
      </w:r>
      <w:r>
        <w:t>.</w:t>
      </w:r>
      <w:r>
        <w:tab/>
        <w:t>Use of information provided under a notice under Division 3 or a regulatory information instrument</w:t>
      </w:r>
      <w:bookmarkEnd w:id="519"/>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520" w:name="_Toc5364840"/>
      <w:r>
        <w:rPr>
          <w:rStyle w:val="CharSectno"/>
        </w:rPr>
        <w:t>67</w:t>
      </w:r>
      <w:r>
        <w:t>.</w:t>
      </w:r>
      <w:r>
        <w:tab/>
        <w:t>AER to inform certain persons of decisions not to investigate breaches, institute proceedings or serve infringement notices</w:t>
      </w:r>
      <w:bookmarkEnd w:id="5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521" w:name="_Toc5364841"/>
      <w:r>
        <w:rPr>
          <w:rStyle w:val="CharSectno"/>
        </w:rPr>
        <w:t>68</w:t>
      </w:r>
      <w:r>
        <w:t>.</w:t>
      </w:r>
      <w:r>
        <w:tab/>
        <w:t>AER enforcement guidelines</w:t>
      </w:r>
      <w:bookmarkEnd w:id="5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522" w:name="_Toc5364842"/>
      <w:r>
        <w:rPr>
          <w:rStyle w:val="CharSectno"/>
        </w:rPr>
        <w:t>68C</w:t>
      </w:r>
      <w:r>
        <w:t>.</w:t>
      </w:r>
      <w:r>
        <w:tab/>
        <w:t>Record of designated reviewable regulatory decisions</w:t>
      </w:r>
      <w:bookmarkEnd w:id="5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523" w:name="_Toc501633921"/>
      <w:bookmarkStart w:id="524" w:name="_Toc501712817"/>
      <w:bookmarkStart w:id="525" w:name="_Toc536782011"/>
      <w:bookmarkStart w:id="526" w:name="_Toc5347069"/>
      <w:bookmarkStart w:id="527" w:name="_Toc5363622"/>
      <w:bookmarkStart w:id="528" w:name="_Toc5364843"/>
      <w:r>
        <w:rPr>
          <w:rStyle w:val="CharDivNo"/>
        </w:rPr>
        <w:t>Part 1A</w:t>
      </w:r>
      <w:r>
        <w:t xml:space="preserve"> — </w:t>
      </w:r>
      <w:r>
        <w:rPr>
          <w:rStyle w:val="CharDivText"/>
        </w:rPr>
        <w:t>Functions and powers of WA arbitrator</w:t>
      </w:r>
      <w:bookmarkEnd w:id="523"/>
      <w:bookmarkEnd w:id="524"/>
      <w:bookmarkEnd w:id="525"/>
      <w:bookmarkEnd w:id="526"/>
      <w:bookmarkEnd w:id="527"/>
      <w:bookmarkEnd w:id="528"/>
    </w:p>
    <w:p>
      <w:pPr>
        <w:pStyle w:val="Footnotesection"/>
        <w:keepNext/>
      </w:pPr>
      <w:r>
        <w:tab/>
        <w:t>[Heading inserted: WA Act Sch. 1 cl. 8.]</w:t>
      </w:r>
    </w:p>
    <w:p>
      <w:pPr>
        <w:pStyle w:val="Heading5"/>
      </w:pPr>
      <w:bookmarkStart w:id="529" w:name="_Toc5364844"/>
      <w:r>
        <w:rPr>
          <w:rStyle w:val="CharSectno"/>
        </w:rPr>
        <w:t>68A</w:t>
      </w:r>
      <w:r>
        <w:t>.</w:t>
      </w:r>
      <w:r>
        <w:tab/>
        <w:t>Manner in which WA arbitrator must perform or exercise certain functions or powers</w:t>
      </w:r>
      <w:bookmarkEnd w:id="5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530" w:name="_Toc501633923"/>
      <w:bookmarkStart w:id="531" w:name="_Toc501712819"/>
      <w:bookmarkStart w:id="532" w:name="_Toc536782013"/>
      <w:bookmarkStart w:id="533" w:name="_Toc5347071"/>
      <w:bookmarkStart w:id="534" w:name="_Toc5363624"/>
      <w:bookmarkStart w:id="535" w:name="_Toc5364845"/>
      <w:r>
        <w:rPr>
          <w:rStyle w:val="CharDivNo"/>
        </w:rPr>
        <w:t>Part 2</w:t>
      </w:r>
      <w:r>
        <w:t xml:space="preserve"> — </w:t>
      </w:r>
      <w:r>
        <w:rPr>
          <w:rStyle w:val="CharDivText"/>
        </w:rPr>
        <w:t>Functions and powers of the Australian Energy Market Commission</w:t>
      </w:r>
      <w:bookmarkEnd w:id="530"/>
      <w:bookmarkEnd w:id="531"/>
      <w:bookmarkEnd w:id="532"/>
      <w:bookmarkEnd w:id="533"/>
      <w:bookmarkEnd w:id="534"/>
      <w:bookmarkEnd w:id="535"/>
    </w:p>
    <w:p>
      <w:pPr>
        <w:pStyle w:val="Heading4"/>
      </w:pPr>
      <w:bookmarkStart w:id="536" w:name="_Toc501633924"/>
      <w:bookmarkStart w:id="537" w:name="_Toc501712820"/>
      <w:bookmarkStart w:id="538" w:name="_Toc536782014"/>
      <w:bookmarkStart w:id="539" w:name="_Toc5347072"/>
      <w:bookmarkStart w:id="540" w:name="_Toc5363625"/>
      <w:bookmarkStart w:id="541" w:name="_Toc5364846"/>
      <w:r>
        <w:t>Division 1 — General</w:t>
      </w:r>
      <w:bookmarkEnd w:id="536"/>
      <w:bookmarkEnd w:id="537"/>
      <w:bookmarkEnd w:id="538"/>
      <w:bookmarkEnd w:id="539"/>
      <w:bookmarkEnd w:id="540"/>
      <w:bookmarkEnd w:id="541"/>
    </w:p>
    <w:p>
      <w:pPr>
        <w:pStyle w:val="Heading5"/>
      </w:pPr>
      <w:bookmarkStart w:id="542" w:name="_Toc5364847"/>
      <w:r>
        <w:rPr>
          <w:rStyle w:val="CharSectno"/>
        </w:rPr>
        <w:t>69</w:t>
      </w:r>
      <w:r>
        <w:t>.</w:t>
      </w:r>
      <w:r>
        <w:tab/>
        <w:t>Functions and powers of the AEMC</w:t>
      </w:r>
      <w:bookmarkEnd w:id="5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543" w:name="_Toc5364848"/>
      <w:r>
        <w:rPr>
          <w:rStyle w:val="CharSectno"/>
        </w:rPr>
        <w:t>70</w:t>
      </w:r>
      <w:r>
        <w:t>.</w:t>
      </w:r>
      <w:r>
        <w:tab/>
        <w:t>Delegations</w:t>
      </w:r>
      <w:bookmarkEnd w:id="54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544" w:name="_Toc5364849"/>
      <w:r>
        <w:rPr>
          <w:rStyle w:val="CharSectno"/>
        </w:rPr>
        <w:t>71</w:t>
      </w:r>
      <w:r>
        <w:t>.</w:t>
      </w:r>
      <w:r>
        <w:tab/>
        <w:t>Confidentiality</w:t>
      </w:r>
      <w:bookmarkEnd w:id="544"/>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545" w:name="_Toc5364850"/>
      <w:r>
        <w:rPr>
          <w:rStyle w:val="CharSectno"/>
        </w:rPr>
        <w:t>72</w:t>
      </w:r>
      <w:r>
        <w:t>.</w:t>
      </w:r>
      <w:r>
        <w:tab/>
        <w:t>AEMC must have regard to national gas objective</w:t>
      </w:r>
      <w:bookmarkEnd w:id="545"/>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546" w:name="_Toc5364851"/>
      <w:r>
        <w:rPr>
          <w:rStyle w:val="CharSectno"/>
        </w:rPr>
        <w:t>73</w:t>
      </w:r>
      <w:r>
        <w:t>.</w:t>
      </w:r>
      <w:r>
        <w:tab/>
        <w:t>AEMC must have regard to MCE statements of policy principles in relation to Rule making and reviews</w:t>
      </w:r>
      <w:bookmarkEnd w:id="546"/>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547" w:name="_Toc501633930"/>
      <w:bookmarkStart w:id="548" w:name="_Toc501712826"/>
      <w:bookmarkStart w:id="549" w:name="_Toc536782020"/>
      <w:bookmarkStart w:id="550" w:name="_Toc5347078"/>
      <w:bookmarkStart w:id="551" w:name="_Toc5363631"/>
      <w:bookmarkStart w:id="552" w:name="_Toc5364852"/>
      <w:r>
        <w:t>Division 2 — Rule making functions and powers of the AEMC</w:t>
      </w:r>
      <w:bookmarkEnd w:id="547"/>
      <w:bookmarkEnd w:id="548"/>
      <w:bookmarkEnd w:id="549"/>
      <w:bookmarkEnd w:id="550"/>
      <w:bookmarkEnd w:id="551"/>
      <w:bookmarkEnd w:id="552"/>
    </w:p>
    <w:p>
      <w:pPr>
        <w:pStyle w:val="Heading5"/>
      </w:pPr>
      <w:bookmarkStart w:id="553" w:name="_Toc5364853"/>
      <w:r>
        <w:rPr>
          <w:rStyle w:val="CharSectno"/>
        </w:rPr>
        <w:t>74</w:t>
      </w:r>
      <w:r>
        <w:t>.</w:t>
      </w:r>
      <w:r>
        <w:tab/>
        <w:t>Subject matter for National Gas Rules</w:t>
      </w:r>
      <w:bookmarkEnd w:id="5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554" w:name="_Toc5364854"/>
      <w:r>
        <w:rPr>
          <w:rStyle w:val="CharSectno"/>
        </w:rPr>
        <w:t>75</w:t>
      </w:r>
      <w:r>
        <w:t>.</w:t>
      </w:r>
      <w:r>
        <w:tab/>
        <w:t>Rules relating to MCE or Ministers of participating jurisdictions require MCE consent</w:t>
      </w:r>
      <w:bookmarkEnd w:id="554"/>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555" w:name="_Toc5364855"/>
      <w:r>
        <w:rPr>
          <w:rStyle w:val="CharSectno"/>
        </w:rPr>
        <w:t>76</w:t>
      </w:r>
      <w:r>
        <w:t>.</w:t>
      </w:r>
      <w:r>
        <w:tab/>
        <w:t>AEMC must not make Rules that create criminal offences or impose civil penalties for breaches</w:t>
      </w:r>
      <w:bookmarkEnd w:id="555"/>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556" w:name="_Toc5364856"/>
      <w:r>
        <w:rPr>
          <w:rStyle w:val="CharSectno"/>
        </w:rPr>
        <w:t>77</w:t>
      </w:r>
      <w:r>
        <w:t>.</w:t>
      </w:r>
      <w:r>
        <w:tab/>
        <w:t>Documents etc applied, adopted and incorporated by Rules to be publicly available</w:t>
      </w:r>
      <w:bookmarkEnd w:id="5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557" w:name="_Toc501633935"/>
      <w:bookmarkStart w:id="558" w:name="_Toc501712831"/>
      <w:bookmarkStart w:id="559" w:name="_Toc536782025"/>
      <w:bookmarkStart w:id="560" w:name="_Toc5347083"/>
      <w:bookmarkStart w:id="561" w:name="_Toc5363636"/>
      <w:bookmarkStart w:id="562" w:name="_Toc5364857"/>
      <w:r>
        <w:t>Division 3 — Committees, panels and working groups of the AEMC</w:t>
      </w:r>
      <w:bookmarkEnd w:id="557"/>
      <w:bookmarkEnd w:id="558"/>
      <w:bookmarkEnd w:id="559"/>
      <w:bookmarkEnd w:id="560"/>
      <w:bookmarkEnd w:id="561"/>
      <w:bookmarkEnd w:id="562"/>
    </w:p>
    <w:p>
      <w:pPr>
        <w:pStyle w:val="Heading5"/>
      </w:pPr>
      <w:bookmarkStart w:id="563" w:name="_Toc5364858"/>
      <w:r>
        <w:rPr>
          <w:rStyle w:val="CharSectno"/>
        </w:rPr>
        <w:t>78</w:t>
      </w:r>
      <w:r>
        <w:t>.</w:t>
      </w:r>
      <w:r>
        <w:tab/>
        <w:t>Establishment of committees, panels and working groups</w:t>
      </w:r>
      <w:bookmarkEnd w:id="563"/>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564" w:name="_Toc501633937"/>
      <w:bookmarkStart w:id="565" w:name="_Toc501712833"/>
      <w:bookmarkStart w:id="566" w:name="_Toc536782027"/>
      <w:bookmarkStart w:id="567" w:name="_Toc5347085"/>
      <w:bookmarkStart w:id="568" w:name="_Toc5363638"/>
      <w:bookmarkStart w:id="569" w:name="_Toc5364859"/>
      <w:r>
        <w:t>Division 4 — MCE directed reviews</w:t>
      </w:r>
      <w:bookmarkEnd w:id="564"/>
      <w:bookmarkEnd w:id="565"/>
      <w:bookmarkEnd w:id="566"/>
      <w:bookmarkEnd w:id="567"/>
      <w:bookmarkEnd w:id="568"/>
      <w:bookmarkEnd w:id="569"/>
    </w:p>
    <w:p>
      <w:pPr>
        <w:pStyle w:val="Heading5"/>
      </w:pPr>
      <w:bookmarkStart w:id="570" w:name="_Toc5364860"/>
      <w:r>
        <w:rPr>
          <w:rStyle w:val="CharSectno"/>
        </w:rPr>
        <w:t>79</w:t>
      </w:r>
      <w:r>
        <w:t>.</w:t>
      </w:r>
      <w:r>
        <w:tab/>
        <w:t>MCE directions</w:t>
      </w:r>
      <w:bookmarkEnd w:id="5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571" w:name="_Toc5364861"/>
      <w:r>
        <w:rPr>
          <w:rStyle w:val="CharSectno"/>
        </w:rPr>
        <w:t>80</w:t>
      </w:r>
      <w:r>
        <w:t>.</w:t>
      </w:r>
      <w:r>
        <w:tab/>
        <w:t>Terms of reference</w:t>
      </w:r>
      <w:bookmarkEnd w:id="5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572" w:name="_Toc5364862"/>
      <w:r>
        <w:rPr>
          <w:rStyle w:val="CharSectno"/>
        </w:rPr>
        <w:t>81</w:t>
      </w:r>
      <w:r>
        <w:t>.</w:t>
      </w:r>
      <w:r>
        <w:tab/>
        <w:t>Notice of MCE directed review</w:t>
      </w:r>
      <w:bookmarkEnd w:id="5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573" w:name="_Toc5364863"/>
      <w:r>
        <w:rPr>
          <w:rStyle w:val="CharSectno"/>
        </w:rPr>
        <w:t>82</w:t>
      </w:r>
      <w:r>
        <w:t>.</w:t>
      </w:r>
      <w:r>
        <w:tab/>
        <w:t>Conduct of MCE directed review</w:t>
      </w:r>
      <w:bookmarkEnd w:id="573"/>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574" w:name="_Toc501633942"/>
      <w:bookmarkStart w:id="575" w:name="_Toc501712838"/>
      <w:bookmarkStart w:id="576" w:name="_Toc536782032"/>
      <w:bookmarkStart w:id="577" w:name="_Toc5347090"/>
      <w:bookmarkStart w:id="578" w:name="_Toc5363643"/>
      <w:bookmarkStart w:id="579" w:name="_Toc5364864"/>
      <w:r>
        <w:t>Division 5 — Other reviews</w:t>
      </w:r>
      <w:bookmarkEnd w:id="574"/>
      <w:bookmarkEnd w:id="575"/>
      <w:bookmarkEnd w:id="576"/>
      <w:bookmarkEnd w:id="577"/>
      <w:bookmarkEnd w:id="578"/>
      <w:bookmarkEnd w:id="579"/>
    </w:p>
    <w:p>
      <w:pPr>
        <w:pStyle w:val="Heading5"/>
      </w:pPr>
      <w:bookmarkStart w:id="580" w:name="_Toc5364865"/>
      <w:r>
        <w:rPr>
          <w:rStyle w:val="CharSectno"/>
        </w:rPr>
        <w:t>83</w:t>
      </w:r>
      <w:r>
        <w:t>.</w:t>
      </w:r>
      <w:r>
        <w:tab/>
        <w:t>Rule reviews by the AEMC</w:t>
      </w:r>
      <w:bookmarkEnd w:id="5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581" w:name="_Toc501633944"/>
      <w:bookmarkStart w:id="582" w:name="_Toc501712840"/>
      <w:bookmarkStart w:id="583" w:name="_Toc536782034"/>
      <w:bookmarkStart w:id="584" w:name="_Toc5347092"/>
      <w:bookmarkStart w:id="585" w:name="_Toc5363645"/>
      <w:bookmarkStart w:id="586" w:name="_Toc5364866"/>
      <w:r>
        <w:t>Division 6 — Miscellaneous matters</w:t>
      </w:r>
      <w:bookmarkEnd w:id="581"/>
      <w:bookmarkEnd w:id="582"/>
      <w:bookmarkEnd w:id="583"/>
      <w:bookmarkEnd w:id="584"/>
      <w:bookmarkEnd w:id="585"/>
      <w:bookmarkEnd w:id="586"/>
    </w:p>
    <w:p>
      <w:pPr>
        <w:pStyle w:val="Heading5"/>
      </w:pPr>
      <w:bookmarkStart w:id="587" w:name="_Toc5364867"/>
      <w:r>
        <w:rPr>
          <w:rStyle w:val="CharSectno"/>
        </w:rPr>
        <w:t>83A</w:t>
      </w:r>
      <w:r>
        <w:t>.</w:t>
      </w:r>
      <w:r>
        <w:tab/>
        <w:t>Special information and transparency requirements relating to non</w:t>
      </w:r>
      <w:r>
        <w:noBreakHyphen/>
        <w:t>scheme pipelines</w:t>
      </w:r>
      <w:bookmarkEnd w:id="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588" w:name="id16e1e13e_cfde_4d18_b3fc_94e5a9dfd8"/>
      <w:r>
        <w:rPr>
          <w:color w:val="000000"/>
          <w:sz w:val="23"/>
          <w:szCs w:val="23"/>
        </w:rPr>
        <w:tab/>
        <w:t>(2)</w:t>
      </w:r>
      <w:r>
        <w:rPr>
          <w:color w:val="000000"/>
          <w:sz w:val="23"/>
          <w:szCs w:val="23"/>
        </w:rPr>
        <w:tab/>
        <w:t>Without limiting any other provision, the Rules may provide for such things as—</w:t>
      </w:r>
      <w:bookmarkEnd w:id="588"/>
    </w:p>
    <w:p>
      <w:pPr>
        <w:keepLines/>
        <w:tabs>
          <w:tab w:val="center" w:pos="1985"/>
          <w:tab w:val="left" w:pos="2382"/>
        </w:tabs>
        <w:autoSpaceDE w:val="0"/>
        <w:autoSpaceDN w:val="0"/>
        <w:adjustRightInd w:val="0"/>
        <w:spacing w:before="120"/>
        <w:ind w:left="2382" w:hanging="794"/>
        <w:rPr>
          <w:color w:val="000000"/>
          <w:sz w:val="23"/>
          <w:szCs w:val="23"/>
        </w:rPr>
      </w:pPr>
      <w:bookmarkStart w:id="589"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589"/>
    </w:p>
    <w:p>
      <w:pPr>
        <w:keepLines/>
        <w:tabs>
          <w:tab w:val="center" w:pos="1985"/>
          <w:tab w:val="left" w:pos="2382"/>
        </w:tabs>
        <w:autoSpaceDE w:val="0"/>
        <w:autoSpaceDN w:val="0"/>
        <w:adjustRightInd w:val="0"/>
        <w:spacing w:before="120"/>
        <w:ind w:left="2382" w:hanging="794"/>
        <w:rPr>
          <w:color w:val="000000"/>
          <w:sz w:val="23"/>
          <w:szCs w:val="23"/>
        </w:rPr>
      </w:pPr>
      <w:bookmarkStart w:id="590" w:name="id86211e6a_ed2c_46fe_a639_95bd47e520"/>
      <w:r>
        <w:rPr>
          <w:color w:val="000000"/>
          <w:sz w:val="23"/>
          <w:szCs w:val="23"/>
        </w:rPr>
        <w:tab/>
        <w:t>(b)</w:t>
      </w:r>
      <w:r>
        <w:rPr>
          <w:color w:val="000000"/>
          <w:sz w:val="23"/>
          <w:szCs w:val="23"/>
        </w:rPr>
        <w:tab/>
        <w:t xml:space="preserve">without limiting </w:t>
      </w:r>
      <w:hyperlink w:anchor="ide1523334_7c87_472c_83af_88551bd104" w:history="1">
        <w:r>
          <w:rPr>
            <w:color w:val="000000"/>
            <w:sz w:val="23"/>
            <w:szCs w:val="23"/>
          </w:rPr>
          <w:t>paragraph (a)</w:t>
        </w:r>
      </w:hyperlink>
      <w:r>
        <w:rPr>
          <w:color w:val="000000"/>
          <w:sz w:val="23"/>
          <w:szCs w:val="23"/>
        </w:rPr>
        <w:t>,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590"/>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without limiting </w:t>
      </w:r>
      <w:hyperlink w:anchor="ide1523334_7c87_472c_83af_88551bd104" w:history="1">
        <w:r>
          <w:rPr>
            <w:color w:val="000000"/>
            <w:sz w:val="23"/>
            <w:szCs w:val="23"/>
          </w:rPr>
          <w:t>paragraphs (a)</w:t>
        </w:r>
      </w:hyperlink>
      <w:r>
        <w:rPr>
          <w:color w:val="000000"/>
          <w:sz w:val="23"/>
          <w:szCs w:val="23"/>
        </w:rPr>
        <w:t xml:space="preserve"> and </w:t>
      </w:r>
      <w:hyperlink w:anchor="id86211e6a_ed2c_46fe_a639_95bd47e520" w:history="1">
        <w:r>
          <w:rPr>
            <w:color w:val="000000"/>
            <w:sz w:val="23"/>
            <w:szCs w:val="23"/>
          </w:rPr>
          <w:t>(b)</w:t>
        </w:r>
      </w:hyperlink>
      <w:r>
        <w:rPr>
          <w:color w:val="000000"/>
          <w:sz w:val="23"/>
          <w:szCs w:val="23"/>
        </w:rPr>
        <w:t>,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Nothing in </w:t>
      </w:r>
      <w:hyperlink w:anchor="id16e1e13e_cfde_4d18_b3fc_94e5a9dfd8" w:history="1">
        <w:r>
          <w:rPr>
            <w:color w:val="000000"/>
            <w:sz w:val="23"/>
            <w:szCs w:val="23"/>
          </w:rPr>
          <w:t>subsection (2)</w:t>
        </w:r>
      </w:hyperlink>
      <w:r>
        <w:rPr>
          <w:color w:val="000000"/>
          <w:sz w:val="23"/>
          <w:szCs w:val="23"/>
        </w:rPr>
        <w:t xml:space="preserve">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 reference in </w:t>
      </w:r>
      <w:hyperlink w:anchor="id16e1e13e_cfde_4d18_b3fc_94e5a9dfd8" w:history="1">
        <w:r>
          <w:rPr>
            <w:color w:val="000000"/>
            <w:sz w:val="23"/>
            <w:szCs w:val="23"/>
          </w:rPr>
          <w:t>subsection (2)</w:t>
        </w:r>
      </w:hyperlink>
      <w:r>
        <w:rPr>
          <w:color w:val="000000"/>
          <w:sz w:val="23"/>
          <w:szCs w:val="23"/>
        </w:rPr>
        <w:t xml:space="preserve">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591" w:name="_Toc5364868"/>
      <w:r>
        <w:rPr>
          <w:rStyle w:val="CharSectno"/>
        </w:rPr>
        <w:t>84</w:t>
      </w:r>
      <w:r>
        <w:t>.</w:t>
      </w:r>
      <w:r>
        <w:tab/>
        <w:t>AEMC must publish and make available up to date versions of Rules</w:t>
      </w:r>
      <w:bookmarkEnd w:id="591"/>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592" w:name="_Toc5364869"/>
      <w:r>
        <w:rPr>
          <w:rStyle w:val="CharSectno"/>
        </w:rPr>
        <w:t>85</w:t>
      </w:r>
      <w:r>
        <w:t>.</w:t>
      </w:r>
      <w:r>
        <w:tab/>
        <w:t>Fees</w:t>
      </w:r>
      <w:bookmarkEnd w:id="5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593" w:name="_Toc5364870"/>
      <w:r>
        <w:rPr>
          <w:rStyle w:val="CharSectno"/>
        </w:rPr>
        <w:t>86</w:t>
      </w:r>
      <w:r>
        <w:t>.</w:t>
      </w:r>
      <w:r>
        <w:tab/>
        <w:t>Immunity from personal liability of AEMC officials</w:t>
      </w:r>
      <w:bookmarkEnd w:id="5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594" w:name="_Toc501633948"/>
      <w:bookmarkStart w:id="595" w:name="_Toc501712844"/>
      <w:bookmarkStart w:id="596" w:name="_Toc536782039"/>
      <w:bookmarkStart w:id="597" w:name="_Toc5347097"/>
      <w:bookmarkStart w:id="598" w:name="_Toc5363650"/>
      <w:bookmarkStart w:id="599" w:name="_Toc5364871"/>
      <w:r>
        <w:rPr>
          <w:rStyle w:val="CharDivNo"/>
        </w:rPr>
        <w:t>Part 3</w:t>
      </w:r>
      <w:r>
        <w:t xml:space="preserve"> — </w:t>
      </w:r>
      <w:r>
        <w:rPr>
          <w:rStyle w:val="CharDivText"/>
        </w:rPr>
        <w:t>Functions and powers of Ministers of participating jurisdictions</w:t>
      </w:r>
      <w:bookmarkEnd w:id="594"/>
      <w:bookmarkEnd w:id="595"/>
      <w:bookmarkEnd w:id="596"/>
      <w:bookmarkEnd w:id="597"/>
      <w:bookmarkEnd w:id="598"/>
      <w:bookmarkEnd w:id="599"/>
    </w:p>
    <w:p>
      <w:pPr>
        <w:pStyle w:val="Heading5"/>
      </w:pPr>
      <w:bookmarkStart w:id="600" w:name="_Toc5364872"/>
      <w:r>
        <w:rPr>
          <w:rStyle w:val="CharSectno"/>
        </w:rPr>
        <w:t>87</w:t>
      </w:r>
      <w:r>
        <w:t>.</w:t>
      </w:r>
      <w:r>
        <w:tab/>
        <w:t>Functions and powers of Minister of this participating jurisdiction under this Law</w:t>
      </w:r>
      <w:bookmarkEnd w:id="6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601" w:name="_Toc5364873"/>
      <w:r>
        <w:rPr>
          <w:rStyle w:val="CharSectno"/>
        </w:rPr>
        <w:t>88</w:t>
      </w:r>
      <w:r>
        <w:t>.</w:t>
      </w:r>
      <w:r>
        <w:tab/>
        <w:t>Functions and powers of Commonwealth Minister under this Law</w:t>
      </w:r>
      <w:bookmarkEnd w:id="6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602" w:name="_Toc501633951"/>
      <w:bookmarkStart w:id="603" w:name="_Toc501712847"/>
      <w:bookmarkStart w:id="604" w:name="_Toc536782042"/>
      <w:bookmarkStart w:id="605" w:name="_Toc5347100"/>
      <w:bookmarkStart w:id="606" w:name="_Toc5363653"/>
      <w:bookmarkStart w:id="607" w:name="_Toc5364874"/>
      <w:r>
        <w:rPr>
          <w:rStyle w:val="CharDivNo"/>
        </w:rPr>
        <w:t>Part 4</w:t>
      </w:r>
      <w:r>
        <w:t xml:space="preserve"> — </w:t>
      </w:r>
      <w:r>
        <w:rPr>
          <w:rStyle w:val="CharDivText"/>
        </w:rPr>
        <w:t>Functions and powers of the NCC</w:t>
      </w:r>
      <w:bookmarkEnd w:id="602"/>
      <w:bookmarkEnd w:id="603"/>
      <w:bookmarkEnd w:id="604"/>
      <w:bookmarkEnd w:id="605"/>
      <w:bookmarkEnd w:id="606"/>
      <w:bookmarkEnd w:id="607"/>
    </w:p>
    <w:p>
      <w:pPr>
        <w:pStyle w:val="Heading5"/>
      </w:pPr>
      <w:bookmarkStart w:id="608" w:name="_Toc5364875"/>
      <w:r>
        <w:rPr>
          <w:rStyle w:val="CharSectno"/>
        </w:rPr>
        <w:t>89</w:t>
      </w:r>
      <w:r>
        <w:t>.</w:t>
      </w:r>
      <w:r>
        <w:tab/>
        <w:t>Functions and powers of NCC under this Law</w:t>
      </w:r>
      <w:bookmarkEnd w:id="6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609" w:name="_Toc5364876"/>
      <w:r>
        <w:rPr>
          <w:rStyle w:val="CharSectno"/>
        </w:rPr>
        <w:t>90</w:t>
      </w:r>
      <w:r>
        <w:t>.</w:t>
      </w:r>
      <w:r>
        <w:tab/>
        <w:t>Confidentiality</w:t>
      </w:r>
      <w:bookmarkEnd w:id="6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610" w:name="_Toc501633954"/>
      <w:bookmarkStart w:id="611" w:name="_Toc501712850"/>
      <w:bookmarkStart w:id="612" w:name="_Toc536782045"/>
      <w:bookmarkStart w:id="613" w:name="_Toc5347103"/>
      <w:bookmarkStart w:id="614" w:name="_Toc5363656"/>
      <w:bookmarkStart w:id="615" w:name="_Toc5364877"/>
      <w:r>
        <w:rPr>
          <w:rStyle w:val="CharDivNo"/>
        </w:rPr>
        <w:t>Part 5</w:t>
      </w:r>
      <w:r>
        <w:t xml:space="preserve"> — </w:t>
      </w:r>
      <w:r>
        <w:rPr>
          <w:rStyle w:val="CharDivText"/>
        </w:rPr>
        <w:t>Functions and powers of Tribunal</w:t>
      </w:r>
      <w:bookmarkEnd w:id="610"/>
      <w:bookmarkEnd w:id="611"/>
      <w:bookmarkEnd w:id="612"/>
      <w:bookmarkEnd w:id="613"/>
      <w:bookmarkEnd w:id="614"/>
      <w:bookmarkEnd w:id="615"/>
    </w:p>
    <w:p>
      <w:pPr>
        <w:pStyle w:val="Heading5"/>
      </w:pPr>
      <w:bookmarkStart w:id="616" w:name="_Toc5364878"/>
      <w:r>
        <w:rPr>
          <w:rStyle w:val="CharSectno"/>
        </w:rPr>
        <w:t>91</w:t>
      </w:r>
      <w:r>
        <w:t>.</w:t>
      </w:r>
      <w:r>
        <w:tab/>
        <w:t>Functions and powers of Tribunal under this Law</w:t>
      </w:r>
      <w:bookmarkEnd w:id="6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617" w:name="_Toc501633956"/>
      <w:bookmarkStart w:id="618" w:name="_Toc501712852"/>
      <w:bookmarkStart w:id="619" w:name="_Toc536782047"/>
      <w:bookmarkStart w:id="620" w:name="_Toc5347105"/>
      <w:bookmarkStart w:id="621" w:name="_Toc5363658"/>
      <w:bookmarkStart w:id="622" w:name="_Toc5364879"/>
      <w:r>
        <w:rPr>
          <w:rStyle w:val="CharPartNo"/>
        </w:rPr>
        <w:t>Chapter 3</w:t>
      </w:r>
      <w:r>
        <w:t xml:space="preserve"> — </w:t>
      </w:r>
      <w:r>
        <w:rPr>
          <w:rStyle w:val="CharPartText"/>
        </w:rPr>
        <w:t>Coverage and classification of pipelines</w:t>
      </w:r>
      <w:bookmarkEnd w:id="617"/>
      <w:bookmarkEnd w:id="618"/>
      <w:bookmarkEnd w:id="619"/>
      <w:bookmarkEnd w:id="620"/>
      <w:bookmarkEnd w:id="621"/>
      <w:bookmarkEnd w:id="622"/>
    </w:p>
    <w:p>
      <w:pPr>
        <w:pStyle w:val="Heading3"/>
      </w:pPr>
      <w:bookmarkStart w:id="623" w:name="_Toc501633957"/>
      <w:bookmarkStart w:id="624" w:name="_Toc501712853"/>
      <w:bookmarkStart w:id="625" w:name="_Toc536782048"/>
      <w:bookmarkStart w:id="626" w:name="_Toc5347106"/>
      <w:bookmarkStart w:id="627" w:name="_Toc5363659"/>
      <w:bookmarkStart w:id="628" w:name="_Toc5364880"/>
      <w:r>
        <w:rPr>
          <w:rStyle w:val="CharDivNo"/>
        </w:rPr>
        <w:t>Part 1</w:t>
      </w:r>
      <w:r>
        <w:t xml:space="preserve"> — </w:t>
      </w:r>
      <w:r>
        <w:rPr>
          <w:rStyle w:val="CharDivText"/>
        </w:rPr>
        <w:t>Coverage of pipelines</w:t>
      </w:r>
      <w:bookmarkEnd w:id="623"/>
      <w:bookmarkEnd w:id="624"/>
      <w:bookmarkEnd w:id="625"/>
      <w:bookmarkEnd w:id="626"/>
      <w:bookmarkEnd w:id="627"/>
      <w:bookmarkEnd w:id="628"/>
    </w:p>
    <w:p>
      <w:pPr>
        <w:pStyle w:val="Heading4"/>
      </w:pPr>
      <w:bookmarkStart w:id="629" w:name="_Toc501633958"/>
      <w:bookmarkStart w:id="630" w:name="_Toc501712854"/>
      <w:bookmarkStart w:id="631" w:name="_Toc536782049"/>
      <w:bookmarkStart w:id="632" w:name="_Toc5347107"/>
      <w:bookmarkStart w:id="633" w:name="_Toc5363660"/>
      <w:bookmarkStart w:id="634" w:name="_Toc5364881"/>
      <w:r>
        <w:t>Division 1 — Coverage determinations</w:t>
      </w:r>
      <w:bookmarkEnd w:id="629"/>
      <w:bookmarkEnd w:id="630"/>
      <w:bookmarkEnd w:id="631"/>
      <w:bookmarkEnd w:id="632"/>
      <w:bookmarkEnd w:id="633"/>
      <w:bookmarkEnd w:id="634"/>
    </w:p>
    <w:p>
      <w:pPr>
        <w:pStyle w:val="Heading5"/>
      </w:pPr>
      <w:bookmarkStart w:id="635" w:name="_Toc5364882"/>
      <w:r>
        <w:rPr>
          <w:rStyle w:val="CharSectno"/>
        </w:rPr>
        <w:t>92</w:t>
      </w:r>
      <w:r>
        <w:t>.</w:t>
      </w:r>
      <w:r>
        <w:tab/>
        <w:t>Application for recommendation that a pipeline be a covered pipeline</w:t>
      </w:r>
      <w:bookmarkEnd w:id="6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636" w:name="_Toc5364883"/>
      <w:r>
        <w:rPr>
          <w:rStyle w:val="CharSectno"/>
        </w:rPr>
        <w:t>93</w:t>
      </w:r>
      <w:r>
        <w:t>.</w:t>
      </w:r>
      <w:r>
        <w:tab/>
        <w:t>Application to be dealt with in accordance with the Rules</w:t>
      </w:r>
      <w:bookmarkEnd w:id="636"/>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637" w:name="_Toc5364884"/>
      <w:r>
        <w:rPr>
          <w:rStyle w:val="CharSectno"/>
        </w:rPr>
        <w:t>94</w:t>
      </w:r>
      <w:r>
        <w:t>.</w:t>
      </w:r>
      <w:r>
        <w:tab/>
        <w:t>NCC may defer consideration of application in</w:t>
      </w:r>
      <w:r>
        <w:rPr>
          <w:bCs/>
          <w:color w:val="000000"/>
          <w:sz w:val="26"/>
          <w:szCs w:val="26"/>
        </w:rPr>
        <w:t xml:space="preserve"> certain cases</w:t>
      </w:r>
      <w:bookmarkEnd w:id="63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638" w:name="_Toc5364885"/>
      <w:r>
        <w:rPr>
          <w:rStyle w:val="CharSectno"/>
        </w:rPr>
        <w:t>95</w:t>
      </w:r>
      <w:r>
        <w:t>.</w:t>
      </w:r>
      <w:r>
        <w:tab/>
        <w:t>NCC coverage recommendation</w:t>
      </w:r>
      <w:bookmarkEnd w:id="6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639" w:name="_Toc5364886"/>
      <w:r>
        <w:rPr>
          <w:rStyle w:val="CharSectno"/>
        </w:rPr>
        <w:t>96</w:t>
      </w:r>
      <w:r>
        <w:t>.</w:t>
      </w:r>
      <w:r>
        <w:tab/>
        <w:t>NCC must not make coverage recommendation if tender approval decision becomes irrevocable</w:t>
      </w:r>
      <w:bookmarkEnd w:id="639"/>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640" w:name="_Toc5364887"/>
      <w:r>
        <w:rPr>
          <w:rStyle w:val="CharSectno"/>
        </w:rPr>
        <w:t>97</w:t>
      </w:r>
      <w:r>
        <w:t>.</w:t>
      </w:r>
      <w:r>
        <w:tab/>
        <w:t>Principles governing the making of a coverage recommendation</w:t>
      </w:r>
      <w:bookmarkEnd w:id="6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641" w:name="_Toc5364888"/>
      <w:r>
        <w:rPr>
          <w:rStyle w:val="CharSectno"/>
        </w:rPr>
        <w:t>98</w:t>
      </w:r>
      <w:r>
        <w:t>.</w:t>
      </w:r>
      <w:r>
        <w:tab/>
        <w:t>Initial classification decision to be made as part of recommendation</w:t>
      </w:r>
      <w:bookmarkEnd w:id="6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642" w:name="_Toc5364889"/>
      <w:r>
        <w:rPr>
          <w:rStyle w:val="CharSectno"/>
        </w:rPr>
        <w:t>99</w:t>
      </w:r>
      <w:r>
        <w:t>.</w:t>
      </w:r>
      <w:r>
        <w:tab/>
        <w:t>Relevant Minister’s determination on application</w:t>
      </w:r>
      <w:bookmarkEnd w:id="6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643" w:name="_Toc5364890"/>
      <w:r>
        <w:rPr>
          <w:rStyle w:val="CharSectno"/>
        </w:rPr>
        <w:t>100</w:t>
      </w:r>
      <w:r>
        <w:t>.</w:t>
      </w:r>
      <w:r>
        <w:tab/>
        <w:t>Principles governing the making of a coverage determination or decision not to do so</w:t>
      </w:r>
      <w:bookmarkEnd w:id="6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644" w:name="_Toc5364891"/>
      <w:r>
        <w:rPr>
          <w:rStyle w:val="CharSectno"/>
        </w:rPr>
        <w:t>101</w:t>
      </w:r>
      <w:r>
        <w:t>.</w:t>
      </w:r>
      <w:r>
        <w:tab/>
        <w:t>Operation and effect of coverage determination</w:t>
      </w:r>
      <w:bookmarkEnd w:id="644"/>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645" w:name="_Toc501633969"/>
      <w:bookmarkStart w:id="646" w:name="_Toc501712865"/>
      <w:bookmarkStart w:id="647" w:name="_Toc536782060"/>
      <w:bookmarkStart w:id="648" w:name="_Toc5347118"/>
      <w:bookmarkStart w:id="649" w:name="_Toc5363671"/>
      <w:bookmarkStart w:id="650" w:name="_Toc5364892"/>
      <w:r>
        <w:t>Division 2 — Coverage revocation determinations</w:t>
      </w:r>
      <w:bookmarkEnd w:id="645"/>
      <w:bookmarkEnd w:id="646"/>
      <w:bookmarkEnd w:id="647"/>
      <w:bookmarkEnd w:id="648"/>
      <w:bookmarkEnd w:id="649"/>
      <w:bookmarkEnd w:id="650"/>
    </w:p>
    <w:p>
      <w:pPr>
        <w:pStyle w:val="Heading5"/>
      </w:pPr>
      <w:bookmarkStart w:id="651" w:name="_Toc5364893"/>
      <w:r>
        <w:rPr>
          <w:rStyle w:val="CharSectno"/>
        </w:rPr>
        <w:t>102</w:t>
      </w:r>
      <w:r>
        <w:t>.</w:t>
      </w:r>
      <w:r>
        <w:tab/>
        <w:t>Application for a determination that a pipeline no longer be a covered pipeline</w:t>
      </w:r>
      <w:bookmarkEnd w:id="6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652" w:name="_Toc5364894"/>
      <w:r>
        <w:rPr>
          <w:rStyle w:val="CharSectno"/>
        </w:rPr>
        <w:t>103</w:t>
      </w:r>
      <w:r>
        <w:t>.</w:t>
      </w:r>
      <w:r>
        <w:tab/>
        <w:t>Application to be dealt with in accordance with the Rules</w:t>
      </w:r>
      <w:bookmarkEnd w:id="652"/>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653" w:name="_Toc5364895"/>
      <w:r>
        <w:rPr>
          <w:rStyle w:val="CharSectno"/>
        </w:rPr>
        <w:t>104</w:t>
      </w:r>
      <w:r>
        <w:t>.</w:t>
      </w:r>
      <w:r>
        <w:tab/>
        <w:t>NCC coverage revocation recommendation</w:t>
      </w:r>
      <w:bookmarkEnd w:id="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654" w:name="_Toc5364896"/>
      <w:r>
        <w:rPr>
          <w:rStyle w:val="CharSectno"/>
        </w:rPr>
        <w:t>105</w:t>
      </w:r>
      <w:r>
        <w:t>.</w:t>
      </w:r>
      <w:r>
        <w:tab/>
        <w:t>Principles governing the making of a coverage revocation recommendation</w:t>
      </w:r>
      <w:bookmarkEnd w:id="6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655" w:name="_Toc5364897"/>
      <w:r>
        <w:rPr>
          <w:rStyle w:val="CharSectno"/>
        </w:rPr>
        <w:t>106</w:t>
      </w:r>
      <w:r>
        <w:t>.</w:t>
      </w:r>
      <w:r>
        <w:tab/>
        <w:t>Relevant Minister’s determination on application</w:t>
      </w:r>
      <w:bookmarkEnd w:id="6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656" w:name="_Toc5364898"/>
      <w:r>
        <w:rPr>
          <w:rStyle w:val="CharSectno"/>
        </w:rPr>
        <w:t>107</w:t>
      </w:r>
      <w:r>
        <w:t>.</w:t>
      </w:r>
      <w:r>
        <w:tab/>
        <w:t>Principles governing the making of a coverage revocation determination or decision not to do so</w:t>
      </w:r>
      <w:bookmarkEnd w:id="65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657" w:name="_Toc5364899"/>
      <w:r>
        <w:rPr>
          <w:rStyle w:val="CharSectno"/>
        </w:rPr>
        <w:t>108</w:t>
      </w:r>
      <w:r>
        <w:t>.</w:t>
      </w:r>
      <w:r>
        <w:tab/>
        <w:t>Operation and effect of coverage revocation determination</w:t>
      </w:r>
      <w:bookmarkEnd w:id="65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658" w:name="_Toc501633977"/>
      <w:bookmarkStart w:id="659" w:name="_Toc501712873"/>
      <w:bookmarkStart w:id="660" w:name="_Toc536782068"/>
      <w:bookmarkStart w:id="661" w:name="_Toc5347126"/>
      <w:bookmarkStart w:id="662" w:name="_Toc5363679"/>
      <w:bookmarkStart w:id="663" w:name="_Toc5364900"/>
      <w:r>
        <w:rPr>
          <w:rStyle w:val="CharDivNo"/>
        </w:rPr>
        <w:t>Part 2</w:t>
      </w:r>
      <w:r>
        <w:t xml:space="preserve"> — </w:t>
      </w:r>
      <w:r>
        <w:rPr>
          <w:rStyle w:val="CharDivText"/>
        </w:rPr>
        <w:t>Light regulation of covered pipeline services</w:t>
      </w:r>
      <w:bookmarkEnd w:id="658"/>
      <w:bookmarkEnd w:id="659"/>
      <w:bookmarkEnd w:id="660"/>
      <w:bookmarkEnd w:id="661"/>
      <w:bookmarkEnd w:id="662"/>
      <w:bookmarkEnd w:id="663"/>
    </w:p>
    <w:p>
      <w:pPr>
        <w:pStyle w:val="Heading4"/>
      </w:pPr>
      <w:bookmarkStart w:id="664" w:name="_Toc501633978"/>
      <w:bookmarkStart w:id="665" w:name="_Toc501712874"/>
      <w:bookmarkStart w:id="666" w:name="_Toc536782069"/>
      <w:bookmarkStart w:id="667" w:name="_Toc5347127"/>
      <w:bookmarkStart w:id="668" w:name="_Toc5363680"/>
      <w:bookmarkStart w:id="669" w:name="_Toc5364901"/>
      <w:r>
        <w:t>Division 1 — Making of light regulation determinations</w:t>
      </w:r>
      <w:bookmarkEnd w:id="664"/>
      <w:bookmarkEnd w:id="665"/>
      <w:bookmarkEnd w:id="666"/>
      <w:bookmarkEnd w:id="667"/>
      <w:bookmarkEnd w:id="668"/>
      <w:bookmarkEnd w:id="669"/>
    </w:p>
    <w:p>
      <w:pPr>
        <w:pStyle w:val="Heading4"/>
      </w:pPr>
      <w:bookmarkStart w:id="670" w:name="_Toc501633979"/>
      <w:bookmarkStart w:id="671" w:name="_Toc501712875"/>
      <w:bookmarkStart w:id="672" w:name="_Toc536782070"/>
      <w:bookmarkStart w:id="673" w:name="_Toc5347128"/>
      <w:bookmarkStart w:id="674" w:name="_Toc5363681"/>
      <w:bookmarkStart w:id="675" w:name="_Toc5364902"/>
      <w:r>
        <w:t>Subdivision 1 — Decisions when pipeline is not a covered pipeline</w:t>
      </w:r>
      <w:bookmarkEnd w:id="670"/>
      <w:bookmarkEnd w:id="671"/>
      <w:bookmarkEnd w:id="672"/>
      <w:bookmarkEnd w:id="673"/>
      <w:bookmarkEnd w:id="674"/>
      <w:bookmarkEnd w:id="675"/>
    </w:p>
    <w:p>
      <w:pPr>
        <w:pStyle w:val="Heading5"/>
      </w:pPr>
      <w:bookmarkStart w:id="676" w:name="_Toc5364903"/>
      <w:r>
        <w:rPr>
          <w:rStyle w:val="CharSectno"/>
        </w:rPr>
        <w:t>109</w:t>
      </w:r>
      <w:r>
        <w:t>.</w:t>
      </w:r>
      <w:r>
        <w:tab/>
        <w:t>Application of Subdivision</w:t>
      </w:r>
      <w:bookmarkEnd w:id="676"/>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677" w:name="_Toc5364904"/>
      <w:r>
        <w:rPr>
          <w:rStyle w:val="CharSectno"/>
        </w:rPr>
        <w:t>110</w:t>
      </w:r>
      <w:r>
        <w:t>.</w:t>
      </w:r>
      <w:r>
        <w:tab/>
        <w:t>NCC’s decision on light regulation of pipeline services</w:t>
      </w:r>
      <w:bookmarkEnd w:id="6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678" w:name="_Toc501633982"/>
      <w:bookmarkStart w:id="679" w:name="_Toc501712878"/>
      <w:bookmarkStart w:id="680" w:name="_Toc536782073"/>
      <w:bookmarkStart w:id="681" w:name="_Toc5347131"/>
      <w:bookmarkStart w:id="682" w:name="_Toc5363684"/>
      <w:bookmarkStart w:id="683" w:name="_Toc5364905"/>
      <w:r>
        <w:t>Subdivision 2 — Decisions when pipeline is a covered pipeline</w:t>
      </w:r>
      <w:bookmarkEnd w:id="678"/>
      <w:bookmarkEnd w:id="679"/>
      <w:bookmarkEnd w:id="680"/>
      <w:bookmarkEnd w:id="681"/>
      <w:bookmarkEnd w:id="682"/>
      <w:bookmarkEnd w:id="683"/>
    </w:p>
    <w:p>
      <w:pPr>
        <w:pStyle w:val="Heading5"/>
      </w:pPr>
      <w:bookmarkStart w:id="684" w:name="_Toc5364906"/>
      <w:r>
        <w:rPr>
          <w:rStyle w:val="CharSectno"/>
        </w:rPr>
        <w:t>111</w:t>
      </w:r>
      <w:r>
        <w:t>.</w:t>
      </w:r>
      <w:r>
        <w:tab/>
        <w:t>Application of Subdivision</w:t>
      </w:r>
      <w:bookmarkEnd w:id="684"/>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685" w:name="_Toc5364907"/>
      <w:r>
        <w:rPr>
          <w:rStyle w:val="CharSectno"/>
        </w:rPr>
        <w:t>112</w:t>
      </w:r>
      <w:r>
        <w:t>.</w:t>
      </w:r>
      <w:r>
        <w:tab/>
        <w:t>Application</w:t>
      </w:r>
      <w:bookmarkEnd w:id="6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686" w:name="_Toc5364908"/>
      <w:r>
        <w:rPr>
          <w:rStyle w:val="CharSectno"/>
        </w:rPr>
        <w:t>113</w:t>
      </w:r>
      <w:r>
        <w:t>.</w:t>
      </w:r>
      <w:r>
        <w:tab/>
        <w:t>Application to be dealt with in accordance with the Rules</w:t>
      </w:r>
      <w:bookmarkEnd w:id="686"/>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687" w:name="_Toc5364909"/>
      <w:r>
        <w:rPr>
          <w:rStyle w:val="CharSectno"/>
        </w:rPr>
        <w:t>114</w:t>
      </w:r>
      <w:r>
        <w:t>.</w:t>
      </w:r>
      <w:r>
        <w:tab/>
        <w:t>NCC’s decision on light regulation of pipeline services</w:t>
      </w:r>
      <w:bookmarkEnd w:id="6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688" w:name="_Toc501633987"/>
      <w:bookmarkStart w:id="689" w:name="_Toc501712883"/>
      <w:bookmarkStart w:id="690" w:name="_Toc536782078"/>
      <w:bookmarkStart w:id="691" w:name="_Toc5347136"/>
      <w:bookmarkStart w:id="692" w:name="_Toc5363689"/>
      <w:bookmarkStart w:id="693" w:name="_Toc5364910"/>
      <w:r>
        <w:t>Subdivision 3 — Operation and effect of light regulation determinations</w:t>
      </w:r>
      <w:bookmarkEnd w:id="688"/>
      <w:bookmarkEnd w:id="689"/>
      <w:bookmarkEnd w:id="690"/>
      <w:bookmarkEnd w:id="691"/>
      <w:bookmarkEnd w:id="692"/>
      <w:bookmarkEnd w:id="693"/>
    </w:p>
    <w:p>
      <w:pPr>
        <w:pStyle w:val="Heading5"/>
      </w:pPr>
      <w:bookmarkStart w:id="694" w:name="_Toc5364911"/>
      <w:r>
        <w:rPr>
          <w:rStyle w:val="CharSectno"/>
        </w:rPr>
        <w:t>115</w:t>
      </w:r>
      <w:r>
        <w:t>.</w:t>
      </w:r>
      <w:r>
        <w:tab/>
        <w:t>When light regulation determinations take effect</w:t>
      </w:r>
      <w:bookmarkEnd w:id="6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695" w:name="_Toc5364912"/>
      <w:r>
        <w:rPr>
          <w:rStyle w:val="CharSectno"/>
        </w:rPr>
        <w:t>116</w:t>
      </w:r>
      <w:r>
        <w:t>.</w:t>
      </w:r>
      <w:r>
        <w:tab/>
        <w:t>Submission of limited access arrangement for light regulation services</w:t>
      </w:r>
      <w:bookmarkEnd w:id="6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696" w:name="_Toc501633990"/>
      <w:bookmarkStart w:id="697" w:name="_Toc501712886"/>
      <w:bookmarkStart w:id="698" w:name="_Toc536782081"/>
      <w:bookmarkStart w:id="699" w:name="_Toc5347139"/>
      <w:bookmarkStart w:id="700" w:name="_Toc5363692"/>
      <w:bookmarkStart w:id="701" w:name="_Toc5364913"/>
      <w:r>
        <w:t>Division 2 — Revocation of light regulation determinations</w:t>
      </w:r>
      <w:bookmarkEnd w:id="696"/>
      <w:bookmarkEnd w:id="697"/>
      <w:bookmarkEnd w:id="698"/>
      <w:bookmarkEnd w:id="699"/>
      <w:bookmarkEnd w:id="700"/>
      <w:bookmarkEnd w:id="701"/>
    </w:p>
    <w:p>
      <w:pPr>
        <w:pStyle w:val="Heading4"/>
      </w:pPr>
      <w:bookmarkStart w:id="702" w:name="_Toc501633991"/>
      <w:bookmarkStart w:id="703" w:name="_Toc501712887"/>
      <w:bookmarkStart w:id="704" w:name="_Toc536782082"/>
      <w:bookmarkStart w:id="705" w:name="_Toc5347140"/>
      <w:bookmarkStart w:id="706" w:name="_Toc5363693"/>
      <w:bookmarkStart w:id="707" w:name="_Toc5364914"/>
      <w:r>
        <w:t>Subdivision 1 — On advice from service providers</w:t>
      </w:r>
      <w:bookmarkEnd w:id="702"/>
      <w:bookmarkEnd w:id="703"/>
      <w:bookmarkEnd w:id="704"/>
      <w:bookmarkEnd w:id="705"/>
      <w:bookmarkEnd w:id="706"/>
      <w:bookmarkEnd w:id="707"/>
    </w:p>
    <w:p>
      <w:pPr>
        <w:pStyle w:val="Heading5"/>
      </w:pPr>
      <w:bookmarkStart w:id="708" w:name="_Toc5364915"/>
      <w:r>
        <w:rPr>
          <w:rStyle w:val="CharSectno"/>
        </w:rPr>
        <w:t>117</w:t>
      </w:r>
      <w:r>
        <w:t>.</w:t>
      </w:r>
      <w:r>
        <w:tab/>
        <w:t>Advice by service provider that light regulation services should cease to be light regulation services</w:t>
      </w:r>
      <w:bookmarkEnd w:id="7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709" w:name="_Toc501633993"/>
      <w:bookmarkStart w:id="710" w:name="_Toc501712889"/>
      <w:bookmarkStart w:id="711" w:name="_Toc536782084"/>
      <w:bookmarkStart w:id="712" w:name="_Toc5347142"/>
      <w:bookmarkStart w:id="713" w:name="_Toc5363695"/>
      <w:bookmarkStart w:id="714" w:name="_Toc5364916"/>
      <w:r>
        <w:t>Subdivision 2 — On application by persons other than service providers</w:t>
      </w:r>
      <w:bookmarkEnd w:id="709"/>
      <w:bookmarkEnd w:id="710"/>
      <w:bookmarkEnd w:id="711"/>
      <w:bookmarkEnd w:id="712"/>
      <w:bookmarkEnd w:id="713"/>
      <w:bookmarkEnd w:id="714"/>
    </w:p>
    <w:p>
      <w:pPr>
        <w:pStyle w:val="Heading5"/>
      </w:pPr>
      <w:bookmarkStart w:id="715" w:name="_Toc5364917"/>
      <w:r>
        <w:rPr>
          <w:rStyle w:val="CharSectno"/>
        </w:rPr>
        <w:t>118</w:t>
      </w:r>
      <w:r>
        <w:t>.</w:t>
      </w:r>
      <w:r>
        <w:tab/>
        <w:t>Application (other than by service provider) for revocation of light regulation determinations</w:t>
      </w:r>
      <w:bookmarkEnd w:id="7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716" w:name="_Toc5364918"/>
      <w:r>
        <w:rPr>
          <w:rStyle w:val="CharSectno"/>
        </w:rPr>
        <w:t>119</w:t>
      </w:r>
      <w:r>
        <w:t>.</w:t>
      </w:r>
      <w:r>
        <w:tab/>
        <w:t>Decisions on applications made around time of applications for coverage revocation determinations</w:t>
      </w:r>
      <w:bookmarkEnd w:id="7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717" w:name="_Toc5364919"/>
      <w:r>
        <w:rPr>
          <w:rStyle w:val="CharSectno"/>
        </w:rPr>
        <w:t>120</w:t>
      </w:r>
      <w:r>
        <w:t>.</w:t>
      </w:r>
      <w:r>
        <w:tab/>
        <w:t>NCC decision on application where no application for a coverage revocation recommendation</w:t>
      </w:r>
      <w:bookmarkEnd w:id="7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718" w:name="_Toc5364920"/>
      <w:r>
        <w:rPr>
          <w:rStyle w:val="CharSectno"/>
        </w:rPr>
        <w:t>121</w:t>
      </w:r>
      <w:r>
        <w:t>.</w:t>
      </w:r>
      <w:r>
        <w:tab/>
        <w:t>Operation and effect of decision of NCC under this Division</w:t>
      </w:r>
      <w:bookmarkEnd w:id="71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719" w:name="_Toc501633998"/>
      <w:bookmarkStart w:id="720" w:name="_Toc501712894"/>
      <w:bookmarkStart w:id="721" w:name="_Toc536782089"/>
      <w:bookmarkStart w:id="722" w:name="_Toc5347147"/>
      <w:bookmarkStart w:id="723" w:name="_Toc5363700"/>
      <w:bookmarkStart w:id="724" w:name="_Toc5364921"/>
      <w:r>
        <w:t>Division 3 — Principles governing light regulation determinations</w:t>
      </w:r>
      <w:bookmarkEnd w:id="719"/>
      <w:bookmarkEnd w:id="720"/>
      <w:bookmarkEnd w:id="721"/>
      <w:bookmarkEnd w:id="722"/>
      <w:bookmarkEnd w:id="723"/>
      <w:bookmarkEnd w:id="724"/>
    </w:p>
    <w:p>
      <w:pPr>
        <w:pStyle w:val="Heading5"/>
      </w:pPr>
      <w:bookmarkStart w:id="725" w:name="_Toc5364922"/>
      <w:r>
        <w:rPr>
          <w:rStyle w:val="CharSectno"/>
        </w:rPr>
        <w:t>122</w:t>
      </w:r>
      <w:r>
        <w:t>.</w:t>
      </w:r>
      <w:r>
        <w:tab/>
        <w:t>Principles governing the making or revoking of light regulation determinations</w:t>
      </w:r>
      <w:bookmarkEnd w:id="7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726" w:name="_Toc501634000"/>
      <w:bookmarkStart w:id="727" w:name="_Toc501712896"/>
      <w:bookmarkStart w:id="728" w:name="_Toc536782091"/>
      <w:bookmarkStart w:id="729" w:name="_Toc5347149"/>
      <w:bookmarkStart w:id="730" w:name="_Toc5363702"/>
      <w:bookmarkStart w:id="731" w:name="_Toc5364923"/>
      <w:r>
        <w:t>Division 4 — Revocation if coverage determination not made</w:t>
      </w:r>
      <w:bookmarkEnd w:id="726"/>
      <w:bookmarkEnd w:id="727"/>
      <w:bookmarkEnd w:id="728"/>
      <w:bookmarkEnd w:id="729"/>
      <w:bookmarkEnd w:id="730"/>
      <w:bookmarkEnd w:id="731"/>
    </w:p>
    <w:p>
      <w:pPr>
        <w:pStyle w:val="Heading5"/>
      </w:pPr>
      <w:bookmarkStart w:id="732" w:name="_Toc5364924"/>
      <w:r>
        <w:rPr>
          <w:rStyle w:val="CharSectno"/>
        </w:rPr>
        <w:t>123</w:t>
      </w:r>
      <w:r>
        <w:t>.</w:t>
      </w:r>
      <w:r>
        <w:tab/>
        <w:t>Light regulation determination revoked if coverage determination not made</w:t>
      </w:r>
      <w:bookmarkEnd w:id="7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733" w:name="_Toc501634002"/>
      <w:bookmarkStart w:id="734" w:name="_Toc501712898"/>
      <w:bookmarkStart w:id="735" w:name="_Toc536782093"/>
      <w:bookmarkStart w:id="736" w:name="_Toc5347151"/>
      <w:bookmarkStart w:id="737" w:name="_Toc5363704"/>
      <w:bookmarkStart w:id="738" w:name="_Toc5364925"/>
      <w:r>
        <w:t>Division 5 — Effect of pipeline ceasing to be covered pipeline</w:t>
      </w:r>
      <w:bookmarkEnd w:id="733"/>
      <w:bookmarkEnd w:id="734"/>
      <w:bookmarkEnd w:id="735"/>
      <w:bookmarkEnd w:id="736"/>
      <w:bookmarkEnd w:id="737"/>
      <w:bookmarkEnd w:id="738"/>
    </w:p>
    <w:p>
      <w:pPr>
        <w:pStyle w:val="Heading5"/>
      </w:pPr>
      <w:bookmarkStart w:id="739" w:name="_Toc5364926"/>
      <w:r>
        <w:rPr>
          <w:rStyle w:val="CharSectno"/>
        </w:rPr>
        <w:t>124</w:t>
      </w:r>
      <w:r>
        <w:t>.</w:t>
      </w:r>
      <w:r>
        <w:tab/>
        <w:t>Light regulation services cease to be such services on cessation of coverage of pipeline</w:t>
      </w:r>
      <w:bookmarkEnd w:id="739"/>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740" w:name="_Toc501634004"/>
      <w:bookmarkStart w:id="741" w:name="_Toc501712900"/>
      <w:bookmarkStart w:id="742" w:name="_Toc536782095"/>
      <w:bookmarkStart w:id="743" w:name="_Toc5347153"/>
      <w:bookmarkStart w:id="744" w:name="_Toc5363706"/>
      <w:bookmarkStart w:id="745" w:name="_Toc5364927"/>
      <w:r>
        <w:t>Division 6 — AER reviews into designated pipelines</w:t>
      </w:r>
      <w:bookmarkEnd w:id="740"/>
      <w:bookmarkEnd w:id="741"/>
      <w:bookmarkEnd w:id="742"/>
      <w:bookmarkEnd w:id="743"/>
      <w:bookmarkEnd w:id="744"/>
      <w:bookmarkEnd w:id="745"/>
    </w:p>
    <w:p>
      <w:pPr>
        <w:pStyle w:val="Heading5"/>
      </w:pPr>
      <w:bookmarkStart w:id="746" w:name="_Toc5364928"/>
      <w:r>
        <w:rPr>
          <w:rStyle w:val="CharSectno"/>
        </w:rPr>
        <w:t>125</w:t>
      </w:r>
      <w:r>
        <w:t>.</w:t>
      </w:r>
      <w:r>
        <w:tab/>
        <w:t>AER reviews</w:t>
      </w:r>
      <w:bookmarkEnd w:id="7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747" w:name="_Toc501634006"/>
      <w:bookmarkStart w:id="748" w:name="_Toc501712902"/>
      <w:bookmarkStart w:id="749" w:name="_Toc536782097"/>
      <w:bookmarkStart w:id="750" w:name="_Toc5347155"/>
      <w:bookmarkStart w:id="751" w:name="_Toc5363708"/>
      <w:bookmarkStart w:id="752" w:name="_Toc5364929"/>
      <w:r>
        <w:rPr>
          <w:rStyle w:val="CharDivNo"/>
        </w:rPr>
        <w:t>Part 3</w:t>
      </w:r>
      <w:r>
        <w:t xml:space="preserve"> — </w:t>
      </w:r>
      <w:r>
        <w:rPr>
          <w:rStyle w:val="CharDivText"/>
        </w:rPr>
        <w:t>Coverage of pipelines the subject of tender process</w:t>
      </w:r>
      <w:bookmarkEnd w:id="747"/>
      <w:bookmarkEnd w:id="748"/>
      <w:bookmarkEnd w:id="749"/>
      <w:bookmarkEnd w:id="750"/>
      <w:bookmarkEnd w:id="751"/>
      <w:bookmarkEnd w:id="752"/>
    </w:p>
    <w:p>
      <w:pPr>
        <w:pStyle w:val="Heading5"/>
      </w:pPr>
      <w:bookmarkStart w:id="753" w:name="_Toc5364930"/>
      <w:r>
        <w:rPr>
          <w:rStyle w:val="CharSectno"/>
        </w:rPr>
        <w:t>126</w:t>
      </w:r>
      <w:r>
        <w:t>.</w:t>
      </w:r>
      <w:r>
        <w:tab/>
        <w:t>Tender approval pipelines deemed to be covered pipelines</w:t>
      </w:r>
      <w:bookmarkEnd w:id="7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754" w:name="_Toc501634008"/>
      <w:bookmarkStart w:id="755" w:name="_Toc501712904"/>
      <w:bookmarkStart w:id="756" w:name="_Toc536782099"/>
      <w:bookmarkStart w:id="757" w:name="_Toc5347157"/>
      <w:bookmarkStart w:id="758" w:name="_Toc5363710"/>
      <w:bookmarkStart w:id="759" w:name="_Toc5364931"/>
      <w:r>
        <w:rPr>
          <w:rStyle w:val="CharDivNo"/>
        </w:rPr>
        <w:t>Part 4</w:t>
      </w:r>
      <w:r>
        <w:t xml:space="preserve"> — </w:t>
      </w:r>
      <w:r>
        <w:rPr>
          <w:rStyle w:val="CharDivText"/>
        </w:rPr>
        <w:t>Coverage following approval of voluntary access arrangement</w:t>
      </w:r>
      <w:bookmarkEnd w:id="754"/>
      <w:bookmarkEnd w:id="755"/>
      <w:bookmarkEnd w:id="756"/>
      <w:bookmarkEnd w:id="757"/>
      <w:bookmarkEnd w:id="758"/>
      <w:bookmarkEnd w:id="759"/>
    </w:p>
    <w:p>
      <w:pPr>
        <w:pStyle w:val="Heading5"/>
      </w:pPr>
      <w:bookmarkStart w:id="760" w:name="_Toc5364932"/>
      <w:r>
        <w:rPr>
          <w:rStyle w:val="CharSectno"/>
        </w:rPr>
        <w:t>127</w:t>
      </w:r>
      <w:r>
        <w:t>.</w:t>
      </w:r>
      <w:r>
        <w:tab/>
        <w:t>Certain pipelines become covered pipelines on approval of voluntary access arrangement</w:t>
      </w:r>
      <w:bookmarkEnd w:id="7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761" w:name="_Toc501634010"/>
      <w:bookmarkStart w:id="762" w:name="_Toc501712906"/>
      <w:bookmarkStart w:id="763" w:name="_Toc536782101"/>
      <w:bookmarkStart w:id="764" w:name="_Toc5347159"/>
      <w:bookmarkStart w:id="765" w:name="_Toc5363712"/>
      <w:bookmarkStart w:id="766" w:name="_Toc5364933"/>
      <w:r>
        <w:rPr>
          <w:rStyle w:val="CharDivNo"/>
        </w:rPr>
        <w:t>Part 5</w:t>
      </w:r>
      <w:r>
        <w:t xml:space="preserve"> — </w:t>
      </w:r>
      <w:r>
        <w:rPr>
          <w:rStyle w:val="CharDivText"/>
        </w:rPr>
        <w:t>Reclassification of pipelines</w:t>
      </w:r>
      <w:bookmarkEnd w:id="761"/>
      <w:bookmarkEnd w:id="762"/>
      <w:bookmarkEnd w:id="763"/>
      <w:bookmarkEnd w:id="764"/>
      <w:bookmarkEnd w:id="765"/>
      <w:bookmarkEnd w:id="766"/>
    </w:p>
    <w:p>
      <w:pPr>
        <w:pStyle w:val="Heading5"/>
      </w:pPr>
      <w:bookmarkStart w:id="767" w:name="_Toc5364934"/>
      <w:r>
        <w:rPr>
          <w:rStyle w:val="CharSectno"/>
        </w:rPr>
        <w:t>128</w:t>
      </w:r>
      <w:r>
        <w:t>.</w:t>
      </w:r>
      <w:r>
        <w:tab/>
        <w:t>Service provider may apply for reclassification of pipeline</w:t>
      </w:r>
      <w:bookmarkEnd w:id="7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768" w:name="_Toc5364935"/>
      <w:r>
        <w:rPr>
          <w:rStyle w:val="CharSectno"/>
        </w:rPr>
        <w:t>129</w:t>
      </w:r>
      <w:r>
        <w:t>.</w:t>
      </w:r>
      <w:r>
        <w:tab/>
        <w:t>Reclassification decision</w:t>
      </w:r>
      <w:bookmarkEnd w:id="7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769" w:name="_Toc5364936"/>
      <w:r>
        <w:rPr>
          <w:rStyle w:val="CharSectno"/>
        </w:rPr>
        <w:t>130</w:t>
      </w:r>
      <w:r>
        <w:t>.</w:t>
      </w:r>
      <w:r>
        <w:tab/>
        <w:t>Effect of reclassification decision</w:t>
      </w:r>
      <w:bookmarkEnd w:id="769"/>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770" w:name="_Toc501634014"/>
      <w:bookmarkStart w:id="771" w:name="_Toc501712910"/>
      <w:bookmarkStart w:id="772" w:name="_Toc536782105"/>
      <w:bookmarkStart w:id="773" w:name="_Toc5347163"/>
      <w:bookmarkStart w:id="774" w:name="_Toc5363716"/>
      <w:bookmarkStart w:id="775" w:name="_Toc5364937"/>
      <w:r>
        <w:rPr>
          <w:rStyle w:val="CharPartNo"/>
        </w:rPr>
        <w:t>Chapter 4</w:t>
      </w:r>
      <w:r>
        <w:t xml:space="preserve"> — </w:t>
      </w:r>
      <w:r>
        <w:rPr>
          <w:rStyle w:val="CharPartText"/>
        </w:rPr>
        <w:t>General requirements for provision of covered pipeline services</w:t>
      </w:r>
      <w:bookmarkEnd w:id="770"/>
      <w:bookmarkEnd w:id="771"/>
      <w:bookmarkEnd w:id="772"/>
      <w:bookmarkEnd w:id="773"/>
      <w:bookmarkEnd w:id="774"/>
      <w:bookmarkEnd w:id="775"/>
    </w:p>
    <w:p>
      <w:pPr>
        <w:pStyle w:val="Heading3"/>
        <w:spacing w:before="120"/>
      </w:pPr>
      <w:bookmarkStart w:id="776" w:name="_Toc501634015"/>
      <w:bookmarkStart w:id="777" w:name="_Toc501712911"/>
      <w:bookmarkStart w:id="778" w:name="_Toc536782106"/>
      <w:bookmarkStart w:id="779" w:name="_Toc5347164"/>
      <w:bookmarkStart w:id="780" w:name="_Toc5363717"/>
      <w:bookmarkStart w:id="781" w:name="_Toc5364938"/>
      <w:r>
        <w:rPr>
          <w:rStyle w:val="CharDivNo"/>
        </w:rPr>
        <w:t>Part 1</w:t>
      </w:r>
      <w:r>
        <w:t xml:space="preserve"> — </w:t>
      </w:r>
      <w:r>
        <w:rPr>
          <w:rStyle w:val="CharDivText"/>
        </w:rPr>
        <w:t>General duties for provision of pipeline services by covered pipelines</w:t>
      </w:r>
      <w:bookmarkEnd w:id="776"/>
      <w:bookmarkEnd w:id="777"/>
      <w:bookmarkEnd w:id="778"/>
      <w:bookmarkEnd w:id="779"/>
      <w:bookmarkEnd w:id="780"/>
      <w:bookmarkEnd w:id="781"/>
    </w:p>
    <w:p>
      <w:pPr>
        <w:pStyle w:val="Heading5"/>
        <w:spacing w:before="120"/>
      </w:pPr>
      <w:bookmarkStart w:id="782" w:name="_Toc5364939"/>
      <w:r>
        <w:rPr>
          <w:rStyle w:val="CharSectno"/>
        </w:rPr>
        <w:t>131</w:t>
      </w:r>
      <w:r>
        <w:t>.</w:t>
      </w:r>
      <w:r>
        <w:tab/>
        <w:t>Service provider must be legal entity of a specified kind to provide pipeline services by covered pipeline</w:t>
      </w:r>
      <w:bookmarkEnd w:id="782"/>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783" w:name="_Toc5364940"/>
      <w:r>
        <w:rPr>
          <w:rStyle w:val="CharSectno"/>
        </w:rPr>
        <w:t>132</w:t>
      </w:r>
      <w:r>
        <w:t>.</w:t>
      </w:r>
      <w:r>
        <w:tab/>
        <w:t>Submission of full access arrangement or revisions to applicable full access arrangements</w:t>
      </w:r>
      <w:bookmarkEnd w:id="78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784" w:name="_Toc5364941"/>
      <w:r>
        <w:rPr>
          <w:rStyle w:val="CharSectno"/>
        </w:rPr>
        <w:t>133</w:t>
      </w:r>
      <w:r>
        <w:t>.</w:t>
      </w:r>
      <w:r>
        <w:tab/>
        <w:t>Preventing or hindering access</w:t>
      </w:r>
      <w:bookmarkEnd w:id="7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785" w:name="_Toc5364942"/>
      <w:r>
        <w:rPr>
          <w:rStyle w:val="CharSectno"/>
        </w:rPr>
        <w:t>134</w:t>
      </w:r>
      <w:r>
        <w:t>.</w:t>
      </w:r>
      <w:r>
        <w:tab/>
        <w:t>Supply and haulage of natural gas</w:t>
      </w:r>
      <w:bookmarkEnd w:id="7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786" w:name="_Toc5364943"/>
      <w:r>
        <w:rPr>
          <w:rStyle w:val="CharSectno"/>
        </w:rPr>
        <w:t>135</w:t>
      </w:r>
      <w:r>
        <w:t>.</w:t>
      </w:r>
      <w:r>
        <w:tab/>
        <w:t>Covered pipeline service provider must comply with queuing requirements</w:t>
      </w:r>
      <w:bookmarkEnd w:id="786"/>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787" w:name="_Toc5364944"/>
      <w:r>
        <w:rPr>
          <w:rStyle w:val="CharSectno"/>
        </w:rPr>
        <w:t>136</w:t>
      </w:r>
      <w:r>
        <w:t>.</w:t>
      </w:r>
      <w:r>
        <w:tab/>
        <w:t>Covered pipeline service provider providing light regulation services must not price discriminate</w:t>
      </w:r>
      <w:bookmarkEnd w:id="78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788" w:name="_Toc501634022"/>
      <w:bookmarkStart w:id="789" w:name="_Toc501712918"/>
      <w:bookmarkStart w:id="790" w:name="_Toc536782113"/>
      <w:bookmarkStart w:id="791" w:name="_Toc5347171"/>
      <w:bookmarkStart w:id="792" w:name="_Toc5363724"/>
      <w:bookmarkStart w:id="793" w:name="_Toc5364945"/>
      <w:r>
        <w:rPr>
          <w:rStyle w:val="CharDivNo"/>
        </w:rPr>
        <w:t>Part 2</w:t>
      </w:r>
      <w:r>
        <w:t xml:space="preserve"> — </w:t>
      </w:r>
      <w:r>
        <w:rPr>
          <w:rStyle w:val="CharDivText"/>
        </w:rPr>
        <w:t>Structural and operational separation requirements (ring fencing)</w:t>
      </w:r>
      <w:bookmarkEnd w:id="788"/>
      <w:bookmarkEnd w:id="789"/>
      <w:bookmarkEnd w:id="790"/>
      <w:bookmarkEnd w:id="791"/>
      <w:bookmarkEnd w:id="792"/>
      <w:bookmarkEnd w:id="793"/>
    </w:p>
    <w:p>
      <w:pPr>
        <w:pStyle w:val="Heading4"/>
      </w:pPr>
      <w:bookmarkStart w:id="794" w:name="_Toc501634023"/>
      <w:bookmarkStart w:id="795" w:name="_Toc501712919"/>
      <w:bookmarkStart w:id="796" w:name="_Toc536782114"/>
      <w:bookmarkStart w:id="797" w:name="_Toc5347172"/>
      <w:bookmarkStart w:id="798" w:name="_Toc5363725"/>
      <w:bookmarkStart w:id="799" w:name="_Toc5364946"/>
      <w:r>
        <w:t>Division 1 — Interpretation</w:t>
      </w:r>
      <w:bookmarkEnd w:id="794"/>
      <w:bookmarkEnd w:id="795"/>
      <w:bookmarkEnd w:id="796"/>
      <w:bookmarkEnd w:id="797"/>
      <w:bookmarkEnd w:id="798"/>
      <w:bookmarkEnd w:id="799"/>
    </w:p>
    <w:p>
      <w:pPr>
        <w:pStyle w:val="Heading5"/>
      </w:pPr>
      <w:bookmarkStart w:id="800" w:name="_Toc5364947"/>
      <w:r>
        <w:rPr>
          <w:rStyle w:val="CharSectno"/>
        </w:rPr>
        <w:t>137</w:t>
      </w:r>
      <w:r>
        <w:t>.</w:t>
      </w:r>
      <w:r>
        <w:tab/>
        <w:t>Definitions</w:t>
      </w:r>
      <w:bookmarkEnd w:id="80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801" w:name="_Toc5364948"/>
      <w:r>
        <w:rPr>
          <w:rStyle w:val="CharSectno"/>
        </w:rPr>
        <w:t>138</w:t>
      </w:r>
      <w:r>
        <w:t>.</w:t>
      </w:r>
      <w:r>
        <w:tab/>
        <w:t>Meaning of marketing staff</w:t>
      </w:r>
      <w:bookmarkEnd w:id="8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802" w:name="_Toc501634026"/>
      <w:bookmarkStart w:id="803" w:name="_Toc501712922"/>
      <w:bookmarkStart w:id="804" w:name="_Toc536782117"/>
      <w:bookmarkStart w:id="805" w:name="_Toc5347175"/>
      <w:bookmarkStart w:id="806" w:name="_Toc5363728"/>
      <w:bookmarkStart w:id="807" w:name="_Toc5364949"/>
      <w:r>
        <w:t>Division 2 — Minimum ring fencing requirements</w:t>
      </w:r>
      <w:bookmarkEnd w:id="802"/>
      <w:bookmarkEnd w:id="803"/>
      <w:bookmarkEnd w:id="804"/>
      <w:bookmarkEnd w:id="805"/>
      <w:bookmarkEnd w:id="806"/>
      <w:bookmarkEnd w:id="807"/>
    </w:p>
    <w:p>
      <w:pPr>
        <w:pStyle w:val="Heading5"/>
      </w:pPr>
      <w:bookmarkStart w:id="808" w:name="_Toc5364950"/>
      <w:r>
        <w:rPr>
          <w:rStyle w:val="CharSectno"/>
        </w:rPr>
        <w:t>139</w:t>
      </w:r>
      <w:r>
        <w:t>.</w:t>
      </w:r>
      <w:r>
        <w:tab/>
        <w:t>Carrying on of related businesses prohibited</w:t>
      </w:r>
      <w:bookmarkEnd w:id="808"/>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809" w:name="_Toc5364951"/>
      <w:r>
        <w:rPr>
          <w:rStyle w:val="CharSectno"/>
        </w:rPr>
        <w:t>140</w:t>
      </w:r>
      <w:r>
        <w:t>.</w:t>
      </w:r>
      <w:r>
        <w:tab/>
        <w:t>Marketing staff and the taking part in related businesses</w:t>
      </w:r>
      <w:bookmarkEnd w:id="8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810" w:name="_Toc5364952"/>
      <w:r>
        <w:rPr>
          <w:rStyle w:val="CharSectno"/>
        </w:rPr>
        <w:t>141</w:t>
      </w:r>
      <w:r>
        <w:t>.</w:t>
      </w:r>
      <w:r>
        <w:tab/>
        <w:t>Accounts that must be prepared, maintained and kept</w:t>
      </w:r>
      <w:bookmarkEnd w:id="810"/>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811" w:name="_Toc501634030"/>
      <w:bookmarkStart w:id="812" w:name="_Toc501712926"/>
      <w:bookmarkStart w:id="813" w:name="_Toc536782121"/>
      <w:bookmarkStart w:id="814" w:name="_Toc5347179"/>
      <w:bookmarkStart w:id="815" w:name="_Toc5363732"/>
      <w:bookmarkStart w:id="816" w:name="_Toc5364953"/>
      <w:r>
        <w:t>Division 3 — Additional ring fencing requirements</w:t>
      </w:r>
      <w:bookmarkEnd w:id="811"/>
      <w:bookmarkEnd w:id="812"/>
      <w:bookmarkEnd w:id="813"/>
      <w:bookmarkEnd w:id="814"/>
      <w:bookmarkEnd w:id="815"/>
      <w:bookmarkEnd w:id="816"/>
    </w:p>
    <w:p>
      <w:pPr>
        <w:pStyle w:val="Heading5"/>
      </w:pPr>
      <w:bookmarkStart w:id="817" w:name="_Toc5364954"/>
      <w:r>
        <w:rPr>
          <w:rStyle w:val="CharSectno"/>
        </w:rPr>
        <w:t>142</w:t>
      </w:r>
      <w:r>
        <w:t>.</w:t>
      </w:r>
      <w:r>
        <w:tab/>
        <w:t>Division does not limit operation of Division 2</w:t>
      </w:r>
      <w:bookmarkEnd w:id="817"/>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818" w:name="_Toc5364955"/>
      <w:r>
        <w:t>143.</w:t>
      </w:r>
      <w:r>
        <w:tab/>
        <w:t>AER ring fencing determinations</w:t>
      </w:r>
      <w:bookmarkEnd w:id="8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819" w:name="_Toc5364956"/>
      <w:r>
        <w:rPr>
          <w:rStyle w:val="CharSectno"/>
        </w:rPr>
        <w:t>144</w:t>
      </w:r>
      <w:r>
        <w:t>.</w:t>
      </w:r>
      <w:r>
        <w:tab/>
        <w:t>AER to have regard to likely compliance costs of additional ring fencing requirements</w:t>
      </w:r>
      <w:bookmarkEnd w:id="819"/>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820" w:name="_Toc5364957"/>
      <w:r>
        <w:rPr>
          <w:rStyle w:val="CharSectno"/>
        </w:rPr>
        <w:t>145</w:t>
      </w:r>
      <w:r>
        <w:t>.</w:t>
      </w:r>
      <w:r>
        <w:tab/>
        <w:t>Types of ring fencing requirements that may be specified in an AER ring fencing determination</w:t>
      </w:r>
      <w:bookmarkEnd w:id="820"/>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821" w:name="_Toc501634035"/>
      <w:bookmarkStart w:id="822" w:name="_Toc501712931"/>
      <w:bookmarkStart w:id="823" w:name="_Toc536782126"/>
      <w:bookmarkStart w:id="824" w:name="_Toc5347184"/>
      <w:bookmarkStart w:id="825" w:name="_Toc5363737"/>
      <w:bookmarkStart w:id="826" w:name="_Toc5364958"/>
      <w:r>
        <w:t>Division 4 — AER ring fencing exemptions</w:t>
      </w:r>
      <w:bookmarkEnd w:id="821"/>
      <w:bookmarkEnd w:id="822"/>
      <w:bookmarkEnd w:id="823"/>
      <w:bookmarkEnd w:id="824"/>
      <w:bookmarkEnd w:id="825"/>
      <w:bookmarkEnd w:id="826"/>
    </w:p>
    <w:p>
      <w:pPr>
        <w:pStyle w:val="Heading5"/>
      </w:pPr>
      <w:bookmarkStart w:id="827" w:name="_Toc5364959"/>
      <w:r>
        <w:rPr>
          <w:rStyle w:val="CharSectno"/>
        </w:rPr>
        <w:t>146</w:t>
      </w:r>
      <w:r>
        <w:t>.</w:t>
      </w:r>
      <w:r>
        <w:tab/>
        <w:t>Exemptions from minimum ring fencing requirements</w:t>
      </w:r>
      <w:bookmarkEnd w:id="8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828" w:name="_Toc501634037"/>
      <w:bookmarkStart w:id="829" w:name="_Toc501712933"/>
      <w:bookmarkStart w:id="830" w:name="_Toc536782128"/>
      <w:bookmarkStart w:id="831" w:name="_Toc5347186"/>
      <w:bookmarkStart w:id="832" w:name="_Toc5363739"/>
      <w:bookmarkStart w:id="833" w:name="_Toc5364960"/>
      <w:r>
        <w:t>Division 5 — Associate contracts</w:t>
      </w:r>
      <w:bookmarkEnd w:id="828"/>
      <w:bookmarkEnd w:id="829"/>
      <w:bookmarkEnd w:id="830"/>
      <w:bookmarkEnd w:id="831"/>
      <w:bookmarkEnd w:id="832"/>
      <w:bookmarkEnd w:id="833"/>
    </w:p>
    <w:p>
      <w:pPr>
        <w:pStyle w:val="Heading5"/>
      </w:pPr>
      <w:bookmarkStart w:id="834" w:name="_Toc5364961"/>
      <w:r>
        <w:rPr>
          <w:rStyle w:val="CharSectno"/>
        </w:rPr>
        <w:t>147</w:t>
      </w:r>
      <w:r>
        <w:t>.</w:t>
      </w:r>
      <w:r>
        <w:tab/>
        <w:t>Service provider must not enter into or give effect to associate contracts that have anti</w:t>
      </w:r>
      <w:r>
        <w:noBreakHyphen/>
        <w:t>competitive effect</w:t>
      </w:r>
      <w:bookmarkEnd w:id="834"/>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835" w:name="_Toc5364962"/>
      <w:r>
        <w:rPr>
          <w:rStyle w:val="CharSectno"/>
        </w:rPr>
        <w:t>148</w:t>
      </w:r>
      <w:r>
        <w:t>.</w:t>
      </w:r>
      <w:r>
        <w:tab/>
        <w:t>Service provider must not enter into or give effect to associate contracts inconsistent with competitive parity rule</w:t>
      </w:r>
      <w:bookmarkEnd w:id="8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836" w:name="_Toc501634040"/>
      <w:bookmarkStart w:id="837" w:name="_Toc501712936"/>
      <w:bookmarkStart w:id="838" w:name="_Toc536782131"/>
      <w:bookmarkStart w:id="839" w:name="_Toc5347189"/>
      <w:bookmarkStart w:id="840" w:name="_Toc5363742"/>
      <w:bookmarkStart w:id="841" w:name="_Toc5364963"/>
      <w:r>
        <w:rPr>
          <w:rStyle w:val="CharPartNo"/>
        </w:rPr>
        <w:t>Chapter 5</w:t>
      </w:r>
      <w:r>
        <w:t xml:space="preserve"> — </w:t>
      </w:r>
      <w:r>
        <w:rPr>
          <w:rStyle w:val="CharPartText"/>
        </w:rPr>
        <w:t>Greenfields pipeline incentives</w:t>
      </w:r>
      <w:bookmarkEnd w:id="836"/>
      <w:bookmarkEnd w:id="837"/>
      <w:bookmarkEnd w:id="838"/>
      <w:bookmarkEnd w:id="839"/>
      <w:bookmarkEnd w:id="840"/>
      <w:bookmarkEnd w:id="841"/>
    </w:p>
    <w:p>
      <w:pPr>
        <w:pStyle w:val="Heading3"/>
      </w:pPr>
      <w:bookmarkStart w:id="842" w:name="_Toc501634041"/>
      <w:bookmarkStart w:id="843" w:name="_Toc501712937"/>
      <w:bookmarkStart w:id="844" w:name="_Toc536782132"/>
      <w:bookmarkStart w:id="845" w:name="_Toc5347190"/>
      <w:bookmarkStart w:id="846" w:name="_Toc5363743"/>
      <w:bookmarkStart w:id="847" w:name="_Toc5364964"/>
      <w:r>
        <w:rPr>
          <w:rStyle w:val="CharDivNo"/>
        </w:rPr>
        <w:t>Part 1</w:t>
      </w:r>
      <w:r>
        <w:t xml:space="preserve"> — </w:t>
      </w:r>
      <w:r>
        <w:rPr>
          <w:rStyle w:val="CharDivText"/>
        </w:rPr>
        <w:t>Interpretation</w:t>
      </w:r>
      <w:bookmarkEnd w:id="842"/>
      <w:bookmarkEnd w:id="843"/>
      <w:bookmarkEnd w:id="844"/>
      <w:bookmarkEnd w:id="845"/>
      <w:bookmarkEnd w:id="846"/>
      <w:bookmarkEnd w:id="847"/>
    </w:p>
    <w:p>
      <w:pPr>
        <w:pStyle w:val="Heading5"/>
      </w:pPr>
      <w:bookmarkStart w:id="848" w:name="_Toc5364965"/>
      <w:r>
        <w:rPr>
          <w:rStyle w:val="CharSectno"/>
        </w:rPr>
        <w:t>149</w:t>
      </w:r>
      <w:r>
        <w:t>.</w:t>
      </w:r>
      <w:r>
        <w:tab/>
        <w:t>Definitions</w:t>
      </w:r>
      <w:bookmarkEnd w:id="848"/>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849" w:name="_Toc5364966"/>
      <w:r>
        <w:rPr>
          <w:rStyle w:val="CharSectno"/>
        </w:rPr>
        <w:t>150</w:t>
      </w:r>
      <w:r>
        <w:t>.</w:t>
      </w:r>
      <w:r>
        <w:tab/>
        <w:t>International pipeline to be a transmission pipeline for purposes of Chapter</w:t>
      </w:r>
      <w:bookmarkEnd w:id="849"/>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850" w:name="_Toc501634044"/>
      <w:bookmarkStart w:id="851" w:name="_Toc501712940"/>
      <w:bookmarkStart w:id="852" w:name="_Toc536782135"/>
      <w:bookmarkStart w:id="853" w:name="_Toc5347193"/>
      <w:bookmarkStart w:id="854" w:name="_Toc5363746"/>
      <w:bookmarkStart w:id="855" w:name="_Toc536496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850"/>
      <w:bookmarkEnd w:id="851"/>
      <w:bookmarkEnd w:id="852"/>
      <w:bookmarkEnd w:id="853"/>
      <w:bookmarkEnd w:id="854"/>
      <w:bookmarkEnd w:id="855"/>
    </w:p>
    <w:p>
      <w:pPr>
        <w:pStyle w:val="Heading5"/>
      </w:pPr>
      <w:bookmarkStart w:id="856" w:name="_Toc5364968"/>
      <w:r>
        <w:rPr>
          <w:rStyle w:val="CharSectno"/>
        </w:rPr>
        <w:t>151</w:t>
      </w:r>
      <w:r>
        <w:t>.</w:t>
      </w:r>
      <w:r>
        <w:tab/>
        <w:t>Application for 15</w:t>
      </w:r>
      <w:r>
        <w:noBreakHyphen/>
        <w:t>year no</w:t>
      </w:r>
      <w:r>
        <w:noBreakHyphen/>
        <w:t>coverage determination for proposed pipeline</w:t>
      </w:r>
      <w:bookmarkEnd w:id="8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857" w:name="_Toc5364969"/>
      <w:r>
        <w:rPr>
          <w:rStyle w:val="CharSectno"/>
        </w:rPr>
        <w:t>152</w:t>
      </w:r>
      <w:r>
        <w:t>.</w:t>
      </w:r>
      <w:r>
        <w:tab/>
        <w:t>Application to be dealt with in accordance with the Rules</w:t>
      </w:r>
      <w:bookmarkEnd w:id="857"/>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858" w:name="_Toc5364970"/>
      <w:r>
        <w:rPr>
          <w:rStyle w:val="CharSectno"/>
        </w:rPr>
        <w:t>153</w:t>
      </w:r>
      <w:r>
        <w:t>.</w:t>
      </w:r>
      <w:r>
        <w:tab/>
        <w:t>No</w:t>
      </w:r>
      <w:r>
        <w:noBreakHyphen/>
        <w:t>coverage recommendation</w:t>
      </w:r>
      <w:bookmarkEnd w:id="8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859" w:name="_Toc5364971"/>
      <w:r>
        <w:rPr>
          <w:rStyle w:val="CharSectno"/>
        </w:rPr>
        <w:t>154</w:t>
      </w:r>
      <w:r>
        <w:t>.</w:t>
      </w:r>
      <w:r>
        <w:tab/>
        <w:t>Principles governing the making of a no</w:t>
      </w:r>
      <w:r>
        <w:noBreakHyphen/>
        <w:t>coverage recommendation</w:t>
      </w:r>
      <w:bookmarkEnd w:id="8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860" w:name="_Toc5364972"/>
      <w:r>
        <w:rPr>
          <w:rStyle w:val="CharSectno"/>
        </w:rPr>
        <w:t>155</w:t>
      </w:r>
      <w:r>
        <w:t>.</w:t>
      </w:r>
      <w:r>
        <w:tab/>
        <w:t>Initial classification decision to be made as part of recommendation</w:t>
      </w:r>
      <w:bookmarkEnd w:id="8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861" w:name="_Toc5364973"/>
      <w:r>
        <w:rPr>
          <w:rStyle w:val="CharSectno"/>
        </w:rPr>
        <w:t>156</w:t>
      </w:r>
      <w:r>
        <w:t>.</w:t>
      </w:r>
      <w:r>
        <w:tab/>
        <w:t>Relevant Minister’s determination on application</w:t>
      </w:r>
      <w:bookmarkEnd w:id="8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862" w:name="_Toc5364974"/>
      <w:r>
        <w:rPr>
          <w:rStyle w:val="CharSectno"/>
        </w:rPr>
        <w:t>157</w:t>
      </w:r>
      <w:r>
        <w:t>.</w:t>
      </w:r>
      <w:r>
        <w:tab/>
        <w:t>Principles governing the making of a 15</w:t>
      </w:r>
      <w:r>
        <w:noBreakHyphen/>
        <w:t>year no</w:t>
      </w:r>
      <w:r>
        <w:noBreakHyphen/>
        <w:t>coverage determination or decision not to do so</w:t>
      </w:r>
      <w:bookmarkEnd w:id="8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863" w:name="_Toc5364975"/>
      <w:r>
        <w:rPr>
          <w:rStyle w:val="CharSectno"/>
        </w:rPr>
        <w:t>158</w:t>
      </w:r>
      <w:r>
        <w:t>.</w:t>
      </w:r>
      <w:r>
        <w:tab/>
        <w:t>Effect of 15</w:t>
      </w:r>
      <w:r>
        <w:noBreakHyphen/>
        <w:t>year no</w:t>
      </w:r>
      <w:r>
        <w:noBreakHyphen/>
        <w:t>coverage determination</w:t>
      </w:r>
      <w:bookmarkEnd w:id="863"/>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864" w:name="_Toc5364976"/>
      <w:r>
        <w:rPr>
          <w:rStyle w:val="CharSectno"/>
        </w:rPr>
        <w:t>159</w:t>
      </w:r>
      <w:r>
        <w:t>.</w:t>
      </w:r>
      <w:r>
        <w:tab/>
        <w:t>Consequences of Minister deciding against making 15</w:t>
      </w:r>
      <w:r>
        <w:noBreakHyphen/>
        <w:t>year no</w:t>
      </w:r>
      <w:r>
        <w:noBreakHyphen/>
        <w:t>coverage determination for international pipeline</w:t>
      </w:r>
      <w:bookmarkEnd w:id="8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865" w:name="_Toc501634054"/>
      <w:bookmarkStart w:id="866" w:name="_Toc501712950"/>
      <w:bookmarkStart w:id="867" w:name="_Toc536782145"/>
      <w:bookmarkStart w:id="868" w:name="_Toc5347203"/>
      <w:bookmarkStart w:id="869" w:name="_Toc5363756"/>
      <w:bookmarkStart w:id="870" w:name="_Toc5364977"/>
      <w:r>
        <w:rPr>
          <w:rStyle w:val="CharDivNo"/>
        </w:rPr>
        <w:t>Part 3</w:t>
      </w:r>
      <w:r>
        <w:t xml:space="preserve"> — </w:t>
      </w:r>
      <w:r>
        <w:rPr>
          <w:rStyle w:val="CharDivText"/>
        </w:rPr>
        <w:t>Price regulation exemptions</w:t>
      </w:r>
      <w:bookmarkEnd w:id="865"/>
      <w:bookmarkEnd w:id="866"/>
      <w:bookmarkEnd w:id="867"/>
      <w:bookmarkEnd w:id="868"/>
      <w:bookmarkEnd w:id="869"/>
      <w:bookmarkEnd w:id="870"/>
    </w:p>
    <w:p>
      <w:pPr>
        <w:pStyle w:val="Heading4"/>
      </w:pPr>
      <w:bookmarkStart w:id="871" w:name="_Toc501634055"/>
      <w:bookmarkStart w:id="872" w:name="_Toc501712951"/>
      <w:bookmarkStart w:id="873" w:name="_Toc536782146"/>
      <w:bookmarkStart w:id="874" w:name="_Toc5347204"/>
      <w:bookmarkStart w:id="875" w:name="_Toc5363757"/>
      <w:bookmarkStart w:id="876" w:name="_Toc5364978"/>
      <w:r>
        <w:t>Division 1 — Application for price regulation exemption</w:t>
      </w:r>
      <w:bookmarkEnd w:id="871"/>
      <w:bookmarkEnd w:id="872"/>
      <w:bookmarkEnd w:id="873"/>
      <w:bookmarkEnd w:id="874"/>
      <w:bookmarkEnd w:id="875"/>
      <w:bookmarkEnd w:id="876"/>
    </w:p>
    <w:p>
      <w:pPr>
        <w:pStyle w:val="Heading5"/>
      </w:pPr>
      <w:bookmarkStart w:id="877" w:name="_Toc5364979"/>
      <w:r>
        <w:rPr>
          <w:rStyle w:val="CharSectno"/>
        </w:rPr>
        <w:t>160</w:t>
      </w:r>
      <w:r>
        <w:t>.</w:t>
      </w:r>
      <w:r>
        <w:tab/>
        <w:t>Application for price regulation exemption</w:t>
      </w:r>
      <w:bookmarkEnd w:id="8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878" w:name="_Toc501634057"/>
      <w:bookmarkStart w:id="879" w:name="_Toc501712953"/>
      <w:bookmarkStart w:id="880" w:name="_Toc536782148"/>
      <w:bookmarkStart w:id="881" w:name="_Toc5347206"/>
      <w:bookmarkStart w:id="882" w:name="_Toc5363759"/>
      <w:bookmarkStart w:id="883" w:name="_Toc5364980"/>
      <w:r>
        <w:t>Division 2 — Recommendations by NCC</w:t>
      </w:r>
      <w:bookmarkEnd w:id="878"/>
      <w:bookmarkEnd w:id="879"/>
      <w:bookmarkEnd w:id="880"/>
      <w:bookmarkEnd w:id="881"/>
      <w:bookmarkEnd w:id="882"/>
      <w:bookmarkEnd w:id="883"/>
    </w:p>
    <w:p>
      <w:pPr>
        <w:pStyle w:val="Heading5"/>
        <w:spacing w:before="120"/>
      </w:pPr>
      <w:bookmarkStart w:id="884" w:name="_Toc5364981"/>
      <w:r>
        <w:rPr>
          <w:rStyle w:val="CharSectno"/>
        </w:rPr>
        <w:t>161</w:t>
      </w:r>
      <w:r>
        <w:t>.</w:t>
      </w:r>
      <w:r>
        <w:tab/>
        <w:t>Application to be dealt with in accordance with the Rules</w:t>
      </w:r>
      <w:bookmarkEnd w:id="884"/>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885" w:name="_Toc5364982"/>
      <w:r>
        <w:rPr>
          <w:rStyle w:val="CharSectno"/>
        </w:rPr>
        <w:t>162</w:t>
      </w:r>
      <w:r>
        <w:t>.</w:t>
      </w:r>
      <w:r>
        <w:tab/>
        <w:t>NCC’s recommendation</w:t>
      </w:r>
      <w:bookmarkEnd w:id="8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886" w:name="_Toc5364983"/>
      <w:r>
        <w:rPr>
          <w:rStyle w:val="CharSectno"/>
        </w:rPr>
        <w:t>163</w:t>
      </w:r>
      <w:r>
        <w:t>.</w:t>
      </w:r>
      <w:r>
        <w:tab/>
        <w:t>General principle governing NCC’s recommendation</w:t>
      </w:r>
      <w:bookmarkEnd w:id="8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887" w:name="_Toc501634061"/>
      <w:bookmarkStart w:id="888" w:name="_Toc501712957"/>
      <w:bookmarkStart w:id="889" w:name="_Toc536782152"/>
      <w:bookmarkStart w:id="890" w:name="_Toc5347210"/>
      <w:bookmarkStart w:id="891" w:name="_Toc5363763"/>
      <w:bookmarkStart w:id="892" w:name="_Toc5364984"/>
      <w:r>
        <w:t>Division 3 — Making and effect of price regulation exemption</w:t>
      </w:r>
      <w:bookmarkEnd w:id="887"/>
      <w:bookmarkEnd w:id="888"/>
      <w:bookmarkEnd w:id="889"/>
      <w:bookmarkEnd w:id="890"/>
      <w:bookmarkEnd w:id="891"/>
      <w:bookmarkEnd w:id="892"/>
    </w:p>
    <w:p>
      <w:pPr>
        <w:pStyle w:val="Heading5"/>
      </w:pPr>
      <w:bookmarkStart w:id="893" w:name="_Toc5364985"/>
      <w:r>
        <w:rPr>
          <w:rStyle w:val="CharSectno"/>
        </w:rPr>
        <w:t>164</w:t>
      </w:r>
      <w:r>
        <w:t>.</w:t>
      </w:r>
      <w:r>
        <w:tab/>
        <w:t>Making of price regulation exemption</w:t>
      </w:r>
      <w:bookmarkEnd w:id="8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894" w:name="_Toc5364986"/>
      <w:r>
        <w:rPr>
          <w:rStyle w:val="CharSectno"/>
        </w:rPr>
        <w:t>165</w:t>
      </w:r>
      <w:r>
        <w:t>.</w:t>
      </w:r>
      <w:r>
        <w:tab/>
        <w:t>Principles governing the making of a price regulation exemption</w:t>
      </w:r>
      <w:bookmarkEnd w:id="8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895" w:name="_Toc5364987"/>
      <w:r>
        <w:rPr>
          <w:rStyle w:val="CharSectno"/>
        </w:rPr>
        <w:t>166</w:t>
      </w:r>
      <w:r>
        <w:t>.</w:t>
      </w:r>
      <w:r>
        <w:tab/>
        <w:t>Conditions applying to a price regulation exemption</w:t>
      </w:r>
      <w:bookmarkEnd w:id="895"/>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896" w:name="_Toc5364988"/>
      <w:r>
        <w:rPr>
          <w:rStyle w:val="CharSectno"/>
        </w:rPr>
        <w:t>167</w:t>
      </w:r>
      <w:r>
        <w:t>.</w:t>
      </w:r>
      <w:r>
        <w:tab/>
        <w:t>Effect of price regulation exemption</w:t>
      </w:r>
      <w:bookmarkEnd w:id="8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897" w:name="_Toc501634066"/>
      <w:bookmarkStart w:id="898" w:name="_Toc501712962"/>
      <w:bookmarkStart w:id="899" w:name="_Toc536782157"/>
      <w:bookmarkStart w:id="900" w:name="_Toc5347215"/>
      <w:bookmarkStart w:id="901" w:name="_Toc5363768"/>
      <w:bookmarkStart w:id="902" w:name="_Toc5364989"/>
      <w:r>
        <w:t>Division 4 — Limited access arrangements</w:t>
      </w:r>
      <w:bookmarkEnd w:id="897"/>
      <w:bookmarkEnd w:id="898"/>
      <w:bookmarkEnd w:id="899"/>
      <w:bookmarkEnd w:id="900"/>
      <w:bookmarkEnd w:id="901"/>
      <w:bookmarkEnd w:id="902"/>
    </w:p>
    <w:p>
      <w:pPr>
        <w:pStyle w:val="Heading5"/>
        <w:keepNext w:val="0"/>
        <w:keepLines w:val="0"/>
      </w:pPr>
      <w:bookmarkStart w:id="903" w:name="_Toc5364990"/>
      <w:r>
        <w:rPr>
          <w:rStyle w:val="CharSectno"/>
        </w:rPr>
        <w:t>168</w:t>
      </w:r>
      <w:r>
        <w:t>.</w:t>
      </w:r>
      <w:r>
        <w:tab/>
        <w:t>Limited access arrangements for pipeline services provided by international pipeline to which a price regulation exemption applies</w:t>
      </w:r>
      <w:bookmarkEnd w:id="90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904" w:name="_Toc501634068"/>
      <w:bookmarkStart w:id="905" w:name="_Toc501712964"/>
      <w:bookmarkStart w:id="906" w:name="_Toc536782159"/>
      <w:bookmarkStart w:id="907" w:name="_Toc5347217"/>
      <w:bookmarkStart w:id="908" w:name="_Toc5363770"/>
      <w:bookmarkStart w:id="909" w:name="_Toc5364991"/>
      <w:r>
        <w:t>Division 5 — Other matters</w:t>
      </w:r>
      <w:bookmarkEnd w:id="904"/>
      <w:bookmarkEnd w:id="905"/>
      <w:bookmarkEnd w:id="906"/>
      <w:bookmarkEnd w:id="907"/>
      <w:bookmarkEnd w:id="908"/>
      <w:bookmarkEnd w:id="909"/>
    </w:p>
    <w:p>
      <w:pPr>
        <w:pStyle w:val="Heading5"/>
      </w:pPr>
      <w:bookmarkStart w:id="910" w:name="_Toc5364992"/>
      <w:r>
        <w:rPr>
          <w:rStyle w:val="CharSectno"/>
        </w:rPr>
        <w:t>169</w:t>
      </w:r>
      <w:r>
        <w:t>.</w:t>
      </w:r>
      <w:r>
        <w:tab/>
        <w:t>Other obligations to which service provider is subject</w:t>
      </w:r>
      <w:bookmarkEnd w:id="9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911" w:name="_Toc5364993"/>
      <w:r>
        <w:rPr>
          <w:rStyle w:val="CharSectno"/>
        </w:rPr>
        <w:t>170</w:t>
      </w:r>
      <w:r>
        <w:t>.</w:t>
      </w:r>
      <w:r>
        <w:tab/>
        <w:t>Service provider must not price discriminate in providing international pipeline services</w:t>
      </w:r>
      <w:bookmarkEnd w:id="9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912" w:name="_Toc501634071"/>
      <w:bookmarkStart w:id="913" w:name="_Toc501712967"/>
      <w:bookmarkStart w:id="914" w:name="_Toc536782162"/>
      <w:bookmarkStart w:id="915" w:name="_Toc5347220"/>
      <w:bookmarkStart w:id="916" w:name="_Toc5363773"/>
      <w:bookmarkStart w:id="917" w:name="_Toc5364994"/>
      <w:r>
        <w:rPr>
          <w:rStyle w:val="CharDivNo"/>
        </w:rPr>
        <w:t>Part 4</w:t>
      </w:r>
      <w:r>
        <w:t xml:space="preserve"> — </w:t>
      </w:r>
      <w:r>
        <w:rPr>
          <w:rStyle w:val="CharDivText"/>
        </w:rPr>
        <w:t>Extended or modified application of greenfields pipeline incentive</w:t>
      </w:r>
      <w:bookmarkEnd w:id="912"/>
      <w:bookmarkEnd w:id="913"/>
      <w:bookmarkEnd w:id="914"/>
      <w:bookmarkEnd w:id="915"/>
      <w:bookmarkEnd w:id="916"/>
      <w:bookmarkEnd w:id="917"/>
    </w:p>
    <w:p>
      <w:pPr>
        <w:pStyle w:val="Heading5"/>
      </w:pPr>
      <w:bookmarkStart w:id="918" w:name="_Toc5364995"/>
      <w:r>
        <w:rPr>
          <w:rStyle w:val="CharSectno"/>
        </w:rPr>
        <w:t>171</w:t>
      </w:r>
      <w:r>
        <w:t>.</w:t>
      </w:r>
      <w:r>
        <w:tab/>
        <w:t>Requirement for conformity between pipeline description and pipeline as constructed</w:t>
      </w:r>
      <w:bookmarkEnd w:id="9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919" w:name="_Toc5364996"/>
      <w:r>
        <w:rPr>
          <w:rStyle w:val="CharSectno"/>
        </w:rPr>
        <w:t>172</w:t>
      </w:r>
      <w:r>
        <w:t>.</w:t>
      </w:r>
      <w:r>
        <w:tab/>
        <w:t>Power of relevant Minister to amend pipeline description</w:t>
      </w:r>
      <w:bookmarkEnd w:id="9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920" w:name="_Toc501634074"/>
      <w:bookmarkStart w:id="921" w:name="_Toc501712970"/>
      <w:bookmarkStart w:id="922" w:name="_Toc536782165"/>
      <w:bookmarkStart w:id="923" w:name="_Toc5347223"/>
      <w:bookmarkStart w:id="924" w:name="_Toc5363776"/>
      <w:bookmarkStart w:id="925" w:name="_Toc5364997"/>
      <w:r>
        <w:rPr>
          <w:rStyle w:val="CharDivNo"/>
        </w:rPr>
        <w:t>Part 5</w:t>
      </w:r>
      <w:r>
        <w:t xml:space="preserve"> — </w:t>
      </w:r>
      <w:r>
        <w:rPr>
          <w:rStyle w:val="CharDivText"/>
        </w:rPr>
        <w:t>Early termination of greenfields pipeline incentive</w:t>
      </w:r>
      <w:bookmarkEnd w:id="920"/>
      <w:bookmarkEnd w:id="921"/>
      <w:bookmarkEnd w:id="922"/>
      <w:bookmarkEnd w:id="923"/>
      <w:bookmarkEnd w:id="924"/>
      <w:bookmarkEnd w:id="925"/>
    </w:p>
    <w:p>
      <w:pPr>
        <w:pStyle w:val="Heading5"/>
      </w:pPr>
      <w:bookmarkStart w:id="926" w:name="_Toc5364998"/>
      <w:r>
        <w:rPr>
          <w:rStyle w:val="CharSectno"/>
        </w:rPr>
        <w:t>173</w:t>
      </w:r>
      <w:r>
        <w:t>.</w:t>
      </w:r>
      <w:r>
        <w:tab/>
        <w:t>Greenfields pipeline incentive may lapse</w:t>
      </w:r>
      <w:bookmarkEnd w:id="9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927" w:name="_Toc5364999"/>
      <w:r>
        <w:rPr>
          <w:rStyle w:val="CharSectno"/>
        </w:rPr>
        <w:t>174</w:t>
      </w:r>
      <w:r>
        <w:t>.</w:t>
      </w:r>
      <w:r>
        <w:tab/>
        <w:t>Revocation by consent</w:t>
      </w:r>
      <w:bookmarkEnd w:id="927"/>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928" w:name="_Toc5365000"/>
      <w:r>
        <w:rPr>
          <w:rStyle w:val="CharSectno"/>
        </w:rPr>
        <w:t>175</w:t>
      </w:r>
      <w:r>
        <w:t>.</w:t>
      </w:r>
      <w:r>
        <w:tab/>
        <w:t>Revocation for misrepresentation</w:t>
      </w:r>
      <w:bookmarkEnd w:id="928"/>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929" w:name="_Toc5365001"/>
      <w:r>
        <w:rPr>
          <w:rStyle w:val="CharSectno"/>
        </w:rPr>
        <w:t>176</w:t>
      </w:r>
      <w:r>
        <w:t>.</w:t>
      </w:r>
      <w:r>
        <w:tab/>
        <w:t>Revocation for breach of condition to which a price regulation exemption is subject</w:t>
      </w:r>
      <w:bookmarkEnd w:id="929"/>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930" w:name="_Toc5365002"/>
      <w:r>
        <w:rPr>
          <w:rStyle w:val="CharSectno"/>
        </w:rPr>
        <w:t>177</w:t>
      </w:r>
      <w:r>
        <w:t>.</w:t>
      </w:r>
      <w:r>
        <w:tab/>
        <w:t>Exhaustive provision for termination of greenfields pipeline incentive</w:t>
      </w:r>
      <w:bookmarkEnd w:id="930"/>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931" w:name="_Toc501634080"/>
      <w:bookmarkStart w:id="932" w:name="_Toc501712976"/>
      <w:bookmarkStart w:id="933" w:name="_Toc536782171"/>
      <w:bookmarkStart w:id="934" w:name="_Toc5347229"/>
      <w:bookmarkStart w:id="935" w:name="_Toc5363782"/>
      <w:bookmarkStart w:id="936" w:name="_Toc5365003"/>
      <w:r>
        <w:rPr>
          <w:rStyle w:val="CharPartNo"/>
        </w:rPr>
        <w:t>Chapter 6</w:t>
      </w:r>
      <w:r>
        <w:t xml:space="preserve"> — </w:t>
      </w:r>
      <w:r>
        <w:rPr>
          <w:rStyle w:val="CharPartText"/>
        </w:rPr>
        <w:t>Access disputes</w:t>
      </w:r>
      <w:bookmarkEnd w:id="931"/>
      <w:bookmarkEnd w:id="932"/>
      <w:r>
        <w:rPr>
          <w:rStyle w:val="CharPartText"/>
        </w:rPr>
        <w:t>—scheme pipelines</w:t>
      </w:r>
      <w:bookmarkEnd w:id="933"/>
      <w:bookmarkEnd w:id="934"/>
      <w:bookmarkEnd w:id="935"/>
      <w:bookmarkEnd w:id="936"/>
    </w:p>
    <w:p>
      <w:pPr>
        <w:pStyle w:val="Footnoteheading"/>
      </w:pPr>
      <w:bookmarkStart w:id="937" w:name="_Toc501634081"/>
      <w:bookmarkStart w:id="938" w:name="_Toc501712977"/>
      <w:r>
        <w:tab/>
        <w:t>[Heading inserted: see SA Act No. 23 of 2017 s. 5 and WA Gazette 22 Dec 2017 p. 5984.]</w:t>
      </w:r>
    </w:p>
    <w:p>
      <w:pPr>
        <w:pStyle w:val="Heading3"/>
      </w:pPr>
      <w:bookmarkStart w:id="939" w:name="_Toc536782172"/>
      <w:bookmarkStart w:id="940" w:name="_Toc5347230"/>
      <w:bookmarkStart w:id="941" w:name="_Toc5363783"/>
      <w:bookmarkStart w:id="942" w:name="_Toc5365004"/>
      <w:r>
        <w:rPr>
          <w:rStyle w:val="CharDivNo"/>
        </w:rPr>
        <w:t>Part 1</w:t>
      </w:r>
      <w:r>
        <w:t xml:space="preserve"> — </w:t>
      </w:r>
      <w:r>
        <w:rPr>
          <w:rStyle w:val="CharDivText"/>
        </w:rPr>
        <w:t>Interpretation and application</w:t>
      </w:r>
      <w:bookmarkEnd w:id="937"/>
      <w:bookmarkEnd w:id="938"/>
      <w:bookmarkEnd w:id="939"/>
      <w:bookmarkEnd w:id="940"/>
      <w:bookmarkEnd w:id="941"/>
      <w:bookmarkEnd w:id="942"/>
    </w:p>
    <w:p>
      <w:pPr>
        <w:pStyle w:val="Heading5"/>
      </w:pPr>
      <w:bookmarkStart w:id="943" w:name="_Toc5365005"/>
      <w:r>
        <w:rPr>
          <w:rStyle w:val="CharSectno"/>
        </w:rPr>
        <w:t>178</w:t>
      </w:r>
      <w:r>
        <w:t>.</w:t>
      </w:r>
      <w:r>
        <w:tab/>
        <w:t>Definitions</w:t>
      </w:r>
      <w:bookmarkEnd w:id="94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944" w:name="_Toc5365006"/>
      <w:r>
        <w:rPr>
          <w:rStyle w:val="CharSectno"/>
        </w:rPr>
        <w:t>179</w:t>
      </w:r>
      <w:r>
        <w:t>.</w:t>
      </w:r>
      <w:r>
        <w:tab/>
        <w:t>Chapter does not limit how disputes about access may be raised or dealt with</w:t>
      </w:r>
      <w:bookmarkEnd w:id="944"/>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945" w:name="_Toc5365007"/>
      <w:r>
        <w:rPr>
          <w:rStyle w:val="CharSectno"/>
        </w:rPr>
        <w:t>180</w:t>
      </w:r>
      <w:r>
        <w:t>.</w:t>
      </w:r>
      <w:r>
        <w:tab/>
        <w:t>No price or revenue regulation for access disputes relating to international pipeline services</w:t>
      </w:r>
      <w:bookmarkEnd w:id="945"/>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946" w:name="_Toc501634085"/>
      <w:bookmarkStart w:id="947" w:name="_Toc501712981"/>
      <w:bookmarkStart w:id="948" w:name="_Toc536782176"/>
      <w:bookmarkStart w:id="949" w:name="_Toc5347234"/>
      <w:bookmarkStart w:id="950" w:name="_Toc5363787"/>
      <w:bookmarkStart w:id="951" w:name="_Toc5365008"/>
      <w:r>
        <w:rPr>
          <w:rStyle w:val="CharDivNo"/>
        </w:rPr>
        <w:t>Part 2</w:t>
      </w:r>
      <w:r>
        <w:t xml:space="preserve"> — </w:t>
      </w:r>
      <w:r>
        <w:rPr>
          <w:rStyle w:val="CharDivText"/>
        </w:rPr>
        <w:t>Notification of access dispute</w:t>
      </w:r>
      <w:bookmarkEnd w:id="946"/>
      <w:bookmarkEnd w:id="947"/>
      <w:bookmarkEnd w:id="948"/>
      <w:bookmarkEnd w:id="949"/>
      <w:bookmarkEnd w:id="950"/>
      <w:bookmarkEnd w:id="951"/>
    </w:p>
    <w:p>
      <w:pPr>
        <w:pStyle w:val="Heading5"/>
      </w:pPr>
      <w:bookmarkStart w:id="952" w:name="_Toc5365009"/>
      <w:r>
        <w:rPr>
          <w:rStyle w:val="CharSectno"/>
        </w:rPr>
        <w:t>181</w:t>
      </w:r>
      <w:r>
        <w:t>.</w:t>
      </w:r>
      <w:r>
        <w:tab/>
        <w:t>Notification of access dispute</w:t>
      </w:r>
      <w:bookmarkEnd w:id="9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953" w:name="_Toc5365010"/>
      <w:r>
        <w:rPr>
          <w:rStyle w:val="CharSectno"/>
        </w:rPr>
        <w:t>181A</w:t>
      </w:r>
      <w:r>
        <w:t>.</w:t>
      </w:r>
      <w:r>
        <w:tab/>
        <w:t>Providing information for certain disputes</w:t>
      </w:r>
      <w:bookmarkEnd w:id="9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954" w:name="_Toc5365011"/>
      <w:r>
        <w:rPr>
          <w:rStyle w:val="CharSectno"/>
        </w:rPr>
        <w:t>182</w:t>
      </w:r>
      <w:r>
        <w:t>.</w:t>
      </w:r>
      <w:r>
        <w:tab/>
        <w:t>Withdrawal of notification</w:t>
      </w:r>
      <w:bookmarkEnd w:id="9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955" w:name="_Toc5365012"/>
      <w:r>
        <w:rPr>
          <w:rStyle w:val="CharSectno"/>
        </w:rPr>
        <w:t>183</w:t>
      </w:r>
      <w:r>
        <w:t>.</w:t>
      </w:r>
      <w:r>
        <w:tab/>
        <w:t>Parties to an access dispute</w:t>
      </w:r>
      <w:bookmarkEnd w:id="955"/>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956" w:name="_Toc501634090"/>
      <w:bookmarkStart w:id="957" w:name="_Toc501712986"/>
      <w:bookmarkStart w:id="958" w:name="_Toc536782181"/>
      <w:bookmarkStart w:id="959" w:name="_Toc5347239"/>
      <w:bookmarkStart w:id="960" w:name="_Toc5363792"/>
      <w:bookmarkStart w:id="961" w:name="_Toc5365013"/>
      <w:r>
        <w:rPr>
          <w:rStyle w:val="CharDivNo"/>
        </w:rPr>
        <w:t>Part 3</w:t>
      </w:r>
      <w:r>
        <w:t xml:space="preserve"> — </w:t>
      </w:r>
      <w:r>
        <w:rPr>
          <w:rStyle w:val="CharDivText"/>
        </w:rPr>
        <w:t>Access determinations</w:t>
      </w:r>
      <w:bookmarkEnd w:id="956"/>
      <w:bookmarkEnd w:id="957"/>
      <w:bookmarkEnd w:id="958"/>
      <w:bookmarkEnd w:id="959"/>
      <w:bookmarkEnd w:id="960"/>
      <w:bookmarkEnd w:id="961"/>
    </w:p>
    <w:p>
      <w:pPr>
        <w:pStyle w:val="Heading5"/>
      </w:pPr>
      <w:bookmarkStart w:id="962" w:name="_Toc5365014"/>
      <w:r>
        <w:rPr>
          <w:rStyle w:val="CharSectno"/>
        </w:rPr>
        <w:t>184</w:t>
      </w:r>
      <w:r>
        <w:t>.</w:t>
      </w:r>
      <w:r>
        <w:tab/>
        <w:t>Determination of access dispute</w:t>
      </w:r>
      <w:bookmarkEnd w:id="9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963" w:name="_Toc5365015"/>
      <w:r>
        <w:rPr>
          <w:rStyle w:val="CharSectno"/>
        </w:rPr>
        <w:t>185</w:t>
      </w:r>
      <w:r>
        <w:t>.</w:t>
      </w:r>
      <w:r>
        <w:tab/>
        <w:t>Dispute resolution body may require parties to mediate, conciliate or engage in an alternative dispute resolution process</w:t>
      </w:r>
      <w:bookmarkEnd w:id="9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964" w:name="_Toc5365016"/>
      <w:r>
        <w:rPr>
          <w:rStyle w:val="CharSectno"/>
        </w:rPr>
        <w:t>186</w:t>
      </w:r>
      <w:r>
        <w:t>.</w:t>
      </w:r>
      <w:r>
        <w:tab/>
        <w:t>Dispute resolution body may terminate access dispute in certain cases</w:t>
      </w:r>
      <w:bookmarkEnd w:id="9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965" w:name="_Toc5365017"/>
      <w:r>
        <w:rPr>
          <w:rStyle w:val="CharSectno"/>
        </w:rPr>
        <w:t>187</w:t>
      </w:r>
      <w:r>
        <w:t>.</w:t>
      </w:r>
      <w:r>
        <w:tab/>
        <w:t>No access determination if dispute resolution body considers there is genuine competition</w:t>
      </w:r>
      <w:bookmarkEnd w:id="965"/>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966" w:name="_Toc5365018"/>
      <w:r>
        <w:rPr>
          <w:rStyle w:val="CharSectno"/>
        </w:rPr>
        <w:t>188</w:t>
      </w:r>
      <w:r>
        <w:t>.</w:t>
      </w:r>
      <w:r>
        <w:tab/>
        <w:t>Restrictions on access determinations</w:t>
      </w:r>
      <w:bookmarkEnd w:id="9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967" w:name="_Toc5365019"/>
      <w:r>
        <w:rPr>
          <w:rStyle w:val="CharSectno"/>
        </w:rPr>
        <w:t>189</w:t>
      </w:r>
      <w:r>
        <w:t>.</w:t>
      </w:r>
      <w:r>
        <w:tab/>
        <w:t>Access determination must give effect to applicable access arrangement</w:t>
      </w:r>
      <w:bookmarkEnd w:id="967"/>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968" w:name="_Toc5365020"/>
      <w:r>
        <w:rPr>
          <w:rStyle w:val="CharSectno"/>
        </w:rPr>
        <w:t>190</w:t>
      </w:r>
      <w:r>
        <w:t>.</w:t>
      </w:r>
      <w:r>
        <w:tab/>
        <w:t>Access determinations and past contributions of capital to fund installations or the construction of new facilities</w:t>
      </w:r>
      <w:bookmarkEnd w:id="9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969" w:name="_Toc5365021"/>
      <w:r>
        <w:rPr>
          <w:rStyle w:val="CharSectno"/>
        </w:rPr>
        <w:t>191</w:t>
      </w:r>
      <w:r>
        <w:t>.</w:t>
      </w:r>
      <w:r>
        <w:tab/>
        <w:t>Rules may allow determination that varies applicable access arrangement for installation of a new facility</w:t>
      </w:r>
      <w:bookmarkEnd w:id="9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970" w:name="_Toc5365022"/>
      <w:r>
        <w:rPr>
          <w:rStyle w:val="CharSectno"/>
        </w:rPr>
        <w:t>192</w:t>
      </w:r>
      <w:r>
        <w:t>.</w:t>
      </w:r>
      <w:r>
        <w:tab/>
        <w:t>Access determinations need not require the provision of a pipeline service</w:t>
      </w:r>
      <w:bookmarkEnd w:id="970"/>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971" w:name="_Toc5365023"/>
      <w:r>
        <w:rPr>
          <w:rStyle w:val="CharSectno"/>
        </w:rPr>
        <w:t>193</w:t>
      </w:r>
      <w:r>
        <w:t>.</w:t>
      </w:r>
      <w:r>
        <w:tab/>
        <w:t>Content of access determinations</w:t>
      </w:r>
      <w:bookmarkEnd w:id="971"/>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972" w:name="_Toc501634101"/>
      <w:bookmarkStart w:id="973" w:name="_Toc501712997"/>
      <w:bookmarkStart w:id="974" w:name="_Toc536782192"/>
      <w:bookmarkStart w:id="975" w:name="_Toc5347250"/>
      <w:bookmarkStart w:id="976" w:name="_Toc5363803"/>
      <w:bookmarkStart w:id="977" w:name="_Toc5365024"/>
      <w:r>
        <w:rPr>
          <w:rStyle w:val="CharDivNo"/>
        </w:rPr>
        <w:t>Part 4</w:t>
      </w:r>
      <w:r>
        <w:t xml:space="preserve"> — </w:t>
      </w:r>
      <w:r>
        <w:rPr>
          <w:rStyle w:val="CharDivText"/>
        </w:rPr>
        <w:t>Variation of access determinations</w:t>
      </w:r>
      <w:bookmarkEnd w:id="972"/>
      <w:bookmarkEnd w:id="973"/>
      <w:bookmarkEnd w:id="974"/>
      <w:bookmarkEnd w:id="975"/>
      <w:bookmarkEnd w:id="976"/>
      <w:bookmarkEnd w:id="977"/>
    </w:p>
    <w:p>
      <w:pPr>
        <w:pStyle w:val="Heading5"/>
      </w:pPr>
      <w:bookmarkStart w:id="978" w:name="_Toc5365025"/>
      <w:r>
        <w:rPr>
          <w:rStyle w:val="CharSectno"/>
        </w:rPr>
        <w:t>194</w:t>
      </w:r>
      <w:r>
        <w:t>.</w:t>
      </w:r>
      <w:r>
        <w:tab/>
        <w:t>Variation of access determination</w:t>
      </w:r>
      <w:bookmarkEnd w:id="9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979" w:name="_Toc501634103"/>
      <w:bookmarkStart w:id="980" w:name="_Toc501712999"/>
      <w:bookmarkStart w:id="981" w:name="_Toc536782194"/>
      <w:bookmarkStart w:id="982" w:name="_Toc5347252"/>
      <w:bookmarkStart w:id="983" w:name="_Toc5363805"/>
      <w:bookmarkStart w:id="984" w:name="_Toc5365026"/>
      <w:r>
        <w:rPr>
          <w:rStyle w:val="CharDivNo"/>
        </w:rPr>
        <w:t>Part 5</w:t>
      </w:r>
      <w:r>
        <w:t xml:space="preserve"> — </w:t>
      </w:r>
      <w:r>
        <w:rPr>
          <w:rStyle w:val="CharDivText"/>
        </w:rPr>
        <w:t>Compliance with access determinations</w:t>
      </w:r>
      <w:bookmarkEnd w:id="979"/>
      <w:bookmarkEnd w:id="980"/>
      <w:bookmarkEnd w:id="981"/>
      <w:bookmarkEnd w:id="982"/>
      <w:bookmarkEnd w:id="983"/>
      <w:bookmarkEnd w:id="984"/>
    </w:p>
    <w:p>
      <w:pPr>
        <w:pStyle w:val="Heading5"/>
      </w:pPr>
      <w:bookmarkStart w:id="985" w:name="_Toc5365027"/>
      <w:r>
        <w:rPr>
          <w:rStyle w:val="CharSectno"/>
        </w:rPr>
        <w:t>195</w:t>
      </w:r>
      <w:r>
        <w:t>.</w:t>
      </w:r>
      <w:r>
        <w:tab/>
        <w:t>Compliance with access determination</w:t>
      </w:r>
      <w:bookmarkEnd w:id="985"/>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986" w:name="_Toc501634105"/>
      <w:bookmarkStart w:id="987" w:name="_Toc501713001"/>
      <w:bookmarkStart w:id="988" w:name="_Toc536782196"/>
      <w:bookmarkStart w:id="989" w:name="_Toc5347254"/>
      <w:bookmarkStart w:id="990" w:name="_Toc5363807"/>
      <w:bookmarkStart w:id="991" w:name="_Toc5365028"/>
      <w:r>
        <w:rPr>
          <w:rStyle w:val="CharDivNo"/>
        </w:rPr>
        <w:t>Part 6</w:t>
      </w:r>
      <w:r>
        <w:t xml:space="preserve"> — </w:t>
      </w:r>
      <w:r>
        <w:rPr>
          <w:rStyle w:val="CharDivText"/>
        </w:rPr>
        <w:t>Access dispute hearing procedure</w:t>
      </w:r>
      <w:bookmarkEnd w:id="986"/>
      <w:bookmarkEnd w:id="987"/>
      <w:bookmarkEnd w:id="988"/>
      <w:bookmarkEnd w:id="989"/>
      <w:bookmarkEnd w:id="990"/>
      <w:bookmarkEnd w:id="991"/>
    </w:p>
    <w:p>
      <w:pPr>
        <w:pStyle w:val="Heading5"/>
      </w:pPr>
      <w:bookmarkStart w:id="992" w:name="_Toc5365029"/>
      <w:r>
        <w:rPr>
          <w:rStyle w:val="CharSectno"/>
        </w:rPr>
        <w:t>196</w:t>
      </w:r>
      <w:r>
        <w:t>.</w:t>
      </w:r>
      <w:r>
        <w:tab/>
        <w:t>Hearing to be in private</w:t>
      </w:r>
      <w:bookmarkEnd w:id="9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993" w:name="_Toc5365030"/>
      <w:r>
        <w:rPr>
          <w:rStyle w:val="CharSectno"/>
        </w:rPr>
        <w:t>197</w:t>
      </w:r>
      <w:r>
        <w:t>.</w:t>
      </w:r>
      <w:r>
        <w:tab/>
        <w:t>Right to representation</w:t>
      </w:r>
      <w:bookmarkEnd w:id="993"/>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994" w:name="_Toc5365031"/>
      <w:r>
        <w:rPr>
          <w:rStyle w:val="CharSectno"/>
        </w:rPr>
        <w:t>198</w:t>
      </w:r>
      <w:r>
        <w:t>.</w:t>
      </w:r>
      <w:r>
        <w:tab/>
        <w:t>Procedure of dispute resolution body</w:t>
      </w:r>
      <w:bookmarkEnd w:id="9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995" w:name="_Toc5365032"/>
      <w:r>
        <w:rPr>
          <w:rStyle w:val="CharSectno"/>
        </w:rPr>
        <w:t>199</w:t>
      </w:r>
      <w:r>
        <w:t>.</w:t>
      </w:r>
      <w:r>
        <w:tab/>
        <w:t>Particular powers of dispute resolution body in a hearing</w:t>
      </w:r>
      <w:bookmarkEnd w:id="9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996" w:name="_Toc5365033"/>
      <w:r>
        <w:rPr>
          <w:rStyle w:val="CharSectno"/>
        </w:rPr>
        <w:t>200</w:t>
      </w:r>
      <w:r>
        <w:t>.</w:t>
      </w:r>
      <w:r>
        <w:tab/>
        <w:t>Disclosure of information</w:t>
      </w:r>
      <w:bookmarkEnd w:id="9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997" w:name="_Toc5365034"/>
      <w:r>
        <w:rPr>
          <w:rStyle w:val="CharSectno"/>
        </w:rPr>
        <w:t>201</w:t>
      </w:r>
      <w:r>
        <w:t>.</w:t>
      </w:r>
      <w:r>
        <w:tab/>
        <w:t>Power to take evidence on oath or affirmation</w:t>
      </w:r>
      <w:bookmarkEnd w:id="9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998" w:name="_Toc5365035"/>
      <w:r>
        <w:rPr>
          <w:rStyle w:val="CharSectno"/>
        </w:rPr>
        <w:t>202</w:t>
      </w:r>
      <w:r>
        <w:t>.</w:t>
      </w:r>
      <w:r>
        <w:tab/>
        <w:t>Failing to attend as a witness</w:t>
      </w:r>
      <w:bookmarkEnd w:id="998"/>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999" w:name="_Toc5365036"/>
      <w:r>
        <w:rPr>
          <w:rStyle w:val="CharSectno"/>
        </w:rPr>
        <w:t>203</w:t>
      </w:r>
      <w:r>
        <w:t>.</w:t>
      </w:r>
      <w:r>
        <w:tab/>
        <w:t>Failing to answer questions etc</w:t>
      </w:r>
      <w:bookmarkEnd w:id="9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1000" w:name="_Toc5365037"/>
      <w:r>
        <w:rPr>
          <w:rStyle w:val="CharSectno"/>
        </w:rPr>
        <w:t>204</w:t>
      </w:r>
      <w:r>
        <w:t>.</w:t>
      </w:r>
      <w:r>
        <w:tab/>
        <w:t>Intimidation etc</w:t>
      </w:r>
      <w:bookmarkEnd w:id="1000"/>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001" w:name="_Toc5365038"/>
      <w:r>
        <w:rPr>
          <w:rStyle w:val="CharSectno"/>
        </w:rPr>
        <w:t>205</w:t>
      </w:r>
      <w:r>
        <w:t>.</w:t>
      </w:r>
      <w:r>
        <w:tab/>
        <w:t>Party may request dispute resolution body to treat material as confidential</w:t>
      </w:r>
      <w:bookmarkEnd w:id="10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1002" w:name="_Toc5365039"/>
      <w:r>
        <w:rPr>
          <w:rStyle w:val="CharSectno"/>
        </w:rPr>
        <w:t>206</w:t>
      </w:r>
      <w:r>
        <w:t>.</w:t>
      </w:r>
      <w:r>
        <w:tab/>
        <w:t>Costs</w:t>
      </w:r>
      <w:bookmarkEnd w:id="10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1003" w:name="_Toc5365040"/>
      <w:r>
        <w:t>207.</w:t>
      </w:r>
      <w:r>
        <w:tab/>
        <w:t>Outstanding costs are a debt due to party awarded the costs</w:t>
      </w:r>
      <w:bookmarkEnd w:id="1003"/>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1004" w:name="_Toc501634118"/>
      <w:bookmarkStart w:id="1005" w:name="_Toc501713014"/>
      <w:bookmarkStart w:id="1006" w:name="_Toc536782209"/>
      <w:bookmarkStart w:id="1007" w:name="_Toc5347267"/>
      <w:bookmarkStart w:id="1008" w:name="_Toc5363820"/>
      <w:bookmarkStart w:id="1009" w:name="_Toc5365041"/>
      <w:r>
        <w:rPr>
          <w:rStyle w:val="CharDivNo"/>
        </w:rPr>
        <w:t>Part 7</w:t>
      </w:r>
      <w:r>
        <w:t xml:space="preserve"> — </w:t>
      </w:r>
      <w:r>
        <w:rPr>
          <w:rStyle w:val="CharDivText"/>
        </w:rPr>
        <w:t>Joint access dispute hearings</w:t>
      </w:r>
      <w:bookmarkEnd w:id="1004"/>
      <w:bookmarkEnd w:id="1005"/>
      <w:bookmarkEnd w:id="1006"/>
      <w:bookmarkEnd w:id="1007"/>
      <w:bookmarkEnd w:id="1008"/>
      <w:bookmarkEnd w:id="1009"/>
    </w:p>
    <w:p>
      <w:pPr>
        <w:pStyle w:val="Heading5"/>
      </w:pPr>
      <w:bookmarkStart w:id="1010" w:name="_Toc5365042"/>
      <w:r>
        <w:rPr>
          <w:rStyle w:val="CharSectno"/>
        </w:rPr>
        <w:t>208</w:t>
      </w:r>
      <w:r>
        <w:t>.</w:t>
      </w:r>
      <w:r>
        <w:tab/>
        <w:t>Definition</w:t>
      </w:r>
      <w:bookmarkEnd w:id="101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011" w:name="_Toc5365043"/>
      <w:r>
        <w:rPr>
          <w:rStyle w:val="CharSectno"/>
        </w:rPr>
        <w:t>209</w:t>
      </w:r>
      <w:r>
        <w:t>.</w:t>
      </w:r>
      <w:r>
        <w:tab/>
        <w:t>Joint dispute hearing</w:t>
      </w:r>
      <w:bookmarkEnd w:id="10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012" w:name="_Toc5365044"/>
      <w:r>
        <w:rPr>
          <w:rStyle w:val="CharSectno"/>
        </w:rPr>
        <w:t>210</w:t>
      </w:r>
      <w:r>
        <w:t>.</w:t>
      </w:r>
      <w:r>
        <w:tab/>
        <w:t>Consulting the parties</w:t>
      </w:r>
      <w:bookmarkEnd w:id="10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013" w:name="_Toc5365045"/>
      <w:r>
        <w:rPr>
          <w:rStyle w:val="CharSectno"/>
        </w:rPr>
        <w:t>211</w:t>
      </w:r>
      <w:r>
        <w:t>.</w:t>
      </w:r>
      <w:r>
        <w:tab/>
        <w:t>Constitution and procedure of dispute resolution body for joint dispute hearings</w:t>
      </w:r>
      <w:bookmarkEnd w:id="101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014" w:name="_Toc5365046"/>
      <w:r>
        <w:rPr>
          <w:rStyle w:val="CharSectno"/>
        </w:rPr>
        <w:t>212</w:t>
      </w:r>
      <w:r>
        <w:t>.</w:t>
      </w:r>
      <w:r>
        <w:tab/>
        <w:t>Record of proceedings etc</w:t>
      </w:r>
      <w:bookmarkEnd w:id="10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015" w:name="_Toc501634124"/>
      <w:bookmarkStart w:id="1016" w:name="_Toc501713020"/>
      <w:bookmarkStart w:id="1017" w:name="_Toc536782215"/>
      <w:bookmarkStart w:id="1018" w:name="_Toc5347273"/>
      <w:bookmarkStart w:id="1019" w:name="_Toc5363826"/>
      <w:bookmarkStart w:id="1020" w:name="_Toc5365047"/>
      <w:r>
        <w:rPr>
          <w:rStyle w:val="CharDivNo"/>
        </w:rPr>
        <w:t>Part 8</w:t>
      </w:r>
      <w:r>
        <w:t> — </w:t>
      </w:r>
      <w:r>
        <w:rPr>
          <w:rStyle w:val="CharDivText"/>
        </w:rPr>
        <w:t>Miscellaneous matters</w:t>
      </w:r>
      <w:bookmarkEnd w:id="1015"/>
      <w:bookmarkEnd w:id="1016"/>
      <w:bookmarkEnd w:id="1017"/>
      <w:bookmarkEnd w:id="1018"/>
      <w:bookmarkEnd w:id="1019"/>
      <w:bookmarkEnd w:id="1020"/>
    </w:p>
    <w:p>
      <w:pPr>
        <w:pStyle w:val="Heading5"/>
      </w:pPr>
      <w:bookmarkStart w:id="1021" w:name="_Toc5365048"/>
      <w:r>
        <w:rPr>
          <w:rStyle w:val="CharSectno"/>
        </w:rPr>
        <w:t>213</w:t>
      </w:r>
      <w:r>
        <w:t>.</w:t>
      </w:r>
      <w:r>
        <w:tab/>
        <w:t>Correction of access determinations for clerical mistakes etc</w:t>
      </w:r>
      <w:bookmarkEnd w:id="1021"/>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022" w:name="_Toc5365049"/>
      <w:r>
        <w:rPr>
          <w:rStyle w:val="CharSectno"/>
        </w:rPr>
        <w:t>214</w:t>
      </w:r>
      <w:r>
        <w:t>.</w:t>
      </w:r>
      <w:r>
        <w:tab/>
        <w:t>Reservation of capacity during an access dispute</w:t>
      </w:r>
      <w:bookmarkEnd w:id="1022"/>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023" w:name="_Toc5365050"/>
      <w:r>
        <w:rPr>
          <w:rStyle w:val="CharSectno"/>
        </w:rPr>
        <w:t>215</w:t>
      </w:r>
      <w:r>
        <w:t>.</w:t>
      </w:r>
      <w:r>
        <w:tab/>
        <w:t>Subsequent service providers bound by access determinations</w:t>
      </w:r>
      <w:bookmarkEnd w:id="10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024" w:name="_Toc5365051"/>
      <w:r>
        <w:rPr>
          <w:rStyle w:val="CharSectno"/>
        </w:rPr>
        <w:t>216</w:t>
      </w:r>
      <w:r>
        <w:t>.</w:t>
      </w:r>
      <w:r>
        <w:tab/>
        <w:t>Regulations about the costs to be paid by parties to access dispute</w:t>
      </w:r>
      <w:bookmarkEnd w:id="1024"/>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1025" w:name="_Toc536782220"/>
      <w:bookmarkStart w:id="1026" w:name="_Toc5347278"/>
      <w:bookmarkStart w:id="1027" w:name="_Toc5363831"/>
      <w:bookmarkStart w:id="1028" w:name="_Toc5365052"/>
      <w:bookmarkStart w:id="1029" w:name="_Toc501634129"/>
      <w:bookmarkStart w:id="1030" w:name="_Toc501713025"/>
      <w:r>
        <w:rPr>
          <w:rStyle w:val="CharPartNo"/>
        </w:rPr>
        <w:t>Chapter 6A</w:t>
      </w:r>
      <w:r>
        <w:t>—</w:t>
      </w:r>
      <w:r>
        <w:rPr>
          <w:rStyle w:val="CharPartText"/>
        </w:rPr>
        <w:t>Access disputes—non-scheme pipelines</w:t>
      </w:r>
      <w:bookmarkEnd w:id="1025"/>
      <w:bookmarkEnd w:id="1026"/>
      <w:bookmarkEnd w:id="1027"/>
      <w:bookmarkEnd w:id="1028"/>
    </w:p>
    <w:p>
      <w:pPr>
        <w:pStyle w:val="Footnoteheading"/>
      </w:pPr>
      <w:r>
        <w:tab/>
        <w:t>[Heading inserted: see SA Act No. 23 of 2017 s. 6 and WA Gazette 22 Dec 2017 p. 5984.]</w:t>
      </w:r>
    </w:p>
    <w:p>
      <w:pPr>
        <w:pStyle w:val="Heading3"/>
      </w:pPr>
      <w:bookmarkStart w:id="1031" w:name="_Toc536782221"/>
      <w:bookmarkStart w:id="1032" w:name="_Toc5347279"/>
      <w:bookmarkStart w:id="1033" w:name="_Toc5363832"/>
      <w:bookmarkStart w:id="1034" w:name="_Toc5365053"/>
      <w:r>
        <w:rPr>
          <w:rStyle w:val="CharDivNo"/>
        </w:rPr>
        <w:t>Part 1</w:t>
      </w:r>
      <w:r>
        <w:t>—</w:t>
      </w:r>
      <w:r>
        <w:rPr>
          <w:rStyle w:val="CharDivText"/>
        </w:rPr>
        <w:t>Interpretation and application</w:t>
      </w:r>
      <w:bookmarkEnd w:id="1031"/>
      <w:bookmarkEnd w:id="1032"/>
      <w:bookmarkEnd w:id="1033"/>
      <w:bookmarkEnd w:id="1034"/>
    </w:p>
    <w:p>
      <w:pPr>
        <w:pStyle w:val="Footnoteheading"/>
      </w:pPr>
      <w:r>
        <w:tab/>
        <w:t>[Heading inserted: see SA Act No. 23 of 2017 s. 6 and WA Gazette 22 Dec 2017 p. 5984.]</w:t>
      </w:r>
    </w:p>
    <w:p>
      <w:pPr>
        <w:pStyle w:val="Heading5"/>
      </w:pPr>
      <w:bookmarkStart w:id="1035" w:name="_Toc5365054"/>
      <w:r>
        <w:rPr>
          <w:rStyle w:val="CharSectno"/>
        </w:rPr>
        <w:t>216A</w:t>
      </w:r>
      <w:r>
        <w:t>.</w:t>
      </w:r>
      <w:r>
        <w:tab/>
        <w:t>Definitions</w:t>
      </w:r>
      <w:bookmarkEnd w:id="10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w:t>
      </w:r>
      <w:hyperlink w:anchor="idba65a7ed_fd82_4b20_88b9_904b318ba9" w:history="1">
        <w:r>
          <w:rPr>
            <w:color w:val="000000"/>
            <w:sz w:val="23"/>
            <w:szCs w:val="23"/>
          </w:rPr>
          <w:t>Part 3</w:t>
        </w:r>
      </w:hyperlink>
      <w:r>
        <w:rPr>
          <w:color w:val="000000"/>
          <w:sz w:val="23"/>
          <w:szCs w:val="23"/>
        </w:rPr>
        <w:t xml:space="preserve"> and includes a variation under </w:t>
      </w:r>
      <w:hyperlink w:anchor="id9d474823_dac0_4d5a_80a9_511a82a3dd" w:history="1">
        <w:r>
          <w:rPr>
            <w:color w:val="000000"/>
            <w:sz w:val="23"/>
            <w:szCs w:val="23"/>
          </w:rPr>
          <w:t>Part 5</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 xml:space="preserve">scheme pipeline (subject to the operation of </w:t>
      </w:r>
      <w:hyperlink w:anchor="idca11615c_5180_4211_b24e_974f7b7973" w:history="1">
        <w:r>
          <w:rPr>
            <w:color w:val="000000"/>
            <w:sz w:val="23"/>
            <w:szCs w:val="23"/>
          </w:rPr>
          <w:t>section 216C(2)</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w:t>
      </w:r>
      <w:hyperlink w:anchor="idb185bbdd_eb39_4556_8fab_e211a16ce7" w:history="1">
        <w:r>
          <w:rPr>
            <w:color w:val="000000"/>
            <w:sz w:val="23"/>
            <w:szCs w:val="23"/>
          </w:rPr>
          <w:t>section 216C</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xml:space="preserve">, in relation to an access dispute, has the meaning given by </w:t>
      </w:r>
      <w:hyperlink w:anchor="id51ae116f_36db_4e33_a54f_3440a6b614" w:history="1">
        <w:r>
          <w:rPr>
            <w:color w:val="000000"/>
            <w:sz w:val="23"/>
            <w:szCs w:val="23"/>
          </w:rPr>
          <w:t>section 216I</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 xml:space="preserve">has the meaning given by </w:t>
      </w:r>
      <w:hyperlink w:anchor="id31a9f6b6_3b8b_463d_93d6_ecf15c2876" w:history="1">
        <w:r>
          <w:rPr>
            <w:color w:val="000000"/>
            <w:sz w:val="23"/>
            <w:szCs w:val="23"/>
          </w:rPr>
          <w:t>section 216B</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1036" w:name="_Toc5365055"/>
      <w:r>
        <w:rPr>
          <w:rStyle w:val="CharSectno"/>
        </w:rPr>
        <w:t>216B</w:t>
      </w:r>
      <w:r>
        <w:t>.</w:t>
      </w:r>
      <w:r>
        <w:tab/>
        <w:t>Meaning of prospective user</w:t>
      </w:r>
      <w:bookmarkEnd w:id="10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037"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1037"/>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1038" w:name="id4d2e09fa_9ebd_4b6e_a77c_6881a24ff6"/>
      <w:r>
        <w:rPr>
          <w:color w:val="000000"/>
          <w:sz w:val="23"/>
          <w:szCs w:val="23"/>
        </w:rPr>
        <w:tab/>
        <w:t>(b)</w:t>
      </w:r>
      <w:r>
        <w:rPr>
          <w:color w:val="000000"/>
          <w:sz w:val="23"/>
          <w:szCs w:val="23"/>
        </w:rPr>
        <w:tab/>
        <w:t>an access determination.</w:t>
      </w:r>
      <w:bookmarkEnd w:id="10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r>
      <w:hyperlink w:anchor="id4d2e09fa_9ebd_4b6e_a77c_6881a24ff6" w:history="1">
        <w:r>
          <w:rPr>
            <w:color w:val="000000"/>
            <w:sz w:val="23"/>
            <w:szCs w:val="23"/>
          </w:rPr>
          <w:t>Subsection (2)(b)</w:t>
        </w:r>
      </w:hyperlink>
      <w:r>
        <w:rPr>
          <w:color w:val="000000"/>
          <w:sz w:val="23"/>
          <w:szCs w:val="23"/>
        </w:rPr>
        <w:t xml:space="preserve"> does not limit the operation of </w:t>
      </w:r>
      <w:hyperlink w:anchor="id9d474823_dac0_4d5a_80a9_511a82a3dd" w:history="1">
        <w:r>
          <w:rPr>
            <w:color w:val="000000"/>
            <w:sz w:val="23"/>
            <w:szCs w:val="23"/>
          </w:rPr>
          <w:t>Part 5</w:t>
        </w:r>
      </w:hyperlink>
      <w:r>
        <w:rPr>
          <w:color w:val="000000"/>
          <w:sz w:val="23"/>
          <w:szCs w:val="23"/>
        </w:rPr>
        <w:t>.</w:t>
      </w:r>
    </w:p>
    <w:p>
      <w:pPr>
        <w:pStyle w:val="Footnotesection"/>
      </w:pPr>
      <w:r>
        <w:tab/>
        <w:t>[Section 216B inserted: see SA Act No. 23 of 2017 s. 6 and WA Gazette 22 Dec 2017 p. 5984.]</w:t>
      </w:r>
    </w:p>
    <w:p>
      <w:pPr>
        <w:pStyle w:val="Heading5"/>
      </w:pPr>
      <w:bookmarkStart w:id="1039" w:name="_Toc5365056"/>
      <w:r>
        <w:rPr>
          <w:rStyle w:val="CharSectno"/>
        </w:rPr>
        <w:t>216C</w:t>
      </w:r>
      <w:r>
        <w:t>.</w:t>
      </w:r>
      <w:r>
        <w:tab/>
        <w:t>Application of Chapter</w:t>
      </w:r>
      <w:bookmarkEnd w:id="10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w:t>
      </w:r>
      <w:hyperlink w:anchor="idca11615c_5180_4211_b24e_974f7b7973" w:history="1">
        <w:r>
          <w:rPr>
            <w:color w:val="000000"/>
            <w:sz w:val="23"/>
            <w:szCs w:val="23"/>
          </w:rPr>
          <w:t>subsection (2)</w:t>
        </w:r>
      </w:hyperlink>
      <w:r>
        <w:rPr>
          <w:color w:val="000000"/>
          <w:sz w:val="23"/>
          <w:szCs w:val="23"/>
        </w:rPr>
        <w:t>,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040" w:name="idca11615c_5180_4211_b24e_974f7b7973"/>
      <w:r>
        <w:rPr>
          <w:color w:val="000000"/>
          <w:sz w:val="23"/>
          <w:szCs w:val="23"/>
        </w:rPr>
        <w:tab/>
        <w:t>(2)</w:t>
      </w:r>
      <w:r>
        <w:rPr>
          <w:color w:val="000000"/>
          <w:sz w:val="23"/>
          <w:szCs w:val="23"/>
        </w:rPr>
        <w:tab/>
        <w:t>This Chapter does not apply to or in relation to—</w:t>
      </w:r>
      <w:bookmarkEnd w:id="104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1041" w:name="_Toc5365057"/>
      <w:r>
        <w:rPr>
          <w:rStyle w:val="CharSectno"/>
        </w:rPr>
        <w:t>216D</w:t>
      </w:r>
      <w:r>
        <w:t>.</w:t>
      </w:r>
      <w:r>
        <w:tab/>
        <w:t>Application of this Chapter to disputes arising under Rules</w:t>
      </w:r>
      <w:bookmarkEnd w:id="10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1042" w:name="_Toc5365058"/>
      <w:r>
        <w:rPr>
          <w:rStyle w:val="CharSectno"/>
        </w:rPr>
        <w:t>216E</w:t>
      </w:r>
      <w:r>
        <w:t>.</w:t>
      </w:r>
      <w:r>
        <w:tab/>
        <w:t>Chapter does not limit how disputes about access may be raised or dealt with</w:t>
      </w:r>
      <w:bookmarkEnd w:id="10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1043" w:name="_Toc536782227"/>
      <w:bookmarkStart w:id="1044" w:name="_Toc5347285"/>
      <w:bookmarkStart w:id="1045" w:name="_Toc5363838"/>
      <w:bookmarkStart w:id="1046" w:name="_Toc5365059"/>
      <w:r>
        <w:rPr>
          <w:rStyle w:val="CharDivNo"/>
        </w:rPr>
        <w:t>Part 2</w:t>
      </w:r>
      <w:r>
        <w:t>—</w:t>
      </w:r>
      <w:r>
        <w:rPr>
          <w:rStyle w:val="CharDivText"/>
        </w:rPr>
        <w:t>Negotiation of access</w:t>
      </w:r>
      <w:bookmarkEnd w:id="1043"/>
      <w:bookmarkEnd w:id="1044"/>
      <w:bookmarkEnd w:id="1045"/>
      <w:bookmarkEnd w:id="1046"/>
    </w:p>
    <w:p>
      <w:pPr>
        <w:pStyle w:val="Footnoteheading"/>
      </w:pPr>
      <w:r>
        <w:tab/>
        <w:t>[Heading inserted: see SA Act No. 23 of 2017 s. 6 and WA Gazette 22 Dec 2017 p. 5984.]</w:t>
      </w:r>
    </w:p>
    <w:p>
      <w:pPr>
        <w:pStyle w:val="Heading5"/>
      </w:pPr>
      <w:bookmarkStart w:id="1047" w:name="_Toc5365060"/>
      <w:r>
        <w:rPr>
          <w:rStyle w:val="CharSectno"/>
        </w:rPr>
        <w:t>216F</w:t>
      </w:r>
      <w:r>
        <w:t>.</w:t>
      </w:r>
      <w:r>
        <w:tab/>
        <w:t>Access proposals</w:t>
      </w:r>
      <w:bookmarkEnd w:id="10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1048" w:name="_Toc5365061"/>
      <w:r>
        <w:rPr>
          <w:rStyle w:val="CharSectno"/>
        </w:rPr>
        <w:t>216G</w:t>
      </w:r>
      <w:r>
        <w:t>.</w:t>
      </w:r>
      <w:r>
        <w:tab/>
        <w:t>Duty to negotiate in good faith</w:t>
      </w:r>
      <w:bookmarkEnd w:id="10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1049" w:name="_Toc5365062"/>
      <w:r>
        <w:rPr>
          <w:rStyle w:val="CharSectno"/>
        </w:rPr>
        <w:t>216H</w:t>
      </w:r>
      <w:r>
        <w:t>.</w:t>
      </w:r>
      <w:r>
        <w:tab/>
        <w:t>Notification of access dispute</w:t>
      </w:r>
      <w:bookmarkEnd w:id="1049"/>
    </w:p>
    <w:p>
      <w:pPr>
        <w:tabs>
          <w:tab w:val="center" w:pos="1191"/>
          <w:tab w:val="left" w:pos="1588"/>
        </w:tabs>
        <w:autoSpaceDE w:val="0"/>
        <w:autoSpaceDN w:val="0"/>
        <w:adjustRightInd w:val="0"/>
        <w:spacing w:before="120"/>
        <w:ind w:left="1588" w:hanging="794"/>
        <w:rPr>
          <w:color w:val="000000"/>
          <w:sz w:val="23"/>
          <w:szCs w:val="23"/>
        </w:rPr>
      </w:pPr>
      <w:bookmarkStart w:id="1050"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105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1051" w:name="_Toc5365063"/>
      <w:r>
        <w:rPr>
          <w:rStyle w:val="CharSectno"/>
        </w:rPr>
        <w:t>216I</w:t>
      </w:r>
      <w:r>
        <w:t>.</w:t>
      </w:r>
      <w:r>
        <w:tab/>
        <w:t>Parties to an access dispute</w:t>
      </w:r>
      <w:bookmarkEnd w:id="10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parties to the negotiations that gave rise to the access dispute under </w:t>
      </w:r>
      <w:hyperlink w:anchor="id1252043a_7393_493f_a585_47e04b32aa" w:history="1">
        <w:r>
          <w:rPr>
            <w:color w:val="000000"/>
            <w:sz w:val="23"/>
            <w:szCs w:val="23"/>
          </w:rPr>
          <w:t>section 216H(1)</w:t>
        </w:r>
      </w:hyperlink>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1052" w:name="_Toc536782232"/>
      <w:bookmarkStart w:id="1053" w:name="_Toc5347290"/>
      <w:bookmarkStart w:id="1054" w:name="_Toc5363843"/>
      <w:bookmarkStart w:id="1055" w:name="_Toc5365064"/>
      <w:r>
        <w:rPr>
          <w:rStyle w:val="CharDivNo"/>
        </w:rPr>
        <w:t>Part 3</w:t>
      </w:r>
      <w:r>
        <w:t>—</w:t>
      </w:r>
      <w:r>
        <w:rPr>
          <w:rStyle w:val="CharDivText"/>
        </w:rPr>
        <w:t>Reference of dispute to arbitration</w:t>
      </w:r>
      <w:bookmarkEnd w:id="1052"/>
      <w:bookmarkEnd w:id="1053"/>
      <w:bookmarkEnd w:id="1054"/>
      <w:bookmarkEnd w:id="1055"/>
    </w:p>
    <w:p>
      <w:pPr>
        <w:pStyle w:val="Footnoteheading"/>
        <w:keepNext/>
      </w:pPr>
      <w:r>
        <w:tab/>
        <w:t>[Heading inserted: see SA Act No. 23 of 2017 s. 6 and WA Gazette 22 Dec 2017 p. 5984.]</w:t>
      </w:r>
    </w:p>
    <w:p>
      <w:pPr>
        <w:pStyle w:val="Heading5"/>
      </w:pPr>
      <w:bookmarkStart w:id="1056" w:name="_Toc5365065"/>
      <w:r>
        <w:rPr>
          <w:rStyle w:val="CharSectno"/>
        </w:rPr>
        <w:t>216J</w:t>
      </w:r>
      <w:r>
        <w:t>.</w:t>
      </w:r>
      <w:r>
        <w:tab/>
        <w:t>Reference of dispute</w:t>
      </w:r>
      <w:bookmarkEnd w:id="10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scheme administrator receives notification of an access dispute under </w:t>
      </w:r>
      <w:hyperlink w:anchor="idf13f2df7_6ecf_44a6_a1e2_a97c983d6e" w:history="1">
        <w:r>
          <w:rPr>
            <w:color w:val="000000"/>
            <w:sz w:val="23"/>
            <w:szCs w:val="23"/>
          </w:rPr>
          <w:t>Part 2</w:t>
        </w:r>
      </w:hyperlink>
      <w:r>
        <w:rPr>
          <w:color w:val="000000"/>
          <w:sz w:val="23"/>
          <w:szCs w:val="23"/>
        </w:rPr>
        <w:t>,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1057" w:name="_Toc5365066"/>
      <w:r>
        <w:rPr>
          <w:rStyle w:val="CharSectno"/>
        </w:rPr>
        <w:t>216K</w:t>
      </w:r>
      <w:r>
        <w:t>.</w:t>
      </w:r>
      <w:r>
        <w:tab/>
        <w:t>Selection of arbitrator</w:t>
      </w:r>
      <w:bookmarkEnd w:id="10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1058" w:name="_Toc5365067"/>
      <w:r>
        <w:rPr>
          <w:rStyle w:val="CharSectno"/>
        </w:rPr>
        <w:t>216L</w:t>
      </w:r>
      <w:r>
        <w:t>.</w:t>
      </w:r>
      <w:r>
        <w:tab/>
        <w:t>Determination of access dispute</w:t>
      </w:r>
      <w:bookmarkEnd w:id="10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1059" w:name="_Toc5365068"/>
      <w:r>
        <w:rPr>
          <w:rStyle w:val="CharSectno"/>
        </w:rPr>
        <w:t>216M</w:t>
      </w:r>
      <w:r>
        <w:t>.</w:t>
      </w:r>
      <w:r>
        <w:tab/>
        <w:t>Principles to be taken into account</w:t>
      </w:r>
      <w:bookmarkEnd w:id="10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1060" w:name="_Toc5365069"/>
      <w:r>
        <w:rPr>
          <w:rStyle w:val="CharSectno"/>
        </w:rPr>
        <w:t>216N</w:t>
      </w:r>
      <w:r>
        <w:t>.</w:t>
      </w:r>
      <w:r>
        <w:tab/>
        <w:t>Restrictions on access determinations</w:t>
      </w:r>
      <w:bookmarkEnd w:id="10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w:t>
      </w:r>
      <w:hyperlink w:anchor="id23b988d0_d14f_4868_8c32_fd1cf0f40c" w:history="1">
        <w:r>
          <w:rPr>
            <w:color w:val="000000"/>
            <w:sz w:val="23"/>
            <w:szCs w:val="23"/>
          </w:rPr>
          <w:t>section 216H</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 xml:space="preserve">means a right under a contract (other than a relevant exclusivity right) that was in force immediately before notification of an access dispute under </w:t>
      </w:r>
      <w:hyperlink w:anchor="id23b988d0_d14f_4868_8c32_fd1cf0f40c" w:history="1">
        <w:r>
          <w:rPr>
            <w:color w:val="000000"/>
            <w:sz w:val="23"/>
            <w:szCs w:val="23"/>
          </w:rPr>
          <w:t>section 216H</w:t>
        </w:r>
      </w:hyperlink>
      <w:r>
        <w:rPr>
          <w:color w:val="000000"/>
          <w:sz w:val="23"/>
          <w:szCs w:val="23"/>
        </w:rPr>
        <w:t>.</w:t>
      </w:r>
    </w:p>
    <w:p>
      <w:pPr>
        <w:pStyle w:val="Footnotesection"/>
      </w:pPr>
      <w:r>
        <w:tab/>
        <w:t>[Section 216N inserted: see SA Act No. 23 of 2017 s. 6 and WA Gazette 22 Dec 2017 p. 5984.]</w:t>
      </w:r>
    </w:p>
    <w:p>
      <w:pPr>
        <w:pStyle w:val="Heading5"/>
      </w:pPr>
      <w:bookmarkStart w:id="1061" w:name="_Toc5365070"/>
      <w:r>
        <w:rPr>
          <w:rStyle w:val="CharSectno"/>
        </w:rPr>
        <w:t>216O</w:t>
      </w:r>
      <w:r>
        <w:t>.</w:t>
      </w:r>
      <w:r>
        <w:tab/>
        <w:t>Arbitrator's power to terminate arbitration</w:t>
      </w:r>
      <w:bookmarkEnd w:id="10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062"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10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w:t>
      </w:r>
      <w:hyperlink w:anchor="id2e84f1b4_b9d4_4b7b_9037_edad614264" w:history="1">
        <w:r>
          <w:rPr>
            <w:color w:val="000000"/>
            <w:sz w:val="23"/>
            <w:szCs w:val="23"/>
          </w:rPr>
          <w:t>subsection (3)</w:t>
        </w:r>
      </w:hyperlink>
      <w:r>
        <w:rPr>
          <w:color w:val="000000"/>
          <w:sz w:val="23"/>
          <w:szCs w:val="23"/>
        </w:rPr>
        <w:t xml:space="preserve">,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1063" w:name="_Toc5365071"/>
      <w:r>
        <w:rPr>
          <w:rStyle w:val="CharSectno"/>
        </w:rPr>
        <w:t>216P</w:t>
      </w:r>
      <w:r>
        <w:t>.</w:t>
      </w:r>
      <w:r>
        <w:tab/>
        <w:t>Access seeker's right to terminate arbitration</w:t>
      </w:r>
      <w:bookmarkEnd w:id="10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1064" w:name="_Toc536782240"/>
      <w:bookmarkStart w:id="1065" w:name="_Toc5347298"/>
      <w:bookmarkStart w:id="1066" w:name="_Toc5363851"/>
      <w:bookmarkStart w:id="1067" w:name="_Toc5365072"/>
      <w:r>
        <w:rPr>
          <w:rStyle w:val="CharDivNo"/>
        </w:rPr>
        <w:t>Part 4</w:t>
      </w:r>
      <w:r>
        <w:t>—</w:t>
      </w:r>
      <w:r>
        <w:rPr>
          <w:rStyle w:val="CharDivText"/>
        </w:rPr>
        <w:t>Compliance with access determinations</w:t>
      </w:r>
      <w:bookmarkEnd w:id="1064"/>
      <w:bookmarkEnd w:id="1065"/>
      <w:bookmarkEnd w:id="1066"/>
      <w:bookmarkEnd w:id="1067"/>
    </w:p>
    <w:p>
      <w:pPr>
        <w:pStyle w:val="Footnoteheading"/>
      </w:pPr>
      <w:r>
        <w:tab/>
        <w:t>[Heading inserted: see SA Act No. 23 of 2017 s. 6 and WA Gazette 22 Dec 2017 p. 5984.]</w:t>
      </w:r>
    </w:p>
    <w:p>
      <w:pPr>
        <w:pStyle w:val="Heading5"/>
      </w:pPr>
      <w:bookmarkStart w:id="1068" w:name="_Toc5365073"/>
      <w:r>
        <w:rPr>
          <w:rStyle w:val="CharSectno"/>
        </w:rPr>
        <w:t>216Q</w:t>
      </w:r>
      <w:r>
        <w:t>.</w:t>
      </w:r>
      <w:r>
        <w:tab/>
        <w:t>Compliance with access determinations</w:t>
      </w:r>
      <w:bookmarkEnd w:id="10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the Rules and to </w:t>
      </w:r>
      <w:hyperlink w:anchor="ida8dd6fe7_9b1d_4302_b895_0e06afdd64" w:history="1">
        <w:r>
          <w:rPr>
            <w:color w:val="000000"/>
            <w:sz w:val="23"/>
            <w:szCs w:val="23"/>
          </w:rPr>
          <w:t>subsection (2)</w:t>
        </w:r>
      </w:hyperlink>
      <w:r>
        <w:rPr>
          <w:color w:val="000000"/>
          <w:sz w:val="23"/>
          <w:szCs w:val="23"/>
        </w:rPr>
        <w:t>,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069"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1069"/>
    </w:p>
    <w:p>
      <w:pPr>
        <w:pStyle w:val="Footnotesection"/>
      </w:pPr>
      <w:r>
        <w:tab/>
        <w:t>[Section 216Q inserted: see SA Act No. 23 of 2017 s. 6 and WA Gazette 22 Dec 2017 p. 5984.]</w:t>
      </w:r>
    </w:p>
    <w:p>
      <w:pPr>
        <w:pStyle w:val="Heading3"/>
      </w:pPr>
      <w:bookmarkStart w:id="1070" w:name="_Toc536782242"/>
      <w:bookmarkStart w:id="1071" w:name="_Toc5347300"/>
      <w:bookmarkStart w:id="1072" w:name="_Toc5363853"/>
      <w:bookmarkStart w:id="1073" w:name="_Toc5365074"/>
      <w:r>
        <w:rPr>
          <w:rStyle w:val="CharDivNo"/>
        </w:rPr>
        <w:t>Part 5</w:t>
      </w:r>
      <w:r>
        <w:t>—</w:t>
      </w:r>
      <w:r>
        <w:rPr>
          <w:rStyle w:val="CharDivText"/>
        </w:rPr>
        <w:t>Variation of access determinations</w:t>
      </w:r>
      <w:bookmarkEnd w:id="1070"/>
      <w:bookmarkEnd w:id="1071"/>
      <w:bookmarkEnd w:id="1072"/>
      <w:bookmarkEnd w:id="1073"/>
    </w:p>
    <w:p>
      <w:pPr>
        <w:pStyle w:val="Footnoteheading"/>
      </w:pPr>
      <w:r>
        <w:tab/>
        <w:t>[Heading inserted: see SA Act No. 23 of 2017 s. 6 and WA Gazette 22 Dec 2017 p. 5984.]</w:t>
      </w:r>
    </w:p>
    <w:p>
      <w:pPr>
        <w:pStyle w:val="Heading5"/>
      </w:pPr>
      <w:bookmarkStart w:id="1074" w:name="_Toc5365075"/>
      <w:r>
        <w:rPr>
          <w:rStyle w:val="CharSectno"/>
        </w:rPr>
        <w:t>216R</w:t>
      </w:r>
      <w:r>
        <w:t>.</w:t>
      </w:r>
      <w:r>
        <w:tab/>
        <w:t>Variation of access determinations</w:t>
      </w:r>
      <w:bookmarkEnd w:id="10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1075" w:name="_Toc536782244"/>
      <w:bookmarkStart w:id="1076" w:name="_Toc5347302"/>
      <w:bookmarkStart w:id="1077" w:name="_Toc5363855"/>
      <w:bookmarkStart w:id="1078" w:name="_Toc5365076"/>
      <w:r>
        <w:rPr>
          <w:rStyle w:val="CharDivNo"/>
        </w:rPr>
        <w:t>Part 6</w:t>
      </w:r>
      <w:r>
        <w:t>—</w:t>
      </w:r>
      <w:r>
        <w:rPr>
          <w:rStyle w:val="CharDivText"/>
        </w:rPr>
        <w:t>Hearing procedures</w:t>
      </w:r>
      <w:bookmarkEnd w:id="1075"/>
      <w:bookmarkEnd w:id="1076"/>
      <w:bookmarkEnd w:id="1077"/>
      <w:bookmarkEnd w:id="1078"/>
    </w:p>
    <w:p>
      <w:pPr>
        <w:pStyle w:val="Footnoteheading"/>
      </w:pPr>
      <w:r>
        <w:tab/>
        <w:t>[Heading inserted: see SA Act No. 23 of 2017 s. 6 and WA Gazette 22 Dec 2017 p. 5984.]</w:t>
      </w:r>
    </w:p>
    <w:p>
      <w:pPr>
        <w:pStyle w:val="Heading5"/>
      </w:pPr>
      <w:bookmarkStart w:id="1079" w:name="_Toc5365077"/>
      <w:r>
        <w:rPr>
          <w:rStyle w:val="CharSectno"/>
        </w:rPr>
        <w:t>216S</w:t>
      </w:r>
      <w:r>
        <w:t>.</w:t>
      </w:r>
      <w:r>
        <w:tab/>
        <w:t>Hearing procedures</w:t>
      </w:r>
      <w:bookmarkEnd w:id="10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1080" w:name="_Toc536782246"/>
      <w:bookmarkStart w:id="1081" w:name="_Toc5347304"/>
      <w:bookmarkStart w:id="1082" w:name="_Toc5363857"/>
      <w:bookmarkStart w:id="1083" w:name="_Toc5365078"/>
      <w:r>
        <w:rPr>
          <w:rStyle w:val="CharDivNo"/>
        </w:rPr>
        <w:t>Part 7</w:t>
      </w:r>
      <w:r>
        <w:t>—</w:t>
      </w:r>
      <w:r>
        <w:rPr>
          <w:rStyle w:val="CharDivText"/>
        </w:rPr>
        <w:t>Miscellaneous matters</w:t>
      </w:r>
      <w:bookmarkEnd w:id="1080"/>
      <w:bookmarkEnd w:id="1081"/>
      <w:bookmarkEnd w:id="1082"/>
      <w:bookmarkEnd w:id="1083"/>
    </w:p>
    <w:p>
      <w:pPr>
        <w:pStyle w:val="Footnoteheading"/>
      </w:pPr>
      <w:r>
        <w:tab/>
        <w:t>[Heading inserted: see SA Act No. 23 of 2017 s. 6 and WA Gazette 22 Dec 2017 p. 5984.]</w:t>
      </w:r>
    </w:p>
    <w:p>
      <w:pPr>
        <w:pStyle w:val="Heading5"/>
      </w:pPr>
      <w:bookmarkStart w:id="1084" w:name="_Toc5365079"/>
      <w:r>
        <w:rPr>
          <w:rStyle w:val="CharSectno"/>
        </w:rPr>
        <w:t>216T</w:t>
      </w:r>
      <w:r>
        <w:t>.</w:t>
      </w:r>
      <w:r>
        <w:tab/>
        <w:t>Correction of access determinations for clerical mistakes etc</w:t>
      </w:r>
      <w:bookmarkEnd w:id="10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1085" w:name="_Toc5365080"/>
      <w:r>
        <w:rPr>
          <w:rStyle w:val="CharSectno"/>
        </w:rPr>
        <w:t>216U</w:t>
      </w:r>
      <w:r>
        <w:t>.</w:t>
      </w:r>
      <w:r>
        <w:tab/>
        <w:t>Reservation of capacity during an access dispute</w:t>
      </w:r>
      <w:bookmarkEnd w:id="10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1086" w:name="_Toc5365081"/>
      <w:r>
        <w:rPr>
          <w:rStyle w:val="CharSectno"/>
        </w:rPr>
        <w:t>216V</w:t>
      </w:r>
      <w:r>
        <w:t>.</w:t>
      </w:r>
      <w:r>
        <w:tab/>
        <w:t>Costs of arbitration</w:t>
      </w:r>
      <w:bookmarkEnd w:id="1086"/>
    </w:p>
    <w:p>
      <w:pPr>
        <w:keepLines/>
        <w:tabs>
          <w:tab w:val="center" w:pos="1191"/>
          <w:tab w:val="left" w:pos="1588"/>
        </w:tabs>
        <w:autoSpaceDE w:val="0"/>
        <w:autoSpaceDN w:val="0"/>
        <w:adjustRightInd w:val="0"/>
        <w:spacing w:before="120"/>
        <w:ind w:left="1588" w:hanging="794"/>
        <w:rPr>
          <w:color w:val="000000"/>
          <w:sz w:val="23"/>
          <w:szCs w:val="23"/>
        </w:rPr>
      </w:pPr>
      <w:bookmarkStart w:id="1087"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10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Rules may make provision with respect to the costs of an arbitration under this Chapter, including rules that provide for a different approach to allocating costs under </w:t>
      </w:r>
      <w:hyperlink w:anchor="id22e4cd07_6925_454f_94c4_72f206e63a" w:history="1">
        <w:r>
          <w:rPr>
            <w:color w:val="000000"/>
            <w:sz w:val="23"/>
            <w:szCs w:val="23"/>
          </w:rPr>
          <w:t>subsection (1)</w:t>
        </w:r>
      </w:hyperlink>
      <w:r>
        <w:rPr>
          <w:color w:val="000000"/>
          <w:sz w:val="23"/>
          <w:szCs w:val="23"/>
        </w:rPr>
        <w:t xml:space="preserve">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1088" w:name="_Toc536782250"/>
      <w:bookmarkStart w:id="1089" w:name="_Toc5347308"/>
      <w:bookmarkStart w:id="1090" w:name="_Toc5363861"/>
      <w:bookmarkStart w:id="1091" w:name="_Toc5365082"/>
      <w:r>
        <w:rPr>
          <w:rStyle w:val="CharPartNo"/>
        </w:rPr>
        <w:t>Chapter 7</w:t>
      </w:r>
      <w:r>
        <w:t xml:space="preserve"> — </w:t>
      </w:r>
      <w:r>
        <w:rPr>
          <w:rStyle w:val="CharPartText"/>
        </w:rPr>
        <w:t>The Natural Gas Services Bulletin Board</w:t>
      </w:r>
      <w:bookmarkEnd w:id="1029"/>
      <w:bookmarkEnd w:id="1030"/>
      <w:bookmarkEnd w:id="1088"/>
      <w:bookmarkEnd w:id="1089"/>
      <w:bookmarkEnd w:id="1090"/>
      <w:bookmarkEnd w:id="1091"/>
    </w:p>
    <w:p>
      <w:pPr>
        <w:pStyle w:val="Heading3"/>
      </w:pPr>
      <w:bookmarkStart w:id="1092" w:name="_Toc501634130"/>
      <w:bookmarkStart w:id="1093" w:name="_Toc501713026"/>
      <w:bookmarkStart w:id="1094" w:name="_Toc536782251"/>
      <w:bookmarkStart w:id="1095" w:name="_Toc5347309"/>
      <w:bookmarkStart w:id="1096" w:name="_Toc5363862"/>
      <w:bookmarkStart w:id="1097" w:name="_Toc5365083"/>
      <w:r>
        <w:rPr>
          <w:rStyle w:val="CharDivNo"/>
        </w:rPr>
        <w:t>Part 1</w:t>
      </w:r>
      <w:r>
        <w:t xml:space="preserve"> — </w:t>
      </w:r>
      <w:r>
        <w:rPr>
          <w:rStyle w:val="CharDivText"/>
        </w:rPr>
        <w:t>The Bulletin Board Operator</w:t>
      </w:r>
      <w:bookmarkEnd w:id="1092"/>
      <w:bookmarkEnd w:id="1093"/>
      <w:bookmarkEnd w:id="1094"/>
      <w:bookmarkEnd w:id="1095"/>
      <w:bookmarkEnd w:id="1096"/>
      <w:bookmarkEnd w:id="1097"/>
    </w:p>
    <w:p>
      <w:pPr>
        <w:pStyle w:val="Heading5"/>
      </w:pPr>
      <w:bookmarkStart w:id="1098" w:name="_Toc5365084"/>
      <w:r>
        <w:rPr>
          <w:rStyle w:val="CharSectno"/>
        </w:rPr>
        <w:t>217</w:t>
      </w:r>
      <w:r>
        <w:t>.</w:t>
      </w:r>
      <w:r>
        <w:tab/>
        <w:t>The Bulletin Board operator</w:t>
      </w:r>
      <w:bookmarkEnd w:id="1098"/>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099" w:name="_Toc5365085"/>
      <w:r>
        <w:rPr>
          <w:rStyle w:val="CharSectno"/>
        </w:rPr>
        <w:t>218</w:t>
      </w:r>
      <w:r>
        <w:t>.</w:t>
      </w:r>
      <w:r>
        <w:tab/>
        <w:t>Obligation to establish and maintain the Natural Gas Services Bulletin Board</w:t>
      </w:r>
      <w:bookmarkEnd w:id="10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100" w:name="_Toc5365086"/>
      <w:r>
        <w:rPr>
          <w:rStyle w:val="CharSectno"/>
        </w:rPr>
        <w:t>219</w:t>
      </w:r>
      <w:r>
        <w:t>.</w:t>
      </w:r>
      <w:r>
        <w:tab/>
        <w:t>Other functions of the Bulletin Board operator</w:t>
      </w:r>
      <w:bookmarkEnd w:id="1100"/>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101" w:name="_Toc5365087"/>
      <w:r>
        <w:rPr>
          <w:rStyle w:val="CharSectno"/>
        </w:rPr>
        <w:t>220</w:t>
      </w:r>
      <w:r>
        <w:t>.</w:t>
      </w:r>
      <w:r>
        <w:tab/>
        <w:t>Powers of the Bulletin Board operator</w:t>
      </w:r>
      <w:bookmarkEnd w:id="1101"/>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102" w:name="_Toc5365088"/>
      <w:r>
        <w:rPr>
          <w:rStyle w:val="CharSectno"/>
        </w:rPr>
        <w:t>221</w:t>
      </w:r>
      <w:r>
        <w:t>.</w:t>
      </w:r>
      <w:r>
        <w:tab/>
        <w:t>Immunity of the Bulletin Board operator</w:t>
      </w:r>
      <w:bookmarkEnd w:id="11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103" w:name="_Toc5365089"/>
      <w:r>
        <w:rPr>
          <w:rStyle w:val="CharSectno"/>
        </w:rPr>
        <w:t>222</w:t>
      </w:r>
      <w:r>
        <w:t>.</w:t>
      </w:r>
      <w:r>
        <w:tab/>
        <w:t>Fees for services provided</w:t>
      </w:r>
      <w:bookmarkEnd w:id="11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104" w:name="_Toc501634137"/>
      <w:bookmarkStart w:id="1105" w:name="_Toc501713033"/>
      <w:bookmarkStart w:id="1106" w:name="_Toc536782258"/>
      <w:bookmarkStart w:id="1107" w:name="_Toc5347316"/>
      <w:bookmarkStart w:id="1108" w:name="_Toc5363869"/>
      <w:bookmarkStart w:id="1109" w:name="_Toc5365090"/>
      <w:r>
        <w:rPr>
          <w:rStyle w:val="CharDivNo"/>
        </w:rPr>
        <w:t>Part 2</w:t>
      </w:r>
      <w:r>
        <w:t xml:space="preserve"> — </w:t>
      </w:r>
      <w:r>
        <w:rPr>
          <w:rStyle w:val="CharDivText"/>
        </w:rPr>
        <w:t>Bulletin Board information</w:t>
      </w:r>
      <w:bookmarkEnd w:id="1104"/>
      <w:bookmarkEnd w:id="1105"/>
      <w:bookmarkEnd w:id="1106"/>
      <w:bookmarkEnd w:id="1107"/>
      <w:bookmarkEnd w:id="1108"/>
      <w:bookmarkEnd w:id="1109"/>
    </w:p>
    <w:p>
      <w:pPr>
        <w:pStyle w:val="Heading5"/>
      </w:pPr>
      <w:bookmarkStart w:id="1110" w:name="_Toc5365091"/>
      <w:r>
        <w:rPr>
          <w:rStyle w:val="CharSectno"/>
        </w:rPr>
        <w:t>223</w:t>
      </w:r>
      <w:r>
        <w:t>.</w:t>
      </w:r>
      <w:r>
        <w:tab/>
        <w:t>Obligation to give information to the Bulletin Board operator</w:t>
      </w:r>
      <w:bookmarkEnd w:id="111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1111" w:name="_Toc5365092"/>
      <w:r>
        <w:rPr>
          <w:rStyle w:val="CharSectno"/>
        </w:rPr>
        <w:t>224</w:t>
      </w:r>
      <w:r>
        <w:t>.</w:t>
      </w:r>
      <w:r>
        <w:tab/>
        <w:t>Person cannot rely on duty of confidence to avoid compliance with obligation</w:t>
      </w:r>
      <w:bookmarkEnd w:id="1111"/>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1112" w:name="_Toc5365093"/>
      <w:r>
        <w:rPr>
          <w:rStyle w:val="CharSectno"/>
        </w:rPr>
        <w:t>225</w:t>
      </w:r>
      <w:r>
        <w:t>.</w:t>
      </w:r>
      <w:r>
        <w:tab/>
        <w:t>Giving to Bulletin Board operator false and misleading information</w:t>
      </w:r>
      <w:bookmarkEnd w:id="1112"/>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1113" w:name="_Toc5365094"/>
      <w:r>
        <w:rPr>
          <w:rStyle w:val="CharSectno"/>
        </w:rPr>
        <w:t>226</w:t>
      </w:r>
      <w:r>
        <w:t>.</w:t>
      </w:r>
      <w:r>
        <w:tab/>
        <w:t>Immunity of persons giving information to the Bulletin Board operator</w:t>
      </w:r>
      <w:bookmarkEnd w:id="11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1114" w:name="_Toc501634142"/>
      <w:bookmarkStart w:id="1115" w:name="_Toc501713038"/>
      <w:bookmarkStart w:id="1116" w:name="_Toc536782263"/>
      <w:bookmarkStart w:id="1117" w:name="_Toc5347321"/>
      <w:bookmarkStart w:id="1118" w:name="_Toc5363874"/>
      <w:bookmarkStart w:id="1119" w:name="_Toc5365095"/>
      <w:r>
        <w:rPr>
          <w:rStyle w:val="CharDivNo"/>
        </w:rPr>
        <w:t>Part 3</w:t>
      </w:r>
      <w:r>
        <w:t xml:space="preserve"> — </w:t>
      </w:r>
      <w:r>
        <w:rPr>
          <w:rStyle w:val="CharDivText"/>
        </w:rPr>
        <w:t>Protection of information</w:t>
      </w:r>
      <w:bookmarkEnd w:id="1114"/>
      <w:bookmarkEnd w:id="1115"/>
      <w:bookmarkEnd w:id="1116"/>
      <w:bookmarkEnd w:id="1117"/>
      <w:bookmarkEnd w:id="1118"/>
      <w:bookmarkEnd w:id="1119"/>
    </w:p>
    <w:p>
      <w:pPr>
        <w:pStyle w:val="Heading5"/>
      </w:pPr>
      <w:bookmarkStart w:id="1120" w:name="_Toc5365096"/>
      <w:r>
        <w:rPr>
          <w:rStyle w:val="CharSectno"/>
        </w:rPr>
        <w:t>227</w:t>
      </w:r>
      <w:r>
        <w:t>.</w:t>
      </w:r>
      <w:r>
        <w:tab/>
        <w:t>Protection of information by the Bulletin Board operator</w:t>
      </w:r>
      <w:bookmarkEnd w:id="11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1121" w:name="_Toc5365097"/>
      <w:r>
        <w:rPr>
          <w:rStyle w:val="CharSectno"/>
        </w:rPr>
        <w:t>228</w:t>
      </w:r>
      <w:r>
        <w:t>.</w:t>
      </w:r>
      <w:r>
        <w:tab/>
        <w:t>Protection of information by employees etc of the Bulletin Board operator</w:t>
      </w:r>
      <w:bookmarkEnd w:id="11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1122" w:name="_Toc501634145"/>
      <w:bookmarkStart w:id="1123" w:name="_Toc501713041"/>
      <w:bookmarkStart w:id="1124" w:name="_Toc536782266"/>
      <w:bookmarkStart w:id="1125" w:name="_Toc5347324"/>
      <w:bookmarkStart w:id="1126" w:name="_Toc5363877"/>
      <w:bookmarkStart w:id="1127" w:name="_Toc5365098"/>
      <w:r>
        <w:rPr>
          <w:rStyle w:val="CharPartNo"/>
        </w:rPr>
        <w:t>Chapter 8</w:t>
      </w:r>
      <w:r>
        <w:t xml:space="preserve"> — </w:t>
      </w:r>
      <w:r>
        <w:rPr>
          <w:rStyle w:val="CharPartText"/>
        </w:rPr>
        <w:t>Proceedings under the National Gas Law</w:t>
      </w:r>
      <w:bookmarkEnd w:id="1122"/>
      <w:bookmarkEnd w:id="1123"/>
      <w:bookmarkEnd w:id="1124"/>
      <w:bookmarkEnd w:id="1125"/>
      <w:bookmarkEnd w:id="1126"/>
      <w:bookmarkEnd w:id="1127"/>
    </w:p>
    <w:p>
      <w:pPr>
        <w:pStyle w:val="Heading3"/>
      </w:pPr>
      <w:bookmarkStart w:id="1128" w:name="_Toc501634146"/>
      <w:bookmarkStart w:id="1129" w:name="_Toc501713042"/>
      <w:bookmarkStart w:id="1130" w:name="_Toc536782267"/>
      <w:bookmarkStart w:id="1131" w:name="_Toc5347325"/>
      <w:bookmarkStart w:id="1132" w:name="_Toc5363878"/>
      <w:bookmarkStart w:id="1133" w:name="_Toc5365099"/>
      <w:r>
        <w:rPr>
          <w:rStyle w:val="CharDivNo"/>
        </w:rPr>
        <w:t>Part 1</w:t>
      </w:r>
      <w:r>
        <w:t xml:space="preserve"> — </w:t>
      </w:r>
      <w:r>
        <w:rPr>
          <w:rStyle w:val="CharDivText"/>
        </w:rPr>
        <w:t>Proceedings generally</w:t>
      </w:r>
      <w:bookmarkEnd w:id="1128"/>
      <w:bookmarkEnd w:id="1129"/>
      <w:bookmarkEnd w:id="1130"/>
      <w:bookmarkEnd w:id="1131"/>
      <w:bookmarkEnd w:id="1132"/>
      <w:bookmarkEnd w:id="1133"/>
    </w:p>
    <w:p>
      <w:pPr>
        <w:pStyle w:val="Heading5"/>
      </w:pPr>
      <w:bookmarkStart w:id="1134" w:name="_Toc5365100"/>
      <w:r>
        <w:rPr>
          <w:rStyle w:val="CharSectno"/>
        </w:rPr>
        <w:t>229</w:t>
      </w:r>
      <w:r>
        <w:t>.</w:t>
      </w:r>
      <w:r>
        <w:tab/>
        <w:t>Instituting civil proceedings under this Law</w:t>
      </w:r>
      <w:bookmarkEnd w:id="11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1135" w:name="_Toc5365101"/>
      <w:r>
        <w:rPr>
          <w:rStyle w:val="CharSectno"/>
        </w:rPr>
        <w:t>230</w:t>
      </w:r>
      <w:r>
        <w:t>.</w:t>
      </w:r>
      <w:r>
        <w:tab/>
        <w:t>Time limit within which proceedings may be instituted</w:t>
      </w:r>
      <w:bookmarkEnd w:id="11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1136" w:name="_Toc501634149"/>
      <w:bookmarkStart w:id="1137" w:name="_Toc501713045"/>
      <w:bookmarkStart w:id="1138" w:name="_Toc536782270"/>
      <w:bookmarkStart w:id="1139" w:name="_Toc5347328"/>
      <w:bookmarkStart w:id="1140" w:name="_Toc5363881"/>
      <w:bookmarkStart w:id="1141" w:name="_Toc5365102"/>
      <w:r>
        <w:rPr>
          <w:rStyle w:val="CharDivNo"/>
        </w:rPr>
        <w:t>Part 2</w:t>
      </w:r>
      <w:r>
        <w:t xml:space="preserve"> — </w:t>
      </w:r>
      <w:r>
        <w:rPr>
          <w:rStyle w:val="CharDivText"/>
        </w:rPr>
        <w:t>Proceedings for breaches of this Law, Regulations or the Rules</w:t>
      </w:r>
      <w:bookmarkEnd w:id="1136"/>
      <w:bookmarkEnd w:id="1137"/>
      <w:bookmarkEnd w:id="1138"/>
      <w:bookmarkEnd w:id="1139"/>
      <w:bookmarkEnd w:id="1140"/>
      <w:bookmarkEnd w:id="1141"/>
    </w:p>
    <w:p>
      <w:pPr>
        <w:pStyle w:val="Heading5"/>
      </w:pPr>
      <w:bookmarkStart w:id="1142" w:name="_Toc5365103"/>
      <w:r>
        <w:rPr>
          <w:rStyle w:val="CharSectno"/>
        </w:rPr>
        <w:t>231</w:t>
      </w:r>
      <w:r>
        <w:t>.</w:t>
      </w:r>
      <w:r>
        <w:tab/>
        <w:t>AER proceedings for breaches of this Law, Regulations or the Rules that are not offences</w:t>
      </w:r>
      <w:bookmarkEnd w:id="11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1143" w:name="_Toc5365104"/>
      <w:r>
        <w:rPr>
          <w:rStyle w:val="CharSectno"/>
        </w:rPr>
        <w:t>232</w:t>
      </w:r>
      <w:r>
        <w:t>.</w:t>
      </w:r>
      <w:r>
        <w:tab/>
        <w:t>Proceedings for declaration that a person is in breach of a conduct provision</w:t>
      </w:r>
      <w:bookmarkEnd w:id="11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1144" w:name="_Toc5365105"/>
      <w:r>
        <w:rPr>
          <w:rStyle w:val="CharSectno"/>
        </w:rPr>
        <w:t>233</w:t>
      </w:r>
      <w:r>
        <w:t>.</w:t>
      </w:r>
      <w:r>
        <w:tab/>
        <w:t>Actions for damages by persons for breach of conduct provision</w:t>
      </w:r>
      <w:bookmarkEnd w:id="1144"/>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1145" w:name="_Toc501634153"/>
      <w:bookmarkStart w:id="1146" w:name="_Toc501713049"/>
      <w:bookmarkStart w:id="1147" w:name="_Toc536782274"/>
      <w:bookmarkStart w:id="1148" w:name="_Toc5347332"/>
      <w:bookmarkStart w:id="1149" w:name="_Toc5363885"/>
      <w:bookmarkStart w:id="1150" w:name="_Toc5365106"/>
      <w:r>
        <w:rPr>
          <w:rStyle w:val="CharDivNo"/>
        </w:rPr>
        <w:t>Part 3</w:t>
      </w:r>
      <w:r>
        <w:t xml:space="preserve"> — </w:t>
      </w:r>
      <w:r>
        <w:rPr>
          <w:rStyle w:val="CharDivText"/>
        </w:rPr>
        <w:t>Matters relating to breaches of this Law, the Regulations or the Rules</w:t>
      </w:r>
      <w:bookmarkEnd w:id="1145"/>
      <w:bookmarkEnd w:id="1146"/>
      <w:bookmarkEnd w:id="1147"/>
      <w:bookmarkEnd w:id="1148"/>
      <w:bookmarkEnd w:id="1149"/>
      <w:bookmarkEnd w:id="1150"/>
    </w:p>
    <w:p>
      <w:pPr>
        <w:pStyle w:val="Heading5"/>
        <w:keepNext w:val="0"/>
        <w:keepLines w:val="0"/>
      </w:pPr>
      <w:bookmarkStart w:id="1151" w:name="_Toc5365107"/>
      <w:r>
        <w:rPr>
          <w:rStyle w:val="CharSectno"/>
        </w:rPr>
        <w:t>234</w:t>
      </w:r>
      <w:r>
        <w:t>.</w:t>
      </w:r>
      <w:r>
        <w:tab/>
        <w:t>Matters for which there must be regard in determining amount of civil penalty</w:t>
      </w:r>
      <w:bookmarkEnd w:id="1151"/>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1152" w:name="_Toc5365108"/>
      <w:r>
        <w:rPr>
          <w:rStyle w:val="CharSectno"/>
        </w:rPr>
        <w:t>235</w:t>
      </w:r>
      <w:r>
        <w:t>.</w:t>
      </w:r>
      <w:r>
        <w:tab/>
        <w:t>Breach of a civil penalty provision is not an offence</w:t>
      </w:r>
      <w:bookmarkEnd w:id="1152"/>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1153" w:name="_Toc5365109"/>
      <w:r>
        <w:rPr>
          <w:rStyle w:val="CharSectno"/>
        </w:rPr>
        <w:t>236</w:t>
      </w:r>
      <w:r>
        <w:t>.</w:t>
      </w:r>
      <w:r>
        <w:tab/>
        <w:t>Breaches of civil penalty provisions involving continuing failure</w:t>
      </w:r>
      <w:bookmarkEnd w:id="1153"/>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1154" w:name="_Toc5365110"/>
      <w:r>
        <w:rPr>
          <w:rStyle w:val="CharSectno"/>
        </w:rPr>
        <w:t>237</w:t>
      </w:r>
      <w:r>
        <w:t>.</w:t>
      </w:r>
      <w:r>
        <w:tab/>
        <w:t>Conduct in breach of more than 1 civil penalty provision</w:t>
      </w:r>
      <w:bookmarkEnd w:id="11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1155" w:name="_Toc5365111"/>
      <w:r>
        <w:rPr>
          <w:rStyle w:val="CharSectno"/>
        </w:rPr>
        <w:t>238</w:t>
      </w:r>
      <w:r>
        <w:t>.</w:t>
      </w:r>
      <w:r>
        <w:tab/>
        <w:t>Persons involved in breach of civil penalty provision or conduct provision</w:t>
      </w:r>
      <w:bookmarkEnd w:id="11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1156" w:name="_Toc5365112"/>
      <w:r>
        <w:rPr>
          <w:rStyle w:val="CharSectno"/>
        </w:rPr>
        <w:t>239</w:t>
      </w:r>
      <w:r>
        <w:t>.</w:t>
      </w:r>
      <w:r>
        <w:tab/>
        <w:t>Attempt to breach a civil penalty provision</w:t>
      </w:r>
      <w:bookmarkEnd w:id="1156"/>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1157" w:name="_Toc5365113"/>
      <w:r>
        <w:rPr>
          <w:rStyle w:val="CharSectno"/>
        </w:rPr>
        <w:t>240</w:t>
      </w:r>
      <w:r>
        <w:t>.</w:t>
      </w:r>
      <w:r>
        <w:tab/>
        <w:t>Civil penalties payable to the Commonwealth</w:t>
      </w:r>
      <w:bookmarkEnd w:id="1157"/>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1158" w:name="_Toc501634161"/>
      <w:bookmarkStart w:id="1159" w:name="_Toc501713057"/>
      <w:bookmarkStart w:id="1160" w:name="_Toc536782282"/>
      <w:bookmarkStart w:id="1161" w:name="_Toc5347340"/>
      <w:bookmarkStart w:id="1162" w:name="_Toc5363893"/>
      <w:bookmarkStart w:id="1163" w:name="_Toc5365114"/>
      <w:r>
        <w:rPr>
          <w:rStyle w:val="CharDivNo"/>
        </w:rPr>
        <w:t>Part 4</w:t>
      </w:r>
      <w:r>
        <w:t xml:space="preserve"> — </w:t>
      </w:r>
      <w:r>
        <w:rPr>
          <w:rStyle w:val="CharDivText"/>
        </w:rPr>
        <w:t>Judicial review of decisions under this Law, the Regulations and the Rules</w:t>
      </w:r>
      <w:bookmarkEnd w:id="1158"/>
      <w:bookmarkEnd w:id="1159"/>
      <w:bookmarkEnd w:id="1160"/>
      <w:bookmarkEnd w:id="1161"/>
      <w:bookmarkEnd w:id="1162"/>
      <w:bookmarkEnd w:id="1163"/>
    </w:p>
    <w:p>
      <w:pPr>
        <w:pStyle w:val="Heading5"/>
      </w:pPr>
      <w:bookmarkStart w:id="1164" w:name="_Toc5365115"/>
      <w:r>
        <w:rPr>
          <w:rStyle w:val="CharSectno"/>
        </w:rPr>
        <w:t>241</w:t>
      </w:r>
      <w:r>
        <w:t>.</w:t>
      </w:r>
      <w:r>
        <w:tab/>
        <w:t>Definition</w:t>
      </w:r>
      <w:bookmarkEnd w:id="116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1165" w:name="_Toc5365116"/>
      <w:r>
        <w:rPr>
          <w:rStyle w:val="CharSectno"/>
        </w:rPr>
        <w:t>242</w:t>
      </w:r>
      <w:r>
        <w:t>.</w:t>
      </w:r>
      <w:r>
        <w:tab/>
        <w:t>Applications for judicial review of decisions of the AEMC</w:t>
      </w:r>
      <w:bookmarkEnd w:id="11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1166" w:name="_Toc5365117"/>
      <w:r>
        <w:rPr>
          <w:rStyle w:val="CharSectno"/>
        </w:rPr>
        <w:t>243</w:t>
      </w:r>
      <w:r>
        <w:t>.</w:t>
      </w:r>
      <w:r>
        <w:tab/>
        <w:t>Applications for judicial review of decisions of the Bulletin Board operator</w:t>
      </w:r>
      <w:bookmarkEnd w:id="11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1167" w:name="_Toc501634165"/>
      <w:bookmarkStart w:id="1168" w:name="_Toc501713061"/>
      <w:bookmarkStart w:id="1169" w:name="_Toc536782286"/>
      <w:bookmarkStart w:id="1170" w:name="_Toc5347344"/>
      <w:bookmarkStart w:id="1171" w:name="_Toc5363897"/>
      <w:bookmarkStart w:id="1172" w:name="_Toc5365118"/>
      <w:r>
        <w:rPr>
          <w:rStyle w:val="CharDivNo"/>
        </w:rPr>
        <w:t>Part 5</w:t>
      </w:r>
      <w:r>
        <w:t xml:space="preserve"> — </w:t>
      </w:r>
      <w:r>
        <w:rPr>
          <w:rStyle w:val="CharDivText"/>
        </w:rPr>
        <w:t>Merits review and other non</w:t>
      </w:r>
      <w:r>
        <w:rPr>
          <w:rStyle w:val="CharDivText"/>
        </w:rPr>
        <w:noBreakHyphen/>
        <w:t>judicial review</w:t>
      </w:r>
      <w:bookmarkEnd w:id="1167"/>
      <w:bookmarkEnd w:id="1168"/>
      <w:bookmarkEnd w:id="1169"/>
      <w:bookmarkEnd w:id="1170"/>
      <w:bookmarkEnd w:id="1171"/>
      <w:bookmarkEnd w:id="1172"/>
    </w:p>
    <w:p>
      <w:pPr>
        <w:pStyle w:val="Heading4"/>
        <w:keepNext w:val="0"/>
      </w:pPr>
      <w:bookmarkStart w:id="1173" w:name="_Toc501634166"/>
      <w:bookmarkStart w:id="1174" w:name="_Toc501713062"/>
      <w:bookmarkStart w:id="1175" w:name="_Toc536782287"/>
      <w:bookmarkStart w:id="1176" w:name="_Toc5347345"/>
      <w:bookmarkStart w:id="1177" w:name="_Toc5363898"/>
      <w:bookmarkStart w:id="1178" w:name="_Toc5365119"/>
      <w:r>
        <w:t>Division 1 — Interpretation</w:t>
      </w:r>
      <w:bookmarkEnd w:id="1173"/>
      <w:bookmarkEnd w:id="1174"/>
      <w:bookmarkEnd w:id="1175"/>
      <w:bookmarkEnd w:id="1176"/>
      <w:bookmarkEnd w:id="1177"/>
      <w:bookmarkEnd w:id="1178"/>
    </w:p>
    <w:p>
      <w:pPr>
        <w:pStyle w:val="Heading5"/>
        <w:keepNext w:val="0"/>
        <w:keepLines w:val="0"/>
      </w:pPr>
      <w:bookmarkStart w:id="1179" w:name="_Toc5365120"/>
      <w:r>
        <w:rPr>
          <w:rStyle w:val="CharSectno"/>
        </w:rPr>
        <w:t>244</w:t>
      </w:r>
      <w:r>
        <w:t>.</w:t>
      </w:r>
      <w:r>
        <w:tab/>
        <w:t>Definitions</w:t>
      </w:r>
      <w:bookmarkEnd w:id="1179"/>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1180" w:name="_Toc501634168"/>
      <w:bookmarkStart w:id="1181" w:name="_Toc501713064"/>
      <w:bookmarkStart w:id="1182" w:name="_Toc536782289"/>
      <w:bookmarkStart w:id="1183" w:name="_Toc5347347"/>
      <w:bookmarkStart w:id="1184" w:name="_Toc5363900"/>
      <w:bookmarkStart w:id="1185" w:name="_Toc5365121"/>
      <w:r>
        <w:t>Division 2 — Merits review for reviewable regulatory decisions</w:t>
      </w:r>
      <w:bookmarkEnd w:id="1180"/>
      <w:bookmarkEnd w:id="1181"/>
      <w:bookmarkEnd w:id="1182"/>
      <w:bookmarkEnd w:id="1183"/>
      <w:bookmarkEnd w:id="1184"/>
      <w:bookmarkEnd w:id="1185"/>
    </w:p>
    <w:p>
      <w:pPr>
        <w:pStyle w:val="Heading5"/>
      </w:pPr>
      <w:bookmarkStart w:id="1186" w:name="_Toc5365122"/>
      <w:r>
        <w:rPr>
          <w:rStyle w:val="CharSectno"/>
        </w:rPr>
        <w:t>245</w:t>
      </w:r>
      <w:r>
        <w:t>.</w:t>
      </w:r>
      <w:r>
        <w:tab/>
        <w:t>Applications for review</w:t>
      </w:r>
      <w:bookmarkEnd w:id="11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1187" w:name="_Toc5365123"/>
      <w:r>
        <w:rPr>
          <w:rStyle w:val="CharSectno"/>
        </w:rPr>
        <w:t>246</w:t>
      </w:r>
      <w:r>
        <w:t>.</w:t>
      </w:r>
      <w:r>
        <w:tab/>
        <w:t>Grounds for review</w:t>
      </w:r>
      <w:bookmarkEnd w:id="11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1188" w:name="_Toc5365124"/>
      <w:r>
        <w:rPr>
          <w:rStyle w:val="CharSectno"/>
        </w:rPr>
        <w:t>247</w:t>
      </w:r>
      <w:r>
        <w:t>.</w:t>
      </w:r>
      <w:r>
        <w:tab/>
        <w:t>By when an application must be made</w:t>
      </w:r>
      <w:bookmarkEnd w:id="11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1189" w:name="_Toc5365125"/>
      <w:r>
        <w:rPr>
          <w:rStyle w:val="CharSectno"/>
        </w:rPr>
        <w:t>248</w:t>
      </w:r>
      <w:r>
        <w:t>.</w:t>
      </w:r>
      <w:r>
        <w:tab/>
        <w:t>Tribunal must not grant leave unless serious issue to be heard and determined</w:t>
      </w:r>
      <w:bookmarkEnd w:id="1189"/>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1190" w:name="_Toc5365126"/>
      <w:r>
        <w:rPr>
          <w:rStyle w:val="CharSectno"/>
        </w:rPr>
        <w:t>249</w:t>
      </w:r>
      <w:r>
        <w:t>.</w:t>
      </w:r>
      <w:r>
        <w:tab/>
        <w:t>Leave must be refused if application is about an error relating to revenue amounts below specified threshold</w:t>
      </w:r>
      <w:bookmarkEnd w:id="11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1191" w:name="_Toc5365127"/>
      <w:r>
        <w:rPr>
          <w:rStyle w:val="CharSectno"/>
        </w:rPr>
        <w:t>250</w:t>
      </w:r>
      <w:r>
        <w:t>.</w:t>
      </w:r>
      <w:r>
        <w:tab/>
        <w:t>Tribunal must refuse to grant leave if submission not made or is made late</w:t>
      </w:r>
      <w:bookmarkEnd w:id="1191"/>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1192" w:name="_Toc5365128"/>
      <w:r>
        <w:rPr>
          <w:rStyle w:val="CharSectno"/>
        </w:rPr>
        <w:t>251</w:t>
      </w:r>
      <w:r>
        <w:t>.</w:t>
      </w:r>
      <w:r>
        <w:tab/>
        <w:t>Tribunal may refuse to grant leave to service provider in certain cases</w:t>
      </w:r>
      <w:bookmarkEnd w:id="11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1193" w:name="_Toc5365129"/>
      <w:r>
        <w:rPr>
          <w:rStyle w:val="CharSectno"/>
        </w:rPr>
        <w:t>252</w:t>
      </w:r>
      <w:r>
        <w:t>.</w:t>
      </w:r>
      <w:r>
        <w:tab/>
        <w:t>Effect of application on operation of reviewable regulatory decisions</w:t>
      </w:r>
      <w:bookmarkEnd w:id="1193"/>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1194" w:name="_Toc5365130"/>
      <w:r>
        <w:rPr>
          <w:rStyle w:val="CharSectno"/>
        </w:rPr>
        <w:t>253</w:t>
      </w:r>
      <w:r>
        <w:t>.</w:t>
      </w:r>
      <w:r>
        <w:tab/>
        <w:t>Intervention by others in a review without leave</w:t>
      </w:r>
      <w:bookmarkEnd w:id="1194"/>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1195" w:name="_Toc5365131"/>
      <w:r>
        <w:rPr>
          <w:rStyle w:val="CharSectno"/>
        </w:rPr>
        <w:t>254</w:t>
      </w:r>
      <w:r>
        <w:t>.</w:t>
      </w:r>
      <w:r>
        <w:tab/>
        <w:t>Leave for reviewable regulatory decision process participants</w:t>
      </w:r>
      <w:bookmarkEnd w:id="11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1196" w:name="_Toc5365132"/>
      <w:r>
        <w:rPr>
          <w:rStyle w:val="CharSectno"/>
        </w:rPr>
        <w:t>255</w:t>
      </w:r>
      <w:r>
        <w:t>.</w:t>
      </w:r>
      <w:r>
        <w:tab/>
        <w:t>Leave for user or consumer intervener</w:t>
      </w:r>
      <w:bookmarkEnd w:id="11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1197" w:name="_Toc5365133"/>
      <w:r>
        <w:rPr>
          <w:rStyle w:val="CharSectno"/>
        </w:rPr>
        <w:t>256</w:t>
      </w:r>
      <w:r>
        <w:t>.</w:t>
      </w:r>
      <w:r>
        <w:tab/>
        <w:t>Interveners may raise new grounds for review</w:t>
      </w:r>
      <w:bookmarkEnd w:id="11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1198" w:name="_Toc5365134"/>
      <w:r>
        <w:rPr>
          <w:rStyle w:val="CharSectno"/>
        </w:rPr>
        <w:t>257</w:t>
      </w:r>
      <w:r>
        <w:t>.</w:t>
      </w:r>
      <w:r>
        <w:tab/>
        <w:t>Parties to a review under this Division</w:t>
      </w:r>
      <w:bookmarkEnd w:id="1198"/>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1199" w:name="_Toc5365135"/>
      <w:r>
        <w:rPr>
          <w:rStyle w:val="CharSectno"/>
        </w:rPr>
        <w:t>258</w:t>
      </w:r>
      <w:r>
        <w:t>.</w:t>
      </w:r>
      <w:r>
        <w:tab/>
        <w:t>Matters that parties to a review may and may not raise in a review</w:t>
      </w:r>
      <w:bookmarkEnd w:id="1199"/>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1200" w:name="_Toc5365136"/>
      <w:r>
        <w:rPr>
          <w:rStyle w:val="CharSectno"/>
        </w:rPr>
        <w:t>258A</w:t>
      </w:r>
      <w:r>
        <w:t>.</w:t>
      </w:r>
      <w:r>
        <w:tab/>
        <w:t>Matters that may and may not be raised in a review (designated reviewable regulatory decisions)</w:t>
      </w:r>
      <w:bookmarkEnd w:id="1200"/>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1201" w:name="_Toc5365137"/>
      <w:r>
        <w:rPr>
          <w:rStyle w:val="CharSectno"/>
        </w:rPr>
        <w:t>259</w:t>
      </w:r>
      <w:r>
        <w:t>.</w:t>
      </w:r>
      <w:r>
        <w:tab/>
        <w:t>Tribunal must make determination</w:t>
      </w:r>
      <w:bookmarkEnd w:id="12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1202" w:name="_Toc5365138"/>
      <w:r>
        <w:rPr>
          <w:rStyle w:val="CharSectno"/>
        </w:rPr>
        <w:t>260</w:t>
      </w:r>
      <w:r>
        <w:t>.</w:t>
      </w:r>
      <w:r>
        <w:tab/>
        <w:t>Target time limit for Tribunal for making a determination under this Division</w:t>
      </w:r>
      <w:bookmarkEnd w:id="12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1203" w:name="_Toc5365139"/>
      <w:r>
        <w:rPr>
          <w:rStyle w:val="CharSectno"/>
        </w:rPr>
        <w:t>261</w:t>
      </w:r>
      <w:r>
        <w:t>.</w:t>
      </w:r>
      <w:r>
        <w:tab/>
        <w:t>Matters to be considered by Tribunal in making determination</w:t>
      </w:r>
      <w:bookmarkEnd w:id="12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1204" w:name="_Toc5365140"/>
      <w:r>
        <w:rPr>
          <w:rStyle w:val="CharSectno"/>
        </w:rPr>
        <w:t>262</w:t>
      </w:r>
      <w:r>
        <w:t>.</w:t>
      </w:r>
      <w:r>
        <w:tab/>
        <w:t>Assistance from NCC in certain cases</w:t>
      </w:r>
      <w:bookmarkEnd w:id="12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1205" w:name="_Toc501634188"/>
      <w:bookmarkStart w:id="1206" w:name="_Toc501713084"/>
      <w:bookmarkStart w:id="1207" w:name="_Toc536782309"/>
      <w:bookmarkStart w:id="1208" w:name="_Toc5347367"/>
      <w:bookmarkStart w:id="1209" w:name="_Toc5363920"/>
      <w:bookmarkStart w:id="1210" w:name="_Toc5365141"/>
      <w:r>
        <w:t>Division 3 — Tribunal review of AER information disclosure decisions under section 329</w:t>
      </w:r>
      <w:bookmarkEnd w:id="1205"/>
      <w:bookmarkEnd w:id="1206"/>
      <w:bookmarkEnd w:id="1207"/>
      <w:bookmarkEnd w:id="1208"/>
      <w:bookmarkEnd w:id="1209"/>
      <w:bookmarkEnd w:id="1210"/>
    </w:p>
    <w:p>
      <w:pPr>
        <w:pStyle w:val="Heading5"/>
      </w:pPr>
      <w:bookmarkStart w:id="1211" w:name="_Toc5365142"/>
      <w:r>
        <w:rPr>
          <w:rStyle w:val="CharSectno"/>
        </w:rPr>
        <w:t>263</w:t>
      </w:r>
      <w:r>
        <w:t>.</w:t>
      </w:r>
      <w:r>
        <w:tab/>
        <w:t>Application for review</w:t>
      </w:r>
      <w:bookmarkEnd w:id="12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1212" w:name="_Toc5365143"/>
      <w:r>
        <w:rPr>
          <w:rStyle w:val="CharSectno"/>
        </w:rPr>
        <w:t>264</w:t>
      </w:r>
      <w:r>
        <w:t>.</w:t>
      </w:r>
      <w:r>
        <w:tab/>
        <w:t>Exclusion of public in certain cases</w:t>
      </w:r>
      <w:bookmarkEnd w:id="1212"/>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1213" w:name="_Toc5365144"/>
      <w:r>
        <w:rPr>
          <w:rStyle w:val="CharSectno"/>
        </w:rPr>
        <w:t>265</w:t>
      </w:r>
      <w:r>
        <w:t>.</w:t>
      </w:r>
      <w:r>
        <w:tab/>
        <w:t>Determination in the review</w:t>
      </w:r>
      <w:bookmarkEnd w:id="12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1214" w:name="_Toc5365145"/>
      <w:r>
        <w:rPr>
          <w:rStyle w:val="CharSectno"/>
        </w:rPr>
        <w:t>266</w:t>
      </w:r>
      <w:r>
        <w:t>.</w:t>
      </w:r>
      <w:r>
        <w:tab/>
        <w:t>Tribunal must be taken to have affirmed decision if decision not made within time</w:t>
      </w:r>
      <w:bookmarkEnd w:id="12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1215" w:name="_Toc5365146"/>
      <w:r>
        <w:rPr>
          <w:rStyle w:val="CharSectno"/>
        </w:rPr>
        <w:t>267</w:t>
      </w:r>
      <w:r>
        <w:t>.</w:t>
      </w:r>
      <w:r>
        <w:tab/>
        <w:t>Assistance from the AER in certain cases</w:t>
      </w:r>
      <w:bookmarkEnd w:id="1215"/>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1216" w:name="_Toc501634194"/>
      <w:bookmarkStart w:id="1217" w:name="_Toc501713090"/>
      <w:bookmarkStart w:id="1218" w:name="_Toc536782315"/>
      <w:bookmarkStart w:id="1219" w:name="_Toc5347373"/>
      <w:bookmarkStart w:id="1220" w:name="_Toc5363926"/>
      <w:bookmarkStart w:id="1221" w:name="_Toc5365147"/>
      <w:r>
        <w:t>Division 4 — General</w:t>
      </w:r>
      <w:bookmarkEnd w:id="1216"/>
      <w:bookmarkEnd w:id="1217"/>
      <w:bookmarkEnd w:id="1218"/>
      <w:bookmarkEnd w:id="1219"/>
      <w:bookmarkEnd w:id="1220"/>
      <w:bookmarkEnd w:id="1221"/>
    </w:p>
    <w:p>
      <w:pPr>
        <w:pStyle w:val="Heading5"/>
      </w:pPr>
      <w:bookmarkStart w:id="1222" w:name="_Toc5365148"/>
      <w:r>
        <w:rPr>
          <w:rStyle w:val="CharSectno"/>
        </w:rPr>
        <w:t>268</w:t>
      </w:r>
      <w:r>
        <w:t>.</w:t>
      </w:r>
      <w:r>
        <w:tab/>
        <w:t>Costs in a review</w:t>
      </w:r>
      <w:bookmarkEnd w:id="12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1223" w:name="_Toc5365149"/>
      <w:r>
        <w:rPr>
          <w:rStyle w:val="CharSectno"/>
        </w:rPr>
        <w:t>269</w:t>
      </w:r>
      <w:r>
        <w:t>.</w:t>
      </w:r>
      <w:r>
        <w:tab/>
        <w:t>Amount of costs</w:t>
      </w:r>
      <w:bookmarkEnd w:id="12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1224" w:name="_Toc5365150"/>
      <w:r>
        <w:rPr>
          <w:rStyle w:val="CharSectno"/>
        </w:rPr>
        <w:t>269A</w:t>
      </w:r>
      <w:r>
        <w:t>.</w:t>
      </w:r>
      <w:r>
        <w:tab/>
        <w:t>Costs not to be passed on</w:t>
      </w:r>
      <w:bookmarkEnd w:id="12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1225" w:name="_Toc5365151"/>
      <w:r>
        <w:rPr>
          <w:rStyle w:val="CharSectno"/>
        </w:rPr>
        <w:t>270</w:t>
      </w:r>
      <w:r>
        <w:t>.</w:t>
      </w:r>
      <w:r>
        <w:tab/>
        <w:t>Review of Part</w:t>
      </w:r>
      <w:bookmarkEnd w:id="12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1226" w:name="_Toc501634199"/>
      <w:bookmarkStart w:id="1227" w:name="_Toc501713095"/>
      <w:bookmarkStart w:id="1228" w:name="_Toc536782320"/>
      <w:bookmarkStart w:id="1229" w:name="_Toc5347378"/>
      <w:bookmarkStart w:id="1230" w:name="_Toc5363931"/>
      <w:bookmarkStart w:id="1231" w:name="_Toc5365152"/>
      <w:r>
        <w:rPr>
          <w:rStyle w:val="CharDivNo"/>
        </w:rPr>
        <w:t>Part 6</w:t>
      </w:r>
      <w:r>
        <w:t xml:space="preserve"> — </w:t>
      </w:r>
      <w:r>
        <w:rPr>
          <w:rStyle w:val="CharDivText"/>
        </w:rPr>
        <w:t>Enforcement of access determinations</w:t>
      </w:r>
      <w:bookmarkEnd w:id="1226"/>
      <w:bookmarkEnd w:id="1227"/>
      <w:bookmarkEnd w:id="1228"/>
      <w:bookmarkEnd w:id="1229"/>
      <w:bookmarkEnd w:id="1230"/>
      <w:bookmarkEnd w:id="1231"/>
    </w:p>
    <w:p>
      <w:pPr>
        <w:pStyle w:val="Heading5"/>
        <w:spacing w:before="120"/>
      </w:pPr>
      <w:bookmarkStart w:id="1232" w:name="_Toc5365153"/>
      <w:r>
        <w:rPr>
          <w:rStyle w:val="CharSectno"/>
        </w:rPr>
        <w:t>271</w:t>
      </w:r>
      <w:r>
        <w:t>.</w:t>
      </w:r>
      <w:r>
        <w:tab/>
        <w:t>Enforcement of access determinations</w:t>
      </w:r>
      <w:bookmarkEnd w:id="12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1233" w:name="_Toc5365154"/>
      <w:r>
        <w:rPr>
          <w:rStyle w:val="CharSectno"/>
        </w:rPr>
        <w:t>272</w:t>
      </w:r>
      <w:r>
        <w:t>.</w:t>
      </w:r>
      <w:r>
        <w:tab/>
        <w:t>Consent injunctions</w:t>
      </w:r>
      <w:bookmarkEnd w:id="1233"/>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1234" w:name="_Toc5365155"/>
      <w:r>
        <w:rPr>
          <w:rStyle w:val="CharSectno"/>
        </w:rPr>
        <w:t>273</w:t>
      </w:r>
      <w:r>
        <w:t>.</w:t>
      </w:r>
      <w:r>
        <w:tab/>
        <w:t>Interim injunctions</w:t>
      </w:r>
      <w:bookmarkEnd w:id="1234"/>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1235" w:name="_Toc5365156"/>
      <w:r>
        <w:rPr>
          <w:rStyle w:val="CharSectno"/>
        </w:rPr>
        <w:t>274</w:t>
      </w:r>
      <w:r>
        <w:t>.</w:t>
      </w:r>
      <w:r>
        <w:tab/>
        <w:t>Factors relevant to granting a restraining injunction</w:t>
      </w:r>
      <w:bookmarkEnd w:id="1235"/>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1236" w:name="_Toc5365157"/>
      <w:r>
        <w:rPr>
          <w:rStyle w:val="CharSectno"/>
        </w:rPr>
        <w:t>275</w:t>
      </w:r>
      <w:r>
        <w:t>.</w:t>
      </w:r>
      <w:r>
        <w:tab/>
        <w:t>Factors relevant to granting a mandatory injunction</w:t>
      </w:r>
      <w:bookmarkEnd w:id="1236"/>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1237" w:name="_Toc5365158"/>
      <w:r>
        <w:rPr>
          <w:rStyle w:val="CharSectno"/>
        </w:rPr>
        <w:t>276</w:t>
      </w:r>
      <w:r>
        <w:t>.</w:t>
      </w:r>
      <w:r>
        <w:tab/>
        <w:t>Discharge or variation of injunction or other order</w:t>
      </w:r>
      <w:bookmarkEnd w:id="1237"/>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1238" w:name="_Toc501634206"/>
      <w:bookmarkStart w:id="1239" w:name="_Toc501713102"/>
      <w:bookmarkStart w:id="1240" w:name="_Toc536782327"/>
      <w:bookmarkStart w:id="1241" w:name="_Toc5347385"/>
      <w:bookmarkStart w:id="1242" w:name="_Toc5363938"/>
      <w:bookmarkStart w:id="1243" w:name="_Toc5365159"/>
      <w:r>
        <w:rPr>
          <w:rStyle w:val="CharDivNo"/>
        </w:rPr>
        <w:t>Part 7</w:t>
      </w:r>
      <w:r>
        <w:t xml:space="preserve"> — </w:t>
      </w:r>
      <w:r>
        <w:rPr>
          <w:rStyle w:val="CharDivText"/>
        </w:rPr>
        <w:t>Infringement notices</w:t>
      </w:r>
      <w:bookmarkEnd w:id="1238"/>
      <w:bookmarkEnd w:id="1239"/>
      <w:bookmarkEnd w:id="1240"/>
      <w:bookmarkEnd w:id="1241"/>
      <w:bookmarkEnd w:id="1242"/>
      <w:bookmarkEnd w:id="1243"/>
    </w:p>
    <w:p>
      <w:pPr>
        <w:pStyle w:val="Heading5"/>
        <w:spacing w:before="120"/>
      </w:pPr>
      <w:bookmarkStart w:id="1244" w:name="_Toc5365160"/>
      <w:r>
        <w:rPr>
          <w:rStyle w:val="CharSectno"/>
        </w:rPr>
        <w:t>277</w:t>
      </w:r>
      <w:r>
        <w:t>.</w:t>
      </w:r>
      <w:r>
        <w:tab/>
        <w:t>Power to serve notice</w:t>
      </w:r>
      <w:bookmarkEnd w:id="12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1245" w:name="_Toc5365161"/>
      <w:r>
        <w:rPr>
          <w:rStyle w:val="CharSectno"/>
        </w:rPr>
        <w:t>278</w:t>
      </w:r>
      <w:r>
        <w:t>.</w:t>
      </w:r>
      <w:r>
        <w:tab/>
        <w:t>Form of notice</w:t>
      </w:r>
      <w:bookmarkEnd w:id="1245"/>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1246" w:name="_Toc5365162"/>
      <w:r>
        <w:rPr>
          <w:rStyle w:val="CharSectno"/>
        </w:rPr>
        <w:t>279</w:t>
      </w:r>
      <w:r>
        <w:t>.</w:t>
      </w:r>
      <w:r>
        <w:tab/>
        <w:t>Infringement penalty</w:t>
      </w:r>
      <w:bookmarkEnd w:id="1246"/>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1247" w:name="_Toc5365163"/>
      <w:r>
        <w:rPr>
          <w:rStyle w:val="CharSectno"/>
        </w:rPr>
        <w:t>280</w:t>
      </w:r>
      <w:r>
        <w:t>.</w:t>
      </w:r>
      <w:r>
        <w:tab/>
        <w:t>AER cannot institute proceedings while infringement notice on foot</w:t>
      </w:r>
      <w:bookmarkEnd w:id="1247"/>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248" w:name="_Toc5365164"/>
      <w:r>
        <w:rPr>
          <w:rStyle w:val="CharSectno"/>
        </w:rPr>
        <w:t>281</w:t>
      </w:r>
      <w:r>
        <w:t>.</w:t>
      </w:r>
      <w:r>
        <w:tab/>
        <w:t>Late payment of penalty</w:t>
      </w:r>
      <w:bookmarkEnd w:id="1248"/>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249" w:name="_Toc5365165"/>
      <w:r>
        <w:rPr>
          <w:rStyle w:val="CharSectno"/>
        </w:rPr>
        <w:t>282</w:t>
      </w:r>
      <w:r>
        <w:t>.</w:t>
      </w:r>
      <w:r>
        <w:tab/>
        <w:t>Withdrawal of notice</w:t>
      </w:r>
      <w:bookmarkEnd w:id="1249"/>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1250" w:name="_Toc5365166"/>
      <w:r>
        <w:rPr>
          <w:rStyle w:val="CharSectno"/>
        </w:rPr>
        <w:t>283</w:t>
      </w:r>
      <w:r>
        <w:t>.</w:t>
      </w:r>
      <w:r>
        <w:tab/>
        <w:t>Refund of infringement penalty</w:t>
      </w:r>
      <w:bookmarkEnd w:id="1250"/>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1251" w:name="_Toc5365167"/>
      <w:r>
        <w:rPr>
          <w:rStyle w:val="CharSectno"/>
        </w:rPr>
        <w:t>284</w:t>
      </w:r>
      <w:r>
        <w:t>.</w:t>
      </w:r>
      <w:r>
        <w:tab/>
        <w:t>Payment expiates breach of civil penalty provision</w:t>
      </w:r>
      <w:bookmarkEnd w:id="1251"/>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1252" w:name="_Toc5365168"/>
      <w:r>
        <w:rPr>
          <w:rStyle w:val="CharSectno"/>
        </w:rPr>
        <w:t>285</w:t>
      </w:r>
      <w:r>
        <w:t>.</w:t>
      </w:r>
      <w:r>
        <w:tab/>
        <w:t>Payment not to have certain consequences</w:t>
      </w:r>
      <w:bookmarkEnd w:id="1252"/>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1253" w:name="_Toc5365169"/>
      <w:r>
        <w:rPr>
          <w:rStyle w:val="CharSectno"/>
        </w:rPr>
        <w:t>286</w:t>
      </w:r>
      <w:r>
        <w:t>.</w:t>
      </w:r>
      <w:r>
        <w:tab/>
        <w:t>Conduct in breach of more than 1 civil penalty provision</w:t>
      </w:r>
      <w:bookmarkEnd w:id="12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1254" w:name="_Toc501634217"/>
      <w:bookmarkStart w:id="1255" w:name="_Toc501713113"/>
      <w:bookmarkStart w:id="1256" w:name="_Toc536782338"/>
      <w:bookmarkStart w:id="1257" w:name="_Toc5347396"/>
      <w:bookmarkStart w:id="1258" w:name="_Toc5363949"/>
      <w:bookmarkStart w:id="1259" w:name="_Toc5365170"/>
      <w:r>
        <w:rPr>
          <w:rStyle w:val="CharDivNo"/>
        </w:rPr>
        <w:t>Part 8</w:t>
      </w:r>
      <w:r>
        <w:t xml:space="preserve"> </w:t>
      </w:r>
      <w:r>
        <w:rPr>
          <w:szCs w:val="32"/>
        </w:rPr>
        <w:t>—</w:t>
      </w:r>
      <w:r>
        <w:t xml:space="preserve"> </w:t>
      </w:r>
      <w:r>
        <w:rPr>
          <w:rStyle w:val="CharDivText"/>
        </w:rPr>
        <w:t>Further provision for corporate liability for breaches of this Law etc</w:t>
      </w:r>
      <w:bookmarkEnd w:id="1254"/>
      <w:bookmarkEnd w:id="1255"/>
      <w:bookmarkEnd w:id="1256"/>
      <w:bookmarkEnd w:id="1257"/>
      <w:bookmarkEnd w:id="1258"/>
      <w:bookmarkEnd w:id="1259"/>
    </w:p>
    <w:p>
      <w:pPr>
        <w:pStyle w:val="Heading5"/>
      </w:pPr>
      <w:bookmarkStart w:id="1260" w:name="_Toc5365171"/>
      <w:r>
        <w:rPr>
          <w:rStyle w:val="CharSectno"/>
        </w:rPr>
        <w:t>287</w:t>
      </w:r>
      <w:r>
        <w:t>.</w:t>
      </w:r>
      <w:r>
        <w:tab/>
        <w:t>Definition</w:t>
      </w:r>
      <w:bookmarkEnd w:id="126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1261" w:name="_Toc5365172"/>
      <w:r>
        <w:rPr>
          <w:rStyle w:val="CharSectno"/>
        </w:rPr>
        <w:t>288</w:t>
      </w:r>
      <w:r>
        <w:t>.</w:t>
      </w:r>
      <w:r>
        <w:tab/>
        <w:t>Offences and breaches by corporations</w:t>
      </w:r>
      <w:bookmarkEnd w:id="12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1262" w:name="_Toc5365173"/>
      <w:r>
        <w:rPr>
          <w:rStyle w:val="CharSectno"/>
        </w:rPr>
        <w:t>289</w:t>
      </w:r>
      <w:r>
        <w:t>.</w:t>
      </w:r>
      <w:r>
        <w:tab/>
        <w:t>Corporations also in breach if officers and employees are in breach</w:t>
      </w:r>
      <w:bookmarkEnd w:id="1262"/>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1263" w:name="_Toc501634221"/>
      <w:bookmarkStart w:id="1264" w:name="_Toc501713117"/>
      <w:bookmarkStart w:id="1265" w:name="_Toc536782342"/>
      <w:bookmarkStart w:id="1266" w:name="_Toc5347400"/>
      <w:bookmarkStart w:id="1267" w:name="_Toc5363953"/>
      <w:bookmarkStart w:id="1268" w:name="_Toc5365174"/>
      <w:r>
        <w:rPr>
          <w:rStyle w:val="CharPartNo"/>
        </w:rPr>
        <w:t>Chapter 9</w:t>
      </w:r>
      <w:r>
        <w:t xml:space="preserve"> — </w:t>
      </w:r>
      <w:r>
        <w:rPr>
          <w:rStyle w:val="CharPartText"/>
        </w:rPr>
        <w:t>The making of the National Gas Rules</w:t>
      </w:r>
      <w:bookmarkEnd w:id="1263"/>
      <w:bookmarkEnd w:id="1264"/>
      <w:bookmarkEnd w:id="1265"/>
      <w:bookmarkEnd w:id="1266"/>
      <w:bookmarkEnd w:id="1267"/>
      <w:bookmarkEnd w:id="1268"/>
    </w:p>
    <w:p>
      <w:pPr>
        <w:pStyle w:val="Heading3"/>
      </w:pPr>
      <w:bookmarkStart w:id="1269" w:name="_Toc501634222"/>
      <w:bookmarkStart w:id="1270" w:name="_Toc501713118"/>
      <w:bookmarkStart w:id="1271" w:name="_Toc536782343"/>
      <w:bookmarkStart w:id="1272" w:name="_Toc5347401"/>
      <w:bookmarkStart w:id="1273" w:name="_Toc5363954"/>
      <w:bookmarkStart w:id="1274" w:name="_Toc5365175"/>
      <w:r>
        <w:rPr>
          <w:rStyle w:val="CharDivNo"/>
        </w:rPr>
        <w:t>Part 1</w:t>
      </w:r>
      <w:r>
        <w:t xml:space="preserve"> — </w:t>
      </w:r>
      <w:r>
        <w:rPr>
          <w:rStyle w:val="CharDivText"/>
        </w:rPr>
        <w:t>General</w:t>
      </w:r>
      <w:bookmarkEnd w:id="1269"/>
      <w:bookmarkEnd w:id="1270"/>
      <w:bookmarkEnd w:id="1271"/>
      <w:bookmarkEnd w:id="1272"/>
      <w:bookmarkEnd w:id="1273"/>
      <w:bookmarkEnd w:id="1274"/>
    </w:p>
    <w:p>
      <w:pPr>
        <w:pStyle w:val="Heading4"/>
      </w:pPr>
      <w:bookmarkStart w:id="1275" w:name="_Toc501634223"/>
      <w:bookmarkStart w:id="1276" w:name="_Toc501713119"/>
      <w:bookmarkStart w:id="1277" w:name="_Toc536782344"/>
      <w:bookmarkStart w:id="1278" w:name="_Toc5347402"/>
      <w:bookmarkStart w:id="1279" w:name="_Toc5363955"/>
      <w:bookmarkStart w:id="1280" w:name="_Toc5365176"/>
      <w:r>
        <w:t>Division 1 — Interpretation</w:t>
      </w:r>
      <w:bookmarkEnd w:id="1275"/>
      <w:bookmarkEnd w:id="1276"/>
      <w:bookmarkEnd w:id="1277"/>
      <w:bookmarkEnd w:id="1278"/>
      <w:bookmarkEnd w:id="1279"/>
      <w:bookmarkEnd w:id="1280"/>
    </w:p>
    <w:p>
      <w:pPr>
        <w:pStyle w:val="Heading5"/>
      </w:pPr>
      <w:bookmarkStart w:id="1281" w:name="_Toc5365177"/>
      <w:r>
        <w:rPr>
          <w:rStyle w:val="CharSectno"/>
        </w:rPr>
        <w:t>290</w:t>
      </w:r>
      <w:r>
        <w:t>.</w:t>
      </w:r>
      <w:r>
        <w:tab/>
        <w:t>Definitions</w:t>
      </w:r>
      <w:bookmarkEnd w:id="128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1282" w:name="_Toc501634225"/>
      <w:bookmarkStart w:id="1283" w:name="_Toc501713121"/>
      <w:bookmarkStart w:id="1284" w:name="_Toc536782346"/>
      <w:bookmarkStart w:id="1285" w:name="_Toc5347404"/>
      <w:bookmarkStart w:id="1286" w:name="_Toc5363957"/>
      <w:bookmarkStart w:id="1287" w:name="_Toc5365178"/>
      <w:r>
        <w:t>Division 2 — Rule making tests</w:t>
      </w:r>
      <w:bookmarkEnd w:id="1282"/>
      <w:bookmarkEnd w:id="1283"/>
      <w:bookmarkEnd w:id="1284"/>
      <w:bookmarkEnd w:id="1285"/>
      <w:bookmarkEnd w:id="1286"/>
      <w:bookmarkEnd w:id="1287"/>
    </w:p>
    <w:p>
      <w:pPr>
        <w:pStyle w:val="Heading5"/>
        <w:spacing w:before="120"/>
      </w:pPr>
      <w:bookmarkStart w:id="1288" w:name="_Toc5365179"/>
      <w:r>
        <w:rPr>
          <w:rStyle w:val="CharSectno"/>
        </w:rPr>
        <w:t>291</w:t>
      </w:r>
      <w:r>
        <w:t>.</w:t>
      </w:r>
      <w:r>
        <w:tab/>
        <w:t>Application of national gas objective</w:t>
      </w:r>
      <w:bookmarkEnd w:id="12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1289" w:name="_Toc5365180"/>
      <w:r>
        <w:t>292.</w:t>
      </w:r>
      <w:r>
        <w:tab/>
        <w:t>AEMC must take into account form of regulation factors in certain cases</w:t>
      </w:r>
      <w:bookmarkEnd w:id="1289"/>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1290" w:name="_Toc5365181"/>
      <w:r>
        <w:rPr>
          <w:rStyle w:val="CharSectno"/>
        </w:rPr>
        <w:t>293</w:t>
      </w:r>
      <w:r>
        <w:t>.</w:t>
      </w:r>
      <w:r>
        <w:tab/>
        <w:t>AEMC must take into account revenue and pricing principles in certain cases</w:t>
      </w:r>
      <w:bookmarkEnd w:id="1290"/>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1291" w:name="_Toc501634229"/>
      <w:bookmarkStart w:id="1292" w:name="_Toc501713125"/>
      <w:bookmarkStart w:id="1293" w:name="_Toc536782350"/>
      <w:bookmarkStart w:id="1294" w:name="_Toc5347408"/>
      <w:bookmarkStart w:id="1295" w:name="_Toc5363961"/>
      <w:bookmarkStart w:id="1296" w:name="_Toc5365182"/>
      <w:r>
        <w:rPr>
          <w:rStyle w:val="CharDivNo"/>
        </w:rPr>
        <w:t>Part 2</w:t>
      </w:r>
      <w:r>
        <w:t xml:space="preserve"> — </w:t>
      </w:r>
      <w:r>
        <w:rPr>
          <w:rStyle w:val="CharDivText"/>
        </w:rPr>
        <w:t>Initial National Gas Rules</w:t>
      </w:r>
      <w:bookmarkEnd w:id="1291"/>
      <w:bookmarkEnd w:id="1292"/>
      <w:bookmarkEnd w:id="1293"/>
      <w:bookmarkEnd w:id="1294"/>
      <w:bookmarkEnd w:id="1295"/>
      <w:bookmarkEnd w:id="1296"/>
    </w:p>
    <w:p>
      <w:pPr>
        <w:pStyle w:val="Heading5"/>
        <w:keepNext w:val="0"/>
      </w:pPr>
      <w:bookmarkStart w:id="1297" w:name="_Toc5365183"/>
      <w:r>
        <w:rPr>
          <w:rStyle w:val="CharSectno"/>
        </w:rPr>
        <w:t>294</w:t>
      </w:r>
      <w:r>
        <w:t>.</w:t>
      </w:r>
      <w:r>
        <w:tab/>
        <w:t>Initial National Gas Rules for WA</w:t>
      </w:r>
      <w:bookmarkEnd w:id="12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b w:val="0"/>
        </w:rPr>
      </w:pPr>
      <w:bookmarkStart w:id="1298" w:name="_Toc182797"/>
      <w:bookmarkStart w:id="1299" w:name="_Toc5365184"/>
      <w:bookmarkStart w:id="1300" w:name="_Toc501634231"/>
      <w:bookmarkStart w:id="1301" w:name="_Toc501713127"/>
      <w:r>
        <w:rPr>
          <w:rStyle w:val="CharSectno"/>
        </w:rPr>
        <w:t>294CA</w:t>
      </w:r>
      <w:r>
        <w:t>.</w:t>
      </w:r>
      <w:r>
        <w:tab/>
        <w:t>South Australian Minister may make consequential Rules relating to rate of return instrument</w:t>
      </w:r>
      <w:bookmarkEnd w:id="1298"/>
      <w:bookmarkEnd w:id="1299"/>
    </w:p>
    <w:p>
      <w:pPr>
        <w:keepLines/>
        <w:tabs>
          <w:tab w:val="center" w:pos="1191"/>
          <w:tab w:val="left" w:pos="1588"/>
        </w:tabs>
        <w:autoSpaceDE w:val="0"/>
        <w:autoSpaceDN w:val="0"/>
        <w:adjustRightInd w:val="0"/>
        <w:spacing w:before="120"/>
        <w:ind w:left="1588" w:hanging="794"/>
        <w:rPr>
          <w:color w:val="000000"/>
          <w:sz w:val="23"/>
          <w:szCs w:val="23"/>
        </w:rPr>
      </w:pPr>
      <w:bookmarkStart w:id="1302" w:name="id19134fd8_2b55_4fcc_b292_40888d6508"/>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13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19134fd8_2b55_4fcc_b292_40888d6508" w:history="1">
        <w:r>
          <w:rPr>
            <w:color w:val="000000"/>
            <w:sz w:val="23"/>
            <w:szCs w:val="23"/>
          </w:rPr>
          <w:t>subsection (1)</w:t>
        </w:r>
      </w:hyperlink>
      <w:r>
        <w:rPr>
          <w:color w:val="000000"/>
          <w:sz w:val="23"/>
          <w:szCs w:val="23"/>
        </w:rPr>
        <w:t>, the South Australian Minister may make a rule providing that the rate of return on capital under a rate of return instrument in force at the start of a regulatory period applies throughout the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this section in the same way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1303" w:name="idc8067be0_a852_404f_8a44_0d575f5fed"/>
      <w:r>
        <w:rPr>
          <w:color w:val="000000"/>
          <w:sz w:val="23"/>
          <w:szCs w:val="23"/>
        </w:rPr>
        <w:tab/>
        <w:t>(4)</w:t>
      </w:r>
      <w:r>
        <w:rPr>
          <w:color w:val="000000"/>
          <w:sz w:val="23"/>
          <w:szCs w:val="23"/>
        </w:rPr>
        <w:tab/>
        <w:t>As soon as practicable after making Rules under this section, the South Australian Minister must—</w:t>
      </w:r>
      <w:bookmarkEnd w:id="1303"/>
    </w:p>
    <w:p>
      <w:pPr>
        <w:keepLines/>
        <w:tabs>
          <w:tab w:val="center" w:pos="1985"/>
          <w:tab w:val="left" w:pos="2382"/>
        </w:tabs>
        <w:autoSpaceDE w:val="0"/>
        <w:autoSpaceDN w:val="0"/>
        <w:adjustRightInd w:val="0"/>
        <w:spacing w:before="120"/>
        <w:ind w:left="2382" w:hanging="794"/>
        <w:rPr>
          <w:color w:val="000000"/>
          <w:sz w:val="23"/>
          <w:szCs w:val="23"/>
        </w:rPr>
      </w:pPr>
      <w:bookmarkStart w:id="1304" w:name="idaef1949e_641b_49ba_a619_1b6db51246"/>
      <w:r>
        <w:rPr>
          <w:color w:val="000000"/>
          <w:sz w:val="23"/>
          <w:szCs w:val="23"/>
        </w:rPr>
        <w:tab/>
        <w:t>(a)</w:t>
      </w:r>
      <w:r>
        <w:rPr>
          <w:color w:val="000000"/>
          <w:sz w:val="23"/>
          <w:szCs w:val="23"/>
        </w:rPr>
        <w:tab/>
        <w:t>publish notice of the making of the Rules in the South Australian Government Gazette; and</w:t>
      </w:r>
      <w:bookmarkEnd w:id="130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notice referred to in </w:t>
      </w:r>
      <w:hyperlink w:anchor="idaef1949e_641b_49ba_a619_1b6db51246" w:history="1">
        <w:r>
          <w:rPr>
            <w:color w:val="000000"/>
            <w:sz w:val="23"/>
            <w:szCs w:val="23"/>
          </w:rPr>
          <w:t>subsection (4)(a)</w:t>
        </w:r>
      </w:hyperlink>
      <w:r>
        <w:rPr>
          <w:color w:val="000000"/>
          <w:sz w:val="23"/>
          <w:szCs w:val="23"/>
        </w:rPr>
        <w:t xml:space="preserv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Rules may only be made under this section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 xml:space="preserve">Once the first Rules have been made under </w:t>
      </w:r>
      <w:hyperlink w:anchor="id19134fd8_2b55_4fcc_b292_40888d6508"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regulatory period</w:t>
      </w:r>
      <w:r>
        <w:rPr>
          <w:color w:val="000000"/>
          <w:sz w:val="23"/>
          <w:szCs w:val="23"/>
        </w:rPr>
        <w:t xml:space="preserve"> 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sz w:val="23"/>
          <w:szCs w:val="23"/>
        </w:rPr>
        <w:t>South Australian Minister</w:t>
      </w:r>
      <w:r>
        <w:rPr>
          <w:color w:val="000000"/>
          <w:sz w:val="23"/>
          <w:szCs w:val="23"/>
        </w:rPr>
        <w:t xml:space="preserve"> means the Minister in right of the Crown of South Australia administering Part 2 of the </w:t>
      </w:r>
      <w:hyperlink r:id="rId32" w:history="1">
        <w:r>
          <w:rPr>
            <w:i/>
            <w:iCs/>
            <w:color w:val="000000"/>
            <w:sz w:val="23"/>
            <w:szCs w:val="23"/>
          </w:rPr>
          <w:t>National Gas (South Australia) Act 2008</w:t>
        </w:r>
      </w:hyperlink>
      <w:r>
        <w:rPr>
          <w:color w:val="000000"/>
          <w:sz w:val="23"/>
          <w:szCs w:val="23"/>
        </w:rPr>
        <w:t xml:space="preserve"> of South Australia.</w:t>
      </w:r>
    </w:p>
    <w:p>
      <w:pPr>
        <w:pStyle w:val="Footnotesection"/>
      </w:pPr>
      <w:r>
        <w:tab/>
        <w:t>[Section 294CA inserted: see SA Act No. 33 of 2018 s. 18 and WA Gazette 5 Apr 2019 p. 1007</w:t>
      </w:r>
      <w:r>
        <w:noBreakHyphen/>
        <w:t>8.]</w:t>
      </w:r>
    </w:p>
    <w:p>
      <w:pPr>
        <w:pStyle w:val="Heading5"/>
      </w:pPr>
      <w:bookmarkStart w:id="1305" w:name="_Toc5365185"/>
      <w:r>
        <w:rPr>
          <w:rStyle w:val="CharSectno"/>
        </w:rPr>
        <w:t>294F</w:t>
      </w:r>
      <w:r>
        <w:t>.</w:t>
      </w:r>
      <w:r>
        <w:tab/>
        <w:t>South Australian Minister to make initial Rules relating to access to non</w:t>
      </w:r>
      <w:r>
        <w:noBreakHyphen/>
        <w:t>scheme pipelines</w:t>
      </w:r>
      <w:bookmarkEnd w:id="1305"/>
    </w:p>
    <w:p>
      <w:pPr>
        <w:keepLines/>
        <w:tabs>
          <w:tab w:val="center" w:pos="1191"/>
          <w:tab w:val="left" w:pos="1588"/>
        </w:tabs>
        <w:autoSpaceDE w:val="0"/>
        <w:autoSpaceDN w:val="0"/>
        <w:adjustRightInd w:val="0"/>
        <w:spacing w:before="120"/>
        <w:ind w:left="1588" w:hanging="794"/>
        <w:rPr>
          <w:color w:val="000000"/>
          <w:sz w:val="23"/>
          <w:szCs w:val="23"/>
        </w:rPr>
      </w:pPr>
      <w:bookmarkStart w:id="1306"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hyperlink r:id="rId33" w:history="1">
        <w:r>
          <w:rPr>
            <w:i/>
            <w:iCs/>
            <w:color w:val="000000"/>
            <w:sz w:val="23"/>
            <w:szCs w:val="23"/>
          </w:rPr>
          <w:t>National Gas (South Australia) Act 2008</w:t>
        </w:r>
      </w:hyperlink>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130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Rules may only be made under </w:t>
      </w:r>
      <w:hyperlink w:anchor="id2a8d962a_bad0_42dd_9386_54821ec565" w:history="1">
        <w:r>
          <w:rPr>
            <w:color w:val="000000"/>
            <w:sz w:val="23"/>
            <w:szCs w:val="23"/>
          </w:rPr>
          <w:t>subsection (1)</w:t>
        </w:r>
      </w:hyperlink>
      <w:r>
        <w:rPr>
          <w:color w:val="000000"/>
          <w:sz w:val="23"/>
          <w:szCs w:val="23"/>
        </w:rPr>
        <w:t xml:space="preserve">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Section 74(3) applies to Rules made under </w:t>
      </w:r>
      <w:hyperlink w:anchor="id2a8d962a_bad0_42dd_9386_54821ec565" w:history="1">
        <w:r>
          <w:rPr>
            <w:color w:val="000000"/>
            <w:sz w:val="23"/>
            <w:szCs w:val="23"/>
          </w:rPr>
          <w:t>subsection (1)</w:t>
        </w:r>
      </w:hyperlink>
      <w:r>
        <w:rPr>
          <w:color w:val="000000"/>
          <w:sz w:val="23"/>
          <w:szCs w:val="23"/>
        </w:rPr>
        <w:t xml:space="preserve"> in the same way as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1307" w:name="idb626c5e9_5e85_4a57_9b3c_bc5fd5331d"/>
      <w:r>
        <w:rPr>
          <w:color w:val="000000"/>
          <w:sz w:val="23"/>
          <w:szCs w:val="23"/>
        </w:rPr>
        <w:tab/>
        <w:t>(4)</w:t>
      </w:r>
      <w:r>
        <w:rPr>
          <w:color w:val="000000"/>
          <w:sz w:val="23"/>
          <w:szCs w:val="23"/>
        </w:rPr>
        <w:tab/>
        <w:t xml:space="preserve">As soon as practicable after making Rules under </w:t>
      </w:r>
      <w:hyperlink w:anchor="id2a8d962a_bad0_42dd_9386_54821ec565" w:history="1">
        <w:r>
          <w:rPr>
            <w:color w:val="000000"/>
            <w:sz w:val="23"/>
            <w:szCs w:val="23"/>
          </w:rPr>
          <w:t>subsection (1)</w:t>
        </w:r>
      </w:hyperlink>
      <w:r>
        <w:rPr>
          <w:color w:val="000000"/>
          <w:sz w:val="23"/>
          <w:szCs w:val="23"/>
        </w:rPr>
        <w:t>, the South Australian Minister must—</w:t>
      </w:r>
      <w:bookmarkEnd w:id="1307"/>
    </w:p>
    <w:p>
      <w:pPr>
        <w:keepLines/>
        <w:tabs>
          <w:tab w:val="center" w:pos="1985"/>
          <w:tab w:val="left" w:pos="2382"/>
        </w:tabs>
        <w:autoSpaceDE w:val="0"/>
        <w:autoSpaceDN w:val="0"/>
        <w:adjustRightInd w:val="0"/>
        <w:spacing w:before="120"/>
        <w:ind w:left="2382" w:hanging="794"/>
        <w:rPr>
          <w:color w:val="000000"/>
          <w:sz w:val="23"/>
          <w:szCs w:val="23"/>
        </w:rPr>
      </w:pPr>
      <w:bookmarkStart w:id="1308"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130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South Australian Minister may, by a later notice published in the South Australian Government Gazette, vary a commencement date fixed under </w:t>
      </w:r>
      <w:hyperlink w:anchor="id0a8503f4_0144_4ab9_bb7b_b3c8df7780" w:history="1">
        <w:r>
          <w:rPr>
            <w:color w:val="000000"/>
            <w:sz w:val="23"/>
            <w:szCs w:val="23"/>
          </w:rPr>
          <w:t>subsection (4)(a)</w:t>
        </w:r>
      </w:hyperlink>
      <w:r>
        <w:rPr>
          <w:color w:val="000000"/>
          <w:sz w:val="23"/>
          <w:szCs w:val="23"/>
        </w:rPr>
        <w:t xml:space="preserve">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 xml:space="preserve">Once the first Rules have been made under </w:t>
      </w:r>
      <w:hyperlink w:anchor="id2a8d962a_bad0_42dd_9386_54821ec565"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3"/>
      </w:pPr>
      <w:bookmarkStart w:id="1309" w:name="_Toc536782353"/>
      <w:bookmarkStart w:id="1310" w:name="_Toc5347412"/>
      <w:bookmarkStart w:id="1311" w:name="_Toc5363965"/>
      <w:bookmarkStart w:id="1312" w:name="_Toc5365186"/>
      <w:r>
        <w:rPr>
          <w:rStyle w:val="CharDivNo"/>
        </w:rPr>
        <w:t>Part 3</w:t>
      </w:r>
      <w:r>
        <w:t> — </w:t>
      </w:r>
      <w:r>
        <w:rPr>
          <w:rStyle w:val="CharDivText"/>
        </w:rPr>
        <w:t>Procedure for the making of a Rule by the AEMC</w:t>
      </w:r>
      <w:bookmarkEnd w:id="1300"/>
      <w:bookmarkEnd w:id="1301"/>
      <w:bookmarkEnd w:id="1309"/>
      <w:bookmarkEnd w:id="1310"/>
      <w:bookmarkEnd w:id="1311"/>
      <w:bookmarkEnd w:id="1312"/>
    </w:p>
    <w:p>
      <w:pPr>
        <w:pStyle w:val="Heading5"/>
      </w:pPr>
      <w:bookmarkStart w:id="1313" w:name="_Toc5365187"/>
      <w:r>
        <w:rPr>
          <w:rStyle w:val="CharSectno"/>
        </w:rPr>
        <w:t>295</w:t>
      </w:r>
      <w:r>
        <w:t>.</w:t>
      </w:r>
      <w:r>
        <w:tab/>
        <w:t>Initiation of making of a Rule</w:t>
      </w:r>
      <w:bookmarkEnd w:id="13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1314" w:name="_Toc5365188"/>
      <w:r>
        <w:rPr>
          <w:rStyle w:val="CharSectno"/>
        </w:rPr>
        <w:t>296</w:t>
      </w:r>
      <w:r>
        <w:t>.</w:t>
      </w:r>
      <w:r>
        <w:tab/>
        <w:t>AEMC may make more preferable Rule in certain cases</w:t>
      </w:r>
      <w:bookmarkEnd w:id="1314"/>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1315" w:name="_Toc5365189"/>
      <w:r>
        <w:rPr>
          <w:rStyle w:val="CharSectno"/>
        </w:rPr>
        <w:t>297</w:t>
      </w:r>
      <w:r>
        <w:t>.</w:t>
      </w:r>
      <w:r>
        <w:tab/>
        <w:t>AEMC may make Rules that are consequential to a Rule request</w:t>
      </w:r>
      <w:bookmarkEnd w:id="13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1316" w:name="_Toc5365190"/>
      <w:r>
        <w:rPr>
          <w:rStyle w:val="CharSectno"/>
        </w:rPr>
        <w:t>298</w:t>
      </w:r>
      <w:r>
        <w:t>.</w:t>
      </w:r>
      <w:r>
        <w:tab/>
        <w:t>Content of requests for a Rule</w:t>
      </w:r>
      <w:bookmarkEnd w:id="1316"/>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1317" w:name="_Toc5365191"/>
      <w:r>
        <w:rPr>
          <w:rStyle w:val="CharSectno"/>
        </w:rPr>
        <w:t>299</w:t>
      </w:r>
      <w:r>
        <w:t>.</w:t>
      </w:r>
      <w:r>
        <w:tab/>
        <w:t>Waiver of fee for Rule requests</w:t>
      </w:r>
      <w:bookmarkEnd w:id="1317"/>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1318" w:name="_Toc5365192"/>
      <w:r>
        <w:rPr>
          <w:rStyle w:val="CharSectno"/>
        </w:rPr>
        <w:t>300</w:t>
      </w:r>
      <w:r>
        <w:t>.</w:t>
      </w:r>
      <w:r>
        <w:tab/>
        <w:t>Consolidation of 2 or more Rule requests</w:t>
      </w:r>
      <w:bookmarkEnd w:id="1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1319" w:name="_Toc5365193"/>
      <w:r>
        <w:rPr>
          <w:rStyle w:val="CharSectno"/>
        </w:rPr>
        <w:t>301</w:t>
      </w:r>
      <w:r>
        <w:t>.</w:t>
      </w:r>
      <w:r>
        <w:tab/>
        <w:t>Initial consideration of request for Rule</w:t>
      </w:r>
      <w:bookmarkEnd w:id="13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1320" w:name="_Toc5365194"/>
      <w:r>
        <w:rPr>
          <w:rStyle w:val="CharSectno"/>
        </w:rPr>
        <w:t>302</w:t>
      </w:r>
      <w:r>
        <w:t>.</w:t>
      </w:r>
      <w:r>
        <w:tab/>
        <w:t>AEMC may request further information from Rule proponent in certain cases</w:t>
      </w:r>
      <w:bookmarkEnd w:id="13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1321" w:name="_Toc5365195"/>
      <w:r>
        <w:rPr>
          <w:rStyle w:val="CharSectno"/>
        </w:rPr>
        <w:t>303</w:t>
      </w:r>
      <w:r>
        <w:t>.</w:t>
      </w:r>
      <w:r>
        <w:tab/>
        <w:t>Notice of proposed Rule</w:t>
      </w:r>
      <w:bookmarkEnd w:id="13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1322" w:name="_Toc5365196"/>
      <w:r>
        <w:rPr>
          <w:rStyle w:val="CharSectno"/>
        </w:rPr>
        <w:t>304</w:t>
      </w:r>
      <w:r>
        <w:t>.</w:t>
      </w:r>
      <w:r>
        <w:tab/>
        <w:t>Publication of non</w:t>
      </w:r>
      <w:r>
        <w:noBreakHyphen/>
        <w:t>controversial or urgent final Rule determination</w:t>
      </w:r>
      <w:bookmarkEnd w:id="13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1323" w:name="_Toc5365197"/>
      <w:r>
        <w:rPr>
          <w:rStyle w:val="CharSectno"/>
        </w:rPr>
        <w:t>305</w:t>
      </w:r>
      <w:r>
        <w:t>.</w:t>
      </w:r>
      <w:r>
        <w:tab/>
        <w:t>“Fast track” Rules where previous public consultation by gas market regulatory body or an AEMC review</w:t>
      </w:r>
      <w:bookmarkEnd w:id="13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1324" w:name="_Toc5365198"/>
      <w:r>
        <w:rPr>
          <w:rStyle w:val="CharSectno"/>
        </w:rPr>
        <w:t>306</w:t>
      </w:r>
      <w:r>
        <w:t>.</w:t>
      </w:r>
      <w:r>
        <w:tab/>
        <w:t>Right to make written submissions and comments</w:t>
      </w:r>
      <w:bookmarkEnd w:id="1324"/>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1325" w:name="_Toc5365199"/>
      <w:r>
        <w:rPr>
          <w:rStyle w:val="CharSectno"/>
        </w:rPr>
        <w:t>307</w:t>
      </w:r>
      <w:r>
        <w:t>.</w:t>
      </w:r>
      <w:r>
        <w:tab/>
        <w:t>AEMC may hold public hearings before draft Rule determination</w:t>
      </w:r>
      <w:bookmarkEnd w:id="13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1326" w:name="_Toc5365200"/>
      <w:r>
        <w:rPr>
          <w:rStyle w:val="CharSectno"/>
        </w:rPr>
        <w:t>308</w:t>
      </w:r>
      <w:r>
        <w:t>.</w:t>
      </w:r>
      <w:r>
        <w:tab/>
        <w:t>Draft Rule determination</w:t>
      </w:r>
      <w:bookmarkEnd w:id="13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1327" w:name="_Toc5365201"/>
      <w:r>
        <w:rPr>
          <w:rStyle w:val="CharSectno"/>
        </w:rPr>
        <w:t>309</w:t>
      </w:r>
      <w:r>
        <w:t>.</w:t>
      </w:r>
      <w:r>
        <w:tab/>
        <w:t>Right to make written submissions and comments in relation to draft Rule determination</w:t>
      </w:r>
      <w:bookmarkEnd w:id="1327"/>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1328" w:name="_Toc5365202"/>
      <w:r>
        <w:rPr>
          <w:rStyle w:val="CharSectno"/>
        </w:rPr>
        <w:t>310</w:t>
      </w:r>
      <w:r>
        <w:t>.</w:t>
      </w:r>
      <w:r>
        <w:tab/>
        <w:t>Pre</w:t>
      </w:r>
      <w:r>
        <w:noBreakHyphen/>
        <w:t>final Rule determination hearing may be held</w:t>
      </w:r>
      <w:bookmarkEnd w:id="13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1329" w:name="_Toc5365203"/>
      <w:r>
        <w:rPr>
          <w:rStyle w:val="CharSectno"/>
        </w:rPr>
        <w:t>311</w:t>
      </w:r>
      <w:r>
        <w:t>.</w:t>
      </w:r>
      <w:r>
        <w:tab/>
        <w:t>Final Rule determination</w:t>
      </w:r>
      <w:bookmarkEnd w:id="13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1330" w:name="_Toc5365204"/>
      <w:r>
        <w:rPr>
          <w:rStyle w:val="CharSectno"/>
        </w:rPr>
        <w:t>312</w:t>
      </w:r>
      <w:r>
        <w:t>.</w:t>
      </w:r>
      <w:r>
        <w:tab/>
        <w:t>Further draft Rule determination may be made where proposed Rule is a proposed more preferable Rule</w:t>
      </w:r>
      <w:bookmarkEnd w:id="13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1331" w:name="_Toc5365205"/>
      <w:r>
        <w:rPr>
          <w:rStyle w:val="CharSectno"/>
        </w:rPr>
        <w:t>313</w:t>
      </w:r>
      <w:r>
        <w:t>.</w:t>
      </w:r>
      <w:r>
        <w:tab/>
        <w:t>Making of Rule</w:t>
      </w:r>
      <w:bookmarkEnd w:id="13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1332" w:name="_Toc5365206"/>
      <w:r>
        <w:rPr>
          <w:rStyle w:val="CharSectno"/>
        </w:rPr>
        <w:t>314</w:t>
      </w:r>
      <w:r>
        <w:t>.</w:t>
      </w:r>
      <w:r>
        <w:tab/>
        <w:t>Operation and commencement of Rule</w:t>
      </w:r>
      <w:bookmarkEnd w:id="1332"/>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1333" w:name="_Toc5365207"/>
      <w:r>
        <w:rPr>
          <w:rStyle w:val="CharSectno"/>
        </w:rPr>
        <w:t>315</w:t>
      </w:r>
      <w:r>
        <w:t>.</w:t>
      </w:r>
      <w:r>
        <w:tab/>
        <w:t>Rule that is made to be published on website and made available to the public</w:t>
      </w:r>
      <w:bookmarkEnd w:id="1333"/>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1334" w:name="_Toc5365208"/>
      <w:r>
        <w:rPr>
          <w:rStyle w:val="CharSectno"/>
        </w:rPr>
        <w:t>316</w:t>
      </w:r>
      <w:r>
        <w:t>.</w:t>
      </w:r>
      <w:r>
        <w:tab/>
        <w:t>Evidence of the National Gas Rules</w:t>
      </w:r>
      <w:bookmarkEnd w:id="1334"/>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1335" w:name="_Toc501634254"/>
      <w:bookmarkStart w:id="1336" w:name="_Toc501713150"/>
      <w:bookmarkStart w:id="1337" w:name="_Toc536782376"/>
      <w:bookmarkStart w:id="1338" w:name="_Toc5347435"/>
      <w:bookmarkStart w:id="1339" w:name="_Toc5363988"/>
      <w:bookmarkStart w:id="1340" w:name="_Toc5365209"/>
      <w:r>
        <w:rPr>
          <w:rStyle w:val="CharDivNo"/>
        </w:rPr>
        <w:t>Part 4</w:t>
      </w:r>
      <w:r>
        <w:t> — </w:t>
      </w:r>
      <w:r>
        <w:rPr>
          <w:rStyle w:val="CharDivText"/>
        </w:rPr>
        <w:t>Miscellaneous provisions relating to rule making by the AEMC</w:t>
      </w:r>
      <w:bookmarkEnd w:id="1335"/>
      <w:bookmarkEnd w:id="1336"/>
      <w:bookmarkEnd w:id="1337"/>
      <w:bookmarkEnd w:id="1338"/>
      <w:bookmarkEnd w:id="1339"/>
      <w:bookmarkEnd w:id="1340"/>
    </w:p>
    <w:p>
      <w:pPr>
        <w:pStyle w:val="Heading5"/>
      </w:pPr>
      <w:bookmarkStart w:id="1341" w:name="_Toc5365210"/>
      <w:r>
        <w:rPr>
          <w:rStyle w:val="CharSectno"/>
        </w:rPr>
        <w:t>317</w:t>
      </w:r>
      <w:r>
        <w:t>.</w:t>
      </w:r>
      <w:r>
        <w:tab/>
        <w:t>Extension of periods of time in Rule making procedure</w:t>
      </w:r>
      <w:bookmarkEnd w:id="13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1342" w:name="_Toc5365211"/>
      <w:r>
        <w:rPr>
          <w:rStyle w:val="CharSectno"/>
        </w:rPr>
        <w:t>318</w:t>
      </w:r>
      <w:r>
        <w:t>.</w:t>
      </w:r>
      <w:r>
        <w:tab/>
        <w:t>AEMC may extend period of time for making of final Rule determination for further consultation</w:t>
      </w:r>
      <w:bookmarkEnd w:id="13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1343" w:name="_Toc5365212"/>
      <w:r>
        <w:rPr>
          <w:rStyle w:val="CharSectno"/>
        </w:rPr>
        <w:t>319</w:t>
      </w:r>
      <w:r>
        <w:t>.</w:t>
      </w:r>
      <w:r>
        <w:tab/>
        <w:t>AEMC may publish written submissions and comments unless confidential</w:t>
      </w:r>
      <w:bookmarkEnd w:id="13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1344" w:name="_Toc5365213"/>
      <w:r>
        <w:rPr>
          <w:rStyle w:val="CharSectno"/>
        </w:rPr>
        <w:t>320</w:t>
      </w:r>
      <w:r>
        <w:t>.</w:t>
      </w:r>
      <w:r>
        <w:tab/>
        <w:t>AEMC must publicly report on Rules not made within 12 months of public notification of requests</w:t>
      </w:r>
      <w:bookmarkEnd w:id="13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1345" w:name="_Toc501634259"/>
      <w:bookmarkStart w:id="1346" w:name="_Toc501713155"/>
      <w:bookmarkStart w:id="1347" w:name="_Toc536782381"/>
      <w:bookmarkStart w:id="1348" w:name="_Toc5347440"/>
      <w:bookmarkStart w:id="1349" w:name="_Toc5363993"/>
      <w:bookmarkStart w:id="1350" w:name="_Toc5365214"/>
      <w:r>
        <w:rPr>
          <w:rStyle w:val="CharPartNo"/>
        </w:rPr>
        <w:t>Chapter 10</w:t>
      </w:r>
      <w:r>
        <w:t xml:space="preserve"> — </w:t>
      </w:r>
      <w:r>
        <w:rPr>
          <w:rStyle w:val="CharPartText"/>
        </w:rPr>
        <w:t>General</w:t>
      </w:r>
      <w:bookmarkEnd w:id="1345"/>
      <w:bookmarkEnd w:id="1346"/>
      <w:bookmarkEnd w:id="1347"/>
      <w:bookmarkEnd w:id="1348"/>
      <w:bookmarkEnd w:id="1349"/>
      <w:bookmarkEnd w:id="1350"/>
    </w:p>
    <w:p>
      <w:pPr>
        <w:pStyle w:val="Heading3"/>
      </w:pPr>
      <w:bookmarkStart w:id="1351" w:name="_Toc501634260"/>
      <w:bookmarkStart w:id="1352" w:name="_Toc501713156"/>
      <w:bookmarkStart w:id="1353" w:name="_Toc536782382"/>
      <w:bookmarkStart w:id="1354" w:name="_Toc5347441"/>
      <w:bookmarkStart w:id="1355" w:name="_Toc5363994"/>
      <w:bookmarkStart w:id="1356" w:name="_Toc5365215"/>
      <w:r>
        <w:rPr>
          <w:rStyle w:val="CharDivNo"/>
        </w:rPr>
        <w:t>Part 1</w:t>
      </w:r>
      <w:r>
        <w:t xml:space="preserve"> — </w:t>
      </w:r>
      <w:r>
        <w:rPr>
          <w:rStyle w:val="CharDivText"/>
        </w:rPr>
        <w:t>Provisions relating to applicable access arrangements</w:t>
      </w:r>
      <w:bookmarkEnd w:id="1351"/>
      <w:bookmarkEnd w:id="1352"/>
      <w:bookmarkEnd w:id="1353"/>
      <w:bookmarkEnd w:id="1354"/>
      <w:bookmarkEnd w:id="1355"/>
      <w:bookmarkEnd w:id="1356"/>
    </w:p>
    <w:p>
      <w:pPr>
        <w:pStyle w:val="Heading5"/>
      </w:pPr>
      <w:bookmarkStart w:id="1357" w:name="_Toc5365216"/>
      <w:r>
        <w:rPr>
          <w:rStyle w:val="CharSectno"/>
        </w:rPr>
        <w:t>321</w:t>
      </w:r>
      <w:r>
        <w:t>.</w:t>
      </w:r>
      <w:r>
        <w:tab/>
        <w:t>Protection of certain pre</w:t>
      </w:r>
      <w:r>
        <w:noBreakHyphen/>
        <w:t>existing contractual rights</w:t>
      </w:r>
      <w:bookmarkEnd w:id="13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1358" w:name="_Toc5365217"/>
      <w:r>
        <w:rPr>
          <w:rStyle w:val="CharSectno"/>
        </w:rPr>
        <w:t>322</w:t>
      </w:r>
      <w:r>
        <w:t>.</w:t>
      </w:r>
      <w:r>
        <w:tab/>
        <w:t>Service provider may enter into agreement for access different from applicable access arrangement</w:t>
      </w:r>
      <w:bookmarkEnd w:id="1358"/>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1359" w:name="_Toc5365218"/>
      <w:r>
        <w:rPr>
          <w:rStyle w:val="CharSectno"/>
        </w:rPr>
        <w:t>323</w:t>
      </w:r>
      <w:r>
        <w:t>.</w:t>
      </w:r>
      <w:r>
        <w:tab/>
        <w:t>Applicable access arrangements continue to apply regardless of who provides pipeline service</w:t>
      </w:r>
      <w:bookmarkEnd w:id="1359"/>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1360" w:name="_Toc501634264"/>
      <w:bookmarkStart w:id="1361" w:name="_Toc501713160"/>
      <w:bookmarkStart w:id="1362" w:name="_Toc536782386"/>
      <w:bookmarkStart w:id="1363" w:name="_Toc5347445"/>
      <w:bookmarkStart w:id="1364" w:name="_Toc5363998"/>
      <w:bookmarkStart w:id="1365" w:name="_Toc5365219"/>
      <w:r>
        <w:rPr>
          <w:rStyle w:val="CharDivNo"/>
        </w:rPr>
        <w:t>Part 2</w:t>
      </w:r>
      <w:r>
        <w:t xml:space="preserve"> — </w:t>
      </w:r>
      <w:r>
        <w:rPr>
          <w:rStyle w:val="CharDivText"/>
        </w:rPr>
        <w:t>Handling of confidential information</w:t>
      </w:r>
      <w:bookmarkEnd w:id="1360"/>
      <w:bookmarkEnd w:id="1361"/>
      <w:bookmarkEnd w:id="1362"/>
      <w:bookmarkEnd w:id="1363"/>
      <w:bookmarkEnd w:id="1364"/>
      <w:bookmarkEnd w:id="1365"/>
    </w:p>
    <w:p>
      <w:pPr>
        <w:pStyle w:val="Heading4"/>
      </w:pPr>
      <w:bookmarkStart w:id="1366" w:name="_Toc501634265"/>
      <w:bookmarkStart w:id="1367" w:name="_Toc501713161"/>
      <w:bookmarkStart w:id="1368" w:name="_Toc536782387"/>
      <w:bookmarkStart w:id="1369" w:name="_Toc5347446"/>
      <w:bookmarkStart w:id="1370" w:name="_Toc5363999"/>
      <w:bookmarkStart w:id="1371" w:name="_Toc5365220"/>
      <w:r>
        <w:t>Division 1 — Disclosure of confidential information held by AER</w:t>
      </w:r>
      <w:bookmarkEnd w:id="1366"/>
      <w:bookmarkEnd w:id="1367"/>
      <w:bookmarkEnd w:id="1368"/>
      <w:bookmarkEnd w:id="1369"/>
      <w:bookmarkEnd w:id="1370"/>
      <w:bookmarkEnd w:id="1371"/>
    </w:p>
    <w:p>
      <w:pPr>
        <w:pStyle w:val="Heading5"/>
      </w:pPr>
      <w:bookmarkStart w:id="1372" w:name="_Toc5365221"/>
      <w:r>
        <w:rPr>
          <w:rStyle w:val="CharSectno"/>
        </w:rPr>
        <w:t>324</w:t>
      </w:r>
      <w:r>
        <w:t>.</w:t>
      </w:r>
      <w:r>
        <w:tab/>
        <w:t>Authorised disclosure of information given to the AER in confidence</w:t>
      </w:r>
      <w:bookmarkEnd w:id="1372"/>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1373" w:name="_Toc5365222"/>
      <w:r>
        <w:rPr>
          <w:rStyle w:val="CharSectno"/>
        </w:rPr>
        <w:t>325</w:t>
      </w:r>
      <w:r>
        <w:t>.</w:t>
      </w:r>
      <w:r>
        <w:tab/>
        <w:t>Disclosure with prior written consent is authorised</w:t>
      </w:r>
      <w:bookmarkEnd w:id="1373"/>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1374" w:name="_Toc5365223"/>
      <w:r>
        <w:rPr>
          <w:rStyle w:val="CharSectno"/>
        </w:rPr>
        <w:t>326</w:t>
      </w:r>
      <w:r>
        <w:t>.</w:t>
      </w:r>
      <w:r>
        <w:tab/>
        <w:t>Disclosure for purposes of court and tribunal proceedings and to accord natural justice</w:t>
      </w:r>
      <w:bookmarkEnd w:id="1374"/>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1375" w:name="_Toc5365224"/>
      <w:r>
        <w:rPr>
          <w:rStyle w:val="CharSectno"/>
        </w:rPr>
        <w:t>327</w:t>
      </w:r>
      <w:r>
        <w:t>.</w:t>
      </w:r>
      <w:r>
        <w:tab/>
        <w:t>Disclosure of information given to the AER with confidential information omitted</w:t>
      </w:r>
      <w:bookmarkEnd w:id="13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1376" w:name="_Toc5365225"/>
      <w:r>
        <w:rPr>
          <w:rStyle w:val="CharSectno"/>
        </w:rPr>
        <w:t>328</w:t>
      </w:r>
      <w:r>
        <w:t>.</w:t>
      </w:r>
      <w:r>
        <w:tab/>
        <w:t>Disclosure of information given in confidence does not identify anyone</w:t>
      </w:r>
      <w:bookmarkEnd w:id="137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1377" w:name="_Toc5365226"/>
      <w:r>
        <w:rPr>
          <w:rStyle w:val="CharSectno"/>
        </w:rPr>
        <w:t>329</w:t>
      </w:r>
      <w:r>
        <w:t>.</w:t>
      </w:r>
      <w:r>
        <w:tab/>
        <w:t>Disclosure of confidential information authorised if detriment does not outweigh public benefit</w:t>
      </w:r>
      <w:bookmarkEnd w:id="13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1378" w:name="_Toc501634272"/>
      <w:bookmarkStart w:id="1379" w:name="_Toc501713168"/>
      <w:bookmarkStart w:id="1380" w:name="_Toc536782394"/>
      <w:bookmarkStart w:id="1381" w:name="_Toc5347453"/>
      <w:bookmarkStart w:id="1382" w:name="_Toc5364006"/>
      <w:bookmarkStart w:id="1383" w:name="_Toc5365227"/>
      <w:r>
        <w:t>Division 2 — Disclosure of confidential information held by relevant Ministers, NCC and AEMC</w:t>
      </w:r>
      <w:bookmarkEnd w:id="1378"/>
      <w:bookmarkEnd w:id="1379"/>
      <w:bookmarkEnd w:id="1380"/>
      <w:bookmarkEnd w:id="1381"/>
      <w:bookmarkEnd w:id="1382"/>
      <w:bookmarkEnd w:id="1383"/>
    </w:p>
    <w:p>
      <w:pPr>
        <w:pStyle w:val="Heading5"/>
      </w:pPr>
      <w:bookmarkStart w:id="1384" w:name="_Toc5365228"/>
      <w:r>
        <w:rPr>
          <w:rStyle w:val="CharSectno"/>
        </w:rPr>
        <w:t>330</w:t>
      </w:r>
      <w:r>
        <w:t>.</w:t>
      </w:r>
      <w:r>
        <w:tab/>
        <w:t>Definitions</w:t>
      </w:r>
      <w:bookmarkEnd w:id="138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1385" w:name="_Toc5365229"/>
      <w:r>
        <w:rPr>
          <w:rStyle w:val="CharSectno"/>
        </w:rPr>
        <w:t>331</w:t>
      </w:r>
      <w:r>
        <w:t>.</w:t>
      </w:r>
      <w:r>
        <w:tab/>
        <w:t>Confidentiality of information received for scheme procedure purpose and for making of scheme decision</w:t>
      </w:r>
      <w:bookmarkEnd w:id="13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1386" w:name="_Toc501634275"/>
      <w:bookmarkStart w:id="1387" w:name="_Toc501713171"/>
      <w:bookmarkStart w:id="1388" w:name="_Toc536782397"/>
      <w:bookmarkStart w:id="1389" w:name="_Toc5347456"/>
      <w:bookmarkStart w:id="1390" w:name="_Toc5364009"/>
      <w:bookmarkStart w:id="1391" w:name="_Toc5365230"/>
      <w:r>
        <w:rPr>
          <w:rStyle w:val="CharDivNo"/>
        </w:rPr>
        <w:t>Part 3</w:t>
      </w:r>
      <w:r>
        <w:t xml:space="preserve"> — </w:t>
      </w:r>
      <w:r>
        <w:rPr>
          <w:rStyle w:val="CharDivText"/>
        </w:rPr>
        <w:t>Miscellaneous</w:t>
      </w:r>
      <w:bookmarkEnd w:id="1386"/>
      <w:bookmarkEnd w:id="1387"/>
      <w:bookmarkEnd w:id="1388"/>
      <w:bookmarkEnd w:id="1389"/>
      <w:bookmarkEnd w:id="1390"/>
      <w:bookmarkEnd w:id="1391"/>
    </w:p>
    <w:p>
      <w:pPr>
        <w:pStyle w:val="Heading5"/>
      </w:pPr>
      <w:bookmarkStart w:id="1392" w:name="_Toc5365231"/>
      <w:r>
        <w:rPr>
          <w:rStyle w:val="CharSectno"/>
        </w:rPr>
        <w:t>332</w:t>
      </w:r>
      <w:r>
        <w:t>.</w:t>
      </w:r>
      <w:r>
        <w:tab/>
        <w:t>Failure to make a decision under this Law or the Rules within time does not invalidate the decision</w:t>
      </w:r>
      <w:bookmarkEnd w:id="13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1393" w:name="_Toc5365232"/>
      <w:r>
        <w:rPr>
          <w:rStyle w:val="CharSectno"/>
        </w:rPr>
        <w:t>333</w:t>
      </w:r>
      <w:r>
        <w:t>.</w:t>
      </w:r>
      <w:r>
        <w:tab/>
        <w:t>Withdrawal of applications relating to coverage or reclassification</w:t>
      </w:r>
      <w:bookmarkEnd w:id="13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1394" w:name="_Toc5365233"/>
      <w:r>
        <w:rPr>
          <w:rStyle w:val="CharSectno"/>
        </w:rPr>
        <w:t>334</w:t>
      </w:r>
      <w:r>
        <w:t>.</w:t>
      </w:r>
      <w:r>
        <w:tab/>
        <w:t>Notification of Ministers of participating jurisdictions of receipt of application</w:t>
      </w:r>
      <w:bookmarkEnd w:id="1394"/>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1395" w:name="_Toc5365234"/>
      <w:r>
        <w:rPr>
          <w:rStyle w:val="CharSectno"/>
        </w:rPr>
        <w:t>335</w:t>
      </w:r>
      <w:r>
        <w:t>.</w:t>
      </w:r>
      <w:r>
        <w:tab/>
        <w:t>Relevant Minister may request NCC to give information or assistance</w:t>
      </w:r>
      <w:bookmarkEnd w:id="13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1396" w:name="_Toc5365235"/>
      <w:r>
        <w:rPr>
          <w:rStyle w:val="CharSectno"/>
        </w:rPr>
        <w:t>336</w:t>
      </w:r>
      <w:r>
        <w:t>.</w:t>
      </w:r>
      <w:r>
        <w:tab/>
        <w:t>Savings and transitionals</w:t>
      </w:r>
      <w:bookmarkEnd w:id="1396"/>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4"/>
          <w:headerReference w:type="default" r:id="rId35"/>
          <w:headerReference w:type="first" r:id="rId36"/>
          <w:endnotePr>
            <w:numFmt w:val="decimal"/>
          </w:endnotePr>
          <w:pgSz w:w="11907" w:h="16840" w:code="9"/>
          <w:pgMar w:top="2381" w:right="2410" w:bottom="3544" w:left="2410" w:header="720" w:footer="3380" w:gutter="0"/>
          <w:cols w:space="720"/>
          <w:docGrid w:linePitch="326"/>
        </w:sectPr>
      </w:pPr>
    </w:p>
    <w:p>
      <w:pPr>
        <w:pStyle w:val="Heading2"/>
      </w:pPr>
      <w:bookmarkStart w:id="1397" w:name="_Toc501634281"/>
      <w:bookmarkStart w:id="1398" w:name="_Toc501713177"/>
      <w:bookmarkStart w:id="1399" w:name="_Toc536782403"/>
      <w:bookmarkStart w:id="1400" w:name="_Toc5347462"/>
      <w:bookmarkStart w:id="1401" w:name="_Toc5364015"/>
      <w:bookmarkStart w:id="1402" w:name="_Toc5365236"/>
      <w:r>
        <w:rPr>
          <w:rStyle w:val="CharPartNo"/>
        </w:rPr>
        <w:t>Schedule 1</w:t>
      </w:r>
      <w:r>
        <w:rPr>
          <w:rStyle w:val="CharDivNo"/>
        </w:rPr>
        <w:t> </w:t>
      </w:r>
      <w:r>
        <w:t>—</w:t>
      </w:r>
      <w:r>
        <w:rPr>
          <w:rStyle w:val="CharDivText"/>
        </w:rPr>
        <w:t> </w:t>
      </w:r>
      <w:r>
        <w:rPr>
          <w:rStyle w:val="CharPartText"/>
        </w:rPr>
        <w:t>Subject matter for the National Gas Rules</w:t>
      </w:r>
      <w:bookmarkEnd w:id="1397"/>
      <w:bookmarkEnd w:id="1398"/>
      <w:bookmarkEnd w:id="1399"/>
      <w:bookmarkEnd w:id="1400"/>
      <w:bookmarkEnd w:id="1401"/>
      <w:bookmarkEnd w:id="1402"/>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r>
              <w:rPr>
                <w:i/>
                <w:color w:val="000000"/>
                <w:sz w:val="20"/>
              </w:rPr>
              <w:t>[</w:t>
            </w:r>
            <w:r>
              <w:rPr>
                <w:i/>
                <w:color w:val="000000"/>
                <w:sz w:val="20"/>
              </w:rPr>
              <w:tab/>
              <w:t>(g)</w:t>
            </w:r>
            <w:r>
              <w:rPr>
                <w:i/>
                <w:color w:val="000000"/>
                <w:sz w:val="20"/>
              </w:rPr>
              <w:tab/>
              <w:t>deleted]</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 SA Act No. 33 of 2018 s. 19 and WA Gazette 5 Apr 2019 p. 1007.]</w:t>
      </w:r>
    </w:p>
    <w:p>
      <w:pPr>
        <w:keepNext/>
        <w:keepLines/>
        <w:autoSpaceDE w:val="0"/>
        <w:autoSpaceDN w:val="0"/>
        <w:adjustRightInd w:val="0"/>
        <w:spacing w:before="280"/>
        <w:ind w:left="1361" w:hanging="567"/>
        <w:rPr>
          <w:b/>
          <w:bCs/>
          <w:color w:val="000000"/>
          <w:sz w:val="32"/>
          <w:szCs w:val="32"/>
        </w:rPr>
        <w:sectPr>
          <w:headerReference w:type="even" r:id="rId37"/>
          <w:headerReference w:type="default" r:id="rId38"/>
          <w:headerReference w:type="first" r:id="rId39"/>
          <w:endnotePr>
            <w:numFmt w:val="decimal"/>
          </w:endnotePr>
          <w:pgSz w:w="11907" w:h="16840" w:code="9"/>
          <w:pgMar w:top="2381" w:right="2410" w:bottom="3544" w:left="2410" w:header="720" w:footer="3380" w:gutter="0"/>
          <w:cols w:space="720"/>
          <w:docGrid w:linePitch="326"/>
        </w:sectPr>
      </w:pPr>
    </w:p>
    <w:p>
      <w:pPr>
        <w:pStyle w:val="Heading2"/>
      </w:pPr>
      <w:bookmarkStart w:id="1403" w:name="_Toc501634282"/>
      <w:bookmarkStart w:id="1404" w:name="_Toc501713178"/>
      <w:bookmarkStart w:id="1405" w:name="_Toc536782404"/>
      <w:bookmarkStart w:id="1406" w:name="_Toc5347463"/>
      <w:bookmarkStart w:id="1407" w:name="_Toc5364016"/>
      <w:bookmarkStart w:id="1408" w:name="_Toc5365237"/>
      <w:r>
        <w:rPr>
          <w:rStyle w:val="CharPartNo"/>
        </w:rPr>
        <w:t>Schedule 2</w:t>
      </w:r>
      <w:r>
        <w:t xml:space="preserve"> — </w:t>
      </w:r>
      <w:r>
        <w:rPr>
          <w:rStyle w:val="CharPartText"/>
        </w:rPr>
        <w:t>Miscellaneous provisions relating to interpretation</w:t>
      </w:r>
      <w:bookmarkEnd w:id="1403"/>
      <w:bookmarkEnd w:id="1404"/>
      <w:bookmarkEnd w:id="1405"/>
      <w:bookmarkEnd w:id="1406"/>
      <w:bookmarkEnd w:id="1407"/>
      <w:bookmarkEnd w:id="1408"/>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1409" w:name="_Toc501634283"/>
      <w:bookmarkStart w:id="1410" w:name="_Toc501713179"/>
      <w:bookmarkStart w:id="1411" w:name="_Toc536782405"/>
      <w:bookmarkStart w:id="1412" w:name="_Toc5347464"/>
      <w:bookmarkStart w:id="1413" w:name="_Toc5364017"/>
      <w:bookmarkStart w:id="1414" w:name="_Toc5365238"/>
      <w:r>
        <w:rPr>
          <w:rStyle w:val="CharDivNo"/>
        </w:rPr>
        <w:t>Part 1</w:t>
      </w:r>
      <w:r>
        <w:t xml:space="preserve"> — </w:t>
      </w:r>
      <w:r>
        <w:rPr>
          <w:rStyle w:val="CharDivText"/>
        </w:rPr>
        <w:t>Preliminary</w:t>
      </w:r>
      <w:bookmarkEnd w:id="1409"/>
      <w:bookmarkEnd w:id="1410"/>
      <w:bookmarkEnd w:id="1411"/>
      <w:bookmarkEnd w:id="1412"/>
      <w:bookmarkEnd w:id="1413"/>
      <w:bookmarkEnd w:id="1414"/>
    </w:p>
    <w:p>
      <w:pPr>
        <w:pStyle w:val="Heading5"/>
      </w:pPr>
      <w:bookmarkStart w:id="1415" w:name="_Toc5365239"/>
      <w:r>
        <w:rPr>
          <w:rStyle w:val="CharSectno"/>
        </w:rPr>
        <w:t>1</w:t>
      </w:r>
      <w:r>
        <w:t>.</w:t>
      </w:r>
      <w:r>
        <w:tab/>
        <w:t>Displacement of Schedule by contrary intention</w:t>
      </w:r>
      <w:bookmarkEnd w:id="14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1416" w:name="_Toc501634285"/>
      <w:bookmarkStart w:id="1417" w:name="_Toc501713181"/>
      <w:bookmarkStart w:id="1418" w:name="_Toc536782407"/>
      <w:bookmarkStart w:id="1419" w:name="_Toc5347466"/>
      <w:bookmarkStart w:id="1420" w:name="_Toc5364019"/>
      <w:bookmarkStart w:id="1421" w:name="_Toc5365240"/>
      <w:r>
        <w:rPr>
          <w:rStyle w:val="CharDivNo"/>
        </w:rPr>
        <w:t>Part 2</w:t>
      </w:r>
      <w:r>
        <w:t xml:space="preserve"> — </w:t>
      </w:r>
      <w:r>
        <w:rPr>
          <w:rStyle w:val="CharDivText"/>
        </w:rPr>
        <w:t>General</w:t>
      </w:r>
      <w:bookmarkEnd w:id="1416"/>
      <w:bookmarkEnd w:id="1417"/>
      <w:bookmarkEnd w:id="1418"/>
      <w:bookmarkEnd w:id="1419"/>
      <w:bookmarkEnd w:id="1420"/>
      <w:bookmarkEnd w:id="1421"/>
    </w:p>
    <w:p>
      <w:pPr>
        <w:pStyle w:val="Heading5"/>
      </w:pPr>
      <w:bookmarkStart w:id="1422" w:name="_Toc5365241"/>
      <w:r>
        <w:rPr>
          <w:rStyle w:val="CharSectno"/>
        </w:rPr>
        <w:t>2</w:t>
      </w:r>
      <w:r>
        <w:t>.</w:t>
      </w:r>
      <w:r>
        <w:tab/>
        <w:t>Law to be construed not to exceed legislative power of Legislature</w:t>
      </w:r>
      <w:bookmarkEnd w:id="14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1423" w:name="_Toc5365242"/>
      <w:r>
        <w:rPr>
          <w:rStyle w:val="CharSectno"/>
        </w:rPr>
        <w:t>3</w:t>
      </w:r>
      <w:r>
        <w:t>.</w:t>
      </w:r>
      <w:r>
        <w:tab/>
        <w:t>Vacant provision</w:t>
      </w:r>
      <w:bookmarkEnd w:id="1423"/>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1424" w:name="_Toc5365243"/>
      <w:r>
        <w:rPr>
          <w:rStyle w:val="CharSectno"/>
        </w:rPr>
        <w:t>4</w:t>
      </w:r>
      <w:r>
        <w:t>.</w:t>
      </w:r>
      <w:r>
        <w:tab/>
        <w:t>Material that is, and is not, part of Law</w:t>
      </w:r>
      <w:bookmarkEnd w:id="14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1425" w:name="_Toc5365244"/>
      <w:r>
        <w:rPr>
          <w:rStyle w:val="CharSectno"/>
        </w:rPr>
        <w:t>5</w:t>
      </w:r>
      <w:r>
        <w:t>.</w:t>
      </w:r>
      <w:r>
        <w:tab/>
        <w:t>References to particular Acts and to enactments</w:t>
      </w:r>
      <w:bookmarkEnd w:id="1425"/>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1426" w:name="_Toc5365245"/>
      <w:r>
        <w:rPr>
          <w:rStyle w:val="CharSectno"/>
        </w:rPr>
        <w:t>6</w:t>
      </w:r>
      <w:r>
        <w:t>.</w:t>
      </w:r>
      <w:r>
        <w:tab/>
        <w:t>References taken to be included in Act or Law citation etc</w:t>
      </w:r>
      <w:bookmarkEnd w:id="14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1427" w:name="_Toc5365246"/>
      <w:r>
        <w:rPr>
          <w:rStyle w:val="CharSectno"/>
        </w:rPr>
        <w:t>7</w:t>
      </w:r>
      <w:r>
        <w:t>.</w:t>
      </w:r>
      <w:r>
        <w:tab/>
        <w:t>Interpretation best achieving Law’s purpose</w:t>
      </w:r>
      <w:bookmarkEnd w:id="14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1428" w:name="_Toc5365247"/>
      <w:r>
        <w:rPr>
          <w:rStyle w:val="CharSectno"/>
        </w:rPr>
        <w:t>8</w:t>
      </w:r>
      <w:r>
        <w:t>.</w:t>
      </w:r>
      <w:r>
        <w:tab/>
        <w:t>Use of extrinsic material in interpretation</w:t>
      </w:r>
      <w:bookmarkEnd w:id="14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1429" w:name="_Toc5365248"/>
      <w:r>
        <w:rPr>
          <w:rStyle w:val="CharSectno"/>
        </w:rPr>
        <w:t>9</w:t>
      </w:r>
      <w:r>
        <w:t>.</w:t>
      </w:r>
      <w:r>
        <w:tab/>
        <w:t>Compliance with forms</w:t>
      </w:r>
      <w:bookmarkEnd w:id="14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1430" w:name="_Toc501634294"/>
      <w:bookmarkStart w:id="1431" w:name="_Toc501713190"/>
      <w:bookmarkStart w:id="1432" w:name="_Toc536782416"/>
      <w:bookmarkStart w:id="1433" w:name="_Toc5347475"/>
      <w:bookmarkStart w:id="1434" w:name="_Toc5364028"/>
      <w:bookmarkStart w:id="1435" w:name="_Toc5365249"/>
      <w:r>
        <w:rPr>
          <w:rStyle w:val="CharDivNo"/>
        </w:rPr>
        <w:t>Part 3</w:t>
      </w:r>
      <w:r>
        <w:t xml:space="preserve"> — </w:t>
      </w:r>
      <w:r>
        <w:rPr>
          <w:rStyle w:val="CharDivText"/>
        </w:rPr>
        <w:t>Terms and references</w:t>
      </w:r>
      <w:bookmarkEnd w:id="1430"/>
      <w:bookmarkEnd w:id="1431"/>
      <w:bookmarkEnd w:id="1432"/>
      <w:bookmarkEnd w:id="1433"/>
      <w:bookmarkEnd w:id="1434"/>
      <w:bookmarkEnd w:id="1435"/>
    </w:p>
    <w:p>
      <w:pPr>
        <w:pStyle w:val="Heading5"/>
      </w:pPr>
      <w:bookmarkStart w:id="1436" w:name="_Toc5365250"/>
      <w:r>
        <w:rPr>
          <w:rStyle w:val="CharSectno"/>
        </w:rPr>
        <w:t>10</w:t>
      </w:r>
      <w:r>
        <w:t>.</w:t>
      </w:r>
      <w:r>
        <w:tab/>
        <w:t>Definitions</w:t>
      </w:r>
      <w:bookmarkEnd w:id="143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1437" w:name="_Toc5365251"/>
      <w:r>
        <w:rPr>
          <w:rStyle w:val="CharSectno"/>
        </w:rPr>
        <w:t>11</w:t>
      </w:r>
      <w:r>
        <w:t>.</w:t>
      </w:r>
      <w:r>
        <w:tab/>
        <w:t>Provisions relating to defined terms and gender and number</w:t>
      </w:r>
      <w:bookmarkEnd w:id="1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1438" w:name="_Toc5365252"/>
      <w:r>
        <w:rPr>
          <w:rStyle w:val="CharSectno"/>
        </w:rPr>
        <w:t>12</w:t>
      </w:r>
      <w:r>
        <w:t>.</w:t>
      </w:r>
      <w:r>
        <w:tab/>
        <w:t>Meaning of may and must etc</w:t>
      </w:r>
      <w:bookmarkEnd w:id="14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1439" w:name="_Toc5365253"/>
      <w:r>
        <w:rPr>
          <w:rStyle w:val="CharSectno"/>
        </w:rPr>
        <w:t>13</w:t>
      </w:r>
      <w:r>
        <w:t>.</w:t>
      </w:r>
      <w:r>
        <w:tab/>
        <w:t>Words and expressions used in statutory instruments</w:t>
      </w:r>
      <w:bookmarkEnd w:id="14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1440" w:name="_Toc5365254"/>
      <w:r>
        <w:rPr>
          <w:rStyle w:val="CharSectno"/>
        </w:rPr>
        <w:t>14</w:t>
      </w:r>
      <w:r>
        <w:t>.</w:t>
      </w:r>
      <w:r>
        <w:tab/>
        <w:t>References to Minister</w:t>
      </w:r>
      <w:bookmarkEnd w:id="14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1441" w:name="_Toc5365255"/>
      <w:r>
        <w:rPr>
          <w:rStyle w:val="CharSectno"/>
        </w:rPr>
        <w:t>15</w:t>
      </w:r>
      <w:r>
        <w:t>.</w:t>
      </w:r>
      <w:r>
        <w:tab/>
        <w:t>Production of records kept in computers etc</w:t>
      </w:r>
      <w:bookmarkEnd w:id="1441"/>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1442" w:name="_Toc5365256"/>
      <w:r>
        <w:rPr>
          <w:rStyle w:val="CharSectno"/>
        </w:rPr>
        <w:t>16</w:t>
      </w:r>
      <w:r>
        <w:t>.</w:t>
      </w:r>
      <w:r>
        <w:tab/>
        <w:t>References to this jurisdiction to be implied</w:t>
      </w:r>
      <w:bookmarkEnd w:id="1442"/>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1443" w:name="_Toc5365257"/>
      <w:r>
        <w:rPr>
          <w:rStyle w:val="CharSectno"/>
        </w:rPr>
        <w:t>17</w:t>
      </w:r>
      <w:r>
        <w:t>.</w:t>
      </w:r>
      <w:r>
        <w:tab/>
        <w:t>References to officers and holders of offices</w:t>
      </w:r>
      <w:bookmarkEnd w:id="1443"/>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1444" w:name="_Toc5365258"/>
      <w:r>
        <w:rPr>
          <w:rStyle w:val="CharSectno"/>
        </w:rPr>
        <w:t>18</w:t>
      </w:r>
      <w:r>
        <w:t>.</w:t>
      </w:r>
      <w:r>
        <w:tab/>
        <w:t>Reference to certain provisions of Law</w:t>
      </w:r>
      <w:bookmarkEnd w:id="1444"/>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1445" w:name="_Toc501634304"/>
      <w:bookmarkStart w:id="1446" w:name="_Toc501713200"/>
      <w:bookmarkStart w:id="1447" w:name="_Toc536782426"/>
      <w:bookmarkStart w:id="1448" w:name="_Toc5347485"/>
      <w:bookmarkStart w:id="1449" w:name="_Toc5364038"/>
      <w:bookmarkStart w:id="1450" w:name="_Toc5365259"/>
      <w:r>
        <w:rPr>
          <w:rStyle w:val="CharDivNo"/>
        </w:rPr>
        <w:t>Part 4</w:t>
      </w:r>
      <w:r>
        <w:t xml:space="preserve"> — </w:t>
      </w:r>
      <w:r>
        <w:rPr>
          <w:rStyle w:val="CharDivText"/>
        </w:rPr>
        <w:t>Functions and powers</w:t>
      </w:r>
      <w:bookmarkEnd w:id="1445"/>
      <w:bookmarkEnd w:id="1446"/>
      <w:bookmarkEnd w:id="1447"/>
      <w:bookmarkEnd w:id="1448"/>
      <w:bookmarkEnd w:id="1449"/>
      <w:bookmarkEnd w:id="1450"/>
    </w:p>
    <w:p>
      <w:pPr>
        <w:pStyle w:val="Heading5"/>
      </w:pPr>
      <w:bookmarkStart w:id="1451" w:name="_Toc5365260"/>
      <w:r>
        <w:rPr>
          <w:rStyle w:val="CharSectno"/>
        </w:rPr>
        <w:t>19</w:t>
      </w:r>
      <w:r>
        <w:t>.</w:t>
      </w:r>
      <w:r>
        <w:tab/>
        <w:t>Performance of statutory functions</w:t>
      </w:r>
      <w:bookmarkEnd w:id="14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1452" w:name="_Toc5365261"/>
      <w:r>
        <w:rPr>
          <w:rStyle w:val="CharSectno"/>
        </w:rPr>
        <w:t>20</w:t>
      </w:r>
      <w:r>
        <w:t>.</w:t>
      </w:r>
      <w:r>
        <w:tab/>
        <w:t>Power to make instrument or decision includes power to amend or repeal</w:t>
      </w:r>
      <w:bookmarkEnd w:id="1452"/>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1453" w:name="_Toc5365262"/>
      <w:r>
        <w:rPr>
          <w:rStyle w:val="CharSectno"/>
        </w:rPr>
        <w:t>21</w:t>
      </w:r>
      <w:r>
        <w:t>.</w:t>
      </w:r>
      <w:r>
        <w:tab/>
        <w:t>Matters for which statutory instruments may make provision</w:t>
      </w:r>
      <w:bookmarkEnd w:id="14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1454" w:name="_Toc5365263"/>
      <w:r>
        <w:rPr>
          <w:rStyle w:val="CharSectno"/>
        </w:rPr>
        <w:t>22</w:t>
      </w:r>
      <w:r>
        <w:t>.</w:t>
      </w:r>
      <w:r>
        <w:tab/>
        <w:t>Presumption of validity and power to make</w:t>
      </w:r>
      <w:bookmarkEnd w:id="14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1455" w:name="_Toc5365264"/>
      <w:r>
        <w:rPr>
          <w:rStyle w:val="CharSectno"/>
        </w:rPr>
        <w:t>23</w:t>
      </w:r>
      <w:r>
        <w:t>.</w:t>
      </w:r>
      <w:r>
        <w:tab/>
        <w:t>Appointments may be made by name or office</w:t>
      </w:r>
      <w:bookmarkEnd w:id="14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1456" w:name="_Toc5365265"/>
      <w:r>
        <w:rPr>
          <w:rStyle w:val="CharSectno"/>
        </w:rPr>
        <w:t>24</w:t>
      </w:r>
      <w:r>
        <w:t>.</w:t>
      </w:r>
      <w:r>
        <w:tab/>
        <w:t>Acting appointments</w:t>
      </w:r>
      <w:bookmarkEnd w:id="14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1457" w:name="_Toc5365266"/>
      <w:r>
        <w:rPr>
          <w:rStyle w:val="CharSectno"/>
        </w:rPr>
        <w:t>25</w:t>
      </w:r>
      <w:r>
        <w:t>.</w:t>
      </w:r>
      <w:r>
        <w:tab/>
        <w:t>Powers of appointment imply certain incidental powers</w:t>
      </w:r>
      <w:bookmarkEnd w:id="14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1458" w:name="_Toc5365267"/>
      <w:r>
        <w:rPr>
          <w:rStyle w:val="CharSectno"/>
        </w:rPr>
        <w:t>26</w:t>
      </w:r>
      <w:r>
        <w:t>.</w:t>
      </w:r>
      <w:r>
        <w:tab/>
        <w:t>Delegation</w:t>
      </w:r>
      <w:bookmarkEnd w:id="14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1459" w:name="_Toc5365268"/>
      <w:r>
        <w:rPr>
          <w:rStyle w:val="CharSectno"/>
        </w:rPr>
        <w:t>27</w:t>
      </w:r>
      <w:r>
        <w:t>.</w:t>
      </w:r>
      <w:r>
        <w:tab/>
        <w:t>Exercise of powers between enactment and commencement</w:t>
      </w:r>
      <w:bookmarkEnd w:id="14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1460" w:name="_Toc5365269"/>
      <w:r>
        <w:rPr>
          <w:rStyle w:val="CharSectno"/>
        </w:rPr>
        <w:t>27A</w:t>
      </w:r>
      <w:r>
        <w:t>.</w:t>
      </w:r>
      <w:r>
        <w:tab/>
        <w:t>WA modifications of clause 27</w:t>
      </w:r>
      <w:bookmarkEnd w:id="14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1461" w:name="_Toc501634315"/>
      <w:bookmarkStart w:id="1462" w:name="_Toc501713211"/>
      <w:bookmarkStart w:id="1463" w:name="_Toc536782437"/>
      <w:bookmarkStart w:id="1464" w:name="_Toc5347496"/>
      <w:bookmarkStart w:id="1465" w:name="_Toc5364049"/>
      <w:bookmarkStart w:id="1466" w:name="_Toc5365270"/>
      <w:r>
        <w:rPr>
          <w:rStyle w:val="CharDivNo"/>
        </w:rPr>
        <w:t>Part 5</w:t>
      </w:r>
      <w:r>
        <w:t xml:space="preserve"> — </w:t>
      </w:r>
      <w:r>
        <w:rPr>
          <w:rStyle w:val="CharDivText"/>
        </w:rPr>
        <w:t>Distance and time</w:t>
      </w:r>
      <w:bookmarkEnd w:id="1461"/>
      <w:bookmarkEnd w:id="1462"/>
      <w:bookmarkEnd w:id="1463"/>
      <w:bookmarkEnd w:id="1464"/>
      <w:bookmarkEnd w:id="1465"/>
      <w:bookmarkEnd w:id="1466"/>
    </w:p>
    <w:p>
      <w:pPr>
        <w:pStyle w:val="Heading5"/>
      </w:pPr>
      <w:bookmarkStart w:id="1467" w:name="_Toc5365271"/>
      <w:r>
        <w:rPr>
          <w:rStyle w:val="CharSectno"/>
        </w:rPr>
        <w:t>28</w:t>
      </w:r>
      <w:r>
        <w:t>.</w:t>
      </w:r>
      <w:r>
        <w:tab/>
        <w:t>Matters relating to distance and time</w:t>
      </w:r>
      <w:bookmarkEnd w:id="14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1468" w:name="_Toc501634317"/>
      <w:bookmarkStart w:id="1469" w:name="_Toc501713213"/>
      <w:bookmarkStart w:id="1470" w:name="_Toc536782439"/>
      <w:bookmarkStart w:id="1471" w:name="_Toc5347498"/>
      <w:bookmarkStart w:id="1472" w:name="_Toc5364051"/>
      <w:bookmarkStart w:id="1473" w:name="_Toc5365272"/>
      <w:r>
        <w:rPr>
          <w:rStyle w:val="CharDivNo"/>
        </w:rPr>
        <w:t>Part 6</w:t>
      </w:r>
      <w:r>
        <w:t xml:space="preserve"> — </w:t>
      </w:r>
      <w:r>
        <w:rPr>
          <w:rStyle w:val="CharDivText"/>
        </w:rPr>
        <w:t>Service of documents</w:t>
      </w:r>
      <w:bookmarkEnd w:id="1468"/>
      <w:bookmarkEnd w:id="1469"/>
      <w:bookmarkEnd w:id="1470"/>
      <w:bookmarkEnd w:id="1471"/>
      <w:bookmarkEnd w:id="1472"/>
      <w:bookmarkEnd w:id="1473"/>
    </w:p>
    <w:p>
      <w:pPr>
        <w:pStyle w:val="Heading5"/>
      </w:pPr>
      <w:bookmarkStart w:id="1474" w:name="_Toc5365273"/>
      <w:r>
        <w:rPr>
          <w:rStyle w:val="CharSectno"/>
        </w:rPr>
        <w:t>29</w:t>
      </w:r>
      <w:r>
        <w:t>.</w:t>
      </w:r>
      <w:r>
        <w:tab/>
        <w:t>Service of documents and meaning of service by post etc</w:t>
      </w:r>
      <w:bookmarkEnd w:id="14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1475" w:name="_Toc5365274"/>
      <w:r>
        <w:rPr>
          <w:rStyle w:val="CharSectno"/>
        </w:rPr>
        <w:t>30</w:t>
      </w:r>
      <w:r>
        <w:t>.</w:t>
      </w:r>
      <w:r>
        <w:tab/>
        <w:t>Meaning of service by post etc</w:t>
      </w:r>
      <w:bookmarkEnd w:id="14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1476" w:name="_Toc501634320"/>
      <w:bookmarkStart w:id="1477" w:name="_Toc501713216"/>
      <w:bookmarkStart w:id="1478" w:name="_Toc536782442"/>
      <w:bookmarkStart w:id="1479" w:name="_Toc5347501"/>
      <w:bookmarkStart w:id="1480" w:name="_Toc5364054"/>
      <w:bookmarkStart w:id="1481" w:name="_Toc5365275"/>
      <w:r>
        <w:rPr>
          <w:rStyle w:val="CharDivNo"/>
        </w:rPr>
        <w:t>Part 7</w:t>
      </w:r>
      <w:r>
        <w:t xml:space="preserve"> — </w:t>
      </w:r>
      <w:r>
        <w:rPr>
          <w:rStyle w:val="CharDivText"/>
        </w:rPr>
        <w:t>Evidentiary matters</w:t>
      </w:r>
      <w:bookmarkEnd w:id="1476"/>
      <w:bookmarkEnd w:id="1477"/>
      <w:bookmarkEnd w:id="1478"/>
      <w:bookmarkEnd w:id="1479"/>
      <w:bookmarkEnd w:id="1480"/>
      <w:bookmarkEnd w:id="1481"/>
    </w:p>
    <w:p>
      <w:pPr>
        <w:pStyle w:val="Heading4"/>
      </w:pPr>
      <w:bookmarkStart w:id="1482" w:name="_Toc501634321"/>
      <w:bookmarkStart w:id="1483" w:name="_Toc501713217"/>
      <w:bookmarkStart w:id="1484" w:name="_Toc536782443"/>
      <w:bookmarkStart w:id="1485" w:name="_Toc5347502"/>
      <w:bookmarkStart w:id="1486" w:name="_Toc5364055"/>
      <w:bookmarkStart w:id="1487" w:name="_Toc5365276"/>
      <w:r>
        <w:t>Division 1 — Publication on websites</w:t>
      </w:r>
      <w:bookmarkEnd w:id="1482"/>
      <w:bookmarkEnd w:id="1483"/>
      <w:bookmarkEnd w:id="1484"/>
      <w:bookmarkEnd w:id="1485"/>
      <w:bookmarkEnd w:id="1486"/>
      <w:bookmarkEnd w:id="1487"/>
    </w:p>
    <w:p>
      <w:pPr>
        <w:pStyle w:val="Heading5"/>
      </w:pPr>
      <w:bookmarkStart w:id="1488" w:name="_Toc5365277"/>
      <w:r>
        <w:rPr>
          <w:rStyle w:val="CharSectno"/>
        </w:rPr>
        <w:t>31</w:t>
      </w:r>
      <w:r>
        <w:t>.</w:t>
      </w:r>
      <w:r>
        <w:tab/>
        <w:t>Definitions</w:t>
      </w:r>
      <w:bookmarkEnd w:id="148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1489" w:name="_Toc5365278"/>
      <w:r>
        <w:rPr>
          <w:rStyle w:val="CharSectno"/>
        </w:rPr>
        <w:t>32</w:t>
      </w:r>
      <w:r>
        <w:t>.</w:t>
      </w:r>
      <w:r>
        <w:tab/>
        <w:t>Publication of decisions on websites</w:t>
      </w:r>
      <w:bookmarkEnd w:id="14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1490" w:name="_Toc501634324"/>
      <w:bookmarkStart w:id="1491" w:name="_Toc501713220"/>
      <w:bookmarkStart w:id="1492" w:name="_Toc536782446"/>
      <w:bookmarkStart w:id="1493" w:name="_Toc5347505"/>
      <w:bookmarkStart w:id="1494" w:name="_Toc5364058"/>
      <w:bookmarkStart w:id="1495" w:name="_Toc5365279"/>
      <w:r>
        <w:t>Division 2 — Evidentiary certificates</w:t>
      </w:r>
      <w:bookmarkEnd w:id="1490"/>
      <w:bookmarkEnd w:id="1491"/>
      <w:bookmarkEnd w:id="1492"/>
      <w:bookmarkEnd w:id="1493"/>
      <w:bookmarkEnd w:id="1494"/>
      <w:bookmarkEnd w:id="1495"/>
    </w:p>
    <w:p>
      <w:pPr>
        <w:pStyle w:val="Heading5"/>
      </w:pPr>
      <w:bookmarkStart w:id="1496" w:name="_Toc5365280"/>
      <w:r>
        <w:rPr>
          <w:rStyle w:val="CharSectno"/>
        </w:rPr>
        <w:t>33</w:t>
      </w:r>
      <w:r>
        <w:t>.</w:t>
      </w:r>
      <w:r>
        <w:tab/>
        <w:t>Definitions</w:t>
      </w:r>
      <w:bookmarkEnd w:id="149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1497" w:name="_Toc5365281"/>
      <w:r>
        <w:rPr>
          <w:rStyle w:val="CharSectno"/>
        </w:rPr>
        <w:t>34</w:t>
      </w:r>
      <w:r>
        <w:t>.</w:t>
      </w:r>
      <w:r>
        <w:tab/>
        <w:t>Evidentiary certificates—AER</w:t>
      </w:r>
      <w:bookmarkEnd w:id="14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(ba)</w:t>
      </w:r>
      <w:r>
        <w:rPr>
          <w:color w:val="000000"/>
          <w:sz w:val="23"/>
          <w:szCs w:val="23"/>
        </w:rPr>
        <w:tab/>
        <w:t>a stated document is a copy of a rate of return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16; amended: see SA Act No. 33 of 2018 s. 20(1) and WA Gazette 5 Apr 2019 p. 1007</w:t>
      </w:r>
      <w:r>
        <w:noBreakHyphen/>
        <w:t>8.]</w:t>
      </w:r>
    </w:p>
    <w:p>
      <w:pPr>
        <w:pStyle w:val="Heading5"/>
        <w:keepLines w:val="0"/>
      </w:pPr>
      <w:bookmarkStart w:id="1498" w:name="_Toc5365282"/>
      <w:r>
        <w:rPr>
          <w:rStyle w:val="CharSectno"/>
        </w:rPr>
        <w:t>35</w:t>
      </w:r>
      <w:r>
        <w:t>.</w:t>
      </w:r>
      <w:r>
        <w:tab/>
        <w:t>Evidentiary certificates—AEMC</w:t>
      </w:r>
      <w:bookmarkEnd w:id="1498"/>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1499" w:name="_Toc5365283"/>
      <w:r>
        <w:rPr>
          <w:rStyle w:val="CharSectno"/>
        </w:rPr>
        <w:t>36</w:t>
      </w:r>
      <w:r>
        <w:t>.</w:t>
      </w:r>
      <w:r>
        <w:tab/>
        <w:t>Evidentiary certificates—NCC</w:t>
      </w:r>
      <w:bookmarkEnd w:id="1499"/>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1500" w:name="_Toc5365284"/>
      <w:r>
        <w:rPr>
          <w:rStyle w:val="CharSectno"/>
        </w:rPr>
        <w:t>37</w:t>
      </w:r>
      <w:r>
        <w:t>.</w:t>
      </w:r>
      <w:r>
        <w:tab/>
        <w:t>Evidentiary certificates—relevant Minister and Commonwealth Minister</w:t>
      </w:r>
      <w:bookmarkEnd w:id="1500"/>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1501" w:name="_Toc5365285"/>
      <w:r>
        <w:rPr>
          <w:rStyle w:val="CharSectno"/>
        </w:rPr>
        <w:t>38</w:t>
      </w:r>
      <w:r>
        <w:t>.</w:t>
      </w:r>
      <w:r>
        <w:tab/>
        <w:t>Evidentiary certificates—Bulletin Board operator</w:t>
      </w:r>
      <w:bookmarkEnd w:id="1501"/>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1502" w:name="_Toc501634331"/>
      <w:bookmarkStart w:id="1503" w:name="_Toc501713227"/>
      <w:bookmarkStart w:id="1504" w:name="_Toc536782453"/>
      <w:bookmarkStart w:id="1505" w:name="_Toc5347512"/>
      <w:bookmarkStart w:id="1506" w:name="_Toc5364065"/>
      <w:bookmarkStart w:id="1507" w:name="_Toc5365286"/>
      <w:r>
        <w:rPr>
          <w:rStyle w:val="CharDivNo"/>
        </w:rPr>
        <w:t>Part 8</w:t>
      </w:r>
      <w:r>
        <w:t xml:space="preserve"> — </w:t>
      </w:r>
      <w:r>
        <w:rPr>
          <w:rStyle w:val="CharDivText"/>
        </w:rPr>
        <w:t>Commencement of this Law and statutory instruments</w:t>
      </w:r>
      <w:bookmarkEnd w:id="1502"/>
      <w:bookmarkEnd w:id="1503"/>
      <w:bookmarkEnd w:id="1504"/>
      <w:bookmarkEnd w:id="1505"/>
      <w:bookmarkEnd w:id="1506"/>
      <w:bookmarkEnd w:id="1507"/>
    </w:p>
    <w:p>
      <w:pPr>
        <w:pStyle w:val="Heading5"/>
      </w:pPr>
      <w:bookmarkStart w:id="1508" w:name="_Toc5365287"/>
      <w:r>
        <w:rPr>
          <w:rStyle w:val="CharSectno"/>
        </w:rPr>
        <w:t>39</w:t>
      </w:r>
      <w:r>
        <w:t>.</w:t>
      </w:r>
      <w:r>
        <w:tab/>
        <w:t>Time of commencement of this Law or a provision of this Law</w:t>
      </w:r>
      <w:bookmarkEnd w:id="1508"/>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1509" w:name="_Toc5365288"/>
      <w:r>
        <w:rPr>
          <w:rStyle w:val="CharSectno"/>
        </w:rPr>
        <w:t>40</w:t>
      </w:r>
      <w:r>
        <w:t>.</w:t>
      </w:r>
      <w:r>
        <w:tab/>
        <w:t>Time of commencement of a Rule</w:t>
      </w:r>
      <w:bookmarkEnd w:id="15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1510" w:name="_Toc501634334"/>
      <w:bookmarkStart w:id="1511" w:name="_Toc501713230"/>
      <w:bookmarkStart w:id="1512" w:name="_Toc536782456"/>
      <w:bookmarkStart w:id="1513" w:name="_Toc5347515"/>
      <w:bookmarkStart w:id="1514" w:name="_Toc5364068"/>
      <w:bookmarkStart w:id="1515" w:name="_Toc5365289"/>
      <w:r>
        <w:rPr>
          <w:rStyle w:val="CharDivNo"/>
        </w:rPr>
        <w:t>Part 9</w:t>
      </w:r>
      <w:r>
        <w:t xml:space="preserve"> — </w:t>
      </w:r>
      <w:r>
        <w:rPr>
          <w:rStyle w:val="CharDivText"/>
        </w:rPr>
        <w:t>Effect of repeal, amendment or expiration</w:t>
      </w:r>
      <w:bookmarkEnd w:id="1510"/>
      <w:bookmarkEnd w:id="1511"/>
      <w:bookmarkEnd w:id="1512"/>
      <w:bookmarkEnd w:id="1513"/>
      <w:bookmarkEnd w:id="1514"/>
      <w:bookmarkEnd w:id="1515"/>
    </w:p>
    <w:p>
      <w:pPr>
        <w:pStyle w:val="Heading5"/>
      </w:pPr>
      <w:bookmarkStart w:id="1516" w:name="_Toc5365290"/>
      <w:r>
        <w:rPr>
          <w:rStyle w:val="CharSectno"/>
        </w:rPr>
        <w:t>41</w:t>
      </w:r>
      <w:r>
        <w:t>.</w:t>
      </w:r>
      <w:r>
        <w:tab/>
        <w:t>Time of Law, the Regulations or Rules ceasing to have effect</w:t>
      </w:r>
      <w:bookmarkEnd w:id="1516"/>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1517" w:name="_Toc5365291"/>
      <w:r>
        <w:rPr>
          <w:rStyle w:val="CharSectno"/>
        </w:rPr>
        <w:t>42</w:t>
      </w:r>
      <w:r>
        <w:t>.</w:t>
      </w:r>
      <w:r>
        <w:tab/>
        <w:t>Repealed Law, Regulation or Rule provisions not revived</w:t>
      </w:r>
      <w:bookmarkEnd w:id="15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1518" w:name="_Toc5365292"/>
      <w:r>
        <w:rPr>
          <w:rStyle w:val="CharSectno"/>
        </w:rPr>
        <w:t>43</w:t>
      </w:r>
      <w:r>
        <w:t>.</w:t>
      </w:r>
      <w:r>
        <w:tab/>
        <w:t>Saving of operation of repealed Law, Regulation or Rule provisions</w:t>
      </w:r>
      <w:bookmarkEnd w:id="15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1519" w:name="_Toc5365293"/>
      <w:r>
        <w:rPr>
          <w:rStyle w:val="CharSectno"/>
        </w:rPr>
        <w:t>44</w:t>
      </w:r>
      <w:r>
        <w:t>.</w:t>
      </w:r>
      <w:r>
        <w:tab/>
        <w:t>Continuance of repealed provisions</w:t>
      </w:r>
      <w:bookmarkEnd w:id="15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1520" w:name="_Toc5365294"/>
      <w:r>
        <w:rPr>
          <w:rStyle w:val="CharSectno"/>
        </w:rPr>
        <w:t>45</w:t>
      </w:r>
      <w:r>
        <w:t>.</w:t>
      </w:r>
      <w:r>
        <w:tab/>
        <w:t>Law and amending Acts to be read as one</w:t>
      </w:r>
      <w:bookmarkEnd w:id="1520"/>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1521" w:name="_Toc501634340"/>
      <w:bookmarkStart w:id="1522" w:name="_Toc501713236"/>
      <w:bookmarkStart w:id="1523" w:name="_Toc536782462"/>
      <w:bookmarkStart w:id="1524" w:name="_Toc5347521"/>
      <w:bookmarkStart w:id="1525" w:name="_Toc5364074"/>
      <w:bookmarkStart w:id="1526" w:name="_Toc5365295"/>
      <w:r>
        <w:rPr>
          <w:rStyle w:val="CharDivNo"/>
        </w:rPr>
        <w:t>Part 10</w:t>
      </w:r>
      <w:r>
        <w:t xml:space="preserve"> — </w:t>
      </w:r>
      <w:r>
        <w:rPr>
          <w:rStyle w:val="CharDivText"/>
        </w:rPr>
        <w:t>Offences under this Law</w:t>
      </w:r>
      <w:bookmarkEnd w:id="1521"/>
      <w:bookmarkEnd w:id="1522"/>
      <w:bookmarkEnd w:id="1523"/>
      <w:bookmarkEnd w:id="1524"/>
      <w:bookmarkEnd w:id="1525"/>
      <w:bookmarkEnd w:id="1526"/>
    </w:p>
    <w:p>
      <w:pPr>
        <w:pStyle w:val="Heading5"/>
      </w:pPr>
      <w:bookmarkStart w:id="1527" w:name="_Toc5365296"/>
      <w:r>
        <w:rPr>
          <w:rStyle w:val="CharSectno"/>
        </w:rPr>
        <w:t>46</w:t>
      </w:r>
      <w:r>
        <w:t>.</w:t>
      </w:r>
      <w:r>
        <w:tab/>
        <w:t>Penalty at foot of provision</w:t>
      </w:r>
      <w:bookmarkEnd w:id="1527"/>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1528" w:name="_Toc5365297"/>
      <w:r>
        <w:rPr>
          <w:rStyle w:val="CharSectno"/>
        </w:rPr>
        <w:t>47</w:t>
      </w:r>
      <w:r>
        <w:t>.</w:t>
      </w:r>
      <w:r>
        <w:tab/>
        <w:t>Penalty other than at foot of provision</w:t>
      </w:r>
      <w:bookmarkEnd w:id="15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1529" w:name="_Toc5365298"/>
      <w:r>
        <w:rPr>
          <w:rStyle w:val="CharSectno"/>
        </w:rPr>
        <w:t>48</w:t>
      </w:r>
      <w:r>
        <w:t>.</w:t>
      </w:r>
      <w:r>
        <w:tab/>
        <w:t>Indictable offences and summary offences</w:t>
      </w:r>
      <w:bookmarkEnd w:id="15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1530" w:name="_Toc5365299"/>
      <w:r>
        <w:rPr>
          <w:rStyle w:val="CharSectno"/>
        </w:rPr>
        <w:t>49</w:t>
      </w:r>
      <w:r>
        <w:t>.</w:t>
      </w:r>
      <w:r>
        <w:tab/>
        <w:t>Double jeopardy</w:t>
      </w:r>
      <w:bookmarkEnd w:id="15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1531" w:name="_Toc5365300"/>
      <w:r>
        <w:rPr>
          <w:rStyle w:val="CharSectno"/>
        </w:rPr>
        <w:t>50</w:t>
      </w:r>
      <w:r>
        <w:t>.</w:t>
      </w:r>
      <w:r>
        <w:tab/>
        <w:t>Attempts and incitement</w:t>
      </w:r>
      <w:bookmarkEnd w:id="1531"/>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1532" w:name="_Toc501634346"/>
      <w:bookmarkStart w:id="1533" w:name="_Toc501713242"/>
      <w:bookmarkStart w:id="1534" w:name="_Toc536782468"/>
      <w:bookmarkStart w:id="1535" w:name="_Toc5347527"/>
      <w:bookmarkStart w:id="1536" w:name="_Toc5364080"/>
      <w:bookmarkStart w:id="1537" w:name="_Toc5365301"/>
      <w:r>
        <w:rPr>
          <w:rStyle w:val="CharDivNo"/>
        </w:rPr>
        <w:t>Part 11</w:t>
      </w:r>
      <w:r>
        <w:t xml:space="preserve"> — </w:t>
      </w:r>
      <w:r>
        <w:rPr>
          <w:rStyle w:val="CharDivText"/>
        </w:rPr>
        <w:t>Instruments under this Law</w:t>
      </w:r>
      <w:bookmarkEnd w:id="1532"/>
      <w:bookmarkEnd w:id="1533"/>
      <w:bookmarkEnd w:id="1534"/>
      <w:bookmarkEnd w:id="1535"/>
      <w:bookmarkEnd w:id="1536"/>
      <w:bookmarkEnd w:id="1537"/>
    </w:p>
    <w:p>
      <w:pPr>
        <w:pStyle w:val="Heading5"/>
      </w:pPr>
      <w:bookmarkStart w:id="1538" w:name="_Toc5365302"/>
      <w:r>
        <w:rPr>
          <w:rStyle w:val="CharSectno"/>
        </w:rPr>
        <w:t>51</w:t>
      </w:r>
      <w:r>
        <w:t>.</w:t>
      </w:r>
      <w:r>
        <w:tab/>
        <w:t>Schedule applies to statutory instruments</w:t>
      </w:r>
      <w:bookmarkEnd w:id="15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r>
        <w:rPr>
          <w:sz w:val="23"/>
          <w:szCs w:val="23"/>
        </w:rPr>
        <w:t>, the rate of return instrument or the Rules.</w:t>
      </w:r>
    </w:p>
    <w:p>
      <w:pPr>
        <w:pStyle w:val="Footnotesection"/>
      </w:pPr>
      <w:r>
        <w:tab/>
        <w:t>[Clause 51 modified: WA Act Sch. 1 cl. 17A.]</w:t>
      </w:r>
    </w:p>
    <w:p>
      <w:pPr>
        <w:pStyle w:val="Heading5"/>
        <w:rPr>
          <w:b w:val="0"/>
        </w:rPr>
      </w:pPr>
      <w:bookmarkStart w:id="1539" w:name="_Toc182916"/>
      <w:bookmarkStart w:id="1540" w:name="_Toc5365303"/>
      <w:r>
        <w:rPr>
          <w:rStyle w:val="CharSectno"/>
        </w:rPr>
        <w:t>51A</w:t>
      </w:r>
      <w:r>
        <w:t>.</w:t>
      </w:r>
      <w:r>
        <w:tab/>
        <w:t>Rate of return instrument construed not to exceed the legislative power of the Legislature of this jurisdiction or the powers conferred by this Law</w:t>
      </w:r>
      <w:bookmarkEnd w:id="1539"/>
      <w:bookmarkEnd w:id="15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instrument, and the application of the provision to other persons, subject matters or circumstances, is not affected.</w:t>
      </w:r>
    </w:p>
    <w:p>
      <w:pPr>
        <w:pStyle w:val="Footnotesection"/>
      </w:pPr>
      <w:r>
        <w:tab/>
        <w:t>[Clause 51A inserted: see SA Act No. 33 of 2018 s. 20(3) and WA Gazette 5 Apr 2019 p. 1007.]</w:t>
      </w:r>
    </w:p>
    <w:p>
      <w:pPr>
        <w:pStyle w:val="Heading5"/>
      </w:pPr>
      <w:bookmarkStart w:id="1541" w:name="_Toc5365304"/>
      <w:r>
        <w:rPr>
          <w:rStyle w:val="CharSectno"/>
        </w:rPr>
        <w:t>52</w:t>
      </w:r>
      <w:r>
        <w:t>.</w:t>
      </w:r>
      <w:r>
        <w:tab/>
        <w:t>National Gas Rules to be construed so as not to exceed the legislative power of the Legislature of this jurisdiction or the powers conferred by this Law</w:t>
      </w:r>
      <w:bookmarkEnd w:id="15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1542" w:name="_Toc5365305"/>
      <w:r>
        <w:rPr>
          <w:rStyle w:val="CharSectno"/>
        </w:rPr>
        <w:t>53</w:t>
      </w:r>
      <w:r>
        <w:t>.</w:t>
      </w:r>
      <w:r>
        <w:tab/>
        <w:t>Invalid Rules</w:t>
      </w:r>
      <w:bookmarkEnd w:id="15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pPr>
      <w:bookmarkStart w:id="1543" w:name="_Toc182919"/>
      <w:bookmarkStart w:id="1544" w:name="_Toc5365306"/>
      <w:bookmarkStart w:id="1545" w:name="_Toc501634350"/>
      <w:bookmarkStart w:id="1546" w:name="_Toc501713246"/>
      <w:bookmarkStart w:id="1547" w:name="_Toc536782472"/>
      <w:r>
        <w:rPr>
          <w:rStyle w:val="CharSectno"/>
        </w:rPr>
        <w:t>53A</w:t>
      </w:r>
      <w:r>
        <w:t>.</w:t>
      </w:r>
      <w:r>
        <w:tab/>
        <w:t>Invalid rate of return instrument</w:t>
      </w:r>
      <w:bookmarkEnd w:id="1543"/>
      <w:bookmarkEnd w:id="15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the Court orders (by declaration or otherwise) that a rate of return instrument is invalid.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make a new rate of return instrument under this Law to replace the invalid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bookmarkStart w:id="1548" w:name="id5098b1b8_2e27_4cc1_9aa5_91fbe454a8"/>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15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r>
      <w:hyperlink w:anchor="id5098b1b8_2e27_4cc1_9aa5_91fbe454a8" w:history="1">
        <w:r>
          <w:rPr>
            <w:color w:val="000000"/>
            <w:sz w:val="23"/>
            <w:szCs w:val="23"/>
          </w:rPr>
          <w:t>Subclause (4)</w:t>
        </w:r>
      </w:hyperlink>
      <w:r>
        <w:rPr>
          <w:color w:val="000000"/>
          <w:sz w:val="23"/>
          <w:szCs w:val="23"/>
        </w:rPr>
        <w:t xml:space="preserve"> applies despite section 30Q(1).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p>
    <w:p>
      <w:pPr>
        <w:keepLines/>
        <w:autoSpaceDE w:val="0"/>
        <w:autoSpaceDN w:val="0"/>
        <w:adjustRightInd w:val="0"/>
        <w:spacing w:before="120"/>
        <w:ind w:left="1588"/>
        <w:rPr>
          <w:color w:val="000000"/>
          <w:sz w:val="23"/>
          <w:szCs w:val="23"/>
        </w:rPr>
      </w:pPr>
      <w:r>
        <w:rPr>
          <w:rStyle w:val="CharDefText"/>
          <w:sz w:val="23"/>
          <w:szCs w:val="23"/>
        </w:rPr>
        <w:t>deal with</w:t>
      </w:r>
      <w:r>
        <w:rPr>
          <w:color w:val="000000"/>
          <w:sz w:val="23"/>
          <w:szCs w:val="23"/>
        </w:rPr>
        <w:t>, an affected access arrangement decision, means to do either of the following the AER considers appropriate in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the decision and substitute a new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decision.</w:t>
      </w:r>
    </w:p>
    <w:p>
      <w:pPr>
        <w:pStyle w:val="Footnotesection"/>
      </w:pPr>
      <w:r>
        <w:tab/>
        <w:t>[Clause 53A inserted: see SA Act No. 33 of 2018 s. 20(4) and WA Gazette 5 Apr 2019 p. 1007.]</w:t>
      </w:r>
    </w:p>
    <w:p>
      <w:pPr>
        <w:pStyle w:val="Heading2"/>
      </w:pPr>
      <w:bookmarkStart w:id="1549" w:name="_Toc5347533"/>
      <w:bookmarkStart w:id="1550" w:name="_Toc5364086"/>
      <w:bookmarkStart w:id="1551" w:name="_Toc5365307"/>
      <w:r>
        <w:rPr>
          <w:rStyle w:val="CharPartNo"/>
        </w:rPr>
        <w:t>Schedule 3</w:t>
      </w:r>
      <w:r>
        <w:t xml:space="preserve"> — </w:t>
      </w:r>
      <w:r>
        <w:rPr>
          <w:rStyle w:val="CharPartText"/>
        </w:rPr>
        <w:t>Savings and transitionals</w:t>
      </w:r>
      <w:bookmarkEnd w:id="1545"/>
      <w:bookmarkEnd w:id="1546"/>
      <w:bookmarkEnd w:id="1547"/>
      <w:bookmarkEnd w:id="1549"/>
      <w:bookmarkEnd w:id="1550"/>
      <w:bookmarkEnd w:id="1551"/>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1552" w:name="_Toc501634351"/>
      <w:bookmarkStart w:id="1553" w:name="_Toc501713247"/>
      <w:bookmarkStart w:id="1554" w:name="_Toc536782473"/>
      <w:bookmarkStart w:id="1555" w:name="_Toc5347534"/>
      <w:bookmarkStart w:id="1556" w:name="_Toc5364087"/>
      <w:bookmarkStart w:id="1557" w:name="_Toc5365308"/>
      <w:r>
        <w:rPr>
          <w:rStyle w:val="CharDivNo"/>
        </w:rPr>
        <w:t>Part 1</w:t>
      </w:r>
      <w:r>
        <w:t xml:space="preserve"> — </w:t>
      </w:r>
      <w:r>
        <w:rPr>
          <w:rStyle w:val="CharDivText"/>
        </w:rPr>
        <w:t>General</w:t>
      </w:r>
      <w:bookmarkEnd w:id="1552"/>
      <w:bookmarkEnd w:id="1553"/>
      <w:bookmarkEnd w:id="1554"/>
      <w:bookmarkEnd w:id="1555"/>
      <w:bookmarkEnd w:id="1556"/>
      <w:bookmarkEnd w:id="1557"/>
    </w:p>
    <w:p>
      <w:pPr>
        <w:pStyle w:val="Heading5"/>
      </w:pPr>
      <w:bookmarkStart w:id="1558" w:name="_Toc5365309"/>
      <w:r>
        <w:rPr>
          <w:rStyle w:val="CharSectno"/>
        </w:rPr>
        <w:t>1</w:t>
      </w:r>
      <w:r>
        <w:t>.</w:t>
      </w:r>
      <w:r>
        <w:tab/>
        <w:t>Definitions</w:t>
      </w:r>
      <w:bookmarkEnd w:id="1558"/>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p>
    <w:p>
      <w:pPr>
        <w:pStyle w:val="Heading5"/>
      </w:pPr>
      <w:bookmarkStart w:id="1559" w:name="_Toc5365310"/>
      <w:r>
        <w:rPr>
          <w:rStyle w:val="CharSectno"/>
        </w:rPr>
        <w:t>2</w:t>
      </w:r>
      <w:r>
        <w:t>.</w:t>
      </w:r>
      <w:r>
        <w:tab/>
        <w:t>Schedule subject to jurisdictional transitional arrangements in jurisdictional legislation</w:t>
      </w:r>
      <w:bookmarkEnd w:id="15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1560" w:name="_Toc501634354"/>
      <w:bookmarkStart w:id="1561" w:name="_Toc501713250"/>
      <w:bookmarkStart w:id="1562" w:name="_Toc536782476"/>
      <w:bookmarkStart w:id="1563" w:name="_Toc5347537"/>
      <w:bookmarkStart w:id="1564" w:name="_Toc5364090"/>
      <w:bookmarkStart w:id="1565" w:name="_Toc5365311"/>
      <w:r>
        <w:rPr>
          <w:rStyle w:val="CharDivNo"/>
        </w:rPr>
        <w:t>Part 2</w:t>
      </w:r>
      <w:r>
        <w:t xml:space="preserve"> — </w:t>
      </w:r>
      <w:r>
        <w:rPr>
          <w:rStyle w:val="CharDivText"/>
        </w:rPr>
        <w:t>General savings provision</w:t>
      </w:r>
      <w:bookmarkEnd w:id="1560"/>
      <w:bookmarkEnd w:id="1561"/>
      <w:bookmarkEnd w:id="1562"/>
      <w:bookmarkEnd w:id="1563"/>
      <w:bookmarkEnd w:id="1564"/>
      <w:bookmarkEnd w:id="1565"/>
    </w:p>
    <w:p>
      <w:pPr>
        <w:pStyle w:val="Heading5"/>
      </w:pPr>
      <w:bookmarkStart w:id="1566" w:name="_Toc5365312"/>
      <w:r>
        <w:rPr>
          <w:rStyle w:val="CharSectno"/>
        </w:rPr>
        <w:t>3</w:t>
      </w:r>
      <w:r>
        <w:t>.</w:t>
      </w:r>
      <w:r>
        <w:tab/>
        <w:t>Saving of operation of old access law and Gas Code</w:t>
      </w:r>
      <w:bookmarkEnd w:id="15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1567" w:name="_Toc501634356"/>
      <w:bookmarkStart w:id="1568" w:name="_Toc501713252"/>
      <w:bookmarkStart w:id="1569" w:name="_Toc536782478"/>
      <w:bookmarkStart w:id="1570" w:name="_Toc5347539"/>
      <w:bookmarkStart w:id="1571" w:name="_Toc5364092"/>
      <w:bookmarkStart w:id="1572" w:name="_Toc5365313"/>
      <w:r>
        <w:rPr>
          <w:rStyle w:val="CharDivNo"/>
        </w:rPr>
        <w:t>Part 3</w:t>
      </w:r>
      <w:r>
        <w:t xml:space="preserve"> — </w:t>
      </w:r>
      <w:r>
        <w:rPr>
          <w:rStyle w:val="CharDivText"/>
        </w:rPr>
        <w:t>Classification and coverage of pipelines</w:t>
      </w:r>
      <w:bookmarkEnd w:id="1567"/>
      <w:bookmarkEnd w:id="1568"/>
      <w:bookmarkEnd w:id="1569"/>
      <w:bookmarkEnd w:id="1570"/>
      <w:bookmarkEnd w:id="1571"/>
      <w:bookmarkEnd w:id="1572"/>
    </w:p>
    <w:p>
      <w:pPr>
        <w:pStyle w:val="Heading5"/>
      </w:pPr>
      <w:bookmarkStart w:id="1573" w:name="_Toc5365314"/>
      <w:r>
        <w:rPr>
          <w:rStyle w:val="CharSectno"/>
        </w:rPr>
        <w:t>4</w:t>
      </w:r>
      <w:r>
        <w:t>.</w:t>
      </w:r>
      <w:r>
        <w:tab/>
        <w:t>Pending applications for the classification of pipelines lapse</w:t>
      </w:r>
      <w:bookmarkEnd w:id="1573"/>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1574" w:name="_Toc5365315"/>
      <w:r>
        <w:rPr>
          <w:rStyle w:val="CharSectno"/>
        </w:rPr>
        <w:t>5</w:t>
      </w:r>
      <w:r>
        <w:t>.</w:t>
      </w:r>
      <w:r>
        <w:tab/>
        <w:t>Old scheme coverage determinations</w:t>
      </w:r>
      <w:bookmarkEnd w:id="1574"/>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1575" w:name="_Toc5365316"/>
      <w:r>
        <w:rPr>
          <w:rStyle w:val="CharSectno"/>
        </w:rPr>
        <w:t>6</w:t>
      </w:r>
      <w:r>
        <w:t>.</w:t>
      </w:r>
      <w:r>
        <w:tab/>
        <w:t>Old scheme covered transmission pipelines</w:t>
      </w:r>
      <w:bookmarkEnd w:id="1575"/>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1576" w:name="_Toc5365317"/>
      <w:r>
        <w:rPr>
          <w:rStyle w:val="CharSectno"/>
        </w:rPr>
        <w:t>7</w:t>
      </w:r>
      <w:r>
        <w:t>.</w:t>
      </w:r>
      <w:r>
        <w:tab/>
        <w:t>Old scheme covered distribution pipelines</w:t>
      </w:r>
      <w:bookmarkEnd w:id="1576"/>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1577" w:name="_Toc5365318"/>
      <w:r>
        <w:rPr>
          <w:rStyle w:val="CharSectno"/>
        </w:rPr>
        <w:t>8</w:t>
      </w:r>
      <w:r>
        <w:t>.</w:t>
      </w:r>
      <w:r>
        <w:tab/>
        <w:t>Pending coverage applications under old scheme (before NCC recommendation)</w:t>
      </w:r>
      <w:bookmarkEnd w:id="15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1578" w:name="_Toc5365319"/>
      <w:r>
        <w:rPr>
          <w:rStyle w:val="CharSectno"/>
        </w:rPr>
        <w:t>9</w:t>
      </w:r>
      <w:r>
        <w:t>.</w:t>
      </w:r>
      <w:r>
        <w:tab/>
        <w:t>Pending relevant Minister decisions in relation to coverage under old scheme</w:t>
      </w:r>
      <w:bookmarkEnd w:id="15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579" w:name="_Toc5365320"/>
      <w:r>
        <w:rPr>
          <w:rStyle w:val="CharSectno"/>
        </w:rPr>
        <w:t>10</w:t>
      </w:r>
      <w:r>
        <w:t>.</w:t>
      </w:r>
      <w:r>
        <w:tab/>
        <w:t>Pending relevant Minister decisions in relation to coverage that are reviewed under old scheme</w:t>
      </w:r>
      <w:bookmarkEnd w:id="15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0" w:name="_Toc5365321"/>
      <w:r>
        <w:rPr>
          <w:rStyle w:val="CharSectno"/>
        </w:rPr>
        <w:t>11</w:t>
      </w:r>
      <w:r>
        <w:t>.</w:t>
      </w:r>
      <w:r>
        <w:tab/>
        <w:t>Pending old scheme coverage determinations where no applications for review under old scheme</w:t>
      </w:r>
      <w:bookmarkEnd w:id="15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1581" w:name="_Toc5365322"/>
      <w:r>
        <w:rPr>
          <w:rStyle w:val="CharSectno"/>
        </w:rPr>
        <w:t>12</w:t>
      </w:r>
      <w:r>
        <w:t>.</w:t>
      </w:r>
      <w:r>
        <w:tab/>
        <w:t>Pending old scheme coverage determinations where applications for review under old scheme on foot</w:t>
      </w:r>
      <w:bookmarkEnd w:id="15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2" w:name="_Toc5365323"/>
      <w:r>
        <w:rPr>
          <w:rStyle w:val="CharSectno"/>
        </w:rPr>
        <w:t>13</w:t>
      </w:r>
      <w:r>
        <w:t>.</w:t>
      </w:r>
      <w:r>
        <w:tab/>
        <w:t>Pending old scheme no</w:t>
      </w:r>
      <w:r>
        <w:noBreakHyphen/>
        <w:t>coverage determinations where no applications for review under old scheme</w:t>
      </w:r>
      <w:bookmarkEnd w:id="15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1583" w:name="_Toc5365324"/>
      <w:r>
        <w:rPr>
          <w:rStyle w:val="CharSectno"/>
        </w:rPr>
        <w:t>14</w:t>
      </w:r>
      <w:r>
        <w:t>.</w:t>
      </w:r>
      <w:r>
        <w:tab/>
        <w:t>Pending old scheme no</w:t>
      </w:r>
      <w:r>
        <w:noBreakHyphen/>
        <w:t>coverage determinations where applications for review under old scheme on foot</w:t>
      </w:r>
      <w:bookmarkEnd w:id="1583"/>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4" w:name="_Toc5365325"/>
      <w:r>
        <w:rPr>
          <w:rStyle w:val="CharSectno"/>
        </w:rPr>
        <w:t>15</w:t>
      </w:r>
      <w:r>
        <w:t>.</w:t>
      </w:r>
      <w:r>
        <w:tab/>
        <w:t>Pending coverage revocation applications under old scheme (before NCC recommendation)</w:t>
      </w:r>
      <w:bookmarkEnd w:id="15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1585" w:name="_Toc5365326"/>
      <w:r>
        <w:rPr>
          <w:rStyle w:val="CharSectno"/>
        </w:rPr>
        <w:t>16</w:t>
      </w:r>
      <w:r>
        <w:t>.</w:t>
      </w:r>
      <w:r>
        <w:tab/>
        <w:t>Pending relevant Minister decisions in relation to coverage revocation under old scheme</w:t>
      </w:r>
      <w:bookmarkEnd w:id="15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586" w:name="_Toc5365327"/>
      <w:r>
        <w:rPr>
          <w:rStyle w:val="CharSectno"/>
        </w:rPr>
        <w:t>17</w:t>
      </w:r>
      <w:r>
        <w:t>.</w:t>
      </w:r>
      <w:r>
        <w:tab/>
        <w:t>Pending relevant Minister decisions in relation to coverage revocation that are reviewed under old scheme</w:t>
      </w:r>
      <w:bookmarkEnd w:id="15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87" w:name="_Toc5365328"/>
      <w:r>
        <w:rPr>
          <w:rStyle w:val="CharSectno"/>
        </w:rPr>
        <w:t>18</w:t>
      </w:r>
      <w:r>
        <w:t>.</w:t>
      </w:r>
      <w:r>
        <w:tab/>
        <w:t>Pending old scheme coverage revocation determinations where no applications for review under old scheme</w:t>
      </w:r>
      <w:bookmarkEnd w:id="1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1588" w:name="_Toc5365329"/>
      <w:r>
        <w:rPr>
          <w:rStyle w:val="CharSectno"/>
        </w:rPr>
        <w:t>19</w:t>
      </w:r>
      <w:r>
        <w:t>.</w:t>
      </w:r>
      <w:r>
        <w:tab/>
        <w:t>Pending old scheme coverage revocation determinations where applications for review under old scheme on foot</w:t>
      </w:r>
      <w:bookmarkEnd w:id="1588"/>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89" w:name="_Toc5365330"/>
      <w:r>
        <w:rPr>
          <w:rStyle w:val="CharSectno"/>
        </w:rPr>
        <w:t>20</w:t>
      </w:r>
      <w:r>
        <w:t>.</w:t>
      </w:r>
      <w:r>
        <w:tab/>
        <w:t>Pending old scheme coverage non</w:t>
      </w:r>
      <w:r>
        <w:noBreakHyphen/>
        <w:t>revocation determinations where no applications for review under old scheme</w:t>
      </w:r>
      <w:bookmarkEnd w:id="15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1590" w:name="_Toc5365331"/>
      <w:r>
        <w:rPr>
          <w:rStyle w:val="CharSectno"/>
        </w:rPr>
        <w:t>21</w:t>
      </w:r>
      <w:r>
        <w:t>.</w:t>
      </w:r>
      <w:r>
        <w:tab/>
        <w:t>Pending old scheme coverage non</w:t>
      </w:r>
      <w:r>
        <w:noBreakHyphen/>
        <w:t>revocation determinations where applications for review under old scheme on foot</w:t>
      </w:r>
      <w:bookmarkEnd w:id="15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91" w:name="_Toc5365332"/>
      <w:r>
        <w:rPr>
          <w:rStyle w:val="CharSectno"/>
        </w:rPr>
        <w:t>22</w:t>
      </w:r>
      <w:r>
        <w:t>.</w:t>
      </w:r>
      <w:r>
        <w:tab/>
        <w:t>Binding no</w:t>
      </w:r>
      <w:r>
        <w:noBreakHyphen/>
        <w:t>coverage determinations</w:t>
      </w:r>
      <w:bookmarkEnd w:id="1591"/>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1592" w:name="_Toc5365333"/>
      <w:r>
        <w:rPr>
          <w:rStyle w:val="CharSectno"/>
        </w:rPr>
        <w:t>23</w:t>
      </w:r>
      <w:r>
        <w:t>.</w:t>
      </w:r>
      <w:r>
        <w:tab/>
        <w:t>Pending applications for binding no</w:t>
      </w:r>
      <w:r>
        <w:noBreakHyphen/>
        <w:t>coverage determinations (before NCC recommendation)</w:t>
      </w:r>
      <w:bookmarkEnd w:id="15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1593" w:name="_Toc5365334"/>
      <w:r>
        <w:rPr>
          <w:rStyle w:val="CharSectno"/>
        </w:rPr>
        <w:t>24</w:t>
      </w:r>
      <w:r>
        <w:t>.</w:t>
      </w:r>
      <w:r>
        <w:tab/>
        <w:t>Pending relevant Minister decisions for binding no</w:t>
      </w:r>
      <w:r>
        <w:noBreakHyphen/>
        <w:t>coverage determinations under old scheme</w:t>
      </w:r>
      <w:bookmarkEnd w:id="15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1594" w:name="_Toc5365335"/>
      <w:r>
        <w:rPr>
          <w:rStyle w:val="CharSectno"/>
        </w:rPr>
        <w:t>25</w:t>
      </w:r>
      <w:r>
        <w:t>.</w:t>
      </w:r>
      <w:r>
        <w:tab/>
        <w:t>Pending relevant Minister decisions in relation to binding no</w:t>
      </w:r>
      <w:r>
        <w:noBreakHyphen/>
        <w:t>coverage determinations that are reviewed under old scheme</w:t>
      </w:r>
      <w:bookmarkEnd w:id="1594"/>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1595" w:name="_Toc501634379"/>
      <w:bookmarkStart w:id="1596" w:name="_Toc501713275"/>
      <w:bookmarkStart w:id="1597" w:name="_Toc536782501"/>
      <w:bookmarkStart w:id="1598" w:name="_Toc5347562"/>
      <w:bookmarkStart w:id="1599" w:name="_Toc5364115"/>
      <w:bookmarkStart w:id="1600" w:name="_Toc5365336"/>
      <w:r>
        <w:rPr>
          <w:rStyle w:val="CharDivNo"/>
        </w:rPr>
        <w:t>Part 4</w:t>
      </w:r>
      <w:r>
        <w:t xml:space="preserve"> — </w:t>
      </w:r>
      <w:r>
        <w:rPr>
          <w:rStyle w:val="CharDivText"/>
        </w:rPr>
        <w:t>Access arrangements</w:t>
      </w:r>
      <w:bookmarkEnd w:id="1595"/>
      <w:bookmarkEnd w:id="1596"/>
      <w:bookmarkEnd w:id="1597"/>
      <w:bookmarkEnd w:id="1598"/>
      <w:bookmarkEnd w:id="1599"/>
      <w:bookmarkEnd w:id="1600"/>
    </w:p>
    <w:p>
      <w:pPr>
        <w:pStyle w:val="Heading5"/>
      </w:pPr>
      <w:bookmarkStart w:id="1601" w:name="_Toc5365337"/>
      <w:r>
        <w:rPr>
          <w:rStyle w:val="CharSectno"/>
        </w:rPr>
        <w:t>26</w:t>
      </w:r>
      <w:r>
        <w:t>.</w:t>
      </w:r>
      <w:r>
        <w:tab/>
        <w:t>Current access arrangements (other than old scheme limited access arrangements)</w:t>
      </w:r>
      <w:bookmarkEnd w:id="1601"/>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1602" w:name="_Toc5365338"/>
      <w:r>
        <w:rPr>
          <w:rStyle w:val="CharSectno"/>
        </w:rPr>
        <w:t>27</w:t>
      </w:r>
      <w:r>
        <w:t>.</w:t>
      </w:r>
      <w:r>
        <w:tab/>
        <w:t>Old scheme limited access arrangements</w:t>
      </w:r>
      <w:bookmarkEnd w:id="1602"/>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1603" w:name="_Toc5365339"/>
      <w:r>
        <w:rPr>
          <w:rStyle w:val="CharSectno"/>
        </w:rPr>
        <w:t>28</w:t>
      </w:r>
      <w:r>
        <w:t>.</w:t>
      </w:r>
      <w:r>
        <w:tab/>
        <w:t>Access arrangements submitted but not approved or rejected before repeal of old scheme</w:t>
      </w:r>
      <w:bookmarkEnd w:id="16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604" w:name="_Toc5365340"/>
      <w:r>
        <w:rPr>
          <w:rStyle w:val="CharSectno"/>
        </w:rPr>
        <w:t>29</w:t>
      </w:r>
      <w:r>
        <w:t>.</w:t>
      </w:r>
      <w:r>
        <w:tab/>
        <w:t>Access arrangement revisions submitted but not approved or rejected before repeal of old scheme</w:t>
      </w:r>
      <w:bookmarkEnd w:id="16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605" w:name="_Toc5365341"/>
      <w:r>
        <w:rPr>
          <w:rStyle w:val="CharSectno"/>
        </w:rPr>
        <w:t>30</w:t>
      </w:r>
      <w:r>
        <w:t>.</w:t>
      </w:r>
      <w:r>
        <w:tab/>
        <w:t>Certain provisions of the Gas Code to continue to apply to current and proposed access arrangements</w:t>
      </w:r>
      <w:bookmarkEnd w:id="16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1606" w:name="_Toc5365342"/>
      <w:r>
        <w:rPr>
          <w:rStyle w:val="CharSectno"/>
        </w:rPr>
        <w:t>31</w:t>
      </w:r>
      <w:r>
        <w:t>.</w:t>
      </w:r>
      <w:r>
        <w:tab/>
        <w:t>Certain decisions relating to certain access arrangements are reviewable regulatory decisions for purposes of Chapter 8 Part 5 of the Law</w:t>
      </w:r>
      <w:bookmarkEnd w:id="16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1607" w:name="_Toc5365343"/>
      <w:r>
        <w:rPr>
          <w:rStyle w:val="CharSectno"/>
        </w:rPr>
        <w:t>32</w:t>
      </w:r>
      <w:r>
        <w:t>.</w:t>
      </w:r>
      <w:r>
        <w:tab/>
        <w:t>Limited access arrangements submitted but not approved before repeal of old scheme</w:t>
      </w:r>
      <w:bookmarkEnd w:id="16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1608" w:name="_Toc5365344"/>
      <w:r>
        <w:rPr>
          <w:rStyle w:val="CharSectno"/>
        </w:rPr>
        <w:t>33</w:t>
      </w:r>
      <w:r>
        <w:t>.</w:t>
      </w:r>
      <w:r>
        <w:tab/>
        <w:t>Extensions and expansions policies</w:t>
      </w:r>
      <w:bookmarkEnd w:id="1608"/>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1609" w:name="_Toc5365345"/>
      <w:r>
        <w:rPr>
          <w:rStyle w:val="CharSectno"/>
        </w:rPr>
        <w:t>34</w:t>
      </w:r>
      <w:r>
        <w:t>.</w:t>
      </w:r>
      <w:r>
        <w:tab/>
        <w:t>Queuing policies</w:t>
      </w:r>
      <w:bookmarkEnd w:id="1609"/>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1610" w:name="_Toc501634389"/>
      <w:bookmarkStart w:id="1611" w:name="_Toc501713285"/>
      <w:bookmarkStart w:id="1612" w:name="_Toc536782511"/>
      <w:bookmarkStart w:id="1613" w:name="_Toc5347572"/>
      <w:bookmarkStart w:id="1614" w:name="_Toc5364125"/>
      <w:bookmarkStart w:id="1615" w:name="_Toc5365346"/>
      <w:r>
        <w:rPr>
          <w:rStyle w:val="CharDivNo"/>
        </w:rPr>
        <w:t>Part 5</w:t>
      </w:r>
      <w:r>
        <w:t xml:space="preserve"> — </w:t>
      </w:r>
      <w:r>
        <w:rPr>
          <w:rStyle w:val="CharDivText"/>
        </w:rPr>
        <w:t>Price regulation exemptions</w:t>
      </w:r>
      <w:bookmarkEnd w:id="1610"/>
      <w:bookmarkEnd w:id="1611"/>
      <w:bookmarkEnd w:id="1612"/>
      <w:bookmarkEnd w:id="1613"/>
      <w:bookmarkEnd w:id="1614"/>
      <w:bookmarkEnd w:id="1615"/>
    </w:p>
    <w:p>
      <w:pPr>
        <w:pStyle w:val="Heading5"/>
      </w:pPr>
      <w:bookmarkStart w:id="1616" w:name="_Toc5365347"/>
      <w:r>
        <w:rPr>
          <w:rStyle w:val="CharSectno"/>
        </w:rPr>
        <w:t>35</w:t>
      </w:r>
      <w:r>
        <w:t>.</w:t>
      </w:r>
      <w:r>
        <w:tab/>
        <w:t>Old scheme price regulation exemptions</w:t>
      </w:r>
      <w:bookmarkEnd w:id="1616"/>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1617" w:name="_Toc5365348"/>
      <w:r>
        <w:rPr>
          <w:rStyle w:val="CharSectno"/>
        </w:rPr>
        <w:t>36</w:t>
      </w:r>
      <w:r>
        <w:t>.</w:t>
      </w:r>
      <w:r>
        <w:tab/>
        <w:t>Pending applications for price regulation exemptions</w:t>
      </w:r>
      <w:bookmarkEnd w:id="16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1618" w:name="_Toc5365349"/>
      <w:r>
        <w:rPr>
          <w:rStyle w:val="CharSectno"/>
        </w:rPr>
        <w:t>37</w:t>
      </w:r>
      <w:r>
        <w:t>.</w:t>
      </w:r>
      <w:r>
        <w:tab/>
        <w:t>Pending Commonwealth Minister decisions for price regulation exemptions</w:t>
      </w:r>
      <w:bookmarkEnd w:id="16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1619" w:name="_Toc501634393"/>
      <w:bookmarkStart w:id="1620" w:name="_Toc501713289"/>
      <w:bookmarkStart w:id="1621" w:name="_Toc536782515"/>
      <w:bookmarkStart w:id="1622" w:name="_Toc5347576"/>
      <w:bookmarkStart w:id="1623" w:name="_Toc5364129"/>
      <w:bookmarkStart w:id="1624" w:name="_Toc5365350"/>
      <w:r>
        <w:rPr>
          <w:rStyle w:val="CharDivNo"/>
        </w:rPr>
        <w:t>Part 6</w:t>
      </w:r>
      <w:r>
        <w:t xml:space="preserve"> — </w:t>
      </w:r>
      <w:r>
        <w:rPr>
          <w:rStyle w:val="CharDivText"/>
        </w:rPr>
        <w:t>Structural and operational separation (ring fencing)</w:t>
      </w:r>
      <w:bookmarkEnd w:id="1619"/>
      <w:bookmarkEnd w:id="1620"/>
      <w:bookmarkEnd w:id="1621"/>
      <w:bookmarkEnd w:id="1622"/>
      <w:bookmarkEnd w:id="1623"/>
      <w:bookmarkEnd w:id="1624"/>
    </w:p>
    <w:p>
      <w:pPr>
        <w:pStyle w:val="Heading5"/>
      </w:pPr>
      <w:bookmarkStart w:id="1625" w:name="_Toc5365351"/>
      <w:r>
        <w:rPr>
          <w:rStyle w:val="CharSectno"/>
        </w:rPr>
        <w:t>38</w:t>
      </w:r>
      <w:r>
        <w:t>.</w:t>
      </w:r>
      <w:r>
        <w:tab/>
        <w:t>Definitions</w:t>
      </w:r>
      <w:bookmarkEnd w:id="1625"/>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1626" w:name="_Toc5365352"/>
      <w:r>
        <w:rPr>
          <w:rStyle w:val="CharSectno"/>
        </w:rPr>
        <w:t>39</w:t>
      </w:r>
      <w:r>
        <w:t>.</w:t>
      </w:r>
      <w:r>
        <w:tab/>
        <w:t>Compliance with certain old scheme ring fencing requirements sufficient compliance for 6 month period</w:t>
      </w:r>
      <w:bookmarkEnd w:id="16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1627" w:name="_Toc5365353"/>
      <w:r>
        <w:rPr>
          <w:rStyle w:val="CharSectno"/>
        </w:rPr>
        <w:t>40</w:t>
      </w:r>
      <w:r>
        <w:t>.</w:t>
      </w:r>
      <w:r>
        <w:tab/>
        <w:t>Existing waivers of ring fencing obligations</w:t>
      </w:r>
      <w:bookmarkEnd w:id="16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1628" w:name="_Toc5365354"/>
      <w:r>
        <w:rPr>
          <w:rStyle w:val="CharSectno"/>
        </w:rPr>
        <w:t>41</w:t>
      </w:r>
      <w:r>
        <w:t>.</w:t>
      </w:r>
      <w:r>
        <w:tab/>
        <w:t>Additional ring fencing obligations</w:t>
      </w:r>
      <w:bookmarkEnd w:id="16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1629" w:name="_Toc501634398"/>
      <w:bookmarkStart w:id="1630" w:name="_Toc501713294"/>
      <w:bookmarkStart w:id="1631" w:name="_Toc536782520"/>
      <w:bookmarkStart w:id="1632" w:name="_Toc5347581"/>
      <w:bookmarkStart w:id="1633" w:name="_Toc5364134"/>
      <w:bookmarkStart w:id="1634" w:name="_Toc5365355"/>
      <w:r>
        <w:rPr>
          <w:rStyle w:val="CharDivNo"/>
        </w:rPr>
        <w:t>Part 7</w:t>
      </w:r>
      <w:r>
        <w:t xml:space="preserve"> — </w:t>
      </w:r>
      <w:r>
        <w:rPr>
          <w:rStyle w:val="CharDivText"/>
        </w:rPr>
        <w:t>Access disputes</w:t>
      </w:r>
      <w:bookmarkEnd w:id="1629"/>
      <w:bookmarkEnd w:id="1630"/>
      <w:bookmarkEnd w:id="1631"/>
      <w:bookmarkEnd w:id="1632"/>
      <w:bookmarkEnd w:id="1633"/>
      <w:bookmarkEnd w:id="1634"/>
    </w:p>
    <w:p>
      <w:pPr>
        <w:pStyle w:val="Heading5"/>
      </w:pPr>
      <w:bookmarkStart w:id="1635" w:name="_Toc5365356"/>
      <w:r>
        <w:rPr>
          <w:rStyle w:val="CharSectno"/>
        </w:rPr>
        <w:t>42</w:t>
      </w:r>
      <w:r>
        <w:t>.</w:t>
      </w:r>
      <w:r>
        <w:tab/>
        <w:t>Non</w:t>
      </w:r>
      <w:r>
        <w:noBreakHyphen/>
        <w:t>finalised access disputes</w:t>
      </w:r>
      <w:bookmarkEnd w:id="16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1636" w:name="_Toc501634400"/>
      <w:bookmarkStart w:id="1637" w:name="_Toc501713296"/>
      <w:bookmarkStart w:id="1638" w:name="_Toc536782522"/>
      <w:bookmarkStart w:id="1639" w:name="_Toc5347583"/>
      <w:bookmarkStart w:id="1640" w:name="_Toc5364136"/>
      <w:bookmarkStart w:id="1641" w:name="_Toc5365357"/>
      <w:r>
        <w:rPr>
          <w:rStyle w:val="CharDivNo"/>
        </w:rPr>
        <w:t>Part 8</w:t>
      </w:r>
      <w:r>
        <w:t xml:space="preserve"> — </w:t>
      </w:r>
      <w:r>
        <w:rPr>
          <w:rStyle w:val="CharDivText"/>
        </w:rPr>
        <w:t>Investigations and proceedings</w:t>
      </w:r>
      <w:bookmarkEnd w:id="1636"/>
      <w:bookmarkEnd w:id="1637"/>
      <w:bookmarkEnd w:id="1638"/>
      <w:bookmarkEnd w:id="1639"/>
      <w:bookmarkEnd w:id="1640"/>
      <w:bookmarkEnd w:id="1641"/>
    </w:p>
    <w:p>
      <w:pPr>
        <w:pStyle w:val="Heading5"/>
      </w:pPr>
      <w:bookmarkStart w:id="1642" w:name="_Toc5365358"/>
      <w:r>
        <w:rPr>
          <w:rStyle w:val="CharSectno"/>
        </w:rPr>
        <w:t>43</w:t>
      </w:r>
      <w:r>
        <w:t>.</w:t>
      </w:r>
      <w:r>
        <w:tab/>
        <w:t>Investigations into breaches and possible breaches of the old access law or Gas Code</w:t>
      </w:r>
      <w:bookmarkEnd w:id="16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1643" w:name="_Toc5365359"/>
      <w:r>
        <w:rPr>
          <w:rStyle w:val="CharSectno"/>
        </w:rPr>
        <w:t>44</w:t>
      </w:r>
      <w:r>
        <w:t>.</w:t>
      </w:r>
      <w:r>
        <w:tab/>
        <w:t>AER may conduct investigations into breaches or possible breaches of Gas Pipelines Access Law not investigated by a relevant Regulator</w:t>
      </w:r>
      <w:bookmarkEnd w:id="16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1644" w:name="_Toc5365360"/>
      <w:r>
        <w:rPr>
          <w:rStyle w:val="CharSectno"/>
        </w:rPr>
        <w:t>45</w:t>
      </w:r>
      <w:r>
        <w:t>.</w:t>
      </w:r>
      <w:r>
        <w:tab/>
        <w:t>AER may bring proceedings in relation to breaches of old access law and Gas Code</w:t>
      </w:r>
      <w:bookmarkEnd w:id="16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p>
    <w:p>
      <w:pPr>
        <w:pStyle w:val="Heading3"/>
      </w:pPr>
      <w:bookmarkStart w:id="1645" w:name="_Toc501634404"/>
      <w:bookmarkStart w:id="1646" w:name="_Toc501713300"/>
      <w:bookmarkStart w:id="1647" w:name="_Toc536782526"/>
      <w:bookmarkStart w:id="1648" w:name="_Toc5347587"/>
      <w:bookmarkStart w:id="1649" w:name="_Toc5364140"/>
      <w:bookmarkStart w:id="1650" w:name="_Toc5365361"/>
      <w:r>
        <w:rPr>
          <w:rStyle w:val="CharDivNo"/>
        </w:rPr>
        <w:t>Part 9</w:t>
      </w:r>
      <w:r>
        <w:t xml:space="preserve"> — </w:t>
      </w:r>
      <w:r>
        <w:rPr>
          <w:rStyle w:val="CharDivText"/>
        </w:rPr>
        <w:t>Associate contracts</w:t>
      </w:r>
      <w:bookmarkEnd w:id="1645"/>
      <w:bookmarkEnd w:id="1646"/>
      <w:bookmarkEnd w:id="1647"/>
      <w:bookmarkEnd w:id="1648"/>
      <w:bookmarkEnd w:id="1649"/>
      <w:bookmarkEnd w:id="1650"/>
    </w:p>
    <w:p>
      <w:pPr>
        <w:pStyle w:val="Heading5"/>
        <w:spacing w:before="100"/>
      </w:pPr>
      <w:bookmarkStart w:id="1651" w:name="_Toc5365362"/>
      <w:r>
        <w:rPr>
          <w:rStyle w:val="CharSectno"/>
        </w:rPr>
        <w:t>46</w:t>
      </w:r>
      <w:r>
        <w:t>.</w:t>
      </w:r>
      <w:r>
        <w:tab/>
        <w:t>Pending associate contract approvals that are approved after commencement day</w:t>
      </w:r>
      <w:bookmarkEnd w:id="1651"/>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1652" w:name="_Toc5365363"/>
      <w:r>
        <w:rPr>
          <w:rStyle w:val="CharSectno"/>
        </w:rPr>
        <w:t>47</w:t>
      </w:r>
      <w:r>
        <w:t>.</w:t>
      </w:r>
      <w:r>
        <w:tab/>
        <w:t>Pending associate contracts approvals that are not approved</w:t>
      </w:r>
      <w:bookmarkEnd w:id="1652"/>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1653" w:name="_Toc5365364"/>
      <w:r>
        <w:rPr>
          <w:rStyle w:val="CharSectno"/>
        </w:rPr>
        <w:t>48</w:t>
      </w:r>
      <w:r>
        <w:t>.</w:t>
      </w:r>
      <w:r>
        <w:tab/>
        <w:t>Approved associate contracts</w:t>
      </w:r>
      <w:bookmarkEnd w:id="1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1654" w:name="_Toc501634408"/>
      <w:bookmarkStart w:id="1655" w:name="_Toc501713304"/>
      <w:bookmarkStart w:id="1656" w:name="_Toc536782530"/>
      <w:bookmarkStart w:id="1657" w:name="_Toc5347591"/>
      <w:bookmarkStart w:id="1658" w:name="_Toc5364144"/>
      <w:bookmarkStart w:id="1659" w:name="_Toc5365365"/>
      <w:r>
        <w:rPr>
          <w:rStyle w:val="CharDivNo"/>
        </w:rPr>
        <w:t>Part 10</w:t>
      </w:r>
      <w:r>
        <w:t xml:space="preserve"> — </w:t>
      </w:r>
      <w:r>
        <w:rPr>
          <w:rStyle w:val="CharDivText"/>
        </w:rPr>
        <w:t>Other</w:t>
      </w:r>
      <w:bookmarkEnd w:id="1654"/>
      <w:bookmarkEnd w:id="1655"/>
      <w:bookmarkEnd w:id="1656"/>
      <w:bookmarkEnd w:id="1657"/>
      <w:bookmarkEnd w:id="1658"/>
      <w:bookmarkEnd w:id="1659"/>
    </w:p>
    <w:p>
      <w:pPr>
        <w:pStyle w:val="Heading5"/>
      </w:pPr>
      <w:bookmarkStart w:id="1660" w:name="_Toc5365366"/>
      <w:r>
        <w:rPr>
          <w:rStyle w:val="CharSectno"/>
        </w:rPr>
        <w:t>49</w:t>
      </w:r>
      <w:r>
        <w:t>.</w:t>
      </w:r>
      <w:r>
        <w:tab/>
        <w:t>Pending and final tender approval requests lapse</w:t>
      </w:r>
      <w:bookmarkEnd w:id="16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1661" w:name="_Toc5365367"/>
      <w:r>
        <w:rPr>
          <w:rStyle w:val="CharSectno"/>
        </w:rPr>
        <w:t>50</w:t>
      </w:r>
      <w:r>
        <w:t>.</w:t>
      </w:r>
      <w:r>
        <w:tab/>
        <w:t>Decisions approving final approval requests</w:t>
      </w:r>
      <w:bookmarkEnd w:id="16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1662" w:name="_Toc5365368"/>
      <w:r>
        <w:rPr>
          <w:rStyle w:val="CharSectno"/>
        </w:rPr>
        <w:t>51</w:t>
      </w:r>
      <w:r>
        <w:t>.</w:t>
      </w:r>
      <w:r>
        <w:tab/>
        <w:t>Rights under certain change of law provisions in agreements or deeds not to be triggered</w:t>
      </w:r>
      <w:bookmarkEnd w:id="16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1663" w:name="_Toc5365369"/>
      <w:r>
        <w:rPr>
          <w:rStyle w:val="CharSectno"/>
        </w:rPr>
        <w:t>52</w:t>
      </w:r>
      <w:r>
        <w:t>.</w:t>
      </w:r>
      <w:r>
        <w:tab/>
        <w:t>References to relevant Regulator in access arrangements</w:t>
      </w:r>
      <w:bookmarkEnd w:id="1663"/>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1664" w:name="_Toc5365370"/>
      <w:r>
        <w:rPr>
          <w:rStyle w:val="CharSectno"/>
        </w:rPr>
        <w:t>53</w:t>
      </w:r>
      <w:r>
        <w:t>.</w:t>
      </w:r>
      <w:r>
        <w:tab/>
        <w:t>Old scheme classifications and scheme participant determinations</w:t>
      </w:r>
      <w:bookmarkEnd w:id="16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pStyle w:val="Heading3"/>
      </w:pPr>
      <w:bookmarkStart w:id="1665" w:name="_Toc182984"/>
      <w:bookmarkStart w:id="1666" w:name="_Toc5347597"/>
      <w:bookmarkStart w:id="1667" w:name="_Toc5364150"/>
      <w:bookmarkStart w:id="1668" w:name="_Toc5365371"/>
      <w:r>
        <w:rPr>
          <w:rStyle w:val="CharDivNo"/>
        </w:rPr>
        <w:t>Part 17</w:t>
      </w:r>
      <w:r>
        <w:t>—</w:t>
      </w:r>
      <w:r>
        <w:rPr>
          <w:rStyle w:val="CharDivText"/>
        </w:rPr>
        <w:t>Transitional provisions for rate of return instrument</w:t>
      </w:r>
      <w:bookmarkEnd w:id="1665"/>
      <w:bookmarkEnd w:id="1666"/>
      <w:bookmarkEnd w:id="1667"/>
      <w:bookmarkEnd w:id="1668"/>
    </w:p>
    <w:p>
      <w:pPr>
        <w:pStyle w:val="Footnoteheading"/>
      </w:pPr>
      <w:r>
        <w:tab/>
        <w:t>[Heading inserted: see SA Act No. 33 of 2018 s. 21 and WA Gazette 5 Apr 2019 p. 1007.]</w:t>
      </w:r>
    </w:p>
    <w:p>
      <w:pPr>
        <w:pStyle w:val="Heading5"/>
      </w:pPr>
      <w:bookmarkStart w:id="1669" w:name="_Toc182985"/>
      <w:bookmarkStart w:id="1670" w:name="_Toc5365372"/>
      <w:r>
        <w:rPr>
          <w:rStyle w:val="CharSectno"/>
        </w:rPr>
        <w:t>95</w:t>
      </w:r>
      <w:r>
        <w:t>.</w:t>
      </w:r>
      <w:r>
        <w:tab/>
        <w:t>Definitions</w:t>
      </w:r>
      <w:bookmarkEnd w:id="1669"/>
      <w:bookmarkEnd w:id="1670"/>
    </w:p>
    <w:p>
      <w:pPr>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p>
    <w:p>
      <w:pPr>
        <w:keepLines/>
        <w:autoSpaceDE w:val="0"/>
        <w:autoSpaceDN w:val="0"/>
        <w:adjustRightInd w:val="0"/>
        <w:spacing w:before="120"/>
        <w:ind w:left="1588"/>
      </w:pPr>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p>
    <w:p>
      <w:pPr>
        <w:keepLines/>
        <w:autoSpaceDE w:val="0"/>
        <w:autoSpaceDN w:val="0"/>
        <w:adjustRightInd w:val="0"/>
        <w:spacing w:before="120"/>
        <w:ind w:left="1588"/>
        <w:rPr>
          <w:color w:val="000000"/>
          <w:sz w:val="23"/>
          <w:szCs w:val="23"/>
        </w:rPr>
      </w:pPr>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p>
    <w:p>
      <w:pPr>
        <w:keepLines/>
        <w:autoSpaceDE w:val="0"/>
        <w:autoSpaceDN w:val="0"/>
        <w:adjustRightInd w:val="0"/>
        <w:spacing w:before="120"/>
        <w:ind w:left="1588"/>
        <w:rPr>
          <w:color w:val="000000"/>
          <w:sz w:val="23"/>
          <w:szCs w:val="23"/>
        </w:rPr>
      </w:pPr>
      <w:r>
        <w:rPr>
          <w:rStyle w:val="CharDefText"/>
          <w:sz w:val="23"/>
          <w:szCs w:val="23"/>
        </w:rPr>
        <w:t>stakeholders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service providers and consumer organisations;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 users and prospective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persons engaged by a covered pipeline service provider, a consumer organisation or another entity to give the advice or comment;</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other persons the AER considers have the qualifications or experience appropriate to give the advice or comment;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p>
    <w:p>
      <w:pPr>
        <w:pStyle w:val="Footnoteheading"/>
      </w:pPr>
      <w:r>
        <w:tab/>
        <w:t>[Clause 95 inserted: see SA Act No. 33 of 2018 s. 21 and WA Gazette 5 Apr 2019 p. 1007; modified: WA Act Sch. 1 cl. 18(3).]</w:t>
      </w:r>
    </w:p>
    <w:p>
      <w:pPr>
        <w:pStyle w:val="Heading5"/>
      </w:pPr>
      <w:bookmarkStart w:id="1671" w:name="_Toc182986"/>
      <w:bookmarkStart w:id="1672" w:name="_Toc5365373"/>
      <w:r>
        <w:rPr>
          <w:rStyle w:val="CharSectno"/>
        </w:rPr>
        <w:t>96</w:t>
      </w:r>
      <w:r>
        <w:t>.</w:t>
      </w:r>
      <w:r>
        <w:tab/>
        <w:t>Making first rate of return instrument if review not completed before commencement</w:t>
      </w:r>
      <w:bookmarkEnd w:id="1671"/>
      <w:bookmarkEnd w:id="1672"/>
    </w:p>
    <w:p>
      <w:pPr>
        <w:keepNext/>
        <w:keepLines/>
        <w:tabs>
          <w:tab w:val="center" w:pos="1191"/>
          <w:tab w:val="left" w:pos="1588"/>
        </w:tabs>
        <w:autoSpaceDE w:val="0"/>
        <w:autoSpaceDN w:val="0"/>
        <w:adjustRightInd w:val="0"/>
        <w:spacing w:before="120"/>
        <w:ind w:left="1588" w:hanging="794"/>
        <w:rPr>
          <w:color w:val="000000"/>
          <w:sz w:val="23"/>
          <w:szCs w:val="23"/>
        </w:rPr>
      </w:pPr>
      <w:bookmarkStart w:id="1673" w:name="id99369711_09b7_4f6b_aaf3_74b8556267"/>
      <w:r>
        <w:rPr>
          <w:color w:val="000000"/>
          <w:sz w:val="23"/>
          <w:szCs w:val="23"/>
        </w:rPr>
        <w:tab/>
        <w:t>(1)</w:t>
      </w:r>
      <w:r>
        <w:rPr>
          <w:color w:val="000000"/>
          <w:sz w:val="23"/>
          <w:szCs w:val="23"/>
        </w:rPr>
        <w:tab/>
        <w:t>This clause applies if—</w:t>
      </w:r>
      <w:bookmarkEnd w:id="1673"/>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has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p>
    <w:p>
      <w:pPr>
        <w:keepLines/>
        <w:tabs>
          <w:tab w:val="center" w:pos="1985"/>
          <w:tab w:val="left" w:pos="2382"/>
        </w:tabs>
        <w:autoSpaceDE w:val="0"/>
        <w:autoSpaceDN w:val="0"/>
        <w:adjustRightInd w:val="0"/>
        <w:spacing w:before="120"/>
        <w:ind w:left="2382" w:hanging="794"/>
        <w:rPr>
          <w:color w:val="000000"/>
          <w:sz w:val="23"/>
          <w:szCs w:val="23"/>
        </w:rPr>
      </w:pPr>
      <w:bookmarkStart w:id="1674" w:name="ida5cce094_141c_41e0_a614_ffea4c768c"/>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16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Chapter 2 Part 1 Division 1A Subdivision 3 does not apply in relation to making the first rate of return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The independent panel mentioned in </w:t>
      </w:r>
      <w:hyperlink w:anchor="ida5cce094_141c_41e0_a614_ffea4c768c" w:history="1">
        <w:r>
          <w:rPr>
            <w:color w:val="000000"/>
            <w:sz w:val="23"/>
            <w:szCs w:val="23"/>
          </w:rPr>
          <w:t>subclause (1)(d)</w:t>
        </w:r>
      </w:hyperlink>
      <w:r>
        <w:rPr>
          <w:color w:val="000000"/>
          <w:sz w:val="23"/>
          <w:szCs w:val="23"/>
        </w:rPr>
        <w:t xml:space="preserve"> must seek to give the AER a consensus report on the panel’s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However, a failure to give the AER a consensus report does not affect the making of the first rate of return instrument.</w:t>
      </w:r>
    </w:p>
    <w:p>
      <w:pPr>
        <w:pStyle w:val="Footnoteheading"/>
      </w:pPr>
      <w:r>
        <w:tab/>
        <w:t>[Clause 96 inserted: see SA Act No. 33 of 2018 s. 21 and WA Gazette 5 Apr 2019 p. 1007; modified: WA Act Sch. 1 cl. 18(4).]</w:t>
      </w:r>
    </w:p>
    <w:p>
      <w:pPr>
        <w:pStyle w:val="Heading5"/>
      </w:pPr>
      <w:bookmarkStart w:id="1675" w:name="_Toc182987"/>
      <w:bookmarkStart w:id="1676" w:name="_Toc5365374"/>
      <w:r>
        <w:rPr>
          <w:rStyle w:val="CharSectno"/>
        </w:rPr>
        <w:t>97</w:t>
      </w:r>
      <w:r>
        <w:t>.</w:t>
      </w:r>
      <w:r>
        <w:tab/>
        <w:t>Making first rate of return instrument if review completed before commencement</w:t>
      </w:r>
      <w:bookmarkEnd w:id="1675"/>
      <w:bookmarkEnd w:id="1676"/>
    </w:p>
    <w:p>
      <w:pPr>
        <w:keepNext/>
        <w:keepLines/>
        <w:tabs>
          <w:tab w:val="center" w:pos="1191"/>
          <w:tab w:val="left" w:pos="1588"/>
        </w:tabs>
        <w:autoSpaceDE w:val="0"/>
        <w:autoSpaceDN w:val="0"/>
        <w:adjustRightInd w:val="0"/>
        <w:spacing w:before="120"/>
        <w:ind w:left="1588" w:hanging="794"/>
        <w:rPr>
          <w:color w:val="000000"/>
          <w:sz w:val="23"/>
          <w:szCs w:val="23"/>
        </w:rPr>
      </w:pPr>
      <w:bookmarkStart w:id="1677" w:name="id66a9885b_573b_4c55_8dc5_e06cae8ccd"/>
      <w:r>
        <w:rPr>
          <w:color w:val="000000"/>
          <w:sz w:val="23"/>
          <w:szCs w:val="23"/>
        </w:rPr>
        <w:tab/>
        <w:t>(1)</w:t>
      </w:r>
      <w:r>
        <w:rPr>
          <w:color w:val="000000"/>
          <w:sz w:val="23"/>
          <w:szCs w:val="23"/>
        </w:rPr>
        <w:tab/>
        <w:t xml:space="preserve">This clause applies if, before the </w:t>
      </w:r>
      <w:bookmarkEnd w:id="1677"/>
      <w:r>
        <w:rPr>
          <w:sz w:val="23"/>
          <w:szCs w:val="23"/>
        </w:rPr>
        <w:t>commencement—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p>
    <w:p>
      <w:pPr>
        <w:keepLines/>
        <w:tabs>
          <w:tab w:val="center" w:pos="1985"/>
          <w:tab w:val="left" w:pos="2382"/>
        </w:tabs>
        <w:autoSpaceDE w:val="0"/>
        <w:autoSpaceDN w:val="0"/>
        <w:adjustRightInd w:val="0"/>
        <w:spacing w:before="120"/>
        <w:ind w:left="2382" w:hanging="794"/>
        <w:rPr>
          <w:color w:val="000000"/>
          <w:sz w:val="23"/>
          <w:szCs w:val="23"/>
        </w:rPr>
      </w:pPr>
      <w:bookmarkStart w:id="1678" w:name="id7190fe64_4e8e_47c1_b3ab_817867f74d"/>
      <w:r>
        <w:rPr>
          <w:color w:val="000000"/>
          <w:sz w:val="23"/>
          <w:szCs w:val="23"/>
        </w:rPr>
        <w:tab/>
        <w:t>(e)</w:t>
      </w:r>
      <w:r>
        <w:rPr>
          <w:color w:val="000000"/>
          <w:sz w:val="23"/>
          <w:szCs w:val="23"/>
        </w:rPr>
        <w:tab/>
        <w:t>the independent panel gave the AER a report on the panel’s review.</w:t>
      </w:r>
      <w:bookmarkEnd w:id="16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section 30P, the instrument is taken to have been published on the AER’s website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The report mentioned in </w:t>
      </w:r>
      <w:hyperlink w:anchor="id7190fe64_4e8e_47c1_b3ab_817867f74d" w:history="1">
        <w:r>
          <w:rPr>
            <w:color w:val="000000"/>
            <w:sz w:val="23"/>
            <w:szCs w:val="23"/>
          </w:rPr>
          <w:t>subclause (1)(e)</w:t>
        </w:r>
      </w:hyperlink>
      <w:r>
        <w:rPr>
          <w:color w:val="000000"/>
          <w:sz w:val="23"/>
          <w:szCs w:val="23"/>
        </w:rPr>
        <w:t xml:space="preserve"> need not be a consensus report on the panel’s review.</w:t>
      </w:r>
    </w:p>
    <w:p>
      <w:pPr>
        <w:pStyle w:val="Footnoteheading"/>
      </w:pPr>
      <w:r>
        <w:tab/>
        <w:t>[Clause 97 inserted: see SA Act No. 33 of 2018 s. 21 and WA Gazette 5 Apr 2019 p. 1007; modified: WA Act Sch. 1 cl. 18(5).]</w:t>
      </w:r>
    </w:p>
    <w:p>
      <w:pPr>
        <w:pStyle w:val="Heading5"/>
      </w:pPr>
      <w:bookmarkStart w:id="1679" w:name="_Toc182988"/>
      <w:bookmarkStart w:id="1680" w:name="_Toc5365375"/>
      <w:r>
        <w:rPr>
          <w:rStyle w:val="CharSectno"/>
        </w:rPr>
        <w:t>98</w:t>
      </w:r>
      <w:r>
        <w:t>.</w:t>
      </w:r>
      <w:r>
        <w:tab/>
        <w:t>Application of this Law to particular decisions</w:t>
      </w:r>
      <w:bookmarkEnd w:id="1679"/>
      <w:bookmarkEnd w:id="1680"/>
    </w:p>
    <w:p>
      <w:pPr>
        <w:keepNext/>
        <w:keepLines/>
        <w:tabs>
          <w:tab w:val="center" w:pos="1191"/>
          <w:tab w:val="left" w:pos="1588"/>
        </w:tabs>
        <w:autoSpaceDE w:val="0"/>
        <w:autoSpaceDN w:val="0"/>
        <w:adjustRightInd w:val="0"/>
        <w:spacing w:before="120"/>
        <w:ind w:left="1588" w:hanging="794"/>
        <w:rPr>
          <w:color w:val="000000"/>
          <w:sz w:val="23"/>
          <w:szCs w:val="23"/>
        </w:rPr>
      </w:pPr>
      <w:bookmarkStart w:id="1681" w:name="id89537a05_fac9_4083_93e3_ca00632e65"/>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16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w:t>
      </w:r>
      <w:hyperlink w:anchor="id89537a05_fac9_4083_93e3_ca00632e65" w:history="1">
        <w:r>
          <w:rPr>
            <w:color w:val="000000"/>
            <w:sz w:val="23"/>
            <w:szCs w:val="23"/>
          </w:rPr>
          <w:t>subclause (1)</w:t>
        </w:r>
      </w:hyperlink>
      <w:r>
        <w:rPr>
          <w:color w:val="000000"/>
          <w:sz w:val="23"/>
          <w:szCs w:val="23"/>
        </w:rPr>
        <w:t xml:space="preserve"> does not apply in relation to an AER economic regulatory decision made before the commencement that has been remitted back to the AER to make the decision again.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pP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Footnoteheading"/>
      </w:pPr>
      <w:r>
        <w:tab/>
        <w:t>[Clause 98 inserted: see SA Act No. 33 of 2018 s. 21 and WA Gazette 5 Apr 2019 p. 1007; modified: WA Act Sch. 1 cl. 18(6).]</w:t>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682" w:name="_Toc501634414"/>
      <w:bookmarkStart w:id="1683" w:name="_Toc501713310"/>
      <w:bookmarkStart w:id="1684" w:name="_Toc536782536"/>
      <w:bookmarkStart w:id="1685" w:name="_Toc5347602"/>
      <w:bookmarkStart w:id="1686" w:name="_Toc5364155"/>
      <w:bookmarkStart w:id="1687" w:name="_Toc5365376"/>
      <w:r>
        <w:t>Notes about the Western Australian National Gas Access Law text</w:t>
      </w:r>
      <w:bookmarkEnd w:id="1682"/>
      <w:bookmarkEnd w:id="1683"/>
      <w:bookmarkEnd w:id="1684"/>
      <w:bookmarkEnd w:id="1685"/>
      <w:bookmarkEnd w:id="1686"/>
      <w:bookmarkEnd w:id="1687"/>
    </w:p>
    <w:p>
      <w:pPr>
        <w:pStyle w:val="nHeading3"/>
        <w:rPr>
          <w:snapToGrid w:val="0"/>
        </w:rPr>
      </w:pPr>
      <w:bookmarkStart w:id="1688" w:name="_Toc5365377"/>
      <w:r>
        <w:rPr>
          <w:snapToGrid w:val="0"/>
        </w:rPr>
        <w:t>Compilation table</w:t>
      </w:r>
      <w:bookmarkEnd w:id="1688"/>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1966" w:type="dxa"/>
          </w:tcPr>
          <w:p>
            <w:pPr>
              <w:keepLines/>
              <w:autoSpaceDE w:val="0"/>
              <w:autoSpaceDN w:val="0"/>
              <w:adjustRightInd w:val="0"/>
              <w:spacing w:before="80"/>
              <w:rPr>
                <w:color w:val="000000"/>
                <w:sz w:val="20"/>
              </w:rPr>
            </w:pPr>
            <w:r>
              <w:rPr>
                <w:color w:val="000000"/>
                <w:sz w:val="20"/>
              </w:rPr>
              <w:t>SA Act No. 79 of 2013</w:t>
            </w:r>
          </w:p>
        </w:tc>
        <w:tc>
          <w:tcPr>
            <w:tcW w:w="2640" w:type="dxa"/>
          </w:tcPr>
          <w:p>
            <w:pPr>
              <w:keepLines/>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keepLines/>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1966" w:type="dxa"/>
          </w:tcPr>
          <w:p>
            <w:pPr>
              <w:keepLines/>
              <w:autoSpaceDE w:val="0"/>
              <w:autoSpaceDN w:val="0"/>
              <w:adjustRightInd w:val="0"/>
              <w:spacing w:before="80"/>
              <w:rPr>
                <w:color w:val="000000"/>
                <w:sz w:val="20"/>
              </w:rPr>
            </w:pPr>
            <w:r>
              <w:rPr>
                <w:color w:val="000000"/>
                <w:sz w:val="20"/>
              </w:rPr>
              <w:t>SA Act No. 23 of 2017</w:t>
            </w:r>
          </w:p>
        </w:tc>
        <w:tc>
          <w:tcPr>
            <w:tcW w:w="2640" w:type="dxa"/>
          </w:tcPr>
          <w:p>
            <w:pPr>
              <w:keepLines/>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keepLines/>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r>
        <w:trPr>
          <w:cantSplit/>
        </w:trPr>
        <w:tc>
          <w:tcPr>
            <w:tcW w:w="2474" w:type="dxa"/>
            <w:tcBorders>
              <w:bottom w:val="single" w:sz="4" w:space="0" w:color="auto"/>
            </w:tcBorders>
          </w:tcPr>
          <w:p>
            <w:pPr>
              <w:keepLines/>
              <w:autoSpaceDE w:val="0"/>
              <w:autoSpaceDN w:val="0"/>
              <w:adjustRightInd w:val="0"/>
              <w:spacing w:before="80"/>
              <w:rPr>
                <w:i/>
                <w:iCs/>
                <w:color w:val="000000"/>
                <w:sz w:val="20"/>
              </w:rPr>
            </w:pPr>
            <w:r>
              <w:rPr>
                <w:i/>
                <w:iCs/>
                <w:color w:val="000000"/>
                <w:sz w:val="20"/>
              </w:rPr>
              <w:t>Statutes Amendment (National Energy Laws) (Binding Rate of Return Instrument) Act 2018</w:t>
            </w:r>
            <w:r>
              <w:rPr>
                <w:iCs/>
                <w:color w:val="000000"/>
                <w:sz w:val="20"/>
              </w:rPr>
              <w:t xml:space="preserve"> Pt. 3</w:t>
            </w:r>
          </w:p>
        </w:tc>
        <w:tc>
          <w:tcPr>
            <w:tcW w:w="1966" w:type="dxa"/>
            <w:tcBorders>
              <w:bottom w:val="single" w:sz="4" w:space="0" w:color="auto"/>
            </w:tcBorders>
          </w:tcPr>
          <w:p>
            <w:pPr>
              <w:keepLines/>
              <w:autoSpaceDE w:val="0"/>
              <w:autoSpaceDN w:val="0"/>
              <w:adjustRightInd w:val="0"/>
              <w:spacing w:before="80"/>
              <w:rPr>
                <w:color w:val="000000"/>
                <w:sz w:val="20"/>
              </w:rPr>
            </w:pPr>
            <w:r>
              <w:rPr>
                <w:color w:val="000000"/>
                <w:sz w:val="20"/>
              </w:rPr>
              <w:t>SA Act No. 33 of 2018</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 xml:space="preserve">In SA: 13 Dec 2018 (see </w:t>
            </w:r>
            <w:r>
              <w:rPr>
                <w:i/>
                <w:color w:val="000000"/>
                <w:sz w:val="20"/>
              </w:rPr>
              <w:t>SA Gazette</w:t>
            </w:r>
            <w:r>
              <w:rPr>
                <w:color w:val="000000"/>
                <w:sz w:val="20"/>
              </w:rPr>
              <w:t xml:space="preserve"> 13 Dec 2018 p. 4272)</w:t>
            </w:r>
          </w:p>
          <w:p>
            <w:pPr>
              <w:keepLines/>
              <w:autoSpaceDE w:val="0"/>
              <w:autoSpaceDN w:val="0"/>
              <w:adjustRightInd w:val="0"/>
              <w:spacing w:before="80"/>
              <w:rPr>
                <w:color w:val="000000"/>
                <w:sz w:val="20"/>
              </w:rPr>
            </w:pPr>
            <w:r>
              <w:rPr>
                <w:color w:val="000000"/>
                <w:sz w:val="20"/>
              </w:rPr>
              <w:t xml:space="preserve">In WA: 6 Apr 2019 (see </w:t>
            </w:r>
            <w:r>
              <w:rPr>
                <w:i/>
                <w:color w:val="000000"/>
                <w:sz w:val="20"/>
              </w:rPr>
              <w:t>WA Gazette</w:t>
            </w:r>
            <w:r>
              <w:rPr>
                <w:color w:val="000000"/>
                <w:sz w:val="20"/>
              </w:rPr>
              <w:t xml:space="preserve"> 5 Apr 2019 p. 1007)</w:t>
            </w:r>
          </w:p>
        </w:tc>
      </w:tr>
    </w:tbl>
    <w:p>
      <w:pPr>
        <w:sectPr>
          <w:headerReference w:type="even" r:id="rId42"/>
          <w:headerReference w:type="default" r:id="rId43"/>
          <w:headerReference w:type="first" r:id="rId44"/>
          <w:endnotePr>
            <w:numFmt w:val="decimal"/>
          </w:endnotePr>
          <w:pgSz w:w="11907" w:h="16840" w:code="9"/>
          <w:pgMar w:top="2376" w:right="2405" w:bottom="3542" w:left="2405" w:header="706" w:footer="3528" w:gutter="0"/>
          <w:cols w:space="720"/>
          <w:noEndnote/>
        </w:sectPr>
      </w:pPr>
    </w:p>
    <w:p>
      <w:pPr>
        <w:keepNext/>
        <w:jc w:val="center"/>
        <w:outlineLvl w:val="1"/>
        <w:rPr>
          <w:b/>
          <w:snapToGrid w:val="0"/>
          <w:sz w:val="28"/>
        </w:rPr>
      </w:pPr>
      <w:bookmarkStart w:id="1690" w:name="_Toc421711472"/>
      <w:r>
        <w:rPr>
          <w:b/>
          <w:snapToGrid w:val="0"/>
          <w:sz w:val="28"/>
        </w:rPr>
        <w:t>Defined terms</w:t>
      </w:r>
      <w:bookmarkEnd w:id="1690"/>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tabs>
          <w:tab w:val="right" w:leader="dot" w:pos="7070"/>
        </w:tabs>
        <w:ind w:left="578" w:right="578"/>
        <w:rPr>
          <w:sz w:val="20"/>
        </w:rPr>
      </w:pPr>
      <w:r>
        <w:rPr>
          <w:sz w:val="20"/>
        </w:rPr>
        <w:t>15</w:t>
      </w:r>
      <w:r>
        <w:rPr>
          <w:sz w:val="20"/>
        </w:rPr>
        <w:noBreakHyphen/>
        <w:t>year no</w:t>
      </w:r>
      <w:r>
        <w:rPr>
          <w:sz w:val="20"/>
        </w:rPr>
        <w:noBreakHyphen/>
        <w:t>coverage determination</w:t>
      </w:r>
      <w:r>
        <w:rPr>
          <w:sz w:val="20"/>
        </w:rPr>
        <w:tab/>
        <w:t>2, 151(1)</w:t>
      </w:r>
    </w:p>
    <w:p>
      <w:pPr>
        <w:tabs>
          <w:tab w:val="right" w:leader="dot" w:pos="7070"/>
        </w:tabs>
        <w:ind w:left="578" w:right="578"/>
        <w:rPr>
          <w:sz w:val="20"/>
        </w:rPr>
      </w:pPr>
      <w:r>
        <w:rPr>
          <w:sz w:val="20"/>
        </w:rPr>
        <w:t>2013 non-binding guideline</w:t>
      </w:r>
      <w:r>
        <w:rPr>
          <w:sz w:val="20"/>
        </w:rPr>
        <w:tab/>
        <w:t>Sch. 3 cl. 95</w:t>
      </w:r>
    </w:p>
    <w:p>
      <w:pPr>
        <w:tabs>
          <w:tab w:val="right" w:leader="dot" w:pos="7070"/>
        </w:tabs>
        <w:ind w:left="578" w:right="578"/>
        <w:rPr>
          <w:sz w:val="20"/>
        </w:rPr>
      </w:pPr>
      <w:r>
        <w:rPr>
          <w:sz w:val="20"/>
        </w:rPr>
        <w:t>ACCC</w:t>
      </w:r>
      <w:r>
        <w:rPr>
          <w:sz w:val="20"/>
        </w:rPr>
        <w:tab/>
        <w:t>2</w:t>
      </w:r>
    </w:p>
    <w:p>
      <w:pPr>
        <w:tabs>
          <w:tab w:val="right" w:leader="dot" w:pos="7070"/>
        </w:tabs>
        <w:ind w:left="578" w:right="578"/>
        <w:rPr>
          <w:sz w:val="20"/>
        </w:rPr>
      </w:pPr>
      <w:r>
        <w:rPr>
          <w:sz w:val="20"/>
        </w:rPr>
        <w:t>access arrangement</w:t>
      </w:r>
      <w:r>
        <w:rPr>
          <w:sz w:val="20"/>
        </w:rPr>
        <w:tab/>
        <w:t>2</w:t>
      </w:r>
    </w:p>
    <w:p>
      <w:pPr>
        <w:tabs>
          <w:tab w:val="right" w:leader="dot" w:pos="7070"/>
        </w:tabs>
        <w:ind w:left="578" w:right="578"/>
        <w:rPr>
          <w:sz w:val="20"/>
        </w:rPr>
      </w:pPr>
      <w:r>
        <w:rPr>
          <w:sz w:val="20"/>
        </w:rPr>
        <w:t>access arrangement revision proposal</w:t>
      </w:r>
      <w:r>
        <w:rPr>
          <w:sz w:val="20"/>
        </w:rPr>
        <w:tab/>
        <w:t>Sch. 3 cl. 30</w:t>
      </w:r>
    </w:p>
    <w:p>
      <w:pPr>
        <w:tabs>
          <w:tab w:val="right" w:leader="dot" w:pos="7070"/>
        </w:tabs>
        <w:ind w:left="578" w:right="578"/>
        <w:rPr>
          <w:sz w:val="20"/>
        </w:rPr>
      </w:pPr>
      <w:r>
        <w:rPr>
          <w:sz w:val="20"/>
        </w:rPr>
        <w:t>access determination</w:t>
      </w:r>
      <w:r>
        <w:rPr>
          <w:sz w:val="20"/>
        </w:rPr>
        <w:tab/>
        <w:t>2, 216A</w:t>
      </w:r>
    </w:p>
    <w:p>
      <w:pPr>
        <w:tabs>
          <w:tab w:val="right" w:leader="dot" w:pos="7070"/>
        </w:tabs>
        <w:ind w:left="578" w:right="578"/>
        <w:rPr>
          <w:sz w:val="20"/>
        </w:rPr>
      </w:pPr>
      <w:r>
        <w:rPr>
          <w:sz w:val="20"/>
        </w:rPr>
        <w:t>access dispute</w:t>
      </w:r>
      <w:r>
        <w:rPr>
          <w:sz w:val="20"/>
        </w:rPr>
        <w:tab/>
        <w:t>178, 216A</w:t>
      </w:r>
    </w:p>
    <w:p>
      <w:pPr>
        <w:tabs>
          <w:tab w:val="right" w:leader="dot" w:pos="7070"/>
        </w:tabs>
        <w:ind w:left="578" w:right="578"/>
        <w:rPr>
          <w:sz w:val="20"/>
        </w:rPr>
      </w:pPr>
      <w:r>
        <w:rPr>
          <w:sz w:val="20"/>
        </w:rPr>
        <w:t xml:space="preserve">access dispute pipeline </w:t>
      </w:r>
      <w:r>
        <w:rPr>
          <w:sz w:val="20"/>
        </w:rPr>
        <w:tab/>
        <w:t>178</w:t>
      </w:r>
    </w:p>
    <w:p>
      <w:pPr>
        <w:tabs>
          <w:tab w:val="right" w:leader="dot" w:pos="7070"/>
        </w:tabs>
        <w:ind w:left="578" w:right="578"/>
        <w:rPr>
          <w:sz w:val="20"/>
        </w:rPr>
      </w:pPr>
      <w:r>
        <w:rPr>
          <w:sz w:val="20"/>
        </w:rPr>
        <w:t>Act</w:t>
      </w:r>
      <w:r>
        <w:rPr>
          <w:sz w:val="20"/>
        </w:rPr>
        <w:tab/>
        <w:t>Sch. 2 cl. 10</w:t>
      </w:r>
    </w:p>
    <w:p>
      <w:pPr>
        <w:tabs>
          <w:tab w:val="right" w:leader="dot" w:pos="7070"/>
        </w:tabs>
        <w:ind w:left="578" w:right="578"/>
        <w:rPr>
          <w:sz w:val="20"/>
        </w:rPr>
      </w:pPr>
      <w:r>
        <w:rPr>
          <w:sz w:val="20"/>
        </w:rPr>
        <w:t>acting SES employee</w:t>
      </w:r>
      <w:r>
        <w:rPr>
          <w:sz w:val="20"/>
        </w:rPr>
        <w:tab/>
        <w:t>Sch. 2 cl. 33</w:t>
      </w:r>
    </w:p>
    <w:p>
      <w:pPr>
        <w:tabs>
          <w:tab w:val="right" w:leader="dot" w:pos="7070"/>
        </w:tabs>
        <w:ind w:left="578" w:right="578"/>
        <w:rPr>
          <w:sz w:val="20"/>
        </w:rPr>
      </w:pPr>
      <w:r>
        <w:rPr>
          <w:sz w:val="20"/>
        </w:rPr>
        <w:t>active request</w:t>
      </w:r>
      <w:r>
        <w:rPr>
          <w:sz w:val="20"/>
        </w:rPr>
        <w:tab/>
        <w:t>301(1)</w:t>
      </w:r>
    </w:p>
    <w:p>
      <w:pPr>
        <w:tabs>
          <w:tab w:val="right" w:leader="dot" w:pos="7070"/>
        </w:tabs>
        <w:ind w:left="578" w:right="578"/>
        <w:rPr>
          <w:sz w:val="20"/>
        </w:rPr>
      </w:pPr>
      <w:r>
        <w:rPr>
          <w:sz w:val="20"/>
        </w:rPr>
        <w:t>additional instrument making power</w:t>
      </w:r>
      <w:r>
        <w:rPr>
          <w:sz w:val="20"/>
        </w:rPr>
        <w:tab/>
        <w:t>Sch. 2 cl. 27</w:t>
      </w:r>
    </w:p>
    <w:p>
      <w:pPr>
        <w:tabs>
          <w:tab w:val="right" w:leader="dot" w:pos="7070"/>
        </w:tabs>
        <w:ind w:left="578" w:right="578"/>
        <w:rPr>
          <w:sz w:val="20"/>
        </w:rPr>
      </w:pPr>
      <w:r>
        <w:rPr>
          <w:sz w:val="20"/>
        </w:rPr>
        <w:t>additional ring fencing requirement</w:t>
      </w:r>
      <w:r>
        <w:rPr>
          <w:sz w:val="20"/>
        </w:rPr>
        <w:tab/>
        <w:t>137, 143(1)</w:t>
      </w:r>
    </w:p>
    <w:p>
      <w:pPr>
        <w:tabs>
          <w:tab w:val="right" w:leader="dot" w:pos="7070"/>
        </w:tabs>
        <w:ind w:left="578" w:right="578"/>
        <w:rPr>
          <w:sz w:val="20"/>
        </w:rPr>
      </w:pPr>
      <w:r>
        <w:rPr>
          <w:sz w:val="20"/>
        </w:rPr>
        <w:t>adjacent area in respect of the State</w:t>
      </w:r>
      <w:r>
        <w:rPr>
          <w:sz w:val="20"/>
        </w:rPr>
        <w:tab/>
        <w:t>Act 5(2)</w:t>
      </w:r>
    </w:p>
    <w:p>
      <w:pPr>
        <w:tabs>
          <w:tab w:val="right" w:leader="dot" w:pos="7070"/>
        </w:tabs>
        <w:ind w:left="578" w:right="578"/>
        <w:rPr>
          <w:sz w:val="20"/>
        </w:rPr>
      </w:pPr>
      <w:r>
        <w:rPr>
          <w:sz w:val="20"/>
        </w:rPr>
        <w:t>adjacent area of another participating jurisdiction</w:t>
      </w:r>
      <w:r>
        <w:rPr>
          <w:sz w:val="20"/>
        </w:rPr>
        <w:tab/>
        <w:t>Act 9(1)</w:t>
      </w:r>
    </w:p>
    <w:p>
      <w:pPr>
        <w:tabs>
          <w:tab w:val="right" w:leader="dot" w:pos="7070"/>
        </w:tabs>
        <w:ind w:left="578" w:right="578"/>
        <w:rPr>
          <w:sz w:val="20"/>
        </w:rPr>
      </w:pPr>
      <w:r>
        <w:rPr>
          <w:sz w:val="20"/>
        </w:rPr>
        <w:t>adjacent area of this jurisdiction</w:t>
      </w:r>
      <w:r>
        <w:rPr>
          <w:sz w:val="20"/>
        </w:rPr>
        <w:tab/>
        <w:t>Act 9(1)</w:t>
      </w:r>
    </w:p>
    <w:p>
      <w:pPr>
        <w:tabs>
          <w:tab w:val="right" w:leader="dot" w:pos="7070"/>
        </w:tabs>
        <w:ind w:left="578" w:right="578"/>
        <w:rPr>
          <w:sz w:val="20"/>
        </w:rPr>
      </w:pPr>
      <w:r>
        <w:rPr>
          <w:sz w:val="20"/>
        </w:rPr>
        <w:t>AEMC</w:t>
      </w:r>
      <w:r>
        <w:rPr>
          <w:sz w:val="20"/>
        </w:rPr>
        <w:tab/>
        <w:t>2</w:t>
      </w:r>
    </w:p>
    <w:p>
      <w:pPr>
        <w:tabs>
          <w:tab w:val="right" w:leader="dot" w:pos="7070"/>
        </w:tabs>
        <w:ind w:left="578" w:right="578"/>
        <w:rPr>
          <w:sz w:val="20"/>
        </w:rPr>
      </w:pPr>
      <w:r>
        <w:rPr>
          <w:sz w:val="20"/>
        </w:rPr>
        <w:t>AEMC chief executive</w:t>
      </w:r>
      <w:r>
        <w:rPr>
          <w:sz w:val="20"/>
        </w:rPr>
        <w:tab/>
        <w:t>Sch. 2 cl. 33</w:t>
      </w:r>
    </w:p>
    <w:p>
      <w:pPr>
        <w:tabs>
          <w:tab w:val="right" w:leader="dot" w:pos="7070"/>
        </w:tabs>
        <w:ind w:left="578" w:right="578"/>
        <w:rPr>
          <w:sz w:val="20"/>
        </w:rPr>
      </w:pPr>
      <w:r>
        <w:rPr>
          <w:sz w:val="20"/>
        </w:rPr>
        <w:t>AEMC Commissioner</w:t>
      </w:r>
      <w:r>
        <w:rPr>
          <w:sz w:val="20"/>
        </w:rPr>
        <w:tab/>
        <w:t>Sch. 2 cl. 33</w:t>
      </w:r>
    </w:p>
    <w:p>
      <w:pPr>
        <w:tabs>
          <w:tab w:val="right" w:leader="dot" w:pos="7070"/>
        </w:tabs>
        <w:ind w:left="578" w:right="578"/>
        <w:rPr>
          <w:sz w:val="20"/>
        </w:rPr>
      </w:pPr>
      <w:r>
        <w:rPr>
          <w:sz w:val="20"/>
        </w:rPr>
        <w:t>AEMC initiated Rule</w:t>
      </w:r>
      <w:r>
        <w:rPr>
          <w:sz w:val="20"/>
        </w:rPr>
        <w:tab/>
        <w:t>290</w:t>
      </w:r>
    </w:p>
    <w:p>
      <w:pPr>
        <w:tabs>
          <w:tab w:val="right" w:leader="dot" w:pos="7070"/>
        </w:tabs>
        <w:ind w:left="578" w:right="578"/>
        <w:rPr>
          <w:sz w:val="20"/>
        </w:rPr>
      </w:pPr>
      <w:r>
        <w:rPr>
          <w:sz w:val="20"/>
        </w:rPr>
        <w:t>AEMC official</w:t>
      </w:r>
      <w:r>
        <w:rPr>
          <w:sz w:val="20"/>
        </w:rPr>
        <w:tab/>
        <w:t>86(3)</w:t>
      </w:r>
    </w:p>
    <w:p>
      <w:pPr>
        <w:tabs>
          <w:tab w:val="right" w:leader="dot" w:pos="7070"/>
        </w:tabs>
        <w:ind w:left="578" w:right="578"/>
        <w:rPr>
          <w:sz w:val="20"/>
        </w:rPr>
      </w:pPr>
      <w:r>
        <w:rPr>
          <w:sz w:val="20"/>
        </w:rPr>
        <w:t>AEMC Rule review</w:t>
      </w:r>
      <w:r>
        <w:rPr>
          <w:sz w:val="20"/>
        </w:rPr>
        <w:tab/>
        <w:t>290</w:t>
      </w:r>
    </w:p>
    <w:p>
      <w:pPr>
        <w:tabs>
          <w:tab w:val="right" w:leader="dot" w:pos="7070"/>
        </w:tabs>
        <w:ind w:left="578" w:right="578"/>
        <w:rPr>
          <w:sz w:val="20"/>
        </w:rPr>
      </w:pPr>
      <w:r>
        <w:rPr>
          <w:sz w:val="20"/>
        </w:rPr>
        <w:t>AER</w:t>
      </w:r>
      <w:r>
        <w:rPr>
          <w:sz w:val="20"/>
        </w:rPr>
        <w:tab/>
        <w:t>2</w:t>
      </w:r>
    </w:p>
    <w:p>
      <w:pPr>
        <w:tabs>
          <w:tab w:val="right" w:leader="dot" w:pos="7070"/>
        </w:tabs>
        <w:ind w:left="578" w:right="578"/>
        <w:rPr>
          <w:sz w:val="20"/>
        </w:rPr>
      </w:pPr>
      <w:r>
        <w:rPr>
          <w:sz w:val="20"/>
        </w:rPr>
        <w:t>AER breach investigation</w:t>
      </w:r>
      <w:r>
        <w:rPr>
          <w:sz w:val="20"/>
        </w:rPr>
        <w:tab/>
        <w:t>Sch. 3 cl. 45</w:t>
      </w:r>
    </w:p>
    <w:p>
      <w:pPr>
        <w:tabs>
          <w:tab w:val="right" w:leader="dot" w:pos="7070"/>
        </w:tabs>
        <w:ind w:left="578" w:right="578"/>
        <w:rPr>
          <w:sz w:val="20"/>
        </w:rPr>
      </w:pPr>
      <w:r>
        <w:rPr>
          <w:sz w:val="20"/>
        </w:rPr>
        <w:t>AER economic regulatory decision</w:t>
      </w:r>
      <w:r>
        <w:rPr>
          <w:sz w:val="20"/>
        </w:rPr>
        <w:tab/>
        <w:t>2</w:t>
      </w:r>
    </w:p>
    <w:p>
      <w:pPr>
        <w:tabs>
          <w:tab w:val="right" w:leader="dot" w:pos="7070"/>
        </w:tabs>
        <w:ind w:left="578" w:right="578"/>
        <w:rPr>
          <w:sz w:val="20"/>
        </w:rPr>
      </w:pPr>
      <w:r>
        <w:rPr>
          <w:sz w:val="20"/>
        </w:rPr>
        <w:t>AER economic regulatory function or power</w:t>
      </w:r>
      <w:r>
        <w:rPr>
          <w:sz w:val="20"/>
        </w:rPr>
        <w:tab/>
        <w:t>2</w:t>
      </w:r>
    </w:p>
    <w:p>
      <w:pPr>
        <w:tabs>
          <w:tab w:val="right" w:leader="dot" w:pos="7070"/>
        </w:tabs>
        <w:ind w:left="578" w:right="578"/>
        <w:rPr>
          <w:sz w:val="20"/>
        </w:rPr>
      </w:pPr>
      <w:r>
        <w:rPr>
          <w:sz w:val="20"/>
        </w:rPr>
        <w:t>AER information disclosure decision</w:t>
      </w:r>
      <w:r>
        <w:rPr>
          <w:sz w:val="20"/>
        </w:rPr>
        <w:tab/>
        <w:t>244</w:t>
      </w:r>
    </w:p>
    <w:p>
      <w:pPr>
        <w:tabs>
          <w:tab w:val="right" w:leader="dot" w:pos="7070"/>
        </w:tabs>
        <w:ind w:left="578" w:right="578"/>
        <w:rPr>
          <w:sz w:val="20"/>
        </w:rPr>
      </w:pPr>
      <w:r>
        <w:rPr>
          <w:sz w:val="20"/>
        </w:rPr>
        <w:t>AER member</w:t>
      </w:r>
      <w:r>
        <w:rPr>
          <w:sz w:val="20"/>
        </w:rPr>
        <w:tab/>
        <w:t>Sch. 2 cl. 33</w:t>
      </w:r>
    </w:p>
    <w:p>
      <w:pPr>
        <w:tabs>
          <w:tab w:val="right" w:leader="dot" w:pos="7070"/>
        </w:tabs>
        <w:ind w:left="578" w:right="578"/>
        <w:rPr>
          <w:sz w:val="20"/>
        </w:rPr>
      </w:pPr>
      <w:r>
        <w:rPr>
          <w:sz w:val="20"/>
        </w:rPr>
        <w:t>AER ring fencing determination</w:t>
      </w:r>
      <w:r>
        <w:rPr>
          <w:sz w:val="20"/>
        </w:rPr>
        <w:tab/>
        <w:t>2</w:t>
      </w:r>
    </w:p>
    <w:p>
      <w:pPr>
        <w:tabs>
          <w:tab w:val="right" w:leader="dot" w:pos="7070"/>
        </w:tabs>
        <w:ind w:left="578" w:right="578"/>
        <w:rPr>
          <w:sz w:val="20"/>
        </w:rPr>
      </w:pPr>
      <w:r>
        <w:rPr>
          <w:sz w:val="20"/>
        </w:rPr>
        <w:t>affected access arrangement decision</w:t>
      </w:r>
      <w:r>
        <w:rPr>
          <w:sz w:val="20"/>
        </w:rPr>
        <w:tab/>
        <w:t>Sch. 2 cl. 53A</w:t>
      </w:r>
    </w:p>
    <w:p>
      <w:pPr>
        <w:tabs>
          <w:tab w:val="right" w:leader="dot" w:pos="7070"/>
        </w:tabs>
        <w:ind w:left="578" w:right="578"/>
        <w:rPr>
          <w:sz w:val="20"/>
        </w:rPr>
      </w:pPr>
      <w:r>
        <w:rPr>
          <w:sz w:val="20"/>
        </w:rPr>
        <w:t>affected or interested person or body</w:t>
      </w:r>
      <w:r>
        <w:rPr>
          <w:sz w:val="20"/>
        </w:rPr>
        <w:tab/>
        <w:t>244, 250</w:t>
      </w:r>
    </w:p>
    <w:p>
      <w:pPr>
        <w:tabs>
          <w:tab w:val="right" w:leader="dot" w:pos="7070"/>
        </w:tabs>
        <w:ind w:left="578" w:right="578"/>
        <w:rPr>
          <w:sz w:val="20"/>
        </w:rPr>
      </w:pPr>
      <w:r>
        <w:rPr>
          <w:sz w:val="20"/>
        </w:rPr>
        <w:t>affidavit</w:t>
      </w:r>
      <w:r>
        <w:rPr>
          <w:sz w:val="20"/>
        </w:rPr>
        <w:tab/>
        <w:t>Sch. 2 cl. 10</w:t>
      </w:r>
    </w:p>
    <w:p>
      <w:pPr>
        <w:tabs>
          <w:tab w:val="right" w:leader="dot" w:pos="7070"/>
        </w:tabs>
        <w:ind w:left="578" w:right="578"/>
        <w:rPr>
          <w:sz w:val="20"/>
        </w:rPr>
      </w:pPr>
      <w:r>
        <w:rPr>
          <w:sz w:val="20"/>
        </w:rPr>
        <w:t>amend</w:t>
      </w:r>
      <w:r>
        <w:rPr>
          <w:sz w:val="20"/>
        </w:rPr>
        <w:tab/>
        <w:t>Sch. 2 cl. 10</w:t>
      </w:r>
    </w:p>
    <w:p>
      <w:pPr>
        <w:tabs>
          <w:tab w:val="right" w:leader="dot" w:pos="7070"/>
        </w:tabs>
        <w:ind w:left="578" w:right="578"/>
        <w:rPr>
          <w:sz w:val="20"/>
        </w:rPr>
      </w:pPr>
      <w:r>
        <w:rPr>
          <w:sz w:val="20"/>
        </w:rPr>
        <w:t>amended Law</w:t>
      </w:r>
      <w:r>
        <w:rPr>
          <w:sz w:val="20"/>
        </w:rPr>
        <w:tab/>
        <w:t>Sch. 3 cl. 98</w:t>
      </w:r>
    </w:p>
    <w:p>
      <w:pPr>
        <w:tabs>
          <w:tab w:val="right" w:leader="dot" w:pos="7070"/>
        </w:tabs>
        <w:ind w:left="578" w:right="578"/>
        <w:rPr>
          <w:sz w:val="20"/>
        </w:rPr>
      </w:pPr>
      <w:r>
        <w:rPr>
          <w:sz w:val="20"/>
        </w:rPr>
        <w:t>applicable access arrangement</w:t>
      </w:r>
      <w:r>
        <w:rPr>
          <w:sz w:val="20"/>
        </w:rPr>
        <w:tab/>
        <w:t>2</w:t>
      </w:r>
    </w:p>
    <w:p>
      <w:pPr>
        <w:tabs>
          <w:tab w:val="right" w:leader="dot" w:pos="7070"/>
        </w:tabs>
        <w:ind w:left="578" w:right="578"/>
        <w:rPr>
          <w:sz w:val="20"/>
        </w:rPr>
      </w:pPr>
      <w:r>
        <w:rPr>
          <w:sz w:val="20"/>
        </w:rPr>
        <w:t>applicable access arrangement decision</w:t>
      </w:r>
      <w:r>
        <w:rPr>
          <w:sz w:val="20"/>
        </w:rPr>
        <w:tab/>
        <w:t>2</w:t>
      </w:r>
    </w:p>
    <w:p>
      <w:pPr>
        <w:tabs>
          <w:tab w:val="right" w:leader="dot" w:pos="7070"/>
        </w:tabs>
        <w:ind w:left="578" w:right="578"/>
        <w:rPr>
          <w:sz w:val="20"/>
        </w:rPr>
      </w:pPr>
      <w:r>
        <w:rPr>
          <w:sz w:val="20"/>
        </w:rPr>
        <w:t>applicant</w:t>
      </w:r>
      <w:r>
        <w:rPr>
          <w:sz w:val="20"/>
        </w:rPr>
        <w:tab/>
        <w:t>244</w:t>
      </w:r>
    </w:p>
    <w:p>
      <w:pPr>
        <w:tabs>
          <w:tab w:val="right" w:leader="dot" w:pos="7070"/>
        </w:tabs>
        <w:ind w:left="578" w:right="578"/>
        <w:rPr>
          <w:sz w:val="20"/>
        </w:rPr>
      </w:pPr>
      <w:r>
        <w:rPr>
          <w:sz w:val="20"/>
        </w:rPr>
        <w:t>appoint</w:t>
      </w:r>
      <w:r>
        <w:rPr>
          <w:sz w:val="20"/>
        </w:rPr>
        <w:tab/>
        <w:t>Sch. 2 cl. 10</w:t>
      </w:r>
    </w:p>
    <w:p>
      <w:pPr>
        <w:tabs>
          <w:tab w:val="right" w:leader="dot" w:pos="7070"/>
        </w:tabs>
        <w:ind w:left="578" w:right="578"/>
        <w:rPr>
          <w:sz w:val="20"/>
        </w:rPr>
      </w:pPr>
      <w:r>
        <w:rPr>
          <w:sz w:val="20"/>
        </w:rPr>
        <w:t>approved associate contract</w:t>
      </w:r>
      <w:r>
        <w:rPr>
          <w:sz w:val="20"/>
        </w:rPr>
        <w:tab/>
        <w:t>2</w:t>
      </w:r>
    </w:p>
    <w:p>
      <w:pPr>
        <w:tabs>
          <w:tab w:val="right" w:leader="dot" w:pos="7070"/>
        </w:tabs>
        <w:ind w:left="578" w:right="578"/>
        <w:rPr>
          <w:sz w:val="20"/>
        </w:rPr>
      </w:pPr>
      <w:r>
        <w:rPr>
          <w:sz w:val="20"/>
        </w:rPr>
        <w:t>associate</w:t>
      </w:r>
      <w:r>
        <w:rPr>
          <w:sz w:val="20"/>
        </w:rPr>
        <w:tab/>
        <w:t>2</w:t>
      </w:r>
    </w:p>
    <w:p>
      <w:pPr>
        <w:tabs>
          <w:tab w:val="right" w:leader="dot" w:pos="7070"/>
        </w:tabs>
        <w:ind w:left="578" w:right="578"/>
        <w:rPr>
          <w:sz w:val="20"/>
        </w:rPr>
      </w:pPr>
      <w:r>
        <w:rPr>
          <w:sz w:val="20"/>
        </w:rPr>
        <w:t>associate contract</w:t>
      </w:r>
      <w:r>
        <w:rPr>
          <w:sz w:val="20"/>
        </w:rPr>
        <w:tab/>
        <w:t>2</w:t>
      </w:r>
    </w:p>
    <w:p>
      <w:pPr>
        <w:tabs>
          <w:tab w:val="right" w:leader="dot" w:pos="7070"/>
        </w:tabs>
        <w:ind w:left="578" w:right="578"/>
        <w:rPr>
          <w:sz w:val="20"/>
        </w:rPr>
      </w:pPr>
      <w:r>
        <w:rPr>
          <w:sz w:val="20"/>
        </w:rPr>
        <w:t>associate contract decision</w:t>
      </w:r>
      <w:r>
        <w:rPr>
          <w:sz w:val="20"/>
        </w:rPr>
        <w:tab/>
        <w:t>2</w:t>
      </w:r>
    </w:p>
    <w:p>
      <w:pPr>
        <w:tabs>
          <w:tab w:val="right" w:leader="dot" w:pos="7070"/>
        </w:tabs>
        <w:ind w:left="578" w:right="578"/>
        <w:rPr>
          <w:sz w:val="20"/>
        </w:rPr>
      </w:pPr>
      <w:r>
        <w:rPr>
          <w:sz w:val="20"/>
        </w:rPr>
        <w:t>associate pipeline service</w:t>
      </w:r>
      <w:r>
        <w:rPr>
          <w:sz w:val="20"/>
        </w:rPr>
        <w:tab/>
        <w:t>2</w:t>
      </w:r>
    </w:p>
    <w:p>
      <w:pPr>
        <w:tabs>
          <w:tab w:val="right" w:leader="dot" w:pos="7070"/>
        </w:tabs>
        <w:ind w:left="578" w:right="578"/>
        <w:rPr>
          <w:sz w:val="20"/>
        </w:rPr>
      </w:pPr>
      <w:r>
        <w:rPr>
          <w:sz w:val="20"/>
        </w:rPr>
        <w:t>authorised person</w:t>
      </w:r>
      <w:r>
        <w:rPr>
          <w:sz w:val="20"/>
        </w:rPr>
        <w:tab/>
        <w:t>31</w:t>
      </w:r>
    </w:p>
    <w:p>
      <w:pPr>
        <w:tabs>
          <w:tab w:val="right" w:leader="dot" w:pos="7070"/>
        </w:tabs>
        <w:ind w:left="578" w:right="578"/>
        <w:rPr>
          <w:sz w:val="20"/>
        </w:rPr>
      </w:pPr>
      <w:r>
        <w:rPr>
          <w:sz w:val="20"/>
        </w:rPr>
        <w:t>average annual regulated revenue</w:t>
      </w:r>
      <w:r>
        <w:rPr>
          <w:sz w:val="20"/>
        </w:rPr>
        <w:tab/>
        <w:t>244</w:t>
      </w:r>
    </w:p>
    <w:p>
      <w:pPr>
        <w:tabs>
          <w:tab w:val="right" w:leader="dot" w:pos="7070"/>
        </w:tabs>
        <w:ind w:left="578" w:right="578"/>
        <w:rPr>
          <w:sz w:val="20"/>
        </w:rPr>
      </w:pPr>
      <w:r>
        <w:rPr>
          <w:sz w:val="20"/>
        </w:rPr>
        <w:t>basic instrument making power</w:t>
      </w:r>
      <w:r>
        <w:rPr>
          <w:sz w:val="20"/>
        </w:rPr>
        <w:tab/>
        <w:t>Sch. 2 cl. 27</w:t>
      </w:r>
    </w:p>
    <w:p>
      <w:pPr>
        <w:tabs>
          <w:tab w:val="right" w:leader="dot" w:pos="7070"/>
        </w:tabs>
        <w:ind w:left="578" w:right="578"/>
        <w:rPr>
          <w:sz w:val="20"/>
        </w:rPr>
      </w:pPr>
      <w:r>
        <w:rPr>
          <w:sz w:val="20"/>
        </w:rPr>
        <w:t>binding no</w:t>
      </w:r>
      <w:r>
        <w:rPr>
          <w:sz w:val="20"/>
        </w:rPr>
        <w:noBreakHyphen/>
        <w:t>coverage determination</w:t>
      </w:r>
      <w:r>
        <w:rPr>
          <w:sz w:val="20"/>
        </w:rPr>
        <w:tab/>
        <w:t>Sch. 3 cl. 1</w:t>
      </w:r>
    </w:p>
    <w:p>
      <w:pPr>
        <w:tabs>
          <w:tab w:val="right" w:leader="dot" w:pos="7070"/>
        </w:tabs>
        <w:ind w:left="578" w:right="578"/>
        <w:rPr>
          <w:sz w:val="20"/>
        </w:rPr>
      </w:pPr>
      <w:r>
        <w:rPr>
          <w:sz w:val="20"/>
        </w:rPr>
        <w:t>breach</w:t>
      </w:r>
      <w:r>
        <w:rPr>
          <w:sz w:val="20"/>
        </w:rPr>
        <w:tab/>
        <w:t>Sch. 2 cl. 10</w:t>
      </w:r>
    </w:p>
    <w:p>
      <w:pPr>
        <w:tabs>
          <w:tab w:val="right" w:leader="dot" w:pos="7070"/>
        </w:tabs>
        <w:ind w:left="578" w:right="578"/>
        <w:rPr>
          <w:sz w:val="20"/>
        </w:rPr>
      </w:pPr>
      <w:r>
        <w:rPr>
          <w:sz w:val="20"/>
        </w:rPr>
        <w:t>breach provision</w:t>
      </w:r>
      <w:r>
        <w:rPr>
          <w:sz w:val="20"/>
        </w:rPr>
        <w:tab/>
        <w:t>287</w:t>
      </w:r>
    </w:p>
    <w:p>
      <w:pPr>
        <w:tabs>
          <w:tab w:val="right" w:leader="dot" w:pos="7070"/>
        </w:tabs>
        <w:ind w:left="578" w:right="578"/>
        <w:rPr>
          <w:sz w:val="20"/>
        </w:rPr>
      </w:pPr>
      <w:r>
        <w:rPr>
          <w:sz w:val="20"/>
        </w:rPr>
        <w:t>Bulletin Board information</w:t>
      </w:r>
      <w:r>
        <w:rPr>
          <w:sz w:val="20"/>
        </w:rPr>
        <w:tab/>
        <w:t>2</w:t>
      </w:r>
    </w:p>
    <w:p>
      <w:pPr>
        <w:tabs>
          <w:tab w:val="right" w:leader="dot" w:pos="7070"/>
        </w:tabs>
        <w:ind w:left="578" w:right="578"/>
        <w:rPr>
          <w:sz w:val="20"/>
        </w:rPr>
      </w:pPr>
      <w:r>
        <w:rPr>
          <w:sz w:val="20"/>
        </w:rPr>
        <w:t>Bulletin Board operator</w:t>
      </w:r>
      <w:r>
        <w:rPr>
          <w:sz w:val="20"/>
        </w:rPr>
        <w:tab/>
        <w:t>2</w:t>
      </w:r>
    </w:p>
    <w:p>
      <w:pPr>
        <w:tabs>
          <w:tab w:val="right" w:leader="dot" w:pos="7070"/>
        </w:tabs>
        <w:ind w:left="578" w:right="578"/>
        <w:rPr>
          <w:sz w:val="20"/>
        </w:rPr>
      </w:pPr>
      <w:r>
        <w:rPr>
          <w:sz w:val="20"/>
        </w:rPr>
        <w:t>business day</w:t>
      </w:r>
      <w:r>
        <w:rPr>
          <w:sz w:val="20"/>
        </w:rPr>
        <w:tab/>
        <w:t>Sch. 2 cl. 10</w:t>
      </w:r>
    </w:p>
    <w:p>
      <w:pPr>
        <w:tabs>
          <w:tab w:val="right" w:leader="dot" w:pos="7070"/>
        </w:tabs>
        <w:ind w:left="578" w:right="578"/>
        <w:rPr>
          <w:sz w:val="20"/>
        </w:rPr>
      </w:pPr>
      <w:r>
        <w:rPr>
          <w:sz w:val="20"/>
        </w:rPr>
        <w:t>business unit A</w:t>
      </w:r>
      <w:r>
        <w:rPr>
          <w:sz w:val="20"/>
        </w:rPr>
        <w:tab/>
        <w:t>143(2)</w:t>
      </w:r>
    </w:p>
    <w:p>
      <w:pPr>
        <w:tabs>
          <w:tab w:val="right" w:leader="dot" w:pos="7070"/>
        </w:tabs>
        <w:ind w:left="578" w:right="578"/>
        <w:rPr>
          <w:sz w:val="20"/>
        </w:rPr>
      </w:pPr>
      <w:r>
        <w:rPr>
          <w:sz w:val="20"/>
        </w:rPr>
        <w:t>business unit B</w:t>
      </w:r>
      <w:r>
        <w:rPr>
          <w:sz w:val="20"/>
        </w:rPr>
        <w:tab/>
        <w:t>143(2)</w:t>
      </w:r>
    </w:p>
    <w:p>
      <w:pPr>
        <w:tabs>
          <w:tab w:val="right" w:leader="dot" w:pos="7070"/>
        </w:tabs>
        <w:ind w:left="578" w:right="578"/>
        <w:rPr>
          <w:sz w:val="20"/>
        </w:rPr>
      </w:pPr>
      <w:r>
        <w:rPr>
          <w:sz w:val="20"/>
        </w:rPr>
        <w:t>calendar month</w:t>
      </w:r>
      <w:r>
        <w:rPr>
          <w:sz w:val="20"/>
        </w:rPr>
        <w:tab/>
        <w:t>Sch. 2 cl. 10</w:t>
      </w:r>
    </w:p>
    <w:p>
      <w:pPr>
        <w:tabs>
          <w:tab w:val="right" w:leader="dot" w:pos="7070"/>
        </w:tabs>
        <w:ind w:left="578" w:right="578"/>
        <w:rPr>
          <w:sz w:val="20"/>
        </w:rPr>
      </w:pPr>
      <w:r>
        <w:rPr>
          <w:sz w:val="20"/>
        </w:rPr>
        <w:t>calendar year</w:t>
      </w:r>
      <w:r>
        <w:rPr>
          <w:sz w:val="20"/>
        </w:rPr>
        <w:tab/>
        <w:t>Sch. 2 cl. 10</w:t>
      </w:r>
    </w:p>
    <w:p>
      <w:pPr>
        <w:tabs>
          <w:tab w:val="right" w:leader="dot" w:pos="7070"/>
        </w:tabs>
        <w:ind w:left="578" w:right="578"/>
        <w:rPr>
          <w:sz w:val="20"/>
        </w:rPr>
      </w:pPr>
      <w:r>
        <w:rPr>
          <w:sz w:val="20"/>
        </w:rPr>
        <w:t>charge</w:t>
      </w:r>
      <w:r>
        <w:rPr>
          <w:sz w:val="20"/>
        </w:rPr>
        <w:tab/>
        <w:t>2</w:t>
      </w:r>
    </w:p>
    <w:p>
      <w:pPr>
        <w:tabs>
          <w:tab w:val="right" w:leader="dot" w:pos="7070"/>
        </w:tabs>
        <w:ind w:left="578" w:right="578"/>
        <w:rPr>
          <w:sz w:val="20"/>
        </w:rPr>
      </w:pPr>
      <w:r>
        <w:rPr>
          <w:sz w:val="20"/>
        </w:rPr>
        <w:t>civil monetary liability</w:t>
      </w:r>
      <w:r>
        <w:rPr>
          <w:sz w:val="20"/>
        </w:rPr>
        <w:tab/>
        <w:t>221(6), 226(5)</w:t>
      </w:r>
    </w:p>
    <w:p>
      <w:pPr>
        <w:tabs>
          <w:tab w:val="right" w:leader="dot" w:pos="7070"/>
        </w:tabs>
        <w:ind w:left="578" w:right="578"/>
        <w:rPr>
          <w:sz w:val="20"/>
        </w:rPr>
      </w:pPr>
      <w:r>
        <w:rPr>
          <w:sz w:val="20"/>
        </w:rPr>
        <w:t>civil penalty</w:t>
      </w:r>
      <w:r>
        <w:rPr>
          <w:sz w:val="20"/>
        </w:rPr>
        <w:tab/>
        <w:t>2</w:t>
      </w:r>
    </w:p>
    <w:p>
      <w:pPr>
        <w:tabs>
          <w:tab w:val="right" w:leader="dot" w:pos="7070"/>
        </w:tabs>
        <w:ind w:left="578" w:right="578"/>
        <w:rPr>
          <w:sz w:val="20"/>
        </w:rPr>
      </w:pPr>
      <w:r>
        <w:rPr>
          <w:sz w:val="20"/>
        </w:rPr>
        <w:t>civil penalty provision</w:t>
      </w:r>
      <w:r>
        <w:rPr>
          <w:sz w:val="20"/>
        </w:rPr>
        <w:tab/>
        <w:t>2</w:t>
      </w:r>
    </w:p>
    <w:p>
      <w:pPr>
        <w:tabs>
          <w:tab w:val="right" w:leader="dot" w:pos="7070"/>
        </w:tabs>
        <w:ind w:left="578" w:right="578"/>
        <w:rPr>
          <w:sz w:val="20"/>
        </w:rPr>
      </w:pPr>
      <w:r>
        <w:rPr>
          <w:sz w:val="20"/>
        </w:rPr>
        <w:t>classification decision under the Rules</w:t>
      </w:r>
      <w:r>
        <w:rPr>
          <w:sz w:val="20"/>
        </w:rPr>
        <w:tab/>
        <w:t>2</w:t>
      </w:r>
    </w:p>
    <w:p>
      <w:pPr>
        <w:tabs>
          <w:tab w:val="right" w:leader="dot" w:pos="7070"/>
        </w:tabs>
        <w:ind w:left="578" w:right="578"/>
        <w:rPr>
          <w:sz w:val="20"/>
        </w:rPr>
      </w:pPr>
      <w:r>
        <w:rPr>
          <w:sz w:val="20"/>
        </w:rPr>
        <w:t>coastal waters</w:t>
      </w:r>
      <w:r>
        <w:rPr>
          <w:sz w:val="20"/>
        </w:rPr>
        <w:tab/>
        <w:t>Act 5(2)</w:t>
      </w:r>
    </w:p>
    <w:p>
      <w:pPr>
        <w:tabs>
          <w:tab w:val="right" w:leader="dot" w:pos="7070"/>
        </w:tabs>
        <w:ind w:left="578" w:right="578"/>
        <w:rPr>
          <w:sz w:val="20"/>
        </w:rPr>
      </w:pPr>
      <w:r>
        <w:rPr>
          <w:sz w:val="20"/>
        </w:rPr>
        <w:t>commencement</w:t>
      </w:r>
      <w:r>
        <w:rPr>
          <w:sz w:val="20"/>
        </w:rPr>
        <w:tab/>
        <w:t>Sch. 2 cl. 10, Sch. 3 cl. 95</w:t>
      </w:r>
    </w:p>
    <w:p>
      <w:pPr>
        <w:tabs>
          <w:tab w:val="right" w:leader="dot" w:pos="7070"/>
        </w:tabs>
        <w:ind w:left="578" w:right="578"/>
        <w:rPr>
          <w:sz w:val="20"/>
        </w:rPr>
      </w:pPr>
      <w:r>
        <w:rPr>
          <w:sz w:val="20"/>
        </w:rPr>
        <w:t>commencement day</w:t>
      </w:r>
      <w:r>
        <w:rPr>
          <w:sz w:val="20"/>
        </w:rPr>
        <w:tab/>
        <w:t>Sch. 3 cl. 1</w:t>
      </w:r>
    </w:p>
    <w:p>
      <w:pPr>
        <w:tabs>
          <w:tab w:val="right" w:leader="dot" w:pos="7070"/>
        </w:tabs>
        <w:ind w:left="578" w:right="578"/>
        <w:rPr>
          <w:sz w:val="20"/>
        </w:rPr>
      </w:pPr>
      <w:r>
        <w:rPr>
          <w:sz w:val="20"/>
        </w:rPr>
        <w:t>commission</w:t>
      </w:r>
      <w:r>
        <w:rPr>
          <w:sz w:val="20"/>
        </w:rPr>
        <w:tab/>
        <w:t>2</w:t>
      </w:r>
    </w:p>
    <w:p>
      <w:pPr>
        <w:tabs>
          <w:tab w:val="right" w:leader="dot" w:pos="7070"/>
        </w:tabs>
        <w:ind w:left="578" w:right="578"/>
        <w:rPr>
          <w:sz w:val="20"/>
        </w:rPr>
      </w:pPr>
      <w:r>
        <w:rPr>
          <w:sz w:val="20"/>
        </w:rPr>
        <w:t>Commonwealth bodies</w:t>
      </w:r>
      <w:r>
        <w:rPr>
          <w:sz w:val="20"/>
        </w:rPr>
        <w:tab/>
        <w:t>Act 12(2)</w:t>
      </w:r>
    </w:p>
    <w:p>
      <w:pPr>
        <w:tabs>
          <w:tab w:val="right" w:leader="dot" w:pos="7070"/>
        </w:tabs>
        <w:ind w:left="578" w:right="578"/>
        <w:rPr>
          <w:sz w:val="20"/>
        </w:rPr>
      </w:pPr>
      <w:r>
        <w:rPr>
          <w:sz w:val="20"/>
        </w:rPr>
        <w:t>Commonwealth Minister</w:t>
      </w:r>
      <w:r>
        <w:rPr>
          <w:sz w:val="20"/>
        </w:rPr>
        <w:tab/>
        <w:t>2</w:t>
      </w:r>
    </w:p>
    <w:p>
      <w:pPr>
        <w:tabs>
          <w:tab w:val="right" w:leader="dot" w:pos="7070"/>
        </w:tabs>
        <w:ind w:left="578" w:right="578"/>
        <w:rPr>
          <w:sz w:val="20"/>
        </w:rPr>
      </w:pPr>
      <w:r>
        <w:rPr>
          <w:sz w:val="20"/>
        </w:rPr>
        <w:t>compliance date</w:t>
      </w:r>
      <w:r>
        <w:rPr>
          <w:sz w:val="20"/>
        </w:rPr>
        <w:tab/>
        <w:t>137</w:t>
      </w:r>
    </w:p>
    <w:p>
      <w:pPr>
        <w:tabs>
          <w:tab w:val="right" w:leader="dot" w:pos="7070"/>
        </w:tabs>
        <w:ind w:left="578" w:right="578"/>
        <w:rPr>
          <w:sz w:val="20"/>
        </w:rPr>
      </w:pPr>
      <w:r>
        <w:rPr>
          <w:sz w:val="20"/>
        </w:rPr>
        <w:t>complying service provider</w:t>
      </w:r>
      <w:r>
        <w:rPr>
          <w:sz w:val="20"/>
        </w:rPr>
        <w:tab/>
        <w:t>10(2)</w:t>
      </w:r>
    </w:p>
    <w:p>
      <w:pPr>
        <w:tabs>
          <w:tab w:val="right" w:leader="dot" w:pos="7070"/>
        </w:tabs>
        <w:ind w:left="578" w:right="578"/>
        <w:rPr>
          <w:sz w:val="20"/>
        </w:rPr>
      </w:pPr>
      <w:r>
        <w:rPr>
          <w:sz w:val="20"/>
        </w:rPr>
        <w:t>conduct provision</w:t>
      </w:r>
      <w:r>
        <w:rPr>
          <w:sz w:val="20"/>
        </w:rPr>
        <w:tab/>
        <w:t>2</w:t>
      </w:r>
    </w:p>
    <w:p>
      <w:pPr>
        <w:tabs>
          <w:tab w:val="right" w:leader="dot" w:pos="7070"/>
        </w:tabs>
        <w:ind w:left="578" w:right="578"/>
        <w:rPr>
          <w:sz w:val="20"/>
        </w:rPr>
      </w:pPr>
      <w:r>
        <w:rPr>
          <w:sz w:val="20"/>
        </w:rPr>
        <w:t>confer</w:t>
      </w:r>
      <w:r>
        <w:rPr>
          <w:sz w:val="20"/>
        </w:rPr>
        <w:tab/>
        <w:t>Sch. 2 cl. 10</w:t>
      </w:r>
    </w:p>
    <w:p>
      <w:pPr>
        <w:tabs>
          <w:tab w:val="right" w:leader="dot" w:pos="7070"/>
        </w:tabs>
        <w:ind w:left="578" w:right="578"/>
        <w:rPr>
          <w:sz w:val="20"/>
        </w:rPr>
      </w:pPr>
      <w:r>
        <w:rPr>
          <w:sz w:val="20"/>
        </w:rPr>
        <w:t>consolidated Rule request</w:t>
      </w:r>
      <w:r>
        <w:rPr>
          <w:sz w:val="20"/>
        </w:rPr>
        <w:tab/>
        <w:t>300</w:t>
      </w:r>
    </w:p>
    <w:p>
      <w:pPr>
        <w:tabs>
          <w:tab w:val="right" w:leader="dot" w:pos="7070"/>
        </w:tabs>
        <w:ind w:left="578" w:right="578"/>
        <w:rPr>
          <w:sz w:val="20"/>
        </w:rPr>
      </w:pPr>
      <w:r>
        <w:rPr>
          <w:sz w:val="20"/>
        </w:rPr>
        <w:t>constituent components</w:t>
      </w:r>
      <w:r>
        <w:rPr>
          <w:sz w:val="20"/>
        </w:rPr>
        <w:tab/>
        <w:t>2</w:t>
      </w:r>
    </w:p>
    <w:p>
      <w:pPr>
        <w:tabs>
          <w:tab w:val="right" w:leader="dot" w:pos="7070"/>
        </w:tabs>
        <w:ind w:left="578" w:right="578"/>
        <w:rPr>
          <w:sz w:val="20"/>
        </w:rPr>
      </w:pPr>
      <w:r>
        <w:rPr>
          <w:sz w:val="20"/>
        </w:rPr>
        <w:t>consumer reference group</w:t>
      </w:r>
      <w:r>
        <w:rPr>
          <w:sz w:val="20"/>
        </w:rPr>
        <w:tab/>
        <w:t>30A, 30H</w:t>
      </w:r>
    </w:p>
    <w:p>
      <w:pPr>
        <w:tabs>
          <w:tab w:val="right" w:leader="dot" w:pos="7070"/>
        </w:tabs>
        <w:ind w:left="578" w:right="578"/>
        <w:rPr>
          <w:sz w:val="20"/>
        </w:rPr>
      </w:pPr>
      <w:r>
        <w:rPr>
          <w:sz w:val="20"/>
        </w:rPr>
        <w:t>contravene</w:t>
      </w:r>
      <w:r>
        <w:rPr>
          <w:sz w:val="20"/>
        </w:rPr>
        <w:tab/>
        <w:t>Sch. 2 cl. 10</w:t>
      </w:r>
    </w:p>
    <w:p>
      <w:pPr>
        <w:tabs>
          <w:tab w:val="right" w:leader="dot" w:pos="7070"/>
        </w:tabs>
        <w:ind w:left="578" w:right="578"/>
        <w:rPr>
          <w:sz w:val="20"/>
        </w:rPr>
      </w:pPr>
      <w:r>
        <w:rPr>
          <w:sz w:val="20"/>
        </w:rPr>
        <w:t>contributing service</w:t>
      </w:r>
      <w:r>
        <w:rPr>
          <w:sz w:val="20"/>
        </w:rPr>
        <w:tab/>
        <w:t>43</w:t>
      </w:r>
    </w:p>
    <w:p>
      <w:pPr>
        <w:tabs>
          <w:tab w:val="right" w:leader="dot" w:pos="7070"/>
        </w:tabs>
        <w:ind w:left="578" w:right="578"/>
        <w:rPr>
          <w:sz w:val="20"/>
        </w:rPr>
      </w:pPr>
      <w:r>
        <w:rPr>
          <w:sz w:val="20"/>
        </w:rPr>
        <w:t>controlling pipeline activity</w:t>
      </w:r>
      <w:r>
        <w:rPr>
          <w:sz w:val="20"/>
        </w:rPr>
        <w:tab/>
        <w:t>10(5)</w:t>
      </w:r>
    </w:p>
    <w:p>
      <w:pPr>
        <w:tabs>
          <w:tab w:val="right" w:leader="dot" w:pos="7070"/>
        </w:tabs>
        <w:ind w:left="578" w:right="578"/>
        <w:rPr>
          <w:sz w:val="20"/>
        </w:rPr>
      </w:pPr>
      <w:r>
        <w:rPr>
          <w:sz w:val="20"/>
        </w:rPr>
        <w:t>Councillor</w:t>
      </w:r>
      <w:r>
        <w:rPr>
          <w:sz w:val="20"/>
        </w:rPr>
        <w:tab/>
        <w:t>90(9)</w:t>
      </w:r>
    </w:p>
    <w:p>
      <w:pPr>
        <w:tabs>
          <w:tab w:val="right" w:leader="dot" w:pos="7070"/>
        </w:tabs>
        <w:ind w:left="578" w:right="578"/>
        <w:rPr>
          <w:sz w:val="20"/>
        </w:rPr>
      </w:pPr>
      <w:r>
        <w:rPr>
          <w:sz w:val="20"/>
        </w:rPr>
        <w:t>Court</w:t>
      </w:r>
      <w:r>
        <w:rPr>
          <w:sz w:val="20"/>
        </w:rPr>
        <w:tab/>
        <w:t>Act 9(1)</w:t>
      </w:r>
    </w:p>
    <w:p>
      <w:pPr>
        <w:tabs>
          <w:tab w:val="right" w:leader="dot" w:pos="7070"/>
        </w:tabs>
        <w:ind w:left="578" w:right="578"/>
        <w:rPr>
          <w:sz w:val="20"/>
        </w:rPr>
      </w:pPr>
      <w:r>
        <w:rPr>
          <w:sz w:val="20"/>
        </w:rPr>
        <w:t>coverage determination</w:t>
      </w:r>
      <w:r>
        <w:rPr>
          <w:sz w:val="20"/>
        </w:rPr>
        <w:tab/>
        <w:t>2, 92(1)</w:t>
      </w:r>
    </w:p>
    <w:p>
      <w:pPr>
        <w:tabs>
          <w:tab w:val="right" w:leader="dot" w:pos="7070"/>
        </w:tabs>
        <w:ind w:left="578" w:right="578"/>
        <w:rPr>
          <w:sz w:val="20"/>
        </w:rPr>
      </w:pPr>
      <w:r>
        <w:rPr>
          <w:sz w:val="20"/>
        </w:rPr>
        <w:t>coverage recommendation</w:t>
      </w:r>
      <w:r>
        <w:rPr>
          <w:sz w:val="20"/>
        </w:rPr>
        <w:tab/>
        <w:t>2</w:t>
      </w:r>
    </w:p>
    <w:p>
      <w:pPr>
        <w:tabs>
          <w:tab w:val="right" w:leader="dot" w:pos="7070"/>
        </w:tabs>
        <w:ind w:left="578" w:right="578"/>
        <w:rPr>
          <w:sz w:val="20"/>
        </w:rPr>
      </w:pPr>
      <w:r>
        <w:rPr>
          <w:sz w:val="20"/>
        </w:rPr>
        <w:t>coverage related light regulation decision</w:t>
      </w:r>
      <w:r>
        <w:rPr>
          <w:sz w:val="20"/>
        </w:rPr>
        <w:tab/>
        <w:t>244</w:t>
      </w:r>
    </w:p>
    <w:p>
      <w:pPr>
        <w:tabs>
          <w:tab w:val="right" w:leader="dot" w:pos="7070"/>
        </w:tabs>
        <w:ind w:left="578" w:right="578"/>
        <w:rPr>
          <w:sz w:val="20"/>
        </w:rPr>
      </w:pPr>
      <w:r>
        <w:rPr>
          <w:sz w:val="20"/>
        </w:rPr>
        <w:t>coverage revocation determination</w:t>
      </w:r>
      <w:r>
        <w:rPr>
          <w:sz w:val="20"/>
        </w:rPr>
        <w:tab/>
        <w:t>2, 102(1)</w:t>
      </w:r>
    </w:p>
    <w:p>
      <w:pPr>
        <w:tabs>
          <w:tab w:val="right" w:leader="dot" w:pos="7070"/>
        </w:tabs>
        <w:ind w:left="578" w:right="578"/>
        <w:rPr>
          <w:sz w:val="20"/>
        </w:rPr>
      </w:pPr>
      <w:r>
        <w:rPr>
          <w:sz w:val="20"/>
        </w:rPr>
        <w:t>coverage revocation recommendation</w:t>
      </w:r>
      <w:r>
        <w:rPr>
          <w:sz w:val="20"/>
        </w:rPr>
        <w:tab/>
        <w:t>2</w:t>
      </w:r>
    </w:p>
    <w:p>
      <w:pPr>
        <w:tabs>
          <w:tab w:val="right" w:leader="dot" w:pos="7070"/>
        </w:tabs>
        <w:ind w:left="578" w:right="578"/>
        <w:rPr>
          <w:sz w:val="20"/>
        </w:rPr>
      </w:pPr>
      <w:r>
        <w:rPr>
          <w:sz w:val="20"/>
        </w:rPr>
        <w:t>covered pipeline</w:t>
      </w:r>
      <w:r>
        <w:rPr>
          <w:sz w:val="20"/>
        </w:rPr>
        <w:tab/>
        <w:t>2</w:t>
      </w:r>
    </w:p>
    <w:p>
      <w:pPr>
        <w:tabs>
          <w:tab w:val="right" w:leader="dot" w:pos="7070"/>
        </w:tabs>
        <w:ind w:left="578" w:right="578"/>
        <w:rPr>
          <w:sz w:val="20"/>
        </w:rPr>
      </w:pPr>
      <w:r>
        <w:rPr>
          <w:sz w:val="20"/>
        </w:rPr>
        <w:t>covered pipeline service provider</w:t>
      </w:r>
      <w:r>
        <w:rPr>
          <w:sz w:val="20"/>
        </w:rPr>
        <w:tab/>
        <w:t>2</w:t>
      </w:r>
    </w:p>
    <w:p>
      <w:pPr>
        <w:tabs>
          <w:tab w:val="right" w:leader="dot" w:pos="7070"/>
        </w:tabs>
        <w:ind w:left="578" w:right="578"/>
        <w:rPr>
          <w:sz w:val="20"/>
        </w:rPr>
      </w:pPr>
      <w:r>
        <w:rPr>
          <w:sz w:val="20"/>
        </w:rPr>
        <w:t>cross boundary distribution pipeline</w:t>
      </w:r>
      <w:r>
        <w:rPr>
          <w:sz w:val="20"/>
        </w:rPr>
        <w:tab/>
        <w:t>2</w:t>
      </w:r>
    </w:p>
    <w:p>
      <w:pPr>
        <w:tabs>
          <w:tab w:val="right" w:leader="dot" w:pos="7070"/>
        </w:tabs>
        <w:ind w:left="578" w:right="578"/>
        <w:rPr>
          <w:sz w:val="20"/>
        </w:rPr>
      </w:pPr>
      <w:r>
        <w:rPr>
          <w:sz w:val="20"/>
        </w:rPr>
        <w:t>cross boundary pipeline</w:t>
      </w:r>
      <w:r>
        <w:rPr>
          <w:sz w:val="20"/>
        </w:rPr>
        <w:tab/>
        <w:t>Act 16(4)</w:t>
      </w:r>
    </w:p>
    <w:p>
      <w:pPr>
        <w:tabs>
          <w:tab w:val="right" w:leader="dot" w:pos="7070"/>
        </w:tabs>
        <w:ind w:left="578" w:right="578"/>
        <w:rPr>
          <w:sz w:val="20"/>
        </w:rPr>
      </w:pPr>
      <w:r>
        <w:rPr>
          <w:sz w:val="20"/>
        </w:rPr>
        <w:t>cross boundary transmission pipeline</w:t>
      </w:r>
      <w:r>
        <w:rPr>
          <w:sz w:val="20"/>
        </w:rPr>
        <w:tab/>
        <w:t>2</w:t>
      </w:r>
    </w:p>
    <w:p>
      <w:pPr>
        <w:tabs>
          <w:tab w:val="right" w:leader="dot" w:pos="7070"/>
        </w:tabs>
        <w:ind w:left="578" w:right="578"/>
        <w:rPr>
          <w:sz w:val="20"/>
        </w:rPr>
      </w:pPr>
      <w:r>
        <w:rPr>
          <w:sz w:val="20"/>
        </w:rPr>
        <w:t>current access arrangement</w:t>
      </w:r>
      <w:r>
        <w:rPr>
          <w:sz w:val="20"/>
        </w:rPr>
        <w:tab/>
        <w:t>Sch. 3 cl. 1</w:t>
      </w:r>
    </w:p>
    <w:p>
      <w:pPr>
        <w:tabs>
          <w:tab w:val="right" w:leader="dot" w:pos="7070"/>
        </w:tabs>
        <w:ind w:left="578" w:right="578"/>
        <w:rPr>
          <w:sz w:val="20"/>
        </w:rPr>
      </w:pPr>
      <w:r>
        <w:rPr>
          <w:sz w:val="20"/>
        </w:rPr>
        <w:t>current access arrangement modification Rules</w:t>
      </w:r>
      <w:r>
        <w:rPr>
          <w:sz w:val="20"/>
        </w:rPr>
        <w:tab/>
        <w:t>Sch. 3 cl. 30</w:t>
      </w:r>
    </w:p>
    <w:p>
      <w:pPr>
        <w:tabs>
          <w:tab w:val="right" w:leader="dot" w:pos="7070"/>
        </w:tabs>
        <w:ind w:left="578" w:right="578"/>
        <w:rPr>
          <w:sz w:val="20"/>
        </w:rPr>
      </w:pPr>
      <w:r>
        <w:rPr>
          <w:sz w:val="20"/>
        </w:rPr>
        <w:t>deal with</w:t>
      </w:r>
      <w:r>
        <w:rPr>
          <w:sz w:val="20"/>
        </w:rPr>
        <w:tab/>
        <w:t>Sch. 2 cl. 53A</w:t>
      </w:r>
    </w:p>
    <w:p>
      <w:pPr>
        <w:tabs>
          <w:tab w:val="right" w:leader="dot" w:pos="7070"/>
        </w:tabs>
        <w:ind w:left="578" w:right="578"/>
        <w:rPr>
          <w:sz w:val="20"/>
        </w:rPr>
      </w:pPr>
      <w:r>
        <w:rPr>
          <w:sz w:val="20"/>
        </w:rPr>
        <w:t>decision maker</w:t>
      </w:r>
      <w:r>
        <w:rPr>
          <w:sz w:val="20"/>
        </w:rPr>
        <w:tab/>
        <w:t>Sch. 2 cl. 31</w:t>
      </w:r>
    </w:p>
    <w:p>
      <w:pPr>
        <w:tabs>
          <w:tab w:val="right" w:leader="dot" w:pos="7070"/>
        </w:tabs>
        <w:ind w:left="578" w:right="578"/>
        <w:rPr>
          <w:sz w:val="20"/>
        </w:rPr>
      </w:pPr>
      <w:r>
        <w:rPr>
          <w:sz w:val="20"/>
        </w:rPr>
        <w:t>decision related matter</w:t>
      </w:r>
      <w:r>
        <w:rPr>
          <w:sz w:val="20"/>
        </w:rPr>
        <w:tab/>
        <w:t>68C</w:t>
      </w:r>
    </w:p>
    <w:p>
      <w:pPr>
        <w:tabs>
          <w:tab w:val="right" w:leader="dot" w:pos="7070"/>
        </w:tabs>
        <w:ind w:left="578" w:right="578"/>
        <w:rPr>
          <w:sz w:val="20"/>
        </w:rPr>
      </w:pPr>
      <w:r>
        <w:rPr>
          <w:sz w:val="20"/>
        </w:rPr>
        <w:t>definition</w:t>
      </w:r>
      <w:r>
        <w:rPr>
          <w:sz w:val="20"/>
        </w:rPr>
        <w:tab/>
        <w:t>Sch. 2 cl. 10</w:t>
      </w:r>
    </w:p>
    <w:p>
      <w:pPr>
        <w:tabs>
          <w:tab w:val="right" w:leader="dot" w:pos="7070"/>
        </w:tabs>
        <w:ind w:left="578" w:right="578"/>
        <w:rPr>
          <w:sz w:val="20"/>
        </w:rPr>
      </w:pPr>
      <w:r>
        <w:rPr>
          <w:sz w:val="20"/>
        </w:rPr>
        <w:t>designated Minister</w:t>
      </w:r>
      <w:r>
        <w:rPr>
          <w:sz w:val="20"/>
        </w:rPr>
        <w:tab/>
        <w:t>Act 9(1)</w:t>
      </w:r>
    </w:p>
    <w:p>
      <w:pPr>
        <w:tabs>
          <w:tab w:val="right" w:leader="dot" w:pos="7070"/>
        </w:tabs>
        <w:ind w:left="578" w:right="578"/>
        <w:rPr>
          <w:sz w:val="20"/>
        </w:rPr>
      </w:pPr>
      <w:r>
        <w:rPr>
          <w:sz w:val="20"/>
        </w:rPr>
        <w:t>designated pipeline</w:t>
      </w:r>
      <w:r>
        <w:rPr>
          <w:sz w:val="20"/>
        </w:rPr>
        <w:tab/>
        <w:t>2</w:t>
      </w:r>
    </w:p>
    <w:p>
      <w:pPr>
        <w:tabs>
          <w:tab w:val="right" w:leader="dot" w:pos="7070"/>
        </w:tabs>
        <w:ind w:left="578" w:right="578"/>
        <w:rPr>
          <w:sz w:val="20"/>
        </w:rPr>
      </w:pPr>
      <w:r>
        <w:rPr>
          <w:sz w:val="20"/>
        </w:rPr>
        <w:t>designated reviewable regulatory decision</w:t>
      </w:r>
      <w:r>
        <w:rPr>
          <w:sz w:val="20"/>
        </w:rPr>
        <w:tab/>
        <w:t>2</w:t>
      </w:r>
    </w:p>
    <w:p>
      <w:pPr>
        <w:tabs>
          <w:tab w:val="right" w:leader="dot" w:pos="7070"/>
        </w:tabs>
        <w:ind w:left="578" w:right="578"/>
        <w:rPr>
          <w:sz w:val="20"/>
        </w:rPr>
      </w:pPr>
      <w:r>
        <w:rPr>
          <w:sz w:val="20"/>
        </w:rPr>
        <w:t>developable capacity</w:t>
      </w:r>
      <w:r>
        <w:rPr>
          <w:sz w:val="20"/>
        </w:rPr>
        <w:tab/>
        <w:t>2</w:t>
      </w:r>
    </w:p>
    <w:p>
      <w:pPr>
        <w:tabs>
          <w:tab w:val="right" w:leader="dot" w:pos="7070"/>
        </w:tabs>
        <w:ind w:left="578" w:right="578"/>
        <w:rPr>
          <w:sz w:val="20"/>
        </w:rPr>
      </w:pPr>
      <w:r>
        <w:rPr>
          <w:sz w:val="20"/>
        </w:rPr>
        <w:t>dispute hearing</w:t>
      </w:r>
      <w:r>
        <w:rPr>
          <w:sz w:val="20"/>
        </w:rPr>
        <w:tab/>
        <w:t>178</w:t>
      </w:r>
    </w:p>
    <w:p>
      <w:pPr>
        <w:tabs>
          <w:tab w:val="right" w:leader="dot" w:pos="7070"/>
        </w:tabs>
        <w:ind w:left="578" w:right="578"/>
        <w:rPr>
          <w:sz w:val="20"/>
        </w:rPr>
      </w:pPr>
      <w:r>
        <w:rPr>
          <w:sz w:val="20"/>
        </w:rPr>
        <w:t>dispute resolution body</w:t>
      </w:r>
      <w:r>
        <w:rPr>
          <w:sz w:val="20"/>
        </w:rPr>
        <w:tab/>
        <w:t>Act 9(1), Note 2</w:t>
      </w:r>
    </w:p>
    <w:p>
      <w:pPr>
        <w:tabs>
          <w:tab w:val="right" w:leader="dot" w:pos="7070"/>
        </w:tabs>
        <w:ind w:left="578" w:right="578"/>
        <w:rPr>
          <w:sz w:val="20"/>
        </w:rPr>
      </w:pPr>
      <w:r>
        <w:rPr>
          <w:sz w:val="20"/>
        </w:rPr>
        <w:t>distribution pipeline</w:t>
      </w:r>
      <w:r>
        <w:rPr>
          <w:sz w:val="20"/>
        </w:rPr>
        <w:tab/>
        <w:t>2</w:t>
      </w:r>
    </w:p>
    <w:p>
      <w:pPr>
        <w:tabs>
          <w:tab w:val="right" w:leader="dot" w:pos="7070"/>
        </w:tabs>
        <w:ind w:left="578" w:right="578"/>
        <w:rPr>
          <w:sz w:val="20"/>
        </w:rPr>
      </w:pPr>
      <w:r>
        <w:rPr>
          <w:sz w:val="20"/>
        </w:rPr>
        <w:t>document</w:t>
      </w:r>
      <w:r>
        <w:rPr>
          <w:sz w:val="20"/>
        </w:rPr>
        <w:tab/>
        <w:t>Sch. 2 cl. 10</w:t>
      </w:r>
    </w:p>
    <w:p>
      <w:pPr>
        <w:tabs>
          <w:tab w:val="right" w:leader="dot" w:pos="7070"/>
        </w:tabs>
        <w:ind w:left="578" w:right="578"/>
        <w:rPr>
          <w:sz w:val="20"/>
        </w:rPr>
      </w:pPr>
      <w:r>
        <w:rPr>
          <w:sz w:val="20"/>
        </w:rPr>
        <w:t>draft Rule determination</w:t>
      </w:r>
      <w:r>
        <w:rPr>
          <w:sz w:val="20"/>
        </w:rPr>
        <w:tab/>
        <w:t>2</w:t>
      </w:r>
    </w:p>
    <w:p>
      <w:pPr>
        <w:tabs>
          <w:tab w:val="right" w:leader="dot" w:pos="7070"/>
        </w:tabs>
        <w:ind w:left="578" w:right="578"/>
        <w:rPr>
          <w:sz w:val="20"/>
        </w:rPr>
      </w:pPr>
      <w:r>
        <w:rPr>
          <w:sz w:val="20"/>
        </w:rPr>
        <w:t>eligible expert</w:t>
      </w:r>
      <w:r>
        <w:rPr>
          <w:sz w:val="20"/>
        </w:rPr>
        <w:tab/>
        <w:t>30H</w:t>
      </w:r>
    </w:p>
    <w:p>
      <w:pPr>
        <w:tabs>
          <w:tab w:val="right" w:leader="dot" w:pos="7070"/>
        </w:tabs>
        <w:ind w:left="578" w:right="578"/>
        <w:rPr>
          <w:sz w:val="20"/>
        </w:rPr>
      </w:pPr>
      <w:r>
        <w:rPr>
          <w:sz w:val="20"/>
        </w:rPr>
        <w:t>empowering provision</w:t>
      </w:r>
      <w:r>
        <w:rPr>
          <w:sz w:val="20"/>
        </w:rPr>
        <w:tab/>
        <w:t>Sch. 2 cl. 27</w:t>
      </w:r>
    </w:p>
    <w:p>
      <w:pPr>
        <w:tabs>
          <w:tab w:val="right" w:leader="dot" w:pos="7070"/>
        </w:tabs>
        <w:ind w:left="578" w:right="578"/>
        <w:rPr>
          <w:sz w:val="20"/>
        </w:rPr>
      </w:pPr>
      <w:r>
        <w:rPr>
          <w:sz w:val="20"/>
        </w:rPr>
        <w:t>end user</w:t>
      </w:r>
      <w:r>
        <w:rPr>
          <w:sz w:val="20"/>
        </w:rPr>
        <w:tab/>
        <w:t>2, 244</w:t>
      </w:r>
    </w:p>
    <w:p>
      <w:pPr>
        <w:tabs>
          <w:tab w:val="right" w:leader="dot" w:pos="7070"/>
        </w:tabs>
        <w:ind w:left="578" w:right="578"/>
        <w:rPr>
          <w:sz w:val="20"/>
        </w:rPr>
      </w:pPr>
      <w:r>
        <w:rPr>
          <w:sz w:val="20"/>
        </w:rPr>
        <w:t>ERA</w:t>
      </w:r>
      <w:r>
        <w:rPr>
          <w:sz w:val="20"/>
        </w:rPr>
        <w:tab/>
        <w:t>2</w:t>
      </w:r>
    </w:p>
    <w:p>
      <w:pPr>
        <w:tabs>
          <w:tab w:val="right" w:leader="dot" w:pos="7070"/>
        </w:tabs>
        <w:ind w:left="578" w:right="578"/>
        <w:rPr>
          <w:sz w:val="20"/>
        </w:rPr>
      </w:pPr>
      <w:r>
        <w:rPr>
          <w:sz w:val="20"/>
        </w:rPr>
        <w:t>ERA pipeline</w:t>
      </w:r>
      <w:r>
        <w:rPr>
          <w:sz w:val="20"/>
        </w:rPr>
        <w:tab/>
        <w:t>Act 9(1)</w:t>
      </w:r>
    </w:p>
    <w:p>
      <w:pPr>
        <w:tabs>
          <w:tab w:val="right" w:leader="dot" w:pos="7070"/>
        </w:tabs>
        <w:ind w:left="578" w:right="578"/>
        <w:rPr>
          <w:sz w:val="20"/>
        </w:rPr>
      </w:pPr>
      <w:r>
        <w:rPr>
          <w:sz w:val="20"/>
        </w:rPr>
        <w:t>estate</w:t>
      </w:r>
      <w:r>
        <w:rPr>
          <w:sz w:val="20"/>
        </w:rPr>
        <w:tab/>
        <w:t>Sch. 2 cl. 10</w:t>
      </w:r>
    </w:p>
    <w:p>
      <w:pPr>
        <w:tabs>
          <w:tab w:val="right" w:leader="dot" w:pos="7070"/>
        </w:tabs>
        <w:ind w:left="578" w:right="578"/>
        <w:rPr>
          <w:sz w:val="20"/>
        </w:rPr>
      </w:pPr>
      <w:r>
        <w:rPr>
          <w:sz w:val="20"/>
        </w:rPr>
        <w:t>excluded infrastructure</w:t>
      </w:r>
      <w:r>
        <w:rPr>
          <w:sz w:val="20"/>
        </w:rPr>
        <w:tab/>
        <w:t>149</w:t>
      </w:r>
    </w:p>
    <w:p>
      <w:pPr>
        <w:tabs>
          <w:tab w:val="right" w:leader="dot" w:pos="7070"/>
        </w:tabs>
        <w:ind w:left="578" w:right="578"/>
        <w:rPr>
          <w:sz w:val="20"/>
        </w:rPr>
      </w:pPr>
      <w:r>
        <w:rPr>
          <w:sz w:val="20"/>
        </w:rPr>
        <w:t>exempt contract</w:t>
      </w:r>
      <w:r>
        <w:rPr>
          <w:sz w:val="20"/>
        </w:rPr>
        <w:tab/>
        <w:t>Act 19(3)</w:t>
      </w:r>
    </w:p>
    <w:p>
      <w:pPr>
        <w:tabs>
          <w:tab w:val="right" w:leader="dot" w:pos="7070"/>
        </w:tabs>
        <w:ind w:left="578" w:right="578"/>
        <w:rPr>
          <w:sz w:val="20"/>
        </w:rPr>
      </w:pPr>
      <w:r>
        <w:rPr>
          <w:sz w:val="20"/>
        </w:rPr>
        <w:t>exempt matter</w:t>
      </w:r>
      <w:r>
        <w:rPr>
          <w:sz w:val="20"/>
        </w:rPr>
        <w:tab/>
        <w:t>Act 15(2)</w:t>
      </w:r>
    </w:p>
    <w:p>
      <w:pPr>
        <w:tabs>
          <w:tab w:val="right" w:leader="dot" w:pos="7070"/>
        </w:tabs>
        <w:ind w:left="578" w:right="578"/>
        <w:rPr>
          <w:sz w:val="20"/>
        </w:rPr>
      </w:pPr>
      <w:r>
        <w:rPr>
          <w:sz w:val="20"/>
        </w:rPr>
        <w:t>expire</w:t>
      </w:r>
      <w:r>
        <w:rPr>
          <w:sz w:val="20"/>
        </w:rPr>
        <w:tab/>
        <w:t>Sch. 2 cl. 10</w:t>
      </w:r>
    </w:p>
    <w:p>
      <w:pPr>
        <w:tabs>
          <w:tab w:val="right" w:leader="dot" w:pos="7070"/>
        </w:tabs>
        <w:ind w:left="578" w:right="578"/>
        <w:rPr>
          <w:sz w:val="20"/>
        </w:rPr>
      </w:pPr>
      <w:r>
        <w:rPr>
          <w:sz w:val="20"/>
        </w:rPr>
        <w:t>explanatory information</w:t>
      </w:r>
      <w:r>
        <w:rPr>
          <w:sz w:val="20"/>
        </w:rPr>
        <w:tab/>
        <w:t>30A</w:t>
      </w:r>
    </w:p>
    <w:p>
      <w:pPr>
        <w:tabs>
          <w:tab w:val="right" w:leader="dot" w:pos="7070"/>
        </w:tabs>
        <w:ind w:left="578" w:right="578"/>
        <w:rPr>
          <w:sz w:val="20"/>
        </w:rPr>
      </w:pPr>
      <w:r>
        <w:rPr>
          <w:sz w:val="20"/>
        </w:rPr>
        <w:t>extension and expansion requirements</w:t>
      </w:r>
      <w:r>
        <w:rPr>
          <w:sz w:val="20"/>
        </w:rPr>
        <w:tab/>
        <w:t>2</w:t>
      </w:r>
    </w:p>
    <w:p>
      <w:pPr>
        <w:tabs>
          <w:tab w:val="right" w:leader="dot" w:pos="7070"/>
        </w:tabs>
        <w:ind w:left="578" w:right="578"/>
        <w:rPr>
          <w:sz w:val="20"/>
        </w:rPr>
      </w:pPr>
      <w:r>
        <w:rPr>
          <w:sz w:val="20"/>
        </w:rPr>
        <w:t>fail</w:t>
      </w:r>
      <w:r>
        <w:rPr>
          <w:sz w:val="20"/>
        </w:rPr>
        <w:tab/>
        <w:t>Sch. 2 cl. 10</w:t>
      </w:r>
    </w:p>
    <w:p>
      <w:pPr>
        <w:tabs>
          <w:tab w:val="right" w:leader="dot" w:pos="7070"/>
        </w:tabs>
        <w:ind w:left="578" w:right="578"/>
        <w:rPr>
          <w:sz w:val="20"/>
        </w:rPr>
      </w:pPr>
      <w:r>
        <w:rPr>
          <w:sz w:val="20"/>
        </w:rPr>
        <w:t>final Rule determination</w:t>
      </w:r>
      <w:r>
        <w:rPr>
          <w:sz w:val="20"/>
        </w:rPr>
        <w:tab/>
        <w:t>2</w:t>
      </w:r>
    </w:p>
    <w:p>
      <w:pPr>
        <w:tabs>
          <w:tab w:val="right" w:leader="dot" w:pos="7070"/>
        </w:tabs>
        <w:ind w:left="578" w:right="578"/>
        <w:rPr>
          <w:sz w:val="20"/>
        </w:rPr>
      </w:pPr>
      <w:r>
        <w:rPr>
          <w:sz w:val="20"/>
        </w:rPr>
        <w:t>financial year</w:t>
      </w:r>
      <w:r>
        <w:rPr>
          <w:sz w:val="20"/>
        </w:rPr>
        <w:tab/>
        <w:t>Sch. 2 cl. 10</w:t>
      </w:r>
    </w:p>
    <w:p>
      <w:pPr>
        <w:tabs>
          <w:tab w:val="right" w:leader="dot" w:pos="7070"/>
        </w:tabs>
        <w:ind w:left="578" w:right="578"/>
        <w:rPr>
          <w:sz w:val="20"/>
        </w:rPr>
      </w:pPr>
      <w:r>
        <w:rPr>
          <w:sz w:val="20"/>
        </w:rPr>
        <w:t>foreign company</w:t>
      </w:r>
      <w:r>
        <w:rPr>
          <w:sz w:val="20"/>
        </w:rPr>
        <w:tab/>
        <w:t>2</w:t>
      </w:r>
    </w:p>
    <w:p>
      <w:pPr>
        <w:tabs>
          <w:tab w:val="right" w:leader="dot" w:pos="7070"/>
        </w:tabs>
        <w:ind w:left="578" w:right="578"/>
        <w:rPr>
          <w:sz w:val="20"/>
        </w:rPr>
      </w:pPr>
      <w:r>
        <w:rPr>
          <w:sz w:val="20"/>
        </w:rPr>
        <w:t>foreign source</w:t>
      </w:r>
      <w:r>
        <w:rPr>
          <w:sz w:val="20"/>
        </w:rPr>
        <w:tab/>
        <w:t>2</w:t>
      </w:r>
    </w:p>
    <w:p>
      <w:pPr>
        <w:tabs>
          <w:tab w:val="right" w:leader="dot" w:pos="7070"/>
        </w:tabs>
        <w:ind w:left="578" w:right="578"/>
        <w:rPr>
          <w:sz w:val="20"/>
        </w:rPr>
      </w:pPr>
      <w:r>
        <w:rPr>
          <w:sz w:val="20"/>
        </w:rPr>
        <w:t>form of regulation factors</w:t>
      </w:r>
      <w:r>
        <w:rPr>
          <w:sz w:val="20"/>
        </w:rPr>
        <w:tab/>
        <w:t>2</w:t>
      </w:r>
    </w:p>
    <w:p>
      <w:pPr>
        <w:tabs>
          <w:tab w:val="right" w:leader="dot" w:pos="7070"/>
        </w:tabs>
        <w:ind w:left="578" w:right="578"/>
        <w:rPr>
          <w:sz w:val="20"/>
        </w:rPr>
      </w:pPr>
      <w:r>
        <w:rPr>
          <w:sz w:val="20"/>
        </w:rPr>
        <w:t>full access arrangement</w:t>
      </w:r>
      <w:r>
        <w:rPr>
          <w:sz w:val="20"/>
        </w:rPr>
        <w:tab/>
        <w:t>2</w:t>
      </w:r>
    </w:p>
    <w:p>
      <w:pPr>
        <w:tabs>
          <w:tab w:val="right" w:leader="dot" w:pos="7070"/>
        </w:tabs>
        <w:ind w:left="578" w:right="578"/>
        <w:rPr>
          <w:sz w:val="20"/>
        </w:rPr>
      </w:pPr>
      <w:r>
        <w:rPr>
          <w:sz w:val="20"/>
        </w:rPr>
        <w:t>full access arrangement decision</w:t>
      </w:r>
      <w:r>
        <w:rPr>
          <w:sz w:val="20"/>
        </w:rPr>
        <w:tab/>
        <w:t>2</w:t>
      </w:r>
    </w:p>
    <w:p>
      <w:pPr>
        <w:tabs>
          <w:tab w:val="right" w:leader="dot" w:pos="7070"/>
        </w:tabs>
        <w:ind w:left="578" w:right="578"/>
        <w:rPr>
          <w:sz w:val="20"/>
        </w:rPr>
      </w:pPr>
      <w:r>
        <w:rPr>
          <w:sz w:val="20"/>
        </w:rPr>
        <w:t>function</w:t>
      </w:r>
      <w:r>
        <w:rPr>
          <w:sz w:val="20"/>
        </w:rPr>
        <w:tab/>
        <w:t>Sch. 2 cl. 10</w:t>
      </w:r>
    </w:p>
    <w:p>
      <w:pPr>
        <w:tabs>
          <w:tab w:val="right" w:leader="dot" w:pos="7070"/>
        </w:tabs>
        <w:ind w:left="578" w:right="578"/>
        <w:rPr>
          <w:sz w:val="20"/>
        </w:rPr>
      </w:pPr>
      <w:r>
        <w:rPr>
          <w:sz w:val="20"/>
        </w:rPr>
        <w:t>further disclosure notice</w:t>
      </w:r>
      <w:r>
        <w:rPr>
          <w:sz w:val="20"/>
        </w:rPr>
        <w:tab/>
        <w:t>329(6)</w:t>
      </w:r>
    </w:p>
    <w:p>
      <w:pPr>
        <w:tabs>
          <w:tab w:val="right" w:leader="dot" w:pos="7070"/>
        </w:tabs>
        <w:ind w:left="578" w:right="578"/>
        <w:rPr>
          <w:sz w:val="20"/>
        </w:rPr>
      </w:pPr>
      <w:r>
        <w:rPr>
          <w:sz w:val="20"/>
        </w:rPr>
        <w:t>Gas Code</w:t>
      </w:r>
      <w:r>
        <w:rPr>
          <w:sz w:val="20"/>
        </w:rPr>
        <w:tab/>
        <w:t>2</w:t>
      </w:r>
    </w:p>
    <w:p>
      <w:pPr>
        <w:tabs>
          <w:tab w:val="right" w:leader="dot" w:pos="7070"/>
        </w:tabs>
        <w:ind w:left="578" w:right="578"/>
        <w:rPr>
          <w:sz w:val="20"/>
        </w:rPr>
      </w:pPr>
      <w:r>
        <w:rPr>
          <w:sz w:val="20"/>
        </w:rPr>
        <w:t>gas market operator</w:t>
      </w:r>
      <w:r>
        <w:rPr>
          <w:sz w:val="20"/>
        </w:rPr>
        <w:tab/>
        <w:t>2</w:t>
      </w:r>
    </w:p>
    <w:p>
      <w:pPr>
        <w:tabs>
          <w:tab w:val="right" w:leader="dot" w:pos="7070"/>
        </w:tabs>
        <w:ind w:left="578" w:right="578"/>
        <w:rPr>
          <w:sz w:val="20"/>
        </w:rPr>
      </w:pPr>
      <w:r>
        <w:rPr>
          <w:sz w:val="20"/>
        </w:rPr>
        <w:t>gas market regulatory body</w:t>
      </w:r>
      <w:r>
        <w:rPr>
          <w:sz w:val="20"/>
        </w:rPr>
        <w:tab/>
        <w:t>290</w:t>
      </w:r>
    </w:p>
    <w:p>
      <w:pPr>
        <w:tabs>
          <w:tab w:val="right" w:leader="dot" w:pos="7070"/>
        </w:tabs>
        <w:ind w:left="578" w:right="578"/>
        <w:rPr>
          <w:sz w:val="20"/>
        </w:rPr>
      </w:pPr>
      <w:r>
        <w:rPr>
          <w:sz w:val="20"/>
        </w:rPr>
        <w:t>gas other than natural gas</w:t>
      </w:r>
      <w:r>
        <w:rPr>
          <w:sz w:val="20"/>
        </w:rPr>
        <w:tab/>
        <w:t>Act 6A(3)</w:t>
      </w:r>
    </w:p>
    <w:p>
      <w:pPr>
        <w:tabs>
          <w:tab w:val="right" w:leader="dot" w:pos="7070"/>
        </w:tabs>
        <w:ind w:left="578" w:right="578"/>
        <w:rPr>
          <w:sz w:val="20"/>
        </w:rPr>
      </w:pPr>
      <w:r>
        <w:rPr>
          <w:sz w:val="20"/>
        </w:rPr>
        <w:t>Gas Pipelines Access Law</w:t>
      </w:r>
      <w:r>
        <w:rPr>
          <w:sz w:val="20"/>
        </w:rPr>
        <w:tab/>
        <w:t>Act 11(4)</w:t>
      </w:r>
    </w:p>
    <w:p>
      <w:pPr>
        <w:tabs>
          <w:tab w:val="right" w:leader="dot" w:pos="7070"/>
        </w:tabs>
        <w:ind w:left="578" w:right="578"/>
        <w:rPr>
          <w:sz w:val="20"/>
        </w:rPr>
      </w:pPr>
      <w:r>
        <w:rPr>
          <w:sz w:val="20"/>
        </w:rPr>
        <w:t>Gazette</w:t>
      </w:r>
      <w:r>
        <w:rPr>
          <w:sz w:val="20"/>
        </w:rPr>
        <w:tab/>
        <w:t>Sch. 2 cl. 10</w:t>
      </w:r>
    </w:p>
    <w:p>
      <w:pPr>
        <w:tabs>
          <w:tab w:val="right" w:leader="dot" w:pos="7070"/>
        </w:tabs>
        <w:ind w:left="578" w:right="578"/>
        <w:rPr>
          <w:sz w:val="20"/>
        </w:rPr>
      </w:pPr>
      <w:r>
        <w:rPr>
          <w:sz w:val="20"/>
        </w:rPr>
        <w:t>general regulatory information order</w:t>
      </w:r>
      <w:r>
        <w:rPr>
          <w:sz w:val="20"/>
        </w:rPr>
        <w:tab/>
        <w:t>2</w:t>
      </w:r>
    </w:p>
    <w:p>
      <w:pPr>
        <w:tabs>
          <w:tab w:val="right" w:leader="dot" w:pos="7070"/>
        </w:tabs>
        <w:ind w:left="578" w:right="578"/>
        <w:rPr>
          <w:sz w:val="20"/>
        </w:rPr>
      </w:pPr>
      <w:r>
        <w:rPr>
          <w:sz w:val="20"/>
        </w:rPr>
        <w:t>GMCo</w:t>
      </w:r>
      <w:r>
        <w:rPr>
          <w:sz w:val="20"/>
        </w:rPr>
        <w:tab/>
        <w:t>290</w:t>
      </w:r>
    </w:p>
    <w:p>
      <w:pPr>
        <w:tabs>
          <w:tab w:val="right" w:leader="dot" w:pos="7070"/>
        </w:tabs>
        <w:ind w:left="578" w:right="578"/>
        <w:rPr>
          <w:sz w:val="20"/>
        </w:rPr>
      </w:pPr>
      <w:r>
        <w:rPr>
          <w:sz w:val="20"/>
        </w:rPr>
        <w:t>greenfields pipeline incentive</w:t>
      </w:r>
      <w:r>
        <w:rPr>
          <w:sz w:val="20"/>
        </w:rPr>
        <w:tab/>
        <w:t>2</w:t>
      </w:r>
    </w:p>
    <w:p>
      <w:pPr>
        <w:tabs>
          <w:tab w:val="right" w:leader="dot" w:pos="7070"/>
        </w:tabs>
        <w:ind w:left="578" w:right="578"/>
        <w:rPr>
          <w:sz w:val="20"/>
        </w:rPr>
      </w:pPr>
      <w:r>
        <w:rPr>
          <w:sz w:val="20"/>
        </w:rPr>
        <w:t>greenfields pipeline project</w:t>
      </w:r>
      <w:r>
        <w:rPr>
          <w:sz w:val="20"/>
        </w:rPr>
        <w:tab/>
        <w:t>149</w:t>
      </w:r>
    </w:p>
    <w:p>
      <w:pPr>
        <w:tabs>
          <w:tab w:val="right" w:leader="dot" w:pos="7070"/>
        </w:tabs>
        <w:ind w:left="578" w:right="578"/>
        <w:rPr>
          <w:sz w:val="20"/>
        </w:rPr>
      </w:pPr>
      <w:r>
        <w:rPr>
          <w:sz w:val="20"/>
        </w:rPr>
        <w:t>haulage</w:t>
      </w:r>
      <w:r>
        <w:rPr>
          <w:sz w:val="20"/>
        </w:rPr>
        <w:tab/>
        <w:t>2</w:t>
      </w:r>
    </w:p>
    <w:p>
      <w:pPr>
        <w:tabs>
          <w:tab w:val="right" w:leader="dot" w:pos="7070"/>
        </w:tabs>
        <w:ind w:left="578" w:right="578"/>
        <w:rPr>
          <w:sz w:val="20"/>
        </w:rPr>
      </w:pPr>
      <w:r>
        <w:rPr>
          <w:sz w:val="20"/>
        </w:rPr>
        <w:t>information</w:t>
      </w:r>
      <w:r>
        <w:rPr>
          <w:sz w:val="20"/>
        </w:rPr>
        <w:tab/>
        <w:t>30T</w:t>
      </w:r>
    </w:p>
    <w:p>
      <w:pPr>
        <w:tabs>
          <w:tab w:val="right" w:leader="dot" w:pos="7070"/>
        </w:tabs>
        <w:ind w:left="578" w:right="578"/>
        <w:rPr>
          <w:sz w:val="20"/>
        </w:rPr>
      </w:pPr>
      <w:r>
        <w:rPr>
          <w:sz w:val="20"/>
        </w:rPr>
        <w:t>initial classification decision</w:t>
      </w:r>
      <w:r>
        <w:rPr>
          <w:sz w:val="20"/>
        </w:rPr>
        <w:tab/>
        <w:t>2, 98(1), 155(1)</w:t>
      </w:r>
    </w:p>
    <w:p>
      <w:pPr>
        <w:tabs>
          <w:tab w:val="right" w:leader="dot" w:pos="7070"/>
        </w:tabs>
        <w:ind w:left="578" w:right="578"/>
        <w:rPr>
          <w:sz w:val="20"/>
        </w:rPr>
      </w:pPr>
      <w:r>
        <w:rPr>
          <w:sz w:val="20"/>
        </w:rPr>
        <w:t>initial disclosure notice</w:t>
      </w:r>
      <w:r>
        <w:rPr>
          <w:sz w:val="20"/>
        </w:rPr>
        <w:tab/>
        <w:t>329(2), (3)</w:t>
      </w:r>
    </w:p>
    <w:p>
      <w:pPr>
        <w:tabs>
          <w:tab w:val="right" w:leader="dot" w:pos="7070"/>
        </w:tabs>
        <w:ind w:left="578" w:right="578"/>
        <w:rPr>
          <w:sz w:val="20"/>
        </w:rPr>
      </w:pPr>
      <w:r>
        <w:rPr>
          <w:sz w:val="20"/>
        </w:rPr>
        <w:t>initial National Gas Rules</w:t>
      </w:r>
      <w:r>
        <w:rPr>
          <w:sz w:val="20"/>
        </w:rPr>
        <w:tab/>
        <w:t>2</w:t>
      </w:r>
    </w:p>
    <w:p>
      <w:pPr>
        <w:tabs>
          <w:tab w:val="right" w:leader="dot" w:pos="7070"/>
        </w:tabs>
        <w:ind w:left="578" w:right="578"/>
        <w:rPr>
          <w:sz w:val="20"/>
        </w:rPr>
      </w:pPr>
      <w:r>
        <w:rPr>
          <w:sz w:val="20"/>
        </w:rPr>
        <w:t>instrument</w:t>
      </w:r>
      <w:r>
        <w:rPr>
          <w:sz w:val="20"/>
        </w:rPr>
        <w:tab/>
        <w:t>Sch. 2 cl. 10</w:t>
      </w:r>
    </w:p>
    <w:p>
      <w:pPr>
        <w:tabs>
          <w:tab w:val="right" w:leader="dot" w:pos="7070"/>
        </w:tabs>
        <w:ind w:left="578" w:right="578"/>
        <w:rPr>
          <w:sz w:val="20"/>
        </w:rPr>
      </w:pPr>
      <w:r>
        <w:rPr>
          <w:sz w:val="20"/>
        </w:rPr>
        <w:t>interest</w:t>
      </w:r>
      <w:r>
        <w:rPr>
          <w:sz w:val="20"/>
        </w:rPr>
        <w:tab/>
        <w:t>Sch. 2 cl. 10</w:t>
      </w:r>
    </w:p>
    <w:p>
      <w:pPr>
        <w:tabs>
          <w:tab w:val="right" w:leader="dot" w:pos="7070"/>
        </w:tabs>
        <w:ind w:left="578" w:right="578"/>
        <w:rPr>
          <w:sz w:val="20"/>
        </w:rPr>
      </w:pPr>
      <w:r>
        <w:rPr>
          <w:sz w:val="20"/>
        </w:rPr>
        <w:t>international pipeline</w:t>
      </w:r>
      <w:r>
        <w:rPr>
          <w:sz w:val="20"/>
        </w:rPr>
        <w:tab/>
        <w:t>2</w:t>
      </w:r>
    </w:p>
    <w:p>
      <w:pPr>
        <w:tabs>
          <w:tab w:val="right" w:leader="dot" w:pos="7070"/>
        </w:tabs>
        <w:ind w:left="578" w:right="578"/>
        <w:rPr>
          <w:sz w:val="20"/>
        </w:rPr>
      </w:pPr>
      <w:r>
        <w:rPr>
          <w:sz w:val="20"/>
        </w:rPr>
        <w:t>intervener</w:t>
      </w:r>
      <w:r>
        <w:rPr>
          <w:sz w:val="20"/>
        </w:rPr>
        <w:tab/>
        <w:t>244</w:t>
      </w:r>
    </w:p>
    <w:p>
      <w:pPr>
        <w:tabs>
          <w:tab w:val="right" w:leader="dot" w:pos="7070"/>
        </w:tabs>
        <w:ind w:left="578" w:right="578"/>
        <w:rPr>
          <w:sz w:val="20"/>
        </w:rPr>
      </w:pPr>
      <w:r>
        <w:rPr>
          <w:sz w:val="20"/>
        </w:rPr>
        <w:t>jurisdictional determination criteria</w:t>
      </w:r>
      <w:r>
        <w:rPr>
          <w:sz w:val="20"/>
        </w:rPr>
        <w:tab/>
        <w:t>2</w:t>
      </w:r>
    </w:p>
    <w:p>
      <w:pPr>
        <w:tabs>
          <w:tab w:val="right" w:leader="dot" w:pos="7070"/>
        </w:tabs>
        <w:ind w:left="578" w:right="578"/>
        <w:rPr>
          <w:sz w:val="20"/>
        </w:rPr>
      </w:pPr>
      <w:r>
        <w:rPr>
          <w:sz w:val="20"/>
        </w:rPr>
        <w:t>jurisdictional gas legislation</w:t>
      </w:r>
      <w:r>
        <w:rPr>
          <w:sz w:val="20"/>
        </w:rPr>
        <w:tab/>
        <w:t>2</w:t>
      </w:r>
    </w:p>
    <w:p>
      <w:pPr>
        <w:tabs>
          <w:tab w:val="right" w:leader="dot" w:pos="7070"/>
        </w:tabs>
        <w:ind w:left="578" w:right="578"/>
        <w:rPr>
          <w:sz w:val="20"/>
        </w:rPr>
      </w:pPr>
      <w:r>
        <w:rPr>
          <w:sz w:val="20"/>
        </w:rPr>
        <w:t>Law extrinsic material</w:t>
      </w:r>
      <w:r>
        <w:rPr>
          <w:sz w:val="20"/>
        </w:rPr>
        <w:tab/>
        <w:t>Sch. 2 cl. 8</w:t>
      </w:r>
    </w:p>
    <w:p>
      <w:pPr>
        <w:tabs>
          <w:tab w:val="right" w:leader="dot" w:pos="7070"/>
        </w:tabs>
        <w:ind w:left="578" w:right="578"/>
        <w:rPr>
          <w:sz w:val="20"/>
        </w:rPr>
      </w:pPr>
      <w:r>
        <w:rPr>
          <w:sz w:val="20"/>
        </w:rPr>
        <w:t>Legislature of this jurisdiction</w:t>
      </w:r>
      <w:r>
        <w:rPr>
          <w:sz w:val="20"/>
        </w:rPr>
        <w:tab/>
        <w:t>Act 9(1)</w:t>
      </w:r>
    </w:p>
    <w:p>
      <w:pPr>
        <w:tabs>
          <w:tab w:val="right" w:leader="dot" w:pos="7070"/>
        </w:tabs>
        <w:ind w:left="578" w:right="578"/>
        <w:rPr>
          <w:sz w:val="20"/>
        </w:rPr>
      </w:pPr>
      <w:r>
        <w:rPr>
          <w:sz w:val="20"/>
        </w:rPr>
        <w:t>light regulation determination</w:t>
      </w:r>
      <w:r>
        <w:rPr>
          <w:sz w:val="20"/>
        </w:rPr>
        <w:tab/>
        <w:t>2, 110(1), 112(1)</w:t>
      </w:r>
    </w:p>
    <w:p>
      <w:pPr>
        <w:tabs>
          <w:tab w:val="right" w:leader="dot" w:pos="7070"/>
        </w:tabs>
        <w:ind w:left="578" w:right="578"/>
        <w:rPr>
          <w:sz w:val="20"/>
        </w:rPr>
      </w:pPr>
      <w:r>
        <w:rPr>
          <w:sz w:val="20"/>
        </w:rPr>
        <w:t>light regulation services</w:t>
      </w:r>
      <w:r>
        <w:rPr>
          <w:sz w:val="20"/>
        </w:rPr>
        <w:tab/>
        <w:t>2</w:t>
      </w:r>
    </w:p>
    <w:p>
      <w:pPr>
        <w:tabs>
          <w:tab w:val="right" w:leader="dot" w:pos="7070"/>
        </w:tabs>
        <w:ind w:left="578" w:right="578"/>
        <w:rPr>
          <w:sz w:val="20"/>
        </w:rPr>
      </w:pPr>
      <w:r>
        <w:rPr>
          <w:sz w:val="20"/>
        </w:rPr>
        <w:t>limited access arrangement</w:t>
      </w:r>
      <w:r>
        <w:rPr>
          <w:sz w:val="20"/>
        </w:rPr>
        <w:tab/>
        <w:t>2</w:t>
      </w:r>
    </w:p>
    <w:p>
      <w:pPr>
        <w:tabs>
          <w:tab w:val="right" w:leader="dot" w:pos="7070"/>
        </w:tabs>
        <w:ind w:left="578" w:right="578"/>
        <w:rPr>
          <w:sz w:val="20"/>
        </w:rPr>
      </w:pPr>
      <w:r>
        <w:rPr>
          <w:sz w:val="20"/>
        </w:rPr>
        <w:t>limited access arrangement decision</w:t>
      </w:r>
      <w:r>
        <w:rPr>
          <w:sz w:val="20"/>
        </w:rPr>
        <w:tab/>
        <w:t>2</w:t>
      </w:r>
    </w:p>
    <w:p>
      <w:pPr>
        <w:tabs>
          <w:tab w:val="right" w:leader="dot" w:pos="7070"/>
        </w:tabs>
        <w:ind w:left="578" w:right="578"/>
        <w:rPr>
          <w:sz w:val="20"/>
        </w:rPr>
      </w:pPr>
      <w:r>
        <w:rPr>
          <w:sz w:val="20"/>
        </w:rPr>
        <w:t>make</w:t>
      </w:r>
      <w:r>
        <w:rPr>
          <w:sz w:val="20"/>
        </w:rPr>
        <w:tab/>
        <w:t>Sch. 2 cl. 10</w:t>
      </w:r>
    </w:p>
    <w:p>
      <w:pPr>
        <w:tabs>
          <w:tab w:val="right" w:leader="dot" w:pos="7070"/>
        </w:tabs>
        <w:ind w:left="578" w:right="578"/>
        <w:rPr>
          <w:sz w:val="20"/>
        </w:rPr>
      </w:pPr>
      <w:r>
        <w:rPr>
          <w:sz w:val="20"/>
        </w:rPr>
        <w:t>market initiated proposed Rule</w:t>
      </w:r>
      <w:r>
        <w:rPr>
          <w:sz w:val="20"/>
        </w:rPr>
        <w:tab/>
        <w:t>290</w:t>
      </w:r>
    </w:p>
    <w:p>
      <w:pPr>
        <w:tabs>
          <w:tab w:val="right" w:leader="dot" w:pos="7070"/>
        </w:tabs>
        <w:ind w:left="578" w:right="578"/>
        <w:rPr>
          <w:sz w:val="20"/>
        </w:rPr>
      </w:pPr>
      <w:r>
        <w:rPr>
          <w:sz w:val="20"/>
        </w:rPr>
        <w:t>marketing staff</w:t>
      </w:r>
      <w:r>
        <w:rPr>
          <w:sz w:val="20"/>
        </w:rPr>
        <w:tab/>
        <w:t>137</w:t>
      </w:r>
    </w:p>
    <w:p>
      <w:pPr>
        <w:tabs>
          <w:tab w:val="right" w:leader="dot" w:pos="7070"/>
        </w:tabs>
        <w:ind w:left="578" w:right="578"/>
        <w:rPr>
          <w:sz w:val="20"/>
        </w:rPr>
      </w:pPr>
      <w:r>
        <w:rPr>
          <w:sz w:val="20"/>
        </w:rPr>
        <w:t>materially preferable designated NGO decision</w:t>
      </w:r>
      <w:r>
        <w:rPr>
          <w:sz w:val="20"/>
        </w:rPr>
        <w:tab/>
        <w:t>244, 259</w:t>
      </w:r>
    </w:p>
    <w:p>
      <w:pPr>
        <w:tabs>
          <w:tab w:val="right" w:leader="dot" w:pos="7070"/>
        </w:tabs>
        <w:ind w:left="578" w:right="578"/>
        <w:rPr>
          <w:sz w:val="20"/>
        </w:rPr>
      </w:pPr>
      <w:r>
        <w:rPr>
          <w:sz w:val="20"/>
        </w:rPr>
        <w:t>matters of a transitional nature</w:t>
      </w:r>
      <w:r>
        <w:rPr>
          <w:sz w:val="20"/>
        </w:rPr>
        <w:tab/>
        <w:t>Act 11(4)</w:t>
      </w:r>
    </w:p>
    <w:p>
      <w:pPr>
        <w:tabs>
          <w:tab w:val="right" w:leader="dot" w:pos="7070"/>
        </w:tabs>
        <w:ind w:left="578" w:right="578"/>
        <w:rPr>
          <w:sz w:val="20"/>
        </w:rPr>
      </w:pPr>
      <w:r>
        <w:rPr>
          <w:sz w:val="20"/>
        </w:rPr>
        <w:t>MCE</w:t>
      </w:r>
      <w:r>
        <w:rPr>
          <w:sz w:val="20"/>
        </w:rPr>
        <w:tab/>
        <w:t>2</w:t>
      </w:r>
    </w:p>
    <w:p>
      <w:pPr>
        <w:tabs>
          <w:tab w:val="right" w:leader="dot" w:pos="7070"/>
        </w:tabs>
        <w:ind w:left="578" w:right="578"/>
        <w:rPr>
          <w:sz w:val="20"/>
        </w:rPr>
      </w:pPr>
      <w:r>
        <w:rPr>
          <w:sz w:val="20"/>
        </w:rPr>
        <w:t>MCE directed review</w:t>
      </w:r>
      <w:r>
        <w:rPr>
          <w:sz w:val="20"/>
        </w:rPr>
        <w:tab/>
        <w:t>2</w:t>
      </w:r>
    </w:p>
    <w:p>
      <w:pPr>
        <w:tabs>
          <w:tab w:val="right" w:leader="dot" w:pos="7070"/>
        </w:tabs>
        <w:ind w:left="578" w:right="578"/>
        <w:rPr>
          <w:sz w:val="20"/>
        </w:rPr>
      </w:pPr>
      <w:r>
        <w:rPr>
          <w:sz w:val="20"/>
        </w:rPr>
        <w:t>MCE statement of policy principles</w:t>
      </w:r>
      <w:r>
        <w:rPr>
          <w:sz w:val="20"/>
        </w:rPr>
        <w:tab/>
        <w:t>2</w:t>
      </w:r>
    </w:p>
    <w:p>
      <w:pPr>
        <w:tabs>
          <w:tab w:val="right" w:leader="dot" w:pos="7070"/>
        </w:tabs>
        <w:ind w:left="578" w:right="578"/>
        <w:rPr>
          <w:sz w:val="20"/>
        </w:rPr>
      </w:pPr>
      <w:r>
        <w:rPr>
          <w:sz w:val="20"/>
        </w:rPr>
        <w:t>minimum ring fencing requirement</w:t>
      </w:r>
      <w:r>
        <w:rPr>
          <w:sz w:val="20"/>
        </w:rPr>
        <w:tab/>
        <w:t>2</w:t>
      </w:r>
    </w:p>
    <w:p>
      <w:pPr>
        <w:tabs>
          <w:tab w:val="right" w:leader="dot" w:pos="7070"/>
        </w:tabs>
        <w:ind w:left="578" w:right="578"/>
        <w:rPr>
          <w:sz w:val="20"/>
        </w:rPr>
      </w:pPr>
      <w:r>
        <w:rPr>
          <w:sz w:val="20"/>
        </w:rPr>
        <w:t>Minister of a participating jurisdiction</w:t>
      </w:r>
      <w:r>
        <w:rPr>
          <w:sz w:val="20"/>
        </w:rPr>
        <w:tab/>
        <w:t>2</w:t>
      </w:r>
    </w:p>
    <w:p>
      <w:pPr>
        <w:tabs>
          <w:tab w:val="right" w:leader="dot" w:pos="7070"/>
        </w:tabs>
        <w:ind w:left="578" w:right="578"/>
        <w:rPr>
          <w:sz w:val="20"/>
        </w:rPr>
      </w:pPr>
      <w:r>
        <w:rPr>
          <w:sz w:val="20"/>
        </w:rPr>
        <w:t>Minister of this participating jurisdiction</w:t>
      </w:r>
      <w:r>
        <w:rPr>
          <w:sz w:val="20"/>
        </w:rPr>
        <w:tab/>
        <w:t>87(3)</w:t>
      </w:r>
    </w:p>
    <w:p>
      <w:pPr>
        <w:tabs>
          <w:tab w:val="right" w:leader="dot" w:pos="7070"/>
        </w:tabs>
        <w:ind w:left="578" w:right="578"/>
        <w:rPr>
          <w:sz w:val="20"/>
        </w:rPr>
      </w:pPr>
      <w:r>
        <w:rPr>
          <w:sz w:val="20"/>
        </w:rPr>
        <w:t>Ministerial coverage decision</w:t>
      </w:r>
      <w:r>
        <w:rPr>
          <w:sz w:val="20"/>
        </w:rPr>
        <w:tab/>
        <w:t>2</w:t>
      </w:r>
    </w:p>
    <w:p>
      <w:pPr>
        <w:tabs>
          <w:tab w:val="right" w:leader="dot" w:pos="7070"/>
        </w:tabs>
        <w:ind w:left="578" w:right="578"/>
        <w:rPr>
          <w:sz w:val="20"/>
        </w:rPr>
      </w:pPr>
      <w:r>
        <w:rPr>
          <w:sz w:val="20"/>
        </w:rPr>
        <w:t>Ministerial or NCC scheme decision</w:t>
      </w:r>
      <w:r>
        <w:rPr>
          <w:sz w:val="20"/>
        </w:rPr>
        <w:tab/>
        <w:t>333(3)</w:t>
      </w:r>
    </w:p>
    <w:p>
      <w:pPr>
        <w:tabs>
          <w:tab w:val="right" w:leader="dot" w:pos="7070"/>
        </w:tabs>
        <w:ind w:left="578" w:right="578"/>
        <w:rPr>
          <w:sz w:val="20"/>
        </w:rPr>
      </w:pPr>
      <w:r>
        <w:rPr>
          <w:sz w:val="20"/>
        </w:rPr>
        <w:t>minor</w:t>
      </w:r>
      <w:r>
        <w:rPr>
          <w:sz w:val="20"/>
        </w:rPr>
        <w:tab/>
        <w:t>Sch. 2 cl. 10</w:t>
      </w:r>
    </w:p>
    <w:p>
      <w:pPr>
        <w:tabs>
          <w:tab w:val="right" w:leader="dot" w:pos="7070"/>
        </w:tabs>
        <w:ind w:left="578" w:right="578"/>
        <w:rPr>
          <w:sz w:val="20"/>
        </w:rPr>
      </w:pPr>
      <w:r>
        <w:rPr>
          <w:sz w:val="20"/>
        </w:rPr>
        <w:t>modification</w:t>
      </w:r>
      <w:r>
        <w:rPr>
          <w:sz w:val="20"/>
        </w:rPr>
        <w:tab/>
        <w:t>Sch. 2 cl. 10</w:t>
      </w:r>
    </w:p>
    <w:p>
      <w:pPr>
        <w:tabs>
          <w:tab w:val="right" w:leader="dot" w:pos="7070"/>
        </w:tabs>
        <w:ind w:left="578" w:right="578"/>
        <w:rPr>
          <w:sz w:val="20"/>
        </w:rPr>
      </w:pPr>
      <w:r>
        <w:rPr>
          <w:sz w:val="20"/>
        </w:rPr>
        <w:t>month</w:t>
      </w:r>
      <w:r>
        <w:rPr>
          <w:sz w:val="20"/>
        </w:rPr>
        <w:tab/>
        <w:t>Sch. 2 cl. 10</w:t>
      </w:r>
    </w:p>
    <w:p>
      <w:pPr>
        <w:tabs>
          <w:tab w:val="right" w:leader="dot" w:pos="7070"/>
        </w:tabs>
        <w:ind w:left="578" w:right="578"/>
        <w:rPr>
          <w:sz w:val="20"/>
        </w:rPr>
      </w:pPr>
      <w:r>
        <w:rPr>
          <w:sz w:val="20"/>
        </w:rPr>
        <w:t>more preferable Rule</w:t>
      </w:r>
      <w:r>
        <w:rPr>
          <w:sz w:val="20"/>
        </w:rPr>
        <w:tab/>
        <w:t>290, 296</w:t>
      </w:r>
    </w:p>
    <w:p>
      <w:pPr>
        <w:tabs>
          <w:tab w:val="right" w:leader="dot" w:pos="7070"/>
        </w:tabs>
        <w:ind w:left="578" w:right="578"/>
        <w:rPr>
          <w:sz w:val="20"/>
        </w:rPr>
      </w:pPr>
      <w:r>
        <w:rPr>
          <w:sz w:val="20"/>
        </w:rPr>
        <w:t>named month</w:t>
      </w:r>
      <w:r>
        <w:rPr>
          <w:sz w:val="20"/>
        </w:rPr>
        <w:tab/>
        <w:t>Sch. 2 cl. 10</w:t>
      </w:r>
    </w:p>
    <w:p>
      <w:pPr>
        <w:tabs>
          <w:tab w:val="right" w:leader="dot" w:pos="7070"/>
        </w:tabs>
        <w:ind w:left="578" w:right="578"/>
        <w:rPr>
          <w:sz w:val="20"/>
        </w:rPr>
      </w:pPr>
      <w:r>
        <w:rPr>
          <w:sz w:val="20"/>
        </w:rPr>
        <w:t>National Gas Access (Western Australia) Law</w:t>
      </w:r>
      <w:r>
        <w:rPr>
          <w:sz w:val="20"/>
        </w:rPr>
        <w:tab/>
        <w:t>Act 3(1), 11(4)</w:t>
      </w:r>
    </w:p>
    <w:p>
      <w:pPr>
        <w:tabs>
          <w:tab w:val="right" w:leader="dot" w:pos="7070"/>
        </w:tabs>
        <w:ind w:left="578" w:right="578"/>
        <w:rPr>
          <w:sz w:val="20"/>
        </w:rPr>
      </w:pPr>
      <w:r>
        <w:rPr>
          <w:sz w:val="20"/>
        </w:rPr>
        <w:t>National Gas Access (Western Australia) Regulations</w:t>
      </w:r>
      <w:r>
        <w:rPr>
          <w:sz w:val="20"/>
        </w:rPr>
        <w:tab/>
        <w:t>Act 3(1)</w:t>
      </w:r>
    </w:p>
    <w:p>
      <w:pPr>
        <w:tabs>
          <w:tab w:val="right" w:leader="dot" w:pos="7070"/>
        </w:tabs>
        <w:ind w:left="578" w:right="578"/>
        <w:rPr>
          <w:sz w:val="20"/>
        </w:rPr>
      </w:pPr>
      <w:r>
        <w:rPr>
          <w:sz w:val="20"/>
        </w:rPr>
        <w:t>National Gas Law</w:t>
      </w:r>
      <w:r>
        <w:rPr>
          <w:sz w:val="20"/>
        </w:rPr>
        <w:tab/>
        <w:t>Act 9(1)</w:t>
      </w:r>
    </w:p>
    <w:p>
      <w:pPr>
        <w:tabs>
          <w:tab w:val="right" w:leader="dot" w:pos="7070"/>
        </w:tabs>
        <w:ind w:left="578" w:right="578"/>
        <w:rPr>
          <w:sz w:val="20"/>
        </w:rPr>
      </w:pPr>
      <w:r>
        <w:rPr>
          <w:sz w:val="20"/>
        </w:rPr>
        <w:t>national gas legislation</w:t>
      </w:r>
      <w:r>
        <w:rPr>
          <w:sz w:val="20"/>
        </w:rPr>
        <w:tab/>
        <w:t>2</w:t>
      </w:r>
    </w:p>
    <w:p>
      <w:pPr>
        <w:tabs>
          <w:tab w:val="right" w:leader="dot" w:pos="7070"/>
        </w:tabs>
        <w:ind w:left="578" w:right="578"/>
        <w:rPr>
          <w:sz w:val="20"/>
        </w:rPr>
      </w:pPr>
      <w:r>
        <w:rPr>
          <w:sz w:val="20"/>
        </w:rPr>
        <w:t>national gas objective</w:t>
      </w:r>
      <w:r>
        <w:rPr>
          <w:sz w:val="20"/>
        </w:rPr>
        <w:tab/>
        <w:t>2</w:t>
      </w:r>
    </w:p>
    <w:p>
      <w:pPr>
        <w:tabs>
          <w:tab w:val="right" w:leader="dot" w:pos="7070"/>
        </w:tabs>
        <w:ind w:left="578" w:right="578"/>
        <w:rPr>
          <w:sz w:val="20"/>
        </w:rPr>
      </w:pPr>
      <w:r>
        <w:rPr>
          <w:sz w:val="20"/>
        </w:rPr>
        <w:t>National Gas Rules</w:t>
      </w:r>
      <w:r>
        <w:rPr>
          <w:sz w:val="20"/>
        </w:rPr>
        <w:tab/>
        <w:t>2</w:t>
      </w:r>
    </w:p>
    <w:p>
      <w:pPr>
        <w:tabs>
          <w:tab w:val="right" w:leader="dot" w:pos="7070"/>
        </w:tabs>
        <w:ind w:left="578" w:right="578"/>
        <w:rPr>
          <w:sz w:val="20"/>
        </w:rPr>
      </w:pPr>
      <w:r>
        <w:rPr>
          <w:sz w:val="20"/>
        </w:rPr>
        <w:t>national provisions</w:t>
      </w:r>
      <w:r>
        <w:rPr>
          <w:sz w:val="20"/>
        </w:rPr>
        <w:tab/>
        <w:t>Act 19(3)</w:t>
      </w:r>
    </w:p>
    <w:p>
      <w:pPr>
        <w:tabs>
          <w:tab w:val="right" w:leader="dot" w:pos="7070"/>
        </w:tabs>
        <w:ind w:left="578" w:right="578"/>
        <w:rPr>
          <w:sz w:val="20"/>
        </w:rPr>
      </w:pPr>
      <w:r>
        <w:rPr>
          <w:sz w:val="20"/>
        </w:rPr>
        <w:t>natural gas</w:t>
      </w:r>
      <w:r>
        <w:rPr>
          <w:sz w:val="20"/>
        </w:rPr>
        <w:tab/>
        <w:t>2</w:t>
      </w:r>
    </w:p>
    <w:p>
      <w:pPr>
        <w:tabs>
          <w:tab w:val="right" w:leader="dot" w:pos="7070"/>
        </w:tabs>
        <w:ind w:left="578" w:right="578"/>
        <w:rPr>
          <w:sz w:val="20"/>
        </w:rPr>
      </w:pPr>
      <w:r>
        <w:rPr>
          <w:sz w:val="20"/>
        </w:rPr>
        <w:t>natural gas service</w:t>
      </w:r>
      <w:r>
        <w:rPr>
          <w:sz w:val="20"/>
        </w:rPr>
        <w:tab/>
        <w:t>2</w:t>
      </w:r>
    </w:p>
    <w:p>
      <w:pPr>
        <w:tabs>
          <w:tab w:val="right" w:leader="dot" w:pos="7070"/>
        </w:tabs>
        <w:ind w:left="578" w:right="578"/>
        <w:rPr>
          <w:sz w:val="20"/>
        </w:rPr>
      </w:pPr>
      <w:r>
        <w:rPr>
          <w:sz w:val="20"/>
        </w:rPr>
        <w:t>Natural Gas Services Bulletin Board</w:t>
      </w:r>
      <w:r>
        <w:rPr>
          <w:sz w:val="20"/>
        </w:rPr>
        <w:tab/>
        <w:t>2</w:t>
      </w:r>
    </w:p>
    <w:p>
      <w:pPr>
        <w:tabs>
          <w:tab w:val="right" w:leader="dot" w:pos="7070"/>
        </w:tabs>
        <w:ind w:left="578" w:right="578"/>
        <w:rPr>
          <w:sz w:val="20"/>
        </w:rPr>
      </w:pPr>
      <w:r>
        <w:rPr>
          <w:sz w:val="20"/>
        </w:rPr>
        <w:t>NCC</w:t>
      </w:r>
      <w:r>
        <w:rPr>
          <w:sz w:val="20"/>
        </w:rPr>
        <w:tab/>
        <w:t>2</w:t>
      </w:r>
    </w:p>
    <w:p>
      <w:pPr>
        <w:tabs>
          <w:tab w:val="right" w:leader="dot" w:pos="7070"/>
        </w:tabs>
        <w:ind w:left="578" w:right="578"/>
        <w:rPr>
          <w:sz w:val="20"/>
        </w:rPr>
      </w:pPr>
      <w:r>
        <w:rPr>
          <w:sz w:val="20"/>
        </w:rPr>
        <w:t>NCC member</w:t>
      </w:r>
      <w:r>
        <w:rPr>
          <w:sz w:val="20"/>
        </w:rPr>
        <w:tab/>
        <w:t>Sch. 2 cl. 33</w:t>
      </w:r>
    </w:p>
    <w:p>
      <w:pPr>
        <w:tabs>
          <w:tab w:val="right" w:leader="dot" w:pos="7070"/>
        </w:tabs>
        <w:ind w:left="578" w:right="578"/>
        <w:rPr>
          <w:sz w:val="20"/>
        </w:rPr>
      </w:pPr>
      <w:r>
        <w:rPr>
          <w:sz w:val="20"/>
        </w:rPr>
        <w:t>NCC recommendation</w:t>
      </w:r>
      <w:r>
        <w:rPr>
          <w:sz w:val="20"/>
        </w:rPr>
        <w:tab/>
        <w:t>244</w:t>
      </w:r>
    </w:p>
    <w:p>
      <w:pPr>
        <w:tabs>
          <w:tab w:val="right" w:leader="dot" w:pos="7070"/>
        </w:tabs>
        <w:ind w:left="578" w:right="578"/>
        <w:rPr>
          <w:sz w:val="20"/>
        </w:rPr>
      </w:pPr>
      <w:r>
        <w:rPr>
          <w:sz w:val="20"/>
        </w:rPr>
        <w:t>NCC recommendation or decision</w:t>
      </w:r>
      <w:r>
        <w:rPr>
          <w:sz w:val="20"/>
        </w:rPr>
        <w:tab/>
        <w:t>2</w:t>
      </w:r>
    </w:p>
    <w:p>
      <w:pPr>
        <w:tabs>
          <w:tab w:val="right" w:leader="dot" w:pos="7070"/>
        </w:tabs>
        <w:ind w:left="578" w:right="578"/>
        <w:rPr>
          <w:sz w:val="20"/>
        </w:rPr>
      </w:pPr>
      <w:r>
        <w:rPr>
          <w:sz w:val="20"/>
        </w:rPr>
        <w:t>new application Act</w:t>
      </w:r>
      <w:r>
        <w:rPr>
          <w:sz w:val="20"/>
        </w:rPr>
        <w:tab/>
        <w:t>Sch. 3 cl. 1</w:t>
      </w:r>
    </w:p>
    <w:p>
      <w:pPr>
        <w:tabs>
          <w:tab w:val="right" w:leader="dot" w:pos="7070"/>
        </w:tabs>
        <w:ind w:left="578" w:right="578"/>
        <w:rPr>
          <w:sz w:val="20"/>
        </w:rPr>
      </w:pPr>
      <w:r>
        <w:rPr>
          <w:sz w:val="20"/>
        </w:rPr>
        <w:t>new facility</w:t>
      </w:r>
      <w:r>
        <w:rPr>
          <w:sz w:val="20"/>
        </w:rPr>
        <w:tab/>
        <w:t>2</w:t>
      </w:r>
    </w:p>
    <w:p>
      <w:pPr>
        <w:tabs>
          <w:tab w:val="right" w:leader="dot" w:pos="7070"/>
        </w:tabs>
        <w:ind w:left="578" w:right="578"/>
        <w:rPr>
          <w:sz w:val="20"/>
        </w:rPr>
      </w:pPr>
      <w:r>
        <w:rPr>
          <w:sz w:val="20"/>
        </w:rPr>
        <w:t>new scheme revisions commencement date</w:t>
      </w:r>
      <w:r>
        <w:rPr>
          <w:sz w:val="20"/>
        </w:rPr>
        <w:tab/>
        <w:t>Sch. 3 cl. 31</w:t>
      </w:r>
    </w:p>
    <w:p>
      <w:pPr>
        <w:tabs>
          <w:tab w:val="right" w:leader="dot" w:pos="7070"/>
        </w:tabs>
        <w:ind w:left="578" w:right="578"/>
        <w:rPr>
          <w:sz w:val="20"/>
        </w:rPr>
      </w:pPr>
      <w:r>
        <w:rPr>
          <w:sz w:val="20"/>
        </w:rPr>
        <w:t>no</w:t>
      </w:r>
      <w:r>
        <w:rPr>
          <w:sz w:val="20"/>
        </w:rPr>
        <w:noBreakHyphen/>
        <w:t>coverage recommendation</w:t>
      </w:r>
      <w:r>
        <w:rPr>
          <w:sz w:val="20"/>
        </w:rPr>
        <w:tab/>
        <w:t>2</w:t>
      </w:r>
    </w:p>
    <w:p>
      <w:pPr>
        <w:tabs>
          <w:tab w:val="right" w:leader="dot" w:pos="7070"/>
        </w:tabs>
        <w:ind w:left="578" w:right="578"/>
        <w:rPr>
          <w:sz w:val="20"/>
        </w:rPr>
      </w:pPr>
      <w:r>
        <w:rPr>
          <w:sz w:val="20"/>
        </w:rPr>
        <w:t>nominated disputes</w:t>
      </w:r>
      <w:r>
        <w:rPr>
          <w:sz w:val="20"/>
        </w:rPr>
        <w:tab/>
        <w:t>208, 209(2)</w:t>
      </w:r>
    </w:p>
    <w:p>
      <w:pPr>
        <w:tabs>
          <w:tab w:val="right" w:leader="dot" w:pos="7070"/>
        </w:tabs>
        <w:ind w:left="578" w:right="578"/>
        <w:rPr>
          <w:sz w:val="20"/>
        </w:rPr>
      </w:pPr>
      <w:r>
        <w:rPr>
          <w:sz w:val="20"/>
        </w:rPr>
        <w:t>non scheme pipeline user</w:t>
      </w:r>
      <w:r>
        <w:rPr>
          <w:sz w:val="20"/>
        </w:rPr>
        <w:tab/>
        <w:t>2</w:t>
      </w:r>
    </w:p>
    <w:p>
      <w:pPr>
        <w:tabs>
          <w:tab w:val="right" w:leader="dot" w:pos="7070"/>
        </w:tabs>
        <w:ind w:left="578" w:right="578"/>
        <w:rPr>
          <w:sz w:val="20"/>
        </w:rPr>
      </w:pPr>
      <w:r>
        <w:rPr>
          <w:sz w:val="20"/>
        </w:rPr>
        <w:t>non</w:t>
      </w:r>
      <w:r>
        <w:rPr>
          <w:sz w:val="20"/>
        </w:rPr>
        <w:noBreakHyphen/>
        <w:t>controversial Rule</w:t>
      </w:r>
      <w:r>
        <w:rPr>
          <w:sz w:val="20"/>
        </w:rPr>
        <w:tab/>
        <w:t>290</w:t>
      </w:r>
    </w:p>
    <w:p>
      <w:pPr>
        <w:tabs>
          <w:tab w:val="right" w:leader="dot" w:pos="7070"/>
        </w:tabs>
        <w:ind w:left="578" w:right="578"/>
        <w:rPr>
          <w:sz w:val="20"/>
        </w:rPr>
      </w:pPr>
      <w:r>
        <w:rPr>
          <w:sz w:val="20"/>
        </w:rPr>
        <w:t>non</w:t>
      </w:r>
      <w:r>
        <w:rPr>
          <w:sz w:val="20"/>
        </w:rPr>
        <w:noBreakHyphen/>
        <w:t>finalised access dispute</w:t>
      </w:r>
      <w:r>
        <w:rPr>
          <w:sz w:val="20"/>
        </w:rPr>
        <w:tab/>
        <w:t>Sch. 3 cl. 42</w:t>
      </w:r>
    </w:p>
    <w:p>
      <w:pPr>
        <w:tabs>
          <w:tab w:val="right" w:leader="dot" w:pos="7070"/>
        </w:tabs>
        <w:ind w:left="578" w:right="578"/>
        <w:rPr>
          <w:sz w:val="20"/>
        </w:rPr>
      </w:pPr>
      <w:r>
        <w:rPr>
          <w:sz w:val="20"/>
        </w:rPr>
        <w:t>non-scheme pipeline</w:t>
      </w:r>
      <w:r>
        <w:rPr>
          <w:sz w:val="20"/>
        </w:rPr>
        <w:tab/>
        <w:t>216A</w:t>
      </w:r>
    </w:p>
    <w:p>
      <w:pPr>
        <w:tabs>
          <w:tab w:val="right" w:leader="dot" w:pos="7070"/>
        </w:tabs>
        <w:ind w:left="578" w:right="578"/>
        <w:rPr>
          <w:sz w:val="20"/>
        </w:rPr>
      </w:pPr>
      <w:r>
        <w:rPr>
          <w:sz w:val="20"/>
        </w:rPr>
        <w:t>notified compliance date</w:t>
      </w:r>
      <w:r>
        <w:rPr>
          <w:sz w:val="20"/>
        </w:rPr>
        <w:tab/>
        <w:t>143(4)</w:t>
      </w:r>
    </w:p>
    <w:p>
      <w:pPr>
        <w:tabs>
          <w:tab w:val="right" w:leader="dot" w:pos="7070"/>
        </w:tabs>
        <w:ind w:left="578" w:right="578"/>
        <w:rPr>
          <w:sz w:val="20"/>
        </w:rPr>
      </w:pPr>
      <w:r>
        <w:rPr>
          <w:sz w:val="20"/>
        </w:rPr>
        <w:t>number</w:t>
      </w:r>
      <w:r>
        <w:rPr>
          <w:sz w:val="20"/>
        </w:rPr>
        <w:tab/>
        <w:t>Sch. 2 cl. 10</w:t>
      </w:r>
    </w:p>
    <w:p>
      <w:pPr>
        <w:tabs>
          <w:tab w:val="right" w:leader="dot" w:pos="7070"/>
        </w:tabs>
        <w:ind w:left="578" w:right="578"/>
        <w:rPr>
          <w:sz w:val="20"/>
        </w:rPr>
      </w:pPr>
      <w:r>
        <w:rPr>
          <w:sz w:val="20"/>
        </w:rPr>
        <w:t>oath</w:t>
      </w:r>
      <w:r>
        <w:rPr>
          <w:sz w:val="20"/>
        </w:rPr>
        <w:tab/>
        <w:t>Sch. 2 cl. 10</w:t>
      </w:r>
    </w:p>
    <w:p>
      <w:pPr>
        <w:tabs>
          <w:tab w:val="right" w:leader="dot" w:pos="7070"/>
        </w:tabs>
        <w:ind w:left="578" w:right="578"/>
        <w:rPr>
          <w:sz w:val="20"/>
        </w:rPr>
      </w:pPr>
      <w:r>
        <w:rPr>
          <w:sz w:val="20"/>
        </w:rPr>
        <w:t>offence provision</w:t>
      </w:r>
      <w:r>
        <w:rPr>
          <w:sz w:val="20"/>
        </w:rPr>
        <w:tab/>
        <w:t>2</w:t>
      </w:r>
    </w:p>
    <w:p>
      <w:pPr>
        <w:tabs>
          <w:tab w:val="right" w:leader="dot" w:pos="7070"/>
        </w:tabs>
        <w:ind w:left="578" w:right="578"/>
        <w:rPr>
          <w:sz w:val="20"/>
        </w:rPr>
      </w:pPr>
      <w:r>
        <w:rPr>
          <w:sz w:val="20"/>
        </w:rPr>
        <w:t>office</w:t>
      </w:r>
      <w:r>
        <w:rPr>
          <w:sz w:val="20"/>
        </w:rPr>
        <w:tab/>
        <w:t>Sch. 2 cl. 10</w:t>
      </w:r>
    </w:p>
    <w:p>
      <w:pPr>
        <w:tabs>
          <w:tab w:val="right" w:leader="dot" w:pos="7070"/>
        </w:tabs>
        <w:ind w:left="578" w:right="578"/>
        <w:rPr>
          <w:sz w:val="20"/>
        </w:rPr>
      </w:pPr>
      <w:r>
        <w:rPr>
          <w:sz w:val="20"/>
        </w:rPr>
        <w:t>officer</w:t>
      </w:r>
      <w:r>
        <w:rPr>
          <w:sz w:val="20"/>
        </w:rPr>
        <w:tab/>
        <w:t>2</w:t>
      </w:r>
    </w:p>
    <w:p>
      <w:pPr>
        <w:tabs>
          <w:tab w:val="right" w:leader="dot" w:pos="7070"/>
        </w:tabs>
        <w:ind w:left="578" w:right="578"/>
        <w:rPr>
          <w:sz w:val="20"/>
        </w:rPr>
      </w:pPr>
      <w:r>
        <w:rPr>
          <w:sz w:val="20"/>
        </w:rPr>
        <w:t>old access law</w:t>
      </w:r>
      <w:r>
        <w:rPr>
          <w:sz w:val="20"/>
        </w:rPr>
        <w:tab/>
        <w:t>2</w:t>
      </w:r>
    </w:p>
    <w:p>
      <w:pPr>
        <w:tabs>
          <w:tab w:val="right" w:leader="dot" w:pos="7070"/>
        </w:tabs>
        <w:ind w:left="578" w:right="578"/>
        <w:rPr>
          <w:sz w:val="20"/>
        </w:rPr>
      </w:pPr>
      <w:r>
        <w:rPr>
          <w:sz w:val="20"/>
        </w:rPr>
        <w:t>old scheme classification and scheme participant determination</w:t>
      </w:r>
      <w:r>
        <w:rPr>
          <w:sz w:val="20"/>
        </w:rPr>
        <w:tab/>
        <w:t>Sch. 3 cl. 53</w:t>
      </w:r>
    </w:p>
    <w:p>
      <w:pPr>
        <w:tabs>
          <w:tab w:val="right" w:leader="dot" w:pos="7070"/>
        </w:tabs>
        <w:ind w:left="578" w:right="578"/>
        <w:rPr>
          <w:sz w:val="20"/>
        </w:rPr>
      </w:pPr>
      <w:r>
        <w:rPr>
          <w:sz w:val="20"/>
        </w:rPr>
        <w:t>old scheme classification or determination</w:t>
      </w:r>
      <w:r>
        <w:rPr>
          <w:sz w:val="20"/>
        </w:rPr>
        <w:tab/>
        <w:t>2</w:t>
      </w:r>
    </w:p>
    <w:p>
      <w:pPr>
        <w:tabs>
          <w:tab w:val="right" w:leader="dot" w:pos="7070"/>
        </w:tabs>
        <w:ind w:left="578" w:right="578"/>
        <w:rPr>
          <w:sz w:val="20"/>
        </w:rPr>
      </w:pPr>
      <w:r>
        <w:rPr>
          <w:sz w:val="20"/>
        </w:rPr>
        <w:t>old scheme coverage application</w:t>
      </w:r>
      <w:r>
        <w:rPr>
          <w:sz w:val="20"/>
        </w:rPr>
        <w:tab/>
        <w:t>Sch. 3 cl. 1</w:t>
      </w:r>
    </w:p>
    <w:p>
      <w:pPr>
        <w:tabs>
          <w:tab w:val="right" w:leader="dot" w:pos="7070"/>
        </w:tabs>
        <w:ind w:left="578" w:right="578"/>
        <w:rPr>
          <w:sz w:val="20"/>
        </w:rPr>
      </w:pPr>
      <w:r>
        <w:rPr>
          <w:sz w:val="20"/>
        </w:rPr>
        <w:t>old scheme coverage determination</w:t>
      </w:r>
      <w:r>
        <w:rPr>
          <w:sz w:val="20"/>
        </w:rPr>
        <w:tab/>
        <w:t>Sch. 3 cl. 1</w:t>
      </w:r>
    </w:p>
    <w:p>
      <w:pPr>
        <w:tabs>
          <w:tab w:val="right" w:leader="dot" w:pos="7070"/>
        </w:tabs>
        <w:ind w:left="578" w:right="578"/>
        <w:rPr>
          <w:sz w:val="20"/>
        </w:rPr>
      </w:pPr>
      <w:r>
        <w:rPr>
          <w:sz w:val="20"/>
        </w:rPr>
        <w:t>old scheme coverage revocation application</w:t>
      </w:r>
      <w:r>
        <w:rPr>
          <w:sz w:val="20"/>
        </w:rPr>
        <w:tab/>
        <w:t>Sch. 3 cl. 1</w:t>
      </w:r>
    </w:p>
    <w:p>
      <w:pPr>
        <w:tabs>
          <w:tab w:val="right" w:leader="dot" w:pos="7070"/>
        </w:tabs>
        <w:ind w:left="578" w:right="578"/>
        <w:rPr>
          <w:sz w:val="20"/>
        </w:rPr>
      </w:pPr>
      <w:r>
        <w:rPr>
          <w:sz w:val="20"/>
        </w:rPr>
        <w:t>old scheme coverage revocation determination</w:t>
      </w:r>
      <w:r>
        <w:rPr>
          <w:sz w:val="20"/>
        </w:rPr>
        <w:tab/>
        <w:t>Sch. 3 cl. 1</w:t>
      </w:r>
    </w:p>
    <w:p>
      <w:pPr>
        <w:tabs>
          <w:tab w:val="right" w:leader="dot" w:pos="7070"/>
        </w:tabs>
        <w:ind w:left="578" w:right="578"/>
        <w:rPr>
          <w:sz w:val="20"/>
        </w:rPr>
      </w:pPr>
      <w:r>
        <w:rPr>
          <w:sz w:val="20"/>
        </w:rPr>
        <w:t>old scheme covered pipeline</w:t>
      </w:r>
      <w:r>
        <w:rPr>
          <w:sz w:val="20"/>
        </w:rPr>
        <w:tab/>
        <w:t>Sch. 3 cl. 1</w:t>
      </w:r>
    </w:p>
    <w:p>
      <w:pPr>
        <w:tabs>
          <w:tab w:val="right" w:leader="dot" w:pos="7070"/>
        </w:tabs>
        <w:ind w:left="578" w:right="578"/>
        <w:rPr>
          <w:sz w:val="20"/>
        </w:rPr>
      </w:pPr>
      <w:r>
        <w:rPr>
          <w:sz w:val="20"/>
        </w:rPr>
        <w:t>old scheme distribution pipeline</w:t>
      </w:r>
      <w:r>
        <w:rPr>
          <w:sz w:val="20"/>
        </w:rPr>
        <w:tab/>
        <w:t>2</w:t>
      </w:r>
    </w:p>
    <w:p>
      <w:pPr>
        <w:tabs>
          <w:tab w:val="right" w:leader="dot" w:pos="7070"/>
        </w:tabs>
        <w:ind w:left="578" w:right="578"/>
        <w:rPr>
          <w:sz w:val="20"/>
        </w:rPr>
      </w:pPr>
      <w:r>
        <w:rPr>
          <w:sz w:val="20"/>
        </w:rPr>
        <w:t>old scheme limited access arrangement</w:t>
      </w:r>
      <w:r>
        <w:rPr>
          <w:sz w:val="20"/>
        </w:rPr>
        <w:tab/>
        <w:t>Sch. 3 cl. 1</w:t>
      </w:r>
    </w:p>
    <w:p>
      <w:pPr>
        <w:tabs>
          <w:tab w:val="right" w:leader="dot" w:pos="7070"/>
        </w:tabs>
        <w:ind w:left="578" w:right="578"/>
        <w:rPr>
          <w:sz w:val="20"/>
        </w:rPr>
      </w:pPr>
      <w:r>
        <w:rPr>
          <w:sz w:val="20"/>
        </w:rPr>
        <w:t>old scheme price regulation exemption</w:t>
      </w:r>
      <w:r>
        <w:rPr>
          <w:sz w:val="20"/>
        </w:rPr>
        <w:tab/>
        <w:t>Sch. 3 cl. 1</w:t>
      </w:r>
    </w:p>
    <w:p>
      <w:pPr>
        <w:tabs>
          <w:tab w:val="right" w:leader="dot" w:pos="7070"/>
        </w:tabs>
        <w:ind w:left="578" w:right="578"/>
        <w:rPr>
          <w:sz w:val="20"/>
        </w:rPr>
      </w:pPr>
      <w:r>
        <w:rPr>
          <w:sz w:val="20"/>
        </w:rPr>
        <w:t>old scheme relevant Minister</w:t>
      </w:r>
      <w:r>
        <w:rPr>
          <w:sz w:val="20"/>
        </w:rPr>
        <w:tab/>
        <w:t>Sch. 3 cl. 1</w:t>
      </w:r>
    </w:p>
    <w:p>
      <w:pPr>
        <w:tabs>
          <w:tab w:val="right" w:leader="dot" w:pos="7070"/>
        </w:tabs>
        <w:ind w:left="578" w:right="578"/>
        <w:rPr>
          <w:sz w:val="20"/>
        </w:rPr>
      </w:pPr>
      <w:r>
        <w:rPr>
          <w:sz w:val="20"/>
        </w:rPr>
        <w:t>old scheme ring fencing requirement</w:t>
      </w:r>
      <w:r>
        <w:rPr>
          <w:sz w:val="20"/>
        </w:rPr>
        <w:tab/>
        <w:t>Sch. 3 cl. 38</w:t>
      </w:r>
    </w:p>
    <w:p>
      <w:pPr>
        <w:tabs>
          <w:tab w:val="right" w:leader="dot" w:pos="7070"/>
        </w:tabs>
        <w:ind w:left="578" w:right="578"/>
        <w:rPr>
          <w:sz w:val="20"/>
        </w:rPr>
      </w:pPr>
      <w:r>
        <w:rPr>
          <w:sz w:val="20"/>
        </w:rPr>
        <w:t>old scheme transmission pipeline</w:t>
      </w:r>
      <w:r>
        <w:rPr>
          <w:sz w:val="20"/>
        </w:rPr>
        <w:tab/>
        <w:t>2</w:t>
      </w:r>
    </w:p>
    <w:p>
      <w:pPr>
        <w:tabs>
          <w:tab w:val="right" w:leader="dot" w:pos="7070"/>
        </w:tabs>
        <w:ind w:left="578" w:right="578"/>
        <w:rPr>
          <w:sz w:val="20"/>
        </w:rPr>
      </w:pPr>
      <w:r>
        <w:rPr>
          <w:sz w:val="20"/>
        </w:rPr>
        <w:t>omit</w:t>
      </w:r>
      <w:r>
        <w:rPr>
          <w:sz w:val="20"/>
        </w:rPr>
        <w:tab/>
        <w:t>Sch. 2 cl. 10</w:t>
      </w:r>
    </w:p>
    <w:p>
      <w:pPr>
        <w:tabs>
          <w:tab w:val="right" w:leader="dot" w:pos="7070"/>
        </w:tabs>
        <w:ind w:left="578" w:right="578"/>
        <w:rPr>
          <w:sz w:val="20"/>
        </w:rPr>
      </w:pPr>
      <w:r>
        <w:rPr>
          <w:sz w:val="20"/>
        </w:rPr>
        <w:t>ordinary meaning</w:t>
      </w:r>
      <w:r>
        <w:rPr>
          <w:sz w:val="20"/>
        </w:rPr>
        <w:tab/>
        <w:t>Sch. 2 cl. 8</w:t>
      </w:r>
    </w:p>
    <w:p>
      <w:pPr>
        <w:tabs>
          <w:tab w:val="right" w:leader="dot" w:pos="7070"/>
        </w:tabs>
        <w:ind w:left="578" w:right="578"/>
        <w:rPr>
          <w:sz w:val="20"/>
        </w:rPr>
      </w:pPr>
      <w:r>
        <w:rPr>
          <w:sz w:val="20"/>
        </w:rPr>
        <w:t>original decision maker</w:t>
      </w:r>
      <w:r>
        <w:rPr>
          <w:sz w:val="20"/>
        </w:rPr>
        <w:tab/>
        <w:t>244</w:t>
      </w:r>
    </w:p>
    <w:p>
      <w:pPr>
        <w:tabs>
          <w:tab w:val="right" w:leader="dot" w:pos="7070"/>
        </w:tabs>
        <w:ind w:left="578" w:right="578"/>
        <w:rPr>
          <w:sz w:val="20"/>
        </w:rPr>
      </w:pPr>
      <w:r>
        <w:rPr>
          <w:sz w:val="20"/>
        </w:rPr>
        <w:t>participating jurisdiction</w:t>
      </w:r>
      <w:r>
        <w:rPr>
          <w:sz w:val="20"/>
        </w:rPr>
        <w:tab/>
        <w:t>2</w:t>
      </w:r>
    </w:p>
    <w:p>
      <w:pPr>
        <w:tabs>
          <w:tab w:val="right" w:leader="dot" w:pos="7070"/>
        </w:tabs>
        <w:ind w:left="578" w:right="578"/>
        <w:rPr>
          <w:sz w:val="20"/>
        </w:rPr>
      </w:pPr>
      <w:r>
        <w:rPr>
          <w:sz w:val="20"/>
        </w:rPr>
        <w:t>party</w:t>
      </w:r>
      <w:r>
        <w:rPr>
          <w:sz w:val="20"/>
        </w:rPr>
        <w:tab/>
        <w:t>178, 216A, Sch. 2 cl. 10</w:t>
      </w:r>
    </w:p>
    <w:p>
      <w:pPr>
        <w:tabs>
          <w:tab w:val="right" w:leader="dot" w:pos="7070"/>
        </w:tabs>
        <w:ind w:left="578" w:right="578"/>
        <w:rPr>
          <w:sz w:val="20"/>
        </w:rPr>
      </w:pPr>
      <w:r>
        <w:rPr>
          <w:sz w:val="20"/>
        </w:rPr>
        <w:t>penalty</w:t>
      </w:r>
      <w:r>
        <w:rPr>
          <w:sz w:val="20"/>
        </w:rPr>
        <w:tab/>
        <w:t>Sch. 2 cl. 10</w:t>
      </w:r>
    </w:p>
    <w:p>
      <w:pPr>
        <w:tabs>
          <w:tab w:val="right" w:leader="dot" w:pos="7070"/>
        </w:tabs>
        <w:ind w:left="578" w:right="578"/>
        <w:rPr>
          <w:sz w:val="20"/>
        </w:rPr>
      </w:pPr>
      <w:r>
        <w:rPr>
          <w:sz w:val="20"/>
        </w:rPr>
        <w:t>pending old scheme coverage determination</w:t>
      </w:r>
      <w:r>
        <w:rPr>
          <w:sz w:val="20"/>
        </w:rPr>
        <w:tab/>
        <w:t>Sch. 3 cl. 1</w:t>
      </w:r>
    </w:p>
    <w:p>
      <w:pPr>
        <w:tabs>
          <w:tab w:val="right" w:leader="dot" w:pos="7070"/>
        </w:tabs>
        <w:ind w:left="578" w:right="578"/>
        <w:rPr>
          <w:sz w:val="20"/>
        </w:rPr>
      </w:pPr>
      <w:r>
        <w:rPr>
          <w:sz w:val="20"/>
        </w:rPr>
        <w:t>pending old scheme coverage non</w:t>
      </w:r>
      <w:r>
        <w:rPr>
          <w:sz w:val="20"/>
        </w:rPr>
        <w:noBreakHyphen/>
        <w:t>revocation determination</w:t>
      </w:r>
      <w:r>
        <w:rPr>
          <w:sz w:val="20"/>
        </w:rPr>
        <w:tab/>
        <w:t>Sch. 3 cl. 1</w:t>
      </w:r>
    </w:p>
    <w:p>
      <w:pPr>
        <w:tabs>
          <w:tab w:val="right" w:leader="dot" w:pos="7070"/>
        </w:tabs>
        <w:ind w:left="578" w:right="578"/>
        <w:rPr>
          <w:sz w:val="20"/>
        </w:rPr>
      </w:pPr>
      <w:r>
        <w:rPr>
          <w:sz w:val="20"/>
        </w:rPr>
        <w:t>pending old scheme coverage revocation determination</w:t>
      </w:r>
      <w:r>
        <w:rPr>
          <w:sz w:val="20"/>
        </w:rPr>
        <w:tab/>
        <w:t>Sch. 3 cl. 1</w:t>
      </w:r>
    </w:p>
    <w:p>
      <w:pPr>
        <w:tabs>
          <w:tab w:val="right" w:leader="dot" w:pos="7070"/>
        </w:tabs>
        <w:ind w:left="578" w:right="578"/>
        <w:rPr>
          <w:sz w:val="20"/>
        </w:rPr>
      </w:pPr>
      <w:r>
        <w:rPr>
          <w:sz w:val="20"/>
        </w:rPr>
        <w:t>pending old scheme no</w:t>
      </w:r>
      <w:r>
        <w:rPr>
          <w:sz w:val="20"/>
        </w:rPr>
        <w:noBreakHyphen/>
        <w:t>coverage determination</w:t>
      </w:r>
      <w:r>
        <w:rPr>
          <w:sz w:val="20"/>
        </w:rPr>
        <w:tab/>
        <w:t>Sch. 3 cl. 1</w:t>
      </w:r>
    </w:p>
    <w:p>
      <w:pPr>
        <w:tabs>
          <w:tab w:val="right" w:leader="dot" w:pos="7070"/>
        </w:tabs>
        <w:ind w:left="578" w:right="578"/>
        <w:rPr>
          <w:sz w:val="20"/>
        </w:rPr>
      </w:pPr>
      <w:r>
        <w:rPr>
          <w:sz w:val="20"/>
        </w:rPr>
        <w:t>person</w:t>
      </w:r>
      <w:r>
        <w:rPr>
          <w:sz w:val="20"/>
        </w:rPr>
        <w:tab/>
        <w:t>Sch. 2 cl. 10</w:t>
      </w:r>
    </w:p>
    <w:p>
      <w:pPr>
        <w:tabs>
          <w:tab w:val="right" w:leader="dot" w:pos="7070"/>
        </w:tabs>
        <w:ind w:left="578" w:right="578"/>
        <w:rPr>
          <w:sz w:val="20"/>
        </w:rPr>
      </w:pPr>
      <w:r>
        <w:rPr>
          <w:sz w:val="20"/>
        </w:rPr>
        <w:t>person aggrieved</w:t>
      </w:r>
      <w:r>
        <w:rPr>
          <w:sz w:val="20"/>
        </w:rPr>
        <w:tab/>
        <w:t>241</w:t>
      </w:r>
    </w:p>
    <w:p>
      <w:pPr>
        <w:tabs>
          <w:tab w:val="right" w:leader="dot" w:pos="7070"/>
        </w:tabs>
        <w:ind w:left="578" w:right="578"/>
        <w:rPr>
          <w:sz w:val="20"/>
        </w:rPr>
      </w:pPr>
      <w:r>
        <w:rPr>
          <w:sz w:val="20"/>
        </w:rPr>
        <w:t>pipeline</w:t>
      </w:r>
      <w:r>
        <w:rPr>
          <w:sz w:val="20"/>
        </w:rPr>
        <w:tab/>
        <w:t>2</w:t>
      </w:r>
    </w:p>
    <w:p>
      <w:pPr>
        <w:tabs>
          <w:tab w:val="right" w:leader="dot" w:pos="7070"/>
        </w:tabs>
        <w:ind w:left="578" w:right="578"/>
        <w:rPr>
          <w:sz w:val="20"/>
        </w:rPr>
      </w:pPr>
      <w:r>
        <w:rPr>
          <w:sz w:val="20"/>
        </w:rPr>
        <w:t>pipeline classification criterion</w:t>
      </w:r>
      <w:r>
        <w:rPr>
          <w:sz w:val="20"/>
        </w:rPr>
        <w:tab/>
        <w:t>2</w:t>
      </w:r>
    </w:p>
    <w:p>
      <w:pPr>
        <w:tabs>
          <w:tab w:val="right" w:leader="dot" w:pos="7070"/>
        </w:tabs>
        <w:ind w:left="578" w:right="578"/>
        <w:rPr>
          <w:sz w:val="20"/>
        </w:rPr>
      </w:pPr>
      <w:r>
        <w:rPr>
          <w:sz w:val="20"/>
        </w:rPr>
        <w:t>pipeline coverage criteria</w:t>
      </w:r>
      <w:r>
        <w:rPr>
          <w:sz w:val="20"/>
        </w:rPr>
        <w:tab/>
        <w:t>2</w:t>
      </w:r>
    </w:p>
    <w:p>
      <w:pPr>
        <w:tabs>
          <w:tab w:val="right" w:leader="dot" w:pos="7070"/>
        </w:tabs>
        <w:ind w:left="578" w:right="578"/>
        <w:rPr>
          <w:sz w:val="20"/>
        </w:rPr>
      </w:pPr>
      <w:r>
        <w:rPr>
          <w:sz w:val="20"/>
        </w:rPr>
        <w:t>pipeline reliability standard</w:t>
      </w:r>
      <w:r>
        <w:rPr>
          <w:sz w:val="20"/>
        </w:rPr>
        <w:tab/>
        <w:t>2</w:t>
      </w:r>
    </w:p>
    <w:p>
      <w:pPr>
        <w:tabs>
          <w:tab w:val="right" w:leader="dot" w:pos="7070"/>
        </w:tabs>
        <w:ind w:left="578" w:right="578"/>
        <w:rPr>
          <w:sz w:val="20"/>
        </w:rPr>
      </w:pPr>
      <w:r>
        <w:rPr>
          <w:sz w:val="20"/>
        </w:rPr>
        <w:t>pipeline safety duty</w:t>
      </w:r>
      <w:r>
        <w:rPr>
          <w:sz w:val="20"/>
        </w:rPr>
        <w:tab/>
        <w:t>2</w:t>
      </w:r>
    </w:p>
    <w:p>
      <w:pPr>
        <w:tabs>
          <w:tab w:val="right" w:leader="dot" w:pos="7070"/>
        </w:tabs>
        <w:ind w:left="578" w:right="578"/>
        <w:rPr>
          <w:sz w:val="20"/>
        </w:rPr>
      </w:pPr>
      <w:r>
        <w:rPr>
          <w:sz w:val="20"/>
        </w:rPr>
        <w:t>pipeline service</w:t>
      </w:r>
      <w:r>
        <w:rPr>
          <w:sz w:val="20"/>
        </w:rPr>
        <w:tab/>
        <w:t>2</w:t>
      </w:r>
    </w:p>
    <w:p>
      <w:pPr>
        <w:tabs>
          <w:tab w:val="right" w:leader="dot" w:pos="7070"/>
        </w:tabs>
        <w:ind w:left="578" w:right="578"/>
        <w:rPr>
          <w:sz w:val="20"/>
        </w:rPr>
      </w:pPr>
      <w:r>
        <w:rPr>
          <w:sz w:val="20"/>
        </w:rPr>
        <w:t>pipeline service standard</w:t>
      </w:r>
      <w:r>
        <w:rPr>
          <w:sz w:val="20"/>
        </w:rPr>
        <w:tab/>
        <w:t>2</w:t>
      </w:r>
    </w:p>
    <w:p>
      <w:pPr>
        <w:tabs>
          <w:tab w:val="right" w:leader="dot" w:pos="7070"/>
        </w:tabs>
        <w:ind w:left="578" w:right="578"/>
        <w:rPr>
          <w:sz w:val="20"/>
        </w:rPr>
      </w:pPr>
      <w:r>
        <w:rPr>
          <w:sz w:val="20"/>
        </w:rPr>
        <w:t>Pipelines Access/Arbitration amendments</w:t>
      </w:r>
      <w:r>
        <w:rPr>
          <w:sz w:val="20"/>
        </w:rPr>
        <w:tab/>
        <w:t>294F</w:t>
      </w:r>
    </w:p>
    <w:p>
      <w:pPr>
        <w:tabs>
          <w:tab w:val="right" w:leader="dot" w:pos="7070"/>
        </w:tabs>
        <w:ind w:left="578" w:right="578"/>
        <w:rPr>
          <w:sz w:val="20"/>
        </w:rPr>
      </w:pPr>
      <w:r>
        <w:rPr>
          <w:sz w:val="20"/>
        </w:rPr>
        <w:t>power</w:t>
      </w:r>
      <w:r>
        <w:rPr>
          <w:sz w:val="20"/>
        </w:rPr>
        <w:tab/>
        <w:t>Sch. 2 cl. 10</w:t>
      </w:r>
    </w:p>
    <w:p>
      <w:pPr>
        <w:tabs>
          <w:tab w:val="right" w:leader="dot" w:pos="7070"/>
        </w:tabs>
        <w:ind w:left="578" w:right="578"/>
        <w:rPr>
          <w:sz w:val="20"/>
        </w:rPr>
      </w:pPr>
      <w:r>
        <w:rPr>
          <w:sz w:val="20"/>
        </w:rPr>
        <w:t>pre</w:t>
      </w:r>
      <w:r>
        <w:rPr>
          <w:sz w:val="20"/>
        </w:rPr>
        <w:noBreakHyphen/>
        <w:t>notification right</w:t>
      </w:r>
      <w:r>
        <w:rPr>
          <w:sz w:val="20"/>
        </w:rPr>
        <w:tab/>
        <w:t>188(2), 216N</w:t>
      </w:r>
    </w:p>
    <w:p>
      <w:pPr>
        <w:tabs>
          <w:tab w:val="right" w:leader="dot" w:pos="7070"/>
        </w:tabs>
        <w:ind w:left="578" w:right="578"/>
        <w:rPr>
          <w:sz w:val="20"/>
        </w:rPr>
      </w:pPr>
      <w:r>
        <w:rPr>
          <w:sz w:val="20"/>
        </w:rPr>
        <w:t>prescribed</w:t>
      </w:r>
      <w:r>
        <w:rPr>
          <w:sz w:val="20"/>
        </w:rPr>
        <w:tab/>
        <w:t>Sch. 2 cl. 10</w:t>
      </w:r>
    </w:p>
    <w:p>
      <w:pPr>
        <w:tabs>
          <w:tab w:val="right" w:leader="dot" w:pos="7070"/>
        </w:tabs>
        <w:ind w:left="578" w:right="578"/>
        <w:rPr>
          <w:sz w:val="20"/>
        </w:rPr>
      </w:pPr>
      <w:r>
        <w:rPr>
          <w:sz w:val="20"/>
        </w:rPr>
        <w:t>price or revenue regulation</w:t>
      </w:r>
      <w:r>
        <w:rPr>
          <w:sz w:val="20"/>
        </w:rPr>
        <w:tab/>
        <w:t>2</w:t>
      </w:r>
    </w:p>
    <w:p>
      <w:pPr>
        <w:tabs>
          <w:tab w:val="right" w:leader="dot" w:pos="7070"/>
        </w:tabs>
        <w:ind w:left="578" w:right="578"/>
        <w:rPr>
          <w:sz w:val="20"/>
        </w:rPr>
      </w:pPr>
      <w:r>
        <w:rPr>
          <w:sz w:val="20"/>
        </w:rPr>
        <w:t>price regulation exemption</w:t>
      </w:r>
      <w:r>
        <w:rPr>
          <w:sz w:val="20"/>
        </w:rPr>
        <w:tab/>
        <w:t>2</w:t>
      </w:r>
    </w:p>
    <w:p>
      <w:pPr>
        <w:tabs>
          <w:tab w:val="right" w:leader="dot" w:pos="7070"/>
        </w:tabs>
        <w:ind w:left="578" w:right="578"/>
        <w:rPr>
          <w:sz w:val="20"/>
        </w:rPr>
      </w:pPr>
      <w:r>
        <w:rPr>
          <w:sz w:val="20"/>
        </w:rPr>
        <w:t>price regulation exemption recommendation</w:t>
      </w:r>
      <w:r>
        <w:rPr>
          <w:sz w:val="20"/>
        </w:rPr>
        <w:tab/>
        <w:t>2</w:t>
      </w:r>
    </w:p>
    <w:p>
      <w:pPr>
        <w:tabs>
          <w:tab w:val="right" w:leader="dot" w:pos="7070"/>
        </w:tabs>
        <w:ind w:left="578" w:right="578"/>
        <w:rPr>
          <w:sz w:val="20"/>
        </w:rPr>
      </w:pPr>
      <w:r>
        <w:rPr>
          <w:sz w:val="20"/>
        </w:rPr>
        <w:t>principal decision maker</w:t>
      </w:r>
      <w:r>
        <w:rPr>
          <w:sz w:val="20"/>
        </w:rPr>
        <w:tab/>
        <w:t>331(2)</w:t>
      </w:r>
    </w:p>
    <w:p>
      <w:pPr>
        <w:tabs>
          <w:tab w:val="right" w:leader="dot" w:pos="7070"/>
        </w:tabs>
        <w:ind w:left="578" w:right="578"/>
        <w:rPr>
          <w:sz w:val="20"/>
        </w:rPr>
      </w:pPr>
      <w:r>
        <w:rPr>
          <w:sz w:val="20"/>
        </w:rPr>
        <w:t>printed</w:t>
      </w:r>
      <w:r>
        <w:rPr>
          <w:sz w:val="20"/>
        </w:rPr>
        <w:tab/>
        <w:t>Sch. 2 cl. 10</w:t>
      </w:r>
    </w:p>
    <w:p>
      <w:pPr>
        <w:tabs>
          <w:tab w:val="right" w:leader="dot" w:pos="7070"/>
        </w:tabs>
        <w:ind w:left="578" w:right="578"/>
        <w:rPr>
          <w:sz w:val="20"/>
        </w:rPr>
      </w:pPr>
      <w:r>
        <w:rPr>
          <w:sz w:val="20"/>
        </w:rPr>
        <w:t>proceeding</w:t>
      </w:r>
      <w:r>
        <w:rPr>
          <w:sz w:val="20"/>
        </w:rPr>
        <w:tab/>
        <w:t>Sch. 2 cl. 10</w:t>
      </w:r>
    </w:p>
    <w:p>
      <w:pPr>
        <w:tabs>
          <w:tab w:val="right" w:leader="dot" w:pos="7070"/>
        </w:tabs>
        <w:ind w:left="578" w:right="578"/>
        <w:rPr>
          <w:sz w:val="20"/>
        </w:rPr>
      </w:pPr>
      <w:r>
        <w:rPr>
          <w:sz w:val="20"/>
        </w:rPr>
        <w:t>processable gas</w:t>
      </w:r>
      <w:r>
        <w:rPr>
          <w:sz w:val="20"/>
        </w:rPr>
        <w:tab/>
        <w:t>2</w:t>
      </w:r>
    </w:p>
    <w:p>
      <w:pPr>
        <w:tabs>
          <w:tab w:val="right" w:leader="dot" w:pos="7070"/>
        </w:tabs>
        <w:ind w:left="578" w:right="578"/>
        <w:rPr>
          <w:sz w:val="20"/>
        </w:rPr>
      </w:pPr>
      <w:r>
        <w:rPr>
          <w:sz w:val="20"/>
        </w:rPr>
        <w:t>producer</w:t>
      </w:r>
      <w:r>
        <w:rPr>
          <w:sz w:val="20"/>
        </w:rPr>
        <w:tab/>
        <w:t>2</w:t>
      </w:r>
    </w:p>
    <w:p>
      <w:pPr>
        <w:tabs>
          <w:tab w:val="right" w:leader="dot" w:pos="7070"/>
        </w:tabs>
        <w:ind w:left="578" w:right="578"/>
        <w:rPr>
          <w:sz w:val="20"/>
        </w:rPr>
      </w:pPr>
      <w:r>
        <w:rPr>
          <w:sz w:val="20"/>
        </w:rPr>
        <w:t>property</w:t>
      </w:r>
      <w:r>
        <w:rPr>
          <w:sz w:val="20"/>
        </w:rPr>
        <w:tab/>
        <w:t>Sch. 2 cl. 10</w:t>
      </w:r>
    </w:p>
    <w:p>
      <w:pPr>
        <w:tabs>
          <w:tab w:val="right" w:leader="dot" w:pos="7070"/>
        </w:tabs>
        <w:ind w:left="578" w:right="578"/>
        <w:rPr>
          <w:sz w:val="20"/>
        </w:rPr>
      </w:pPr>
      <w:r>
        <w:rPr>
          <w:sz w:val="20"/>
        </w:rPr>
        <w:t>proposed Rule</w:t>
      </w:r>
      <w:r>
        <w:rPr>
          <w:sz w:val="20"/>
        </w:rPr>
        <w:tab/>
        <w:t>290</w:t>
      </w:r>
    </w:p>
    <w:p>
      <w:pPr>
        <w:tabs>
          <w:tab w:val="right" w:leader="dot" w:pos="7070"/>
        </w:tabs>
        <w:ind w:left="578" w:right="578"/>
        <w:rPr>
          <w:sz w:val="20"/>
        </w:rPr>
      </w:pPr>
      <w:r>
        <w:rPr>
          <w:sz w:val="20"/>
        </w:rPr>
        <w:t>prospective user</w:t>
      </w:r>
      <w:r>
        <w:rPr>
          <w:sz w:val="20"/>
        </w:rPr>
        <w:tab/>
        <w:t>2</w:t>
      </w:r>
    </w:p>
    <w:p>
      <w:pPr>
        <w:tabs>
          <w:tab w:val="right" w:leader="dot" w:pos="7070"/>
        </w:tabs>
        <w:ind w:left="578" w:right="578"/>
        <w:rPr>
          <w:sz w:val="20"/>
        </w:rPr>
      </w:pPr>
      <w:r>
        <w:rPr>
          <w:sz w:val="20"/>
        </w:rPr>
        <w:t>provision</w:t>
      </w:r>
      <w:r>
        <w:rPr>
          <w:sz w:val="20"/>
        </w:rPr>
        <w:tab/>
        <w:t>Sch. 2 cl. 10</w:t>
      </w:r>
    </w:p>
    <w:p>
      <w:pPr>
        <w:tabs>
          <w:tab w:val="right" w:leader="dot" w:pos="7070"/>
        </w:tabs>
        <w:ind w:left="578" w:right="578"/>
        <w:rPr>
          <w:sz w:val="20"/>
        </w:rPr>
      </w:pPr>
      <w:r>
        <w:rPr>
          <w:sz w:val="20"/>
        </w:rPr>
        <w:t>publish</w:t>
      </w:r>
      <w:r>
        <w:rPr>
          <w:sz w:val="20"/>
        </w:rPr>
        <w:tab/>
        <w:t>290</w:t>
      </w:r>
    </w:p>
    <w:p>
      <w:pPr>
        <w:tabs>
          <w:tab w:val="right" w:leader="dot" w:pos="7070"/>
        </w:tabs>
        <w:ind w:left="578" w:right="578"/>
        <w:rPr>
          <w:sz w:val="20"/>
        </w:rPr>
      </w:pPr>
      <w:r>
        <w:rPr>
          <w:sz w:val="20"/>
        </w:rPr>
        <w:t>queuing requirements</w:t>
      </w:r>
      <w:r>
        <w:rPr>
          <w:sz w:val="20"/>
        </w:rPr>
        <w:tab/>
        <w:t>2</w:t>
      </w:r>
    </w:p>
    <w:p>
      <w:pPr>
        <w:tabs>
          <w:tab w:val="right" w:leader="dot" w:pos="7070"/>
        </w:tabs>
        <w:ind w:left="578" w:right="578"/>
        <w:rPr>
          <w:sz w:val="20"/>
        </w:rPr>
      </w:pPr>
      <w:r>
        <w:rPr>
          <w:sz w:val="20"/>
        </w:rPr>
        <w:t>rate of return instrument</w:t>
      </w:r>
      <w:r>
        <w:rPr>
          <w:sz w:val="20"/>
        </w:rPr>
        <w:tab/>
        <w:t>2, 30D</w:t>
      </w:r>
    </w:p>
    <w:p>
      <w:pPr>
        <w:tabs>
          <w:tab w:val="right" w:leader="dot" w:pos="7070"/>
        </w:tabs>
        <w:ind w:left="578" w:right="578"/>
        <w:rPr>
          <w:sz w:val="20"/>
        </w:rPr>
      </w:pPr>
      <w:r>
        <w:rPr>
          <w:sz w:val="20"/>
        </w:rPr>
        <w:t>reclassification decision</w:t>
      </w:r>
      <w:r>
        <w:rPr>
          <w:sz w:val="20"/>
        </w:rPr>
        <w:tab/>
        <w:t>2, 129</w:t>
      </w:r>
    </w:p>
    <w:p>
      <w:pPr>
        <w:tabs>
          <w:tab w:val="right" w:leader="dot" w:pos="7070"/>
        </w:tabs>
        <w:ind w:left="578" w:right="578"/>
        <w:rPr>
          <w:sz w:val="20"/>
        </w:rPr>
      </w:pPr>
      <w:r>
        <w:rPr>
          <w:sz w:val="20"/>
        </w:rPr>
        <w:t>record</w:t>
      </w:r>
      <w:r>
        <w:rPr>
          <w:sz w:val="20"/>
        </w:rPr>
        <w:tab/>
        <w:t>Sch. 2 cl. 10</w:t>
      </w:r>
    </w:p>
    <w:p>
      <w:pPr>
        <w:tabs>
          <w:tab w:val="right" w:leader="dot" w:pos="7070"/>
        </w:tabs>
        <w:ind w:left="578" w:right="578"/>
        <w:rPr>
          <w:sz w:val="20"/>
        </w:rPr>
      </w:pPr>
      <w:r>
        <w:rPr>
          <w:sz w:val="20"/>
        </w:rPr>
        <w:t>reference service</w:t>
      </w:r>
      <w:r>
        <w:rPr>
          <w:sz w:val="20"/>
        </w:rPr>
        <w:tab/>
        <w:t>2</w:t>
      </w:r>
    </w:p>
    <w:p>
      <w:pPr>
        <w:tabs>
          <w:tab w:val="right" w:leader="dot" w:pos="7070"/>
        </w:tabs>
        <w:ind w:left="578" w:right="578"/>
        <w:rPr>
          <w:sz w:val="20"/>
        </w:rPr>
      </w:pPr>
      <w:r>
        <w:rPr>
          <w:sz w:val="20"/>
        </w:rPr>
        <w:t>reference tariff</w:t>
      </w:r>
      <w:r>
        <w:rPr>
          <w:sz w:val="20"/>
        </w:rPr>
        <w:tab/>
        <w:t>2</w:t>
      </w:r>
    </w:p>
    <w:p>
      <w:pPr>
        <w:tabs>
          <w:tab w:val="right" w:leader="dot" w:pos="7070"/>
        </w:tabs>
        <w:ind w:left="578" w:right="578"/>
        <w:rPr>
          <w:sz w:val="20"/>
        </w:rPr>
      </w:pPr>
      <w:r>
        <w:rPr>
          <w:sz w:val="20"/>
        </w:rPr>
        <w:t>Reference Tariff</w:t>
      </w:r>
      <w:r>
        <w:rPr>
          <w:sz w:val="20"/>
        </w:rPr>
        <w:tab/>
        <w:t>Sch. 3 cl. 31</w:t>
      </w:r>
    </w:p>
    <w:p>
      <w:pPr>
        <w:tabs>
          <w:tab w:val="right" w:leader="dot" w:pos="7070"/>
        </w:tabs>
        <w:ind w:left="578" w:right="578"/>
        <w:rPr>
          <w:sz w:val="20"/>
        </w:rPr>
      </w:pPr>
      <w:r>
        <w:rPr>
          <w:sz w:val="20"/>
        </w:rPr>
        <w:t>regulated revenue</w:t>
      </w:r>
      <w:r>
        <w:rPr>
          <w:sz w:val="20"/>
        </w:rPr>
        <w:tab/>
        <w:t>244</w:t>
      </w:r>
    </w:p>
    <w:p>
      <w:pPr>
        <w:tabs>
          <w:tab w:val="right" w:leader="dot" w:pos="7070"/>
        </w:tabs>
        <w:ind w:left="578" w:right="578"/>
        <w:rPr>
          <w:sz w:val="20"/>
        </w:rPr>
      </w:pPr>
      <w:r>
        <w:rPr>
          <w:sz w:val="20"/>
        </w:rPr>
        <w:t>Regulations</w:t>
      </w:r>
      <w:r>
        <w:rPr>
          <w:sz w:val="20"/>
        </w:rPr>
        <w:tab/>
        <w:t>2</w:t>
      </w:r>
    </w:p>
    <w:p>
      <w:pPr>
        <w:tabs>
          <w:tab w:val="right" w:leader="dot" w:pos="7070"/>
        </w:tabs>
        <w:ind w:left="578" w:right="578"/>
        <w:rPr>
          <w:sz w:val="20"/>
        </w:rPr>
      </w:pPr>
      <w:r>
        <w:rPr>
          <w:sz w:val="20"/>
        </w:rPr>
        <w:t>Regulations or Rules of a savings and transitional nature</w:t>
      </w:r>
      <w:r>
        <w:rPr>
          <w:sz w:val="20"/>
        </w:rPr>
        <w:tab/>
        <w:t>Sch. 3 cl. 2</w:t>
      </w:r>
    </w:p>
    <w:p>
      <w:pPr>
        <w:tabs>
          <w:tab w:val="right" w:leader="dot" w:pos="7070"/>
        </w:tabs>
        <w:ind w:left="578" w:right="578"/>
        <w:rPr>
          <w:sz w:val="20"/>
        </w:rPr>
      </w:pPr>
      <w:r>
        <w:rPr>
          <w:sz w:val="20"/>
        </w:rPr>
        <w:t>regulator</w:t>
      </w:r>
      <w:r>
        <w:rPr>
          <w:sz w:val="20"/>
        </w:rPr>
        <w:tab/>
        <w:t>Act 9(1), Note 2</w:t>
      </w:r>
    </w:p>
    <w:p>
      <w:pPr>
        <w:tabs>
          <w:tab w:val="right" w:leader="dot" w:pos="7070"/>
        </w:tabs>
        <w:ind w:left="578" w:right="578"/>
        <w:rPr>
          <w:sz w:val="20"/>
        </w:rPr>
      </w:pPr>
      <w:r>
        <w:rPr>
          <w:sz w:val="20"/>
        </w:rPr>
        <w:t>regulatory information instrument</w:t>
      </w:r>
      <w:r>
        <w:rPr>
          <w:sz w:val="20"/>
        </w:rPr>
        <w:tab/>
        <w:t>2</w:t>
      </w:r>
    </w:p>
    <w:p>
      <w:pPr>
        <w:tabs>
          <w:tab w:val="right" w:leader="dot" w:pos="7070"/>
        </w:tabs>
        <w:ind w:left="578" w:right="578"/>
        <w:rPr>
          <w:sz w:val="20"/>
        </w:rPr>
      </w:pPr>
      <w:r>
        <w:rPr>
          <w:sz w:val="20"/>
        </w:rPr>
        <w:t xml:space="preserve">regulatory information notice </w:t>
      </w:r>
      <w:r>
        <w:rPr>
          <w:sz w:val="20"/>
        </w:rPr>
        <w:tab/>
        <w:t>2</w:t>
      </w:r>
    </w:p>
    <w:p>
      <w:pPr>
        <w:tabs>
          <w:tab w:val="right" w:leader="dot" w:pos="7070"/>
        </w:tabs>
        <w:ind w:left="578" w:right="578"/>
        <w:rPr>
          <w:sz w:val="20"/>
        </w:rPr>
      </w:pPr>
      <w:r>
        <w:rPr>
          <w:sz w:val="20"/>
        </w:rPr>
        <w:t>regulatory obligation or requirement</w:t>
      </w:r>
      <w:r>
        <w:rPr>
          <w:sz w:val="20"/>
        </w:rPr>
        <w:tab/>
        <w:t>2</w:t>
      </w:r>
    </w:p>
    <w:p>
      <w:pPr>
        <w:tabs>
          <w:tab w:val="right" w:leader="dot" w:pos="7070"/>
        </w:tabs>
        <w:ind w:left="578" w:right="578"/>
        <w:rPr>
          <w:sz w:val="20"/>
        </w:rPr>
      </w:pPr>
      <w:r>
        <w:rPr>
          <w:sz w:val="20"/>
        </w:rPr>
        <w:t xml:space="preserve">regulatory payment </w:t>
      </w:r>
      <w:r>
        <w:rPr>
          <w:sz w:val="20"/>
        </w:rPr>
        <w:tab/>
        <w:t>2</w:t>
      </w:r>
    </w:p>
    <w:p>
      <w:pPr>
        <w:tabs>
          <w:tab w:val="right" w:leader="dot" w:pos="7070"/>
        </w:tabs>
        <w:ind w:left="578" w:right="578"/>
        <w:rPr>
          <w:sz w:val="20"/>
        </w:rPr>
      </w:pPr>
      <w:r>
        <w:rPr>
          <w:sz w:val="20"/>
        </w:rPr>
        <w:t>regulatory period</w:t>
      </w:r>
      <w:r>
        <w:rPr>
          <w:sz w:val="20"/>
        </w:rPr>
        <w:tab/>
        <w:t>244</w:t>
      </w:r>
    </w:p>
    <w:p>
      <w:pPr>
        <w:tabs>
          <w:tab w:val="right" w:leader="dot" w:pos="7070"/>
        </w:tabs>
        <w:ind w:left="578" w:right="578"/>
        <w:rPr>
          <w:sz w:val="20"/>
        </w:rPr>
      </w:pPr>
      <w:r>
        <w:rPr>
          <w:sz w:val="20"/>
        </w:rPr>
        <w:t>regulatory scheme decision maker</w:t>
      </w:r>
      <w:r>
        <w:rPr>
          <w:sz w:val="20"/>
        </w:rPr>
        <w:tab/>
        <w:t>332(3)</w:t>
      </w:r>
    </w:p>
    <w:p>
      <w:pPr>
        <w:tabs>
          <w:tab w:val="right" w:leader="dot" w:pos="7070"/>
        </w:tabs>
        <w:ind w:left="578" w:right="578"/>
        <w:rPr>
          <w:sz w:val="20"/>
        </w:rPr>
      </w:pPr>
      <w:r>
        <w:rPr>
          <w:sz w:val="20"/>
        </w:rPr>
        <w:t>related business</w:t>
      </w:r>
      <w:r>
        <w:rPr>
          <w:sz w:val="20"/>
        </w:rPr>
        <w:tab/>
        <w:t>137</w:t>
      </w:r>
    </w:p>
    <w:p>
      <w:pPr>
        <w:tabs>
          <w:tab w:val="right" w:leader="dot" w:pos="7070"/>
        </w:tabs>
        <w:ind w:left="578" w:right="578"/>
        <w:rPr>
          <w:sz w:val="20"/>
        </w:rPr>
      </w:pPr>
      <w:r>
        <w:rPr>
          <w:sz w:val="20"/>
        </w:rPr>
        <w:t>related provider</w:t>
      </w:r>
      <w:r>
        <w:rPr>
          <w:sz w:val="20"/>
        </w:rPr>
        <w:tab/>
        <w:t>43</w:t>
      </w:r>
    </w:p>
    <w:p>
      <w:pPr>
        <w:tabs>
          <w:tab w:val="right" w:leader="dot" w:pos="7070"/>
        </w:tabs>
        <w:ind w:left="578" w:right="578"/>
        <w:rPr>
          <w:sz w:val="20"/>
        </w:rPr>
      </w:pPr>
      <w:r>
        <w:rPr>
          <w:sz w:val="20"/>
        </w:rPr>
        <w:t>relevant appeals body</w:t>
      </w:r>
      <w:r>
        <w:rPr>
          <w:sz w:val="20"/>
        </w:rPr>
        <w:tab/>
        <w:t>Sch. 3 cl. 1</w:t>
      </w:r>
    </w:p>
    <w:p>
      <w:pPr>
        <w:tabs>
          <w:tab w:val="right" w:leader="dot" w:pos="7070"/>
        </w:tabs>
        <w:ind w:left="578" w:right="578"/>
        <w:rPr>
          <w:sz w:val="20"/>
        </w:rPr>
      </w:pPr>
      <w:r>
        <w:rPr>
          <w:sz w:val="20"/>
        </w:rPr>
        <w:t>relevant decision maker</w:t>
      </w:r>
      <w:r>
        <w:rPr>
          <w:sz w:val="20"/>
        </w:rPr>
        <w:tab/>
        <w:t>330</w:t>
      </w:r>
    </w:p>
    <w:p>
      <w:pPr>
        <w:tabs>
          <w:tab w:val="right" w:leader="dot" w:pos="7070"/>
        </w:tabs>
        <w:ind w:left="578" w:right="578"/>
        <w:rPr>
          <w:sz w:val="20"/>
        </w:rPr>
      </w:pPr>
      <w:r>
        <w:rPr>
          <w:sz w:val="20"/>
        </w:rPr>
        <w:t>relevant decision or document</w:t>
      </w:r>
      <w:r>
        <w:rPr>
          <w:sz w:val="20"/>
        </w:rPr>
        <w:tab/>
        <w:t>Sch. 2 cl. 31</w:t>
      </w:r>
    </w:p>
    <w:p>
      <w:pPr>
        <w:tabs>
          <w:tab w:val="right" w:leader="dot" w:pos="7070"/>
        </w:tabs>
        <w:ind w:left="578" w:right="578"/>
        <w:rPr>
          <w:sz w:val="20"/>
        </w:rPr>
      </w:pPr>
      <w:r>
        <w:rPr>
          <w:sz w:val="20"/>
        </w:rPr>
        <w:t>relevant exclusivity right</w:t>
      </w:r>
      <w:r>
        <w:rPr>
          <w:sz w:val="20"/>
        </w:rPr>
        <w:tab/>
        <w:t>188(2), 321(2)</w:t>
      </w:r>
    </w:p>
    <w:p>
      <w:pPr>
        <w:tabs>
          <w:tab w:val="right" w:leader="dot" w:pos="7070"/>
        </w:tabs>
        <w:ind w:left="578" w:right="578"/>
        <w:rPr>
          <w:sz w:val="20"/>
        </w:rPr>
      </w:pPr>
      <w:r>
        <w:rPr>
          <w:sz w:val="20"/>
        </w:rPr>
        <w:t>relevant Minister</w:t>
      </w:r>
      <w:r>
        <w:rPr>
          <w:sz w:val="20"/>
        </w:rPr>
        <w:tab/>
        <w:t>2</w:t>
      </w:r>
    </w:p>
    <w:p>
      <w:pPr>
        <w:tabs>
          <w:tab w:val="right" w:leader="dot" w:pos="7070"/>
        </w:tabs>
        <w:ind w:left="578" w:right="578"/>
        <w:rPr>
          <w:sz w:val="20"/>
        </w:rPr>
      </w:pPr>
      <w:r>
        <w:rPr>
          <w:sz w:val="20"/>
        </w:rPr>
        <w:t>relevant national provisions</w:t>
      </w:r>
      <w:r>
        <w:rPr>
          <w:sz w:val="20"/>
        </w:rPr>
        <w:tab/>
        <w:t>Act 19(3)</w:t>
      </w:r>
    </w:p>
    <w:p>
      <w:pPr>
        <w:tabs>
          <w:tab w:val="right" w:leader="dot" w:pos="7070"/>
        </w:tabs>
        <w:ind w:left="578" w:right="578"/>
        <w:rPr>
          <w:sz w:val="20"/>
        </w:rPr>
      </w:pPr>
      <w:r>
        <w:rPr>
          <w:sz w:val="20"/>
        </w:rPr>
        <w:t>relevant notice</w:t>
      </w:r>
      <w:r>
        <w:rPr>
          <w:sz w:val="20"/>
        </w:rPr>
        <w:tab/>
        <w:t>42(1), Sch. 2 cl. 31, 33</w:t>
      </w:r>
    </w:p>
    <w:p>
      <w:pPr>
        <w:tabs>
          <w:tab w:val="right" w:leader="dot" w:pos="7070"/>
        </w:tabs>
        <w:ind w:left="578" w:right="578"/>
        <w:rPr>
          <w:sz w:val="20"/>
        </w:rPr>
      </w:pPr>
      <w:r>
        <w:rPr>
          <w:sz w:val="20"/>
        </w:rPr>
        <w:t>relevant pipeline description</w:t>
      </w:r>
      <w:r>
        <w:rPr>
          <w:sz w:val="20"/>
        </w:rPr>
        <w:tab/>
        <w:t>171(3)</w:t>
      </w:r>
    </w:p>
    <w:p>
      <w:pPr>
        <w:tabs>
          <w:tab w:val="right" w:leader="dot" w:pos="7070"/>
        </w:tabs>
        <w:ind w:left="578" w:right="578"/>
        <w:rPr>
          <w:sz w:val="20"/>
        </w:rPr>
      </w:pPr>
      <w:r>
        <w:rPr>
          <w:sz w:val="20"/>
        </w:rPr>
        <w:t>relevant protected contractual right</w:t>
      </w:r>
      <w:r>
        <w:rPr>
          <w:sz w:val="20"/>
        </w:rPr>
        <w:tab/>
        <w:t>188(2), 216N, 321(2)</w:t>
      </w:r>
    </w:p>
    <w:p>
      <w:pPr>
        <w:tabs>
          <w:tab w:val="right" w:leader="dot" w:pos="7070"/>
        </w:tabs>
        <w:ind w:left="578" w:right="578"/>
        <w:rPr>
          <w:sz w:val="20"/>
        </w:rPr>
      </w:pPr>
      <w:r>
        <w:rPr>
          <w:sz w:val="20"/>
        </w:rPr>
        <w:t>relevant provision</w:t>
      </w:r>
      <w:r>
        <w:rPr>
          <w:sz w:val="20"/>
        </w:rPr>
        <w:tab/>
        <w:t>31</w:t>
      </w:r>
    </w:p>
    <w:p>
      <w:pPr>
        <w:tabs>
          <w:tab w:val="right" w:leader="dot" w:pos="7070"/>
        </w:tabs>
        <w:ind w:left="578" w:right="578"/>
        <w:rPr>
          <w:sz w:val="20"/>
        </w:rPr>
      </w:pPr>
      <w:r>
        <w:rPr>
          <w:sz w:val="20"/>
        </w:rPr>
        <w:t>relevant Regulator</w:t>
      </w:r>
      <w:r>
        <w:rPr>
          <w:sz w:val="20"/>
        </w:rPr>
        <w:tab/>
        <w:t>2</w:t>
      </w:r>
    </w:p>
    <w:p>
      <w:pPr>
        <w:tabs>
          <w:tab w:val="right" w:leader="dot" w:pos="7070"/>
        </w:tabs>
        <w:ind w:left="578" w:right="578"/>
        <w:rPr>
          <w:sz w:val="20"/>
        </w:rPr>
      </w:pPr>
      <w:r>
        <w:rPr>
          <w:sz w:val="20"/>
        </w:rPr>
        <w:t>relevant Regulator investigation</w:t>
      </w:r>
      <w:r>
        <w:rPr>
          <w:sz w:val="20"/>
        </w:rPr>
        <w:tab/>
        <w:t>Sch. 3 cl. 43</w:t>
      </w:r>
    </w:p>
    <w:p>
      <w:pPr>
        <w:tabs>
          <w:tab w:val="right" w:leader="dot" w:pos="7070"/>
        </w:tabs>
        <w:ind w:left="578" w:right="578"/>
        <w:rPr>
          <w:sz w:val="20"/>
        </w:rPr>
      </w:pPr>
      <w:r>
        <w:rPr>
          <w:sz w:val="20"/>
        </w:rPr>
        <w:t>relevant transition date</w:t>
      </w:r>
      <w:r>
        <w:rPr>
          <w:sz w:val="20"/>
        </w:rPr>
        <w:tab/>
        <w:t>Sch. 3 cl. 9, 16, 24</w:t>
      </w:r>
    </w:p>
    <w:p>
      <w:pPr>
        <w:tabs>
          <w:tab w:val="right" w:leader="dot" w:pos="7070"/>
        </w:tabs>
        <w:ind w:left="578" w:right="578"/>
        <w:rPr>
          <w:sz w:val="20"/>
        </w:rPr>
      </w:pPr>
      <w:r>
        <w:rPr>
          <w:sz w:val="20"/>
        </w:rPr>
        <w:t>relevant transition period</w:t>
      </w:r>
      <w:r>
        <w:rPr>
          <w:sz w:val="20"/>
        </w:rPr>
        <w:tab/>
        <w:t>Sch. 3 cl. 31, 38</w:t>
      </w:r>
    </w:p>
    <w:p>
      <w:pPr>
        <w:tabs>
          <w:tab w:val="right" w:leader="dot" w:pos="7070"/>
        </w:tabs>
        <w:ind w:left="578" w:right="578"/>
        <w:rPr>
          <w:sz w:val="20"/>
        </w:rPr>
      </w:pPr>
      <w:r>
        <w:rPr>
          <w:sz w:val="20"/>
        </w:rPr>
        <w:t>REMCo</w:t>
      </w:r>
      <w:r>
        <w:rPr>
          <w:sz w:val="20"/>
        </w:rPr>
        <w:tab/>
        <w:t>290</w:t>
      </w:r>
    </w:p>
    <w:p>
      <w:pPr>
        <w:tabs>
          <w:tab w:val="right" w:leader="dot" w:pos="7070"/>
        </w:tabs>
        <w:ind w:left="578" w:right="578"/>
        <w:rPr>
          <w:sz w:val="20"/>
        </w:rPr>
      </w:pPr>
      <w:r>
        <w:rPr>
          <w:sz w:val="20"/>
        </w:rPr>
        <w:t>repeal</w:t>
      </w:r>
      <w:r>
        <w:rPr>
          <w:sz w:val="20"/>
        </w:rPr>
        <w:tab/>
        <w:t>Sch. 2 cl. 10</w:t>
      </w:r>
    </w:p>
    <w:p>
      <w:pPr>
        <w:tabs>
          <w:tab w:val="right" w:leader="dot" w:pos="7070"/>
        </w:tabs>
        <w:ind w:left="578" w:right="578"/>
        <w:rPr>
          <w:sz w:val="20"/>
        </w:rPr>
      </w:pPr>
      <w:r>
        <w:rPr>
          <w:sz w:val="20"/>
        </w:rPr>
        <w:t>report trigger date</w:t>
      </w:r>
      <w:r>
        <w:rPr>
          <w:sz w:val="20"/>
        </w:rPr>
        <w:tab/>
        <w:t>320(1)</w:t>
      </w:r>
    </w:p>
    <w:p>
      <w:pPr>
        <w:tabs>
          <w:tab w:val="right" w:leader="dot" w:pos="7070"/>
        </w:tabs>
        <w:ind w:left="578" w:right="578"/>
        <w:rPr>
          <w:sz w:val="20"/>
        </w:rPr>
      </w:pPr>
      <w:r>
        <w:rPr>
          <w:sz w:val="20"/>
        </w:rPr>
        <w:t>restricted period</w:t>
      </w:r>
      <w:r>
        <w:rPr>
          <w:sz w:val="20"/>
        </w:rPr>
        <w:tab/>
        <w:t>329(8)</w:t>
      </w:r>
    </w:p>
    <w:p>
      <w:pPr>
        <w:tabs>
          <w:tab w:val="right" w:leader="dot" w:pos="7070"/>
        </w:tabs>
        <w:ind w:left="578" w:right="578"/>
        <w:rPr>
          <w:sz w:val="20"/>
        </w:rPr>
      </w:pPr>
      <w:r>
        <w:rPr>
          <w:sz w:val="20"/>
        </w:rPr>
        <w:t>revenue and pricing principles</w:t>
      </w:r>
      <w:r>
        <w:rPr>
          <w:sz w:val="20"/>
        </w:rPr>
        <w:tab/>
        <w:t>2</w:t>
      </w:r>
    </w:p>
    <w:p>
      <w:pPr>
        <w:tabs>
          <w:tab w:val="right" w:leader="dot" w:pos="7070"/>
        </w:tabs>
        <w:ind w:left="578" w:right="578"/>
        <w:rPr>
          <w:sz w:val="20"/>
        </w:rPr>
      </w:pPr>
      <w:r>
        <w:rPr>
          <w:sz w:val="20"/>
        </w:rPr>
        <w:t>review</w:t>
      </w:r>
      <w:r>
        <w:rPr>
          <w:sz w:val="20"/>
        </w:rPr>
        <w:tab/>
        <w:t>Sch. 3 cl. 95</w:t>
      </w:r>
    </w:p>
    <w:p>
      <w:pPr>
        <w:tabs>
          <w:tab w:val="right" w:leader="dot" w:pos="7070"/>
        </w:tabs>
        <w:ind w:left="578" w:right="578"/>
        <w:rPr>
          <w:sz w:val="20"/>
        </w:rPr>
      </w:pPr>
      <w:r>
        <w:rPr>
          <w:sz w:val="20"/>
        </w:rPr>
        <w:t xml:space="preserve">review related matter </w:t>
      </w:r>
      <w:r>
        <w:rPr>
          <w:sz w:val="20"/>
        </w:rPr>
        <w:tab/>
        <w:t>261(7)</w:t>
      </w:r>
    </w:p>
    <w:p>
      <w:pPr>
        <w:tabs>
          <w:tab w:val="right" w:leader="dot" w:pos="7070"/>
        </w:tabs>
        <w:ind w:left="578" w:right="578"/>
        <w:rPr>
          <w:sz w:val="20"/>
        </w:rPr>
      </w:pPr>
      <w:r>
        <w:rPr>
          <w:sz w:val="20"/>
        </w:rPr>
        <w:t>review under this Part</w:t>
      </w:r>
      <w:r>
        <w:rPr>
          <w:sz w:val="20"/>
        </w:rPr>
        <w:tab/>
        <w:t>244</w:t>
      </w:r>
    </w:p>
    <w:p>
      <w:pPr>
        <w:tabs>
          <w:tab w:val="right" w:leader="dot" w:pos="7070"/>
        </w:tabs>
        <w:ind w:left="578" w:right="578"/>
        <w:rPr>
          <w:sz w:val="20"/>
        </w:rPr>
      </w:pPr>
      <w:r>
        <w:rPr>
          <w:sz w:val="20"/>
        </w:rPr>
        <w:t>reviewable regulatory decision</w:t>
      </w:r>
      <w:r>
        <w:rPr>
          <w:sz w:val="20"/>
        </w:rPr>
        <w:tab/>
        <w:t>2, 244, Sch. 3 cl. 31</w:t>
      </w:r>
    </w:p>
    <w:p>
      <w:pPr>
        <w:tabs>
          <w:tab w:val="right" w:leader="dot" w:pos="7070"/>
        </w:tabs>
        <w:ind w:left="578" w:right="578"/>
        <w:rPr>
          <w:sz w:val="20"/>
        </w:rPr>
      </w:pPr>
      <w:r>
        <w:rPr>
          <w:sz w:val="20"/>
        </w:rPr>
        <w:t>reviewable regulatory decision process participant</w:t>
      </w:r>
      <w:r>
        <w:rPr>
          <w:sz w:val="20"/>
        </w:rPr>
        <w:tab/>
        <w:t>254(2)</w:t>
      </w:r>
    </w:p>
    <w:p>
      <w:pPr>
        <w:tabs>
          <w:tab w:val="right" w:leader="dot" w:pos="7070"/>
        </w:tabs>
        <w:ind w:left="578" w:right="578"/>
        <w:rPr>
          <w:sz w:val="20"/>
        </w:rPr>
      </w:pPr>
      <w:r>
        <w:rPr>
          <w:sz w:val="20"/>
        </w:rPr>
        <w:t>ring fencing decision</w:t>
      </w:r>
      <w:r>
        <w:rPr>
          <w:sz w:val="20"/>
        </w:rPr>
        <w:tab/>
        <w:t>2</w:t>
      </w:r>
    </w:p>
    <w:p>
      <w:pPr>
        <w:tabs>
          <w:tab w:val="right" w:leader="dot" w:pos="7070"/>
        </w:tabs>
        <w:ind w:left="578" w:right="578"/>
        <w:rPr>
          <w:sz w:val="20"/>
        </w:rPr>
      </w:pPr>
      <w:r>
        <w:rPr>
          <w:sz w:val="20"/>
        </w:rPr>
        <w:t>Rule extrinsic material</w:t>
      </w:r>
      <w:r>
        <w:rPr>
          <w:sz w:val="20"/>
        </w:rPr>
        <w:tab/>
        <w:t>Sch. 2 cl. 8</w:t>
      </w:r>
    </w:p>
    <w:p>
      <w:pPr>
        <w:tabs>
          <w:tab w:val="right" w:leader="dot" w:pos="7070"/>
        </w:tabs>
        <w:ind w:left="578" w:right="578"/>
        <w:rPr>
          <w:sz w:val="20"/>
        </w:rPr>
      </w:pPr>
      <w:r>
        <w:rPr>
          <w:sz w:val="20"/>
        </w:rPr>
        <w:t>Rules</w:t>
      </w:r>
      <w:r>
        <w:rPr>
          <w:sz w:val="20"/>
        </w:rPr>
        <w:tab/>
        <w:t>2</w:t>
      </w:r>
    </w:p>
    <w:p>
      <w:pPr>
        <w:tabs>
          <w:tab w:val="right" w:leader="dot" w:pos="7070"/>
        </w:tabs>
        <w:ind w:left="578" w:right="578"/>
        <w:rPr>
          <w:sz w:val="20"/>
        </w:rPr>
      </w:pPr>
      <w:r>
        <w:rPr>
          <w:sz w:val="20"/>
        </w:rPr>
        <w:t>SA Schedule amendment</w:t>
      </w:r>
      <w:r>
        <w:rPr>
          <w:sz w:val="20"/>
        </w:rPr>
        <w:tab/>
        <w:t>Act 7A(1)</w:t>
      </w:r>
    </w:p>
    <w:p>
      <w:pPr>
        <w:tabs>
          <w:tab w:val="right" w:leader="dot" w:pos="7070"/>
        </w:tabs>
        <w:ind w:left="578" w:right="578"/>
        <w:rPr>
          <w:sz w:val="20"/>
        </w:rPr>
      </w:pPr>
      <w:r>
        <w:rPr>
          <w:sz w:val="20"/>
        </w:rPr>
        <w:t>scheme administrator</w:t>
      </w:r>
      <w:r>
        <w:rPr>
          <w:sz w:val="20"/>
        </w:rPr>
        <w:tab/>
        <w:t>216A</w:t>
      </w:r>
    </w:p>
    <w:p>
      <w:pPr>
        <w:tabs>
          <w:tab w:val="right" w:leader="dot" w:pos="7070"/>
        </w:tabs>
        <w:ind w:left="578" w:right="578"/>
        <w:rPr>
          <w:sz w:val="20"/>
        </w:rPr>
      </w:pPr>
      <w:r>
        <w:rPr>
          <w:sz w:val="20"/>
        </w:rPr>
        <w:t>scheme decision</w:t>
      </w:r>
      <w:r>
        <w:rPr>
          <w:sz w:val="20"/>
        </w:rPr>
        <w:tab/>
        <w:t>330</w:t>
      </w:r>
    </w:p>
    <w:p>
      <w:pPr>
        <w:tabs>
          <w:tab w:val="right" w:leader="dot" w:pos="7070"/>
        </w:tabs>
        <w:ind w:left="578" w:right="578"/>
        <w:rPr>
          <w:sz w:val="20"/>
        </w:rPr>
      </w:pPr>
      <w:r>
        <w:rPr>
          <w:sz w:val="20"/>
        </w:rPr>
        <w:t>scheme pipeline</w:t>
      </w:r>
      <w:r>
        <w:rPr>
          <w:sz w:val="20"/>
        </w:rPr>
        <w:tab/>
        <w:t>2</w:t>
      </w:r>
    </w:p>
    <w:p>
      <w:pPr>
        <w:tabs>
          <w:tab w:val="right" w:leader="dot" w:pos="7070"/>
        </w:tabs>
        <w:ind w:left="578" w:right="578"/>
        <w:rPr>
          <w:sz w:val="20"/>
        </w:rPr>
      </w:pPr>
      <w:r>
        <w:rPr>
          <w:sz w:val="20"/>
        </w:rPr>
        <w:t>scheme pipeline service provider</w:t>
      </w:r>
      <w:r>
        <w:rPr>
          <w:sz w:val="20"/>
        </w:rPr>
        <w:tab/>
        <w:t>43</w:t>
      </w:r>
    </w:p>
    <w:p>
      <w:pPr>
        <w:tabs>
          <w:tab w:val="right" w:leader="dot" w:pos="7070"/>
        </w:tabs>
        <w:ind w:left="578" w:right="578"/>
        <w:rPr>
          <w:sz w:val="20"/>
        </w:rPr>
      </w:pPr>
      <w:r>
        <w:rPr>
          <w:sz w:val="20"/>
        </w:rPr>
        <w:t>scheme procedure</w:t>
      </w:r>
      <w:r>
        <w:rPr>
          <w:sz w:val="20"/>
        </w:rPr>
        <w:tab/>
        <w:t>330</w:t>
      </w:r>
    </w:p>
    <w:p>
      <w:pPr>
        <w:tabs>
          <w:tab w:val="right" w:leader="dot" w:pos="7070"/>
        </w:tabs>
        <w:ind w:left="578" w:right="578"/>
        <w:rPr>
          <w:sz w:val="20"/>
        </w:rPr>
      </w:pPr>
      <w:r>
        <w:rPr>
          <w:sz w:val="20"/>
        </w:rPr>
        <w:t>service provider</w:t>
      </w:r>
      <w:r>
        <w:rPr>
          <w:sz w:val="20"/>
        </w:rPr>
        <w:tab/>
        <w:t>2, 151(4), 160(3)</w:t>
      </w:r>
    </w:p>
    <w:p>
      <w:pPr>
        <w:tabs>
          <w:tab w:val="right" w:leader="dot" w:pos="7070"/>
        </w:tabs>
        <w:ind w:left="578" w:right="578"/>
        <w:rPr>
          <w:sz w:val="20"/>
        </w:rPr>
      </w:pPr>
      <w:r>
        <w:rPr>
          <w:sz w:val="20"/>
        </w:rPr>
        <w:t>service provider group</w:t>
      </w:r>
      <w:r>
        <w:rPr>
          <w:sz w:val="20"/>
        </w:rPr>
        <w:tab/>
        <w:t>10(1)</w:t>
      </w:r>
    </w:p>
    <w:p>
      <w:pPr>
        <w:tabs>
          <w:tab w:val="right" w:leader="dot" w:pos="7070"/>
        </w:tabs>
        <w:ind w:left="578" w:right="578"/>
        <w:rPr>
          <w:sz w:val="20"/>
        </w:rPr>
      </w:pPr>
      <w:r>
        <w:rPr>
          <w:sz w:val="20"/>
        </w:rPr>
        <w:t>service provider performance report</w:t>
      </w:r>
      <w:r>
        <w:rPr>
          <w:sz w:val="20"/>
        </w:rPr>
        <w:tab/>
        <w:t>2</w:t>
      </w:r>
    </w:p>
    <w:p>
      <w:pPr>
        <w:tabs>
          <w:tab w:val="right" w:leader="dot" w:pos="7070"/>
        </w:tabs>
        <w:ind w:left="578" w:right="578"/>
        <w:rPr>
          <w:sz w:val="20"/>
        </w:rPr>
      </w:pPr>
      <w:r>
        <w:rPr>
          <w:sz w:val="20"/>
        </w:rPr>
        <w:t>SES employee</w:t>
      </w:r>
      <w:r>
        <w:rPr>
          <w:sz w:val="20"/>
        </w:rPr>
        <w:tab/>
        <w:t>Sch. 2 cl. 33</w:t>
      </w:r>
    </w:p>
    <w:p>
      <w:pPr>
        <w:tabs>
          <w:tab w:val="right" w:leader="dot" w:pos="7070"/>
        </w:tabs>
        <w:ind w:left="578" w:right="578"/>
        <w:rPr>
          <w:sz w:val="20"/>
        </w:rPr>
      </w:pPr>
      <w:r>
        <w:rPr>
          <w:sz w:val="20"/>
        </w:rPr>
        <w:t>sign</w:t>
      </w:r>
      <w:r>
        <w:rPr>
          <w:sz w:val="20"/>
        </w:rPr>
        <w:tab/>
        <w:t>Sch. 2 cl. 10</w:t>
      </w:r>
    </w:p>
    <w:p>
      <w:pPr>
        <w:tabs>
          <w:tab w:val="right" w:leader="dot" w:pos="7070"/>
        </w:tabs>
        <w:ind w:left="578" w:right="578"/>
        <w:rPr>
          <w:sz w:val="20"/>
        </w:rPr>
      </w:pPr>
      <w:r>
        <w:rPr>
          <w:sz w:val="20"/>
        </w:rPr>
        <w:t>small to medium user or end user</w:t>
      </w:r>
      <w:r>
        <w:rPr>
          <w:sz w:val="20"/>
        </w:rPr>
        <w:tab/>
        <w:t>244</w:t>
      </w:r>
    </w:p>
    <w:p>
      <w:pPr>
        <w:tabs>
          <w:tab w:val="right" w:leader="dot" w:pos="7070"/>
        </w:tabs>
        <w:ind w:left="578" w:right="578"/>
        <w:rPr>
          <w:sz w:val="20"/>
        </w:rPr>
      </w:pPr>
      <w:r>
        <w:rPr>
          <w:sz w:val="20"/>
        </w:rPr>
        <w:t>small/medium user or consumer intervener</w:t>
      </w:r>
      <w:r>
        <w:rPr>
          <w:sz w:val="20"/>
        </w:rPr>
        <w:tab/>
        <w:t>244</w:t>
      </w:r>
    </w:p>
    <w:p>
      <w:pPr>
        <w:tabs>
          <w:tab w:val="right" w:leader="dot" w:pos="7070"/>
        </w:tabs>
        <w:ind w:left="578" w:right="578"/>
        <w:rPr>
          <w:sz w:val="20"/>
        </w:rPr>
      </w:pPr>
      <w:r>
        <w:rPr>
          <w:sz w:val="20"/>
        </w:rPr>
        <w:t>South Australian Act</w:t>
      </w:r>
      <w:r>
        <w:rPr>
          <w:sz w:val="20"/>
        </w:rPr>
        <w:tab/>
        <w:t>Act 3(1)</w:t>
      </w:r>
    </w:p>
    <w:p>
      <w:pPr>
        <w:tabs>
          <w:tab w:val="right" w:leader="dot" w:pos="7070"/>
        </w:tabs>
        <w:ind w:left="578" w:right="578"/>
        <w:rPr>
          <w:sz w:val="20"/>
        </w:rPr>
      </w:pPr>
      <w:r>
        <w:rPr>
          <w:sz w:val="20"/>
        </w:rPr>
        <w:t>South Australian Minister</w:t>
      </w:r>
      <w:r>
        <w:rPr>
          <w:sz w:val="20"/>
        </w:rPr>
        <w:tab/>
        <w:t>294CA</w:t>
      </w:r>
    </w:p>
    <w:p>
      <w:pPr>
        <w:tabs>
          <w:tab w:val="right" w:leader="dot" w:pos="7070"/>
        </w:tabs>
        <w:ind w:left="578" w:right="578"/>
        <w:rPr>
          <w:sz w:val="20"/>
        </w:rPr>
      </w:pPr>
      <w:r>
        <w:rPr>
          <w:sz w:val="20"/>
        </w:rPr>
        <w:t>spare capacity</w:t>
      </w:r>
      <w:r>
        <w:rPr>
          <w:sz w:val="20"/>
        </w:rPr>
        <w:tab/>
        <w:t>2</w:t>
      </w:r>
    </w:p>
    <w:p>
      <w:pPr>
        <w:tabs>
          <w:tab w:val="right" w:leader="dot" w:pos="7070"/>
        </w:tabs>
        <w:ind w:left="578" w:right="578"/>
        <w:rPr>
          <w:sz w:val="20"/>
        </w:rPr>
      </w:pPr>
      <w:r>
        <w:rPr>
          <w:sz w:val="20"/>
        </w:rPr>
        <w:t>specified dispute termination circumstance</w:t>
      </w:r>
      <w:r>
        <w:rPr>
          <w:sz w:val="20"/>
        </w:rPr>
        <w:tab/>
        <w:t>186(3)</w:t>
      </w:r>
    </w:p>
    <w:p>
      <w:pPr>
        <w:tabs>
          <w:tab w:val="right" w:leader="dot" w:pos="7070"/>
        </w:tabs>
        <w:ind w:left="578" w:right="578"/>
        <w:rPr>
          <w:sz w:val="20"/>
        </w:rPr>
      </w:pPr>
      <w:r>
        <w:rPr>
          <w:sz w:val="20"/>
        </w:rPr>
        <w:t>stakeholders</w:t>
      </w:r>
      <w:r>
        <w:rPr>
          <w:sz w:val="20"/>
        </w:rPr>
        <w:tab/>
        <w:t>Sch. 3 cl. 95</w:t>
      </w:r>
    </w:p>
    <w:p>
      <w:pPr>
        <w:tabs>
          <w:tab w:val="right" w:leader="dot" w:pos="7070"/>
        </w:tabs>
        <w:ind w:left="578" w:right="578"/>
        <w:rPr>
          <w:sz w:val="20"/>
        </w:rPr>
      </w:pPr>
      <w:r>
        <w:rPr>
          <w:sz w:val="20"/>
        </w:rPr>
        <w:t>standard period</w:t>
      </w:r>
      <w:r>
        <w:rPr>
          <w:sz w:val="20"/>
        </w:rPr>
        <w:tab/>
        <w:t>260(1)</w:t>
      </w:r>
    </w:p>
    <w:p>
      <w:pPr>
        <w:tabs>
          <w:tab w:val="right" w:leader="dot" w:pos="7070"/>
        </w:tabs>
        <w:ind w:left="578" w:right="578"/>
        <w:rPr>
          <w:sz w:val="20"/>
        </w:rPr>
      </w:pPr>
      <w:r>
        <w:rPr>
          <w:sz w:val="20"/>
        </w:rPr>
        <w:t>statutory declaration</w:t>
      </w:r>
      <w:r>
        <w:rPr>
          <w:sz w:val="20"/>
        </w:rPr>
        <w:tab/>
        <w:t>Sch. 2 cl. 10</w:t>
      </w:r>
    </w:p>
    <w:p>
      <w:pPr>
        <w:tabs>
          <w:tab w:val="right" w:leader="dot" w:pos="7070"/>
        </w:tabs>
        <w:ind w:left="578" w:right="578"/>
        <w:rPr>
          <w:sz w:val="20"/>
        </w:rPr>
      </w:pPr>
      <w:r>
        <w:rPr>
          <w:sz w:val="20"/>
        </w:rPr>
        <w:t>statutory instrument</w:t>
      </w:r>
      <w:r>
        <w:rPr>
          <w:sz w:val="20"/>
        </w:rPr>
        <w:tab/>
        <w:t>Sch. 2 cl. 10, 21, 51</w:t>
      </w:r>
    </w:p>
    <w:p>
      <w:pPr>
        <w:tabs>
          <w:tab w:val="right" w:leader="dot" w:pos="7070"/>
        </w:tabs>
        <w:ind w:left="578" w:right="578"/>
        <w:rPr>
          <w:sz w:val="20"/>
        </w:rPr>
      </w:pPr>
      <w:r>
        <w:rPr>
          <w:sz w:val="20"/>
        </w:rPr>
        <w:t>storage provider</w:t>
      </w:r>
      <w:r>
        <w:rPr>
          <w:sz w:val="20"/>
        </w:rPr>
        <w:tab/>
        <w:t>2</w:t>
      </w:r>
    </w:p>
    <w:p>
      <w:pPr>
        <w:tabs>
          <w:tab w:val="right" w:leader="dot" w:pos="7070"/>
        </w:tabs>
        <w:ind w:left="578" w:right="578"/>
        <w:rPr>
          <w:sz w:val="20"/>
        </w:rPr>
      </w:pPr>
      <w:r>
        <w:rPr>
          <w:sz w:val="20"/>
        </w:rPr>
        <w:t>subsequent service provider</w:t>
      </w:r>
      <w:r>
        <w:rPr>
          <w:sz w:val="20"/>
        </w:rPr>
        <w:tab/>
        <w:t>215(2)</w:t>
      </w:r>
    </w:p>
    <w:p>
      <w:pPr>
        <w:tabs>
          <w:tab w:val="right" w:leader="dot" w:pos="7070"/>
        </w:tabs>
        <w:ind w:left="578" w:right="578"/>
        <w:rPr>
          <w:sz w:val="20"/>
        </w:rPr>
      </w:pPr>
      <w:r>
        <w:rPr>
          <w:sz w:val="20"/>
        </w:rPr>
        <w:t>supply</w:t>
      </w:r>
      <w:r>
        <w:rPr>
          <w:sz w:val="20"/>
        </w:rPr>
        <w:tab/>
        <w:t>2</w:t>
      </w:r>
    </w:p>
    <w:p>
      <w:pPr>
        <w:tabs>
          <w:tab w:val="right" w:leader="dot" w:pos="7070"/>
        </w:tabs>
        <w:ind w:left="578" w:right="578"/>
        <w:rPr>
          <w:sz w:val="20"/>
        </w:rPr>
      </w:pPr>
      <w:r>
        <w:rPr>
          <w:sz w:val="20"/>
        </w:rPr>
        <w:t>swear</w:t>
      </w:r>
      <w:r>
        <w:rPr>
          <w:sz w:val="20"/>
        </w:rPr>
        <w:tab/>
        <w:t>Sch. 2 cl. 10</w:t>
      </w:r>
    </w:p>
    <w:p>
      <w:pPr>
        <w:tabs>
          <w:tab w:val="right" w:leader="dot" w:pos="7070"/>
        </w:tabs>
        <w:ind w:left="578" w:right="578"/>
        <w:rPr>
          <w:sz w:val="20"/>
        </w:rPr>
      </w:pPr>
      <w:r>
        <w:rPr>
          <w:sz w:val="20"/>
        </w:rPr>
        <w:t>tariff</w:t>
      </w:r>
      <w:r>
        <w:rPr>
          <w:sz w:val="20"/>
        </w:rPr>
        <w:tab/>
        <w:t>2</w:t>
      </w:r>
    </w:p>
    <w:p>
      <w:pPr>
        <w:tabs>
          <w:tab w:val="right" w:leader="dot" w:pos="7070"/>
        </w:tabs>
        <w:ind w:left="578" w:right="578"/>
        <w:rPr>
          <w:sz w:val="20"/>
        </w:rPr>
      </w:pPr>
      <w:r>
        <w:rPr>
          <w:sz w:val="20"/>
        </w:rPr>
        <w:t>tender approval decision</w:t>
      </w:r>
      <w:r>
        <w:rPr>
          <w:sz w:val="20"/>
        </w:rPr>
        <w:tab/>
        <w:t>2</w:t>
      </w:r>
    </w:p>
    <w:p>
      <w:pPr>
        <w:tabs>
          <w:tab w:val="right" w:leader="dot" w:pos="7070"/>
        </w:tabs>
        <w:ind w:left="578" w:right="578"/>
        <w:rPr>
          <w:sz w:val="20"/>
        </w:rPr>
      </w:pPr>
      <w:r>
        <w:rPr>
          <w:sz w:val="20"/>
        </w:rPr>
        <w:t>Territory</w:t>
      </w:r>
      <w:r>
        <w:rPr>
          <w:sz w:val="20"/>
        </w:rPr>
        <w:tab/>
        <w:t>2</w:t>
      </w:r>
    </w:p>
    <w:p>
      <w:pPr>
        <w:tabs>
          <w:tab w:val="right" w:leader="dot" w:pos="7070"/>
        </w:tabs>
        <w:ind w:left="578" w:right="578"/>
        <w:rPr>
          <w:sz w:val="20"/>
        </w:rPr>
      </w:pPr>
      <w:r>
        <w:rPr>
          <w:sz w:val="20"/>
        </w:rPr>
        <w:t>that other legislation</w:t>
      </w:r>
      <w:r>
        <w:rPr>
          <w:sz w:val="20"/>
        </w:rPr>
        <w:tab/>
        <w:t>Act 16(1)</w:t>
      </w:r>
    </w:p>
    <w:p>
      <w:pPr>
        <w:tabs>
          <w:tab w:val="right" w:leader="dot" w:pos="7070"/>
        </w:tabs>
        <w:ind w:left="578" w:right="578"/>
        <w:rPr>
          <w:sz w:val="20"/>
        </w:rPr>
      </w:pPr>
      <w:r>
        <w:rPr>
          <w:sz w:val="20"/>
        </w:rPr>
        <w:t>the first terms</w:t>
      </w:r>
      <w:r>
        <w:rPr>
          <w:sz w:val="20"/>
        </w:rPr>
        <w:tab/>
        <w:t>134(1)</w:t>
      </w:r>
    </w:p>
    <w:p>
      <w:pPr>
        <w:tabs>
          <w:tab w:val="right" w:leader="dot" w:pos="7070"/>
        </w:tabs>
        <w:ind w:left="578" w:right="578"/>
        <w:rPr>
          <w:sz w:val="20"/>
        </w:rPr>
      </w:pPr>
      <w:r>
        <w:rPr>
          <w:sz w:val="20"/>
        </w:rPr>
        <w:t>the second terms</w:t>
      </w:r>
      <w:r>
        <w:rPr>
          <w:sz w:val="20"/>
        </w:rPr>
        <w:tab/>
        <w:t>134(1)</w:t>
      </w:r>
    </w:p>
    <w:p>
      <w:pPr>
        <w:tabs>
          <w:tab w:val="right" w:leader="dot" w:pos="7070"/>
        </w:tabs>
        <w:ind w:left="578" w:right="578"/>
        <w:rPr>
          <w:sz w:val="20"/>
        </w:rPr>
      </w:pPr>
      <w:r>
        <w:rPr>
          <w:sz w:val="20"/>
        </w:rPr>
        <w:t>third party</w:t>
      </w:r>
      <w:r>
        <w:rPr>
          <w:sz w:val="20"/>
        </w:rPr>
        <w:tab/>
        <w:t>30S</w:t>
      </w:r>
    </w:p>
    <w:p>
      <w:pPr>
        <w:tabs>
          <w:tab w:val="right" w:leader="dot" w:pos="7070"/>
        </w:tabs>
        <w:ind w:left="578" w:right="578"/>
        <w:rPr>
          <w:sz w:val="20"/>
        </w:rPr>
      </w:pPr>
      <w:r>
        <w:rPr>
          <w:sz w:val="20"/>
        </w:rPr>
        <w:t>this jurisdiction</w:t>
      </w:r>
      <w:r>
        <w:rPr>
          <w:sz w:val="20"/>
        </w:rPr>
        <w:tab/>
        <w:t>Act 9(1)</w:t>
      </w:r>
    </w:p>
    <w:p>
      <w:pPr>
        <w:tabs>
          <w:tab w:val="right" w:leader="dot" w:pos="7070"/>
        </w:tabs>
        <w:ind w:left="578" w:right="578"/>
        <w:rPr>
          <w:sz w:val="20"/>
        </w:rPr>
      </w:pPr>
      <w:r>
        <w:rPr>
          <w:sz w:val="20"/>
        </w:rPr>
        <w:t>this law</w:t>
      </w:r>
      <w:r>
        <w:rPr>
          <w:sz w:val="20"/>
        </w:rPr>
        <w:tab/>
        <w:t>Act 9(1)</w:t>
      </w:r>
    </w:p>
    <w:p>
      <w:pPr>
        <w:tabs>
          <w:tab w:val="right" w:leader="dot" w:pos="7070"/>
        </w:tabs>
        <w:ind w:left="578" w:right="578"/>
        <w:rPr>
          <w:sz w:val="20"/>
        </w:rPr>
      </w:pPr>
      <w:r>
        <w:rPr>
          <w:sz w:val="20"/>
        </w:rPr>
        <w:t>transitional period</w:t>
      </w:r>
      <w:r>
        <w:rPr>
          <w:sz w:val="20"/>
        </w:rPr>
        <w:tab/>
        <w:t>Act 20(2)</w:t>
      </w:r>
    </w:p>
    <w:p>
      <w:pPr>
        <w:tabs>
          <w:tab w:val="right" w:leader="dot" w:pos="7070"/>
        </w:tabs>
        <w:ind w:left="578" w:right="578"/>
        <w:rPr>
          <w:sz w:val="20"/>
        </w:rPr>
      </w:pPr>
      <w:r>
        <w:rPr>
          <w:sz w:val="20"/>
        </w:rPr>
        <w:t>transitioned access arrangement</w:t>
      </w:r>
      <w:r>
        <w:rPr>
          <w:sz w:val="20"/>
        </w:rPr>
        <w:tab/>
        <w:t>Sch. 3 cl. 1</w:t>
      </w:r>
    </w:p>
    <w:p>
      <w:pPr>
        <w:tabs>
          <w:tab w:val="right" w:leader="dot" w:pos="7070"/>
        </w:tabs>
        <w:ind w:left="578" w:right="578"/>
        <w:rPr>
          <w:sz w:val="20"/>
        </w:rPr>
      </w:pPr>
      <w:r>
        <w:rPr>
          <w:sz w:val="20"/>
        </w:rPr>
        <w:t>transmission pipeline</w:t>
      </w:r>
      <w:r>
        <w:rPr>
          <w:sz w:val="20"/>
        </w:rPr>
        <w:tab/>
        <w:t>2</w:t>
      </w:r>
    </w:p>
    <w:p>
      <w:pPr>
        <w:tabs>
          <w:tab w:val="right" w:leader="dot" w:pos="7070"/>
        </w:tabs>
        <w:ind w:left="578" w:right="578"/>
        <w:rPr>
          <w:sz w:val="20"/>
        </w:rPr>
      </w:pPr>
      <w:r>
        <w:rPr>
          <w:sz w:val="20"/>
        </w:rPr>
        <w:t>Tribunal</w:t>
      </w:r>
      <w:r>
        <w:rPr>
          <w:sz w:val="20"/>
        </w:rPr>
        <w:tab/>
        <w:t>2</w:t>
      </w:r>
    </w:p>
    <w:p>
      <w:pPr>
        <w:tabs>
          <w:tab w:val="right" w:leader="dot" w:pos="7070"/>
        </w:tabs>
        <w:ind w:left="578" w:right="578"/>
        <w:rPr>
          <w:sz w:val="20"/>
        </w:rPr>
      </w:pPr>
      <w:r>
        <w:rPr>
          <w:sz w:val="20"/>
        </w:rPr>
        <w:t>underlying National Gas Law</w:t>
      </w:r>
      <w:r>
        <w:rPr>
          <w:sz w:val="20"/>
        </w:rPr>
        <w:tab/>
        <w:t>Act Sch. 1 cl. 1(2)</w:t>
      </w:r>
    </w:p>
    <w:p>
      <w:pPr>
        <w:tabs>
          <w:tab w:val="right" w:leader="dot" w:pos="7070"/>
        </w:tabs>
        <w:ind w:left="578" w:right="578"/>
        <w:rPr>
          <w:sz w:val="20"/>
        </w:rPr>
      </w:pPr>
      <w:r>
        <w:rPr>
          <w:sz w:val="20"/>
        </w:rPr>
        <w:t>urgent Rule</w:t>
      </w:r>
      <w:r>
        <w:rPr>
          <w:sz w:val="20"/>
        </w:rPr>
        <w:tab/>
        <w:t>290</w:t>
      </w:r>
    </w:p>
    <w:p>
      <w:pPr>
        <w:tabs>
          <w:tab w:val="right" w:leader="dot" w:pos="7070"/>
        </w:tabs>
        <w:ind w:left="578" w:right="578"/>
        <w:rPr>
          <w:sz w:val="20"/>
        </w:rPr>
      </w:pPr>
      <w:r>
        <w:rPr>
          <w:sz w:val="20"/>
        </w:rPr>
        <w:t>user</w:t>
      </w:r>
      <w:r>
        <w:rPr>
          <w:sz w:val="20"/>
        </w:rPr>
        <w:tab/>
        <w:t>2, 216A</w:t>
      </w:r>
    </w:p>
    <w:p>
      <w:pPr>
        <w:tabs>
          <w:tab w:val="right" w:leader="dot" w:pos="7070"/>
        </w:tabs>
        <w:ind w:left="578" w:right="578"/>
        <w:rPr>
          <w:sz w:val="20"/>
        </w:rPr>
      </w:pPr>
      <w:r>
        <w:rPr>
          <w:sz w:val="20"/>
        </w:rPr>
        <w:t>user or consumer association</w:t>
      </w:r>
      <w:r>
        <w:rPr>
          <w:sz w:val="20"/>
        </w:rPr>
        <w:tab/>
        <w:t>2, 244</w:t>
      </w:r>
    </w:p>
    <w:p>
      <w:pPr>
        <w:tabs>
          <w:tab w:val="right" w:leader="dot" w:pos="7070"/>
        </w:tabs>
        <w:ind w:left="578" w:right="578"/>
        <w:rPr>
          <w:sz w:val="20"/>
        </w:rPr>
      </w:pPr>
      <w:r>
        <w:rPr>
          <w:sz w:val="20"/>
        </w:rPr>
        <w:t>user or consumer interest group</w:t>
      </w:r>
      <w:r>
        <w:rPr>
          <w:sz w:val="20"/>
        </w:rPr>
        <w:tab/>
        <w:t>2, 244</w:t>
      </w:r>
    </w:p>
    <w:p>
      <w:pPr>
        <w:tabs>
          <w:tab w:val="right" w:leader="dot" w:pos="7070"/>
        </w:tabs>
        <w:ind w:left="578" w:right="578"/>
        <w:rPr>
          <w:sz w:val="20"/>
        </w:rPr>
      </w:pPr>
      <w:r>
        <w:rPr>
          <w:sz w:val="20"/>
        </w:rPr>
        <w:t xml:space="preserve">user or consumer intervener </w:t>
      </w:r>
      <w:r>
        <w:rPr>
          <w:sz w:val="20"/>
        </w:rPr>
        <w:tab/>
        <w:t>244</w:t>
      </w:r>
    </w:p>
    <w:p>
      <w:pPr>
        <w:tabs>
          <w:tab w:val="right" w:leader="dot" w:pos="7070"/>
        </w:tabs>
        <w:ind w:left="578" w:right="578"/>
        <w:rPr>
          <w:sz w:val="20"/>
        </w:rPr>
      </w:pPr>
      <w:r>
        <w:rPr>
          <w:sz w:val="20"/>
        </w:rPr>
        <w:t>VENCorp</w:t>
      </w:r>
      <w:r>
        <w:rPr>
          <w:sz w:val="20"/>
        </w:rPr>
        <w:tab/>
        <w:t>2</w:t>
      </w:r>
    </w:p>
    <w:p>
      <w:pPr>
        <w:tabs>
          <w:tab w:val="right" w:leader="dot" w:pos="7070"/>
        </w:tabs>
        <w:ind w:left="578" w:right="578"/>
        <w:rPr>
          <w:sz w:val="20"/>
        </w:rPr>
      </w:pPr>
      <w:r>
        <w:rPr>
          <w:sz w:val="20"/>
        </w:rPr>
        <w:t>WA arbitrator</w:t>
      </w:r>
      <w:r>
        <w:rPr>
          <w:sz w:val="20"/>
        </w:rPr>
        <w:tab/>
        <w:t>Act 9(1), Note 2</w:t>
      </w:r>
    </w:p>
    <w:p>
      <w:pPr>
        <w:tabs>
          <w:tab w:val="right" w:leader="dot" w:pos="7070"/>
        </w:tabs>
        <w:ind w:left="578" w:right="578"/>
        <w:rPr>
          <w:sz w:val="20"/>
        </w:rPr>
      </w:pPr>
      <w:r>
        <w:rPr>
          <w:sz w:val="20"/>
        </w:rPr>
        <w:t>Western Australian National Gas Access Law text</w:t>
      </w:r>
      <w:r>
        <w:rPr>
          <w:sz w:val="20"/>
        </w:rPr>
        <w:tab/>
        <w:t>Act 7(2)</w:t>
      </w:r>
    </w:p>
    <w:p>
      <w:pPr>
        <w:tabs>
          <w:tab w:val="right" w:leader="dot" w:pos="7070"/>
        </w:tabs>
        <w:ind w:left="578" w:right="578"/>
        <w:rPr>
          <w:sz w:val="20"/>
        </w:rPr>
      </w:pPr>
      <w:r>
        <w:rPr>
          <w:sz w:val="20"/>
        </w:rPr>
        <w:t>word</w:t>
      </w:r>
      <w:r>
        <w:rPr>
          <w:sz w:val="20"/>
        </w:rPr>
        <w:tab/>
        <w:t>Sch. 2 cl. 10</w:t>
      </w:r>
    </w:p>
    <w:p>
      <w:pPr>
        <w:tabs>
          <w:tab w:val="right" w:leader="dot" w:pos="7070"/>
        </w:tabs>
        <w:ind w:left="578" w:right="578"/>
        <w:rPr>
          <w:sz w:val="20"/>
        </w:rPr>
      </w:pPr>
      <w:r>
        <w:rPr>
          <w:sz w:val="20"/>
        </w:rPr>
        <w:t>writing</w:t>
      </w:r>
      <w:r>
        <w:rPr>
          <w:sz w:val="20"/>
        </w:rPr>
        <w:tab/>
        <w:t>Sch. 2 cl. 10</w:t>
      </w:r>
    </w:p>
    <w:p>
      <w:pPr>
        <w:tabs>
          <w:tab w:val="right" w:leader="dot" w:pos="7070"/>
        </w:tabs>
        <w:ind w:left="578" w:right="578"/>
        <w:rPr>
          <w:sz w:val="20"/>
        </w:rPr>
        <w:sectPr>
          <w:headerReference w:type="even" r:id="rId45"/>
          <w:headerReference w:type="default" r:id="rId46"/>
          <w:pgSz w:w="11907" w:h="16840" w:code="9"/>
          <w:pgMar w:top="2381" w:right="2409" w:bottom="3543" w:left="2409" w:header="720" w:footer="3380" w:gutter="0"/>
          <w:cols w:space="720"/>
          <w:noEndnote/>
          <w:docGrid w:linePitch="326"/>
        </w:sectPr>
      </w:pPr>
    </w:p>
    <w:p/>
    <w:p>
      <w:bookmarkStart w:id="1691" w:name="UpToHere"/>
      <w:bookmarkEnd w:id="1691"/>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89" w:name="Compilation"/>
    <w:bookmarkEnd w:id="1689"/>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47"/>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www.legislation.sa.gov.au/index.aspx?action=legref&amp;type=act&amp;legtitle=National%20Gas%20(South%20Australia)%20Act%202008" TargetMode="Externa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legislation.sa.gov.au/index.aspx?action=legref&amp;type=act&amp;legtitle=National%20Gas%20(South%20Australia)%20Act%202008"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ACE5-D746-4650-BCCF-029E4081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455</Pages>
  <Words>103693</Words>
  <Characters>515359</Characters>
  <Application>Microsoft Office Word</Application>
  <DocSecurity>0</DocSecurity>
  <Lines>14724</Lines>
  <Paragraphs>8039</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611013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2009 - 00-g0-03</dc:title>
  <dc:subject/>
  <dc:creator/>
  <cp:keywords/>
  <dc:description/>
  <cp:lastModifiedBy>svcMRProcess</cp:lastModifiedBy>
  <cp:revision>4</cp:revision>
  <cp:lastPrinted>2019-04-05T04:27:00Z</cp:lastPrinted>
  <dcterms:created xsi:type="dcterms:W3CDTF">2020-10-06T03:31:00Z</dcterms:created>
  <dcterms:modified xsi:type="dcterms:W3CDTF">2020-10-06T03:32:00Z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AsAtDate">
    <vt:lpwstr>06 Apr 2019</vt:lpwstr>
  </property>
  <property fmtid="{D5CDD505-2E9C-101B-9397-08002B2CF9AE}" pid="6" name="Suffix">
    <vt:lpwstr>00-g0-03</vt:lpwstr>
  </property>
  <property fmtid="{D5CDD505-2E9C-101B-9397-08002B2CF9AE}" pid="7" name="CommencementDate">
    <vt:lpwstr>20190406</vt:lpwstr>
  </property>
</Properties>
</file>