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Sector Management Act 1994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_Toc20390013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_Toc20390014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_Toc20390015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Persons deemed to be CEOs or chief employees</w:t>
      </w:r>
      <w:r>
        <w:tab/>
      </w:r>
      <w:r>
        <w:fldChar w:fldCharType="begin"/>
      </w:r>
      <w:r>
        <w:instrText xml:space="preserve"> PAGEREF _Toc20390016 \h </w:instrText>
      </w:r>
      <w:r>
        <w:fldChar w:fldCharType="separate"/>
      </w:r>
      <w:r>
        <w:t>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 used: employing authority</w:t>
      </w:r>
      <w:r>
        <w:tab/>
      </w:r>
      <w:r>
        <w:fldChar w:fldCharType="begin"/>
      </w:r>
      <w:r>
        <w:instrText xml:space="preserve"> PAGEREF _Toc20390017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Crown bound; application of </w:t>
      </w:r>
      <w:r>
        <w:rPr>
          <w:i/>
          <w:snapToGrid w:val="0"/>
        </w:rPr>
        <w:t>Industrial Relations Act 1979</w:t>
      </w:r>
      <w:r>
        <w:tab/>
      </w:r>
      <w:r>
        <w:fldChar w:fldCharType="begin"/>
      </w:r>
      <w:r>
        <w:instrText xml:space="preserve"> PAGEREF _Toc20390018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Public Sector principles</w:t>
      </w:r>
    </w:p>
    <w:p>
      <w:pPr>
        <w:pStyle w:val="TOC8"/>
        <w:rPr>
          <w:rFonts w:asciiTheme="minorHAnsi" w:eastAsiaTheme="minorEastAsia" w:hAnsiTheme="minorHAnsi" w:cstheme="minorBidi"/>
          <w:szCs w:val="22"/>
        </w:rPr>
      </w:pPr>
      <w:r>
        <w:t>7</w:t>
      </w:r>
      <w:r>
        <w:rPr>
          <w:snapToGrid w:val="0"/>
        </w:rPr>
        <w:t>.</w:t>
      </w:r>
      <w:r>
        <w:rPr>
          <w:snapToGrid w:val="0"/>
        </w:rPr>
        <w:tab/>
        <w:t>Public administration and management principles</w:t>
      </w:r>
      <w:r>
        <w:tab/>
      </w:r>
      <w:r>
        <w:fldChar w:fldCharType="begin"/>
      </w:r>
      <w:r>
        <w:instrText xml:space="preserve"> PAGEREF _Toc20390020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Human resource management principles</w:t>
      </w:r>
      <w:r>
        <w:tab/>
      </w:r>
      <w:r>
        <w:fldChar w:fldCharType="begin"/>
      </w:r>
      <w:r>
        <w:instrText xml:space="preserve"> PAGEREF _Toc20390021 \h </w:instrText>
      </w:r>
      <w:r>
        <w:fldChar w:fldCharType="separate"/>
      </w:r>
      <w:r>
        <w:t>12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Principles of conduct by public sector bodies etc.</w:t>
      </w:r>
      <w:r>
        <w:tab/>
      </w:r>
      <w:r>
        <w:fldChar w:fldCharType="begin"/>
      </w:r>
      <w:r>
        <w:instrText xml:space="preserve"> PAGEREF _Toc20390022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Public Sector Commissioner</w:t>
      </w:r>
    </w:p>
    <w:p>
      <w:pPr>
        <w:pStyle w:val="TOC4"/>
        <w:tabs>
          <w:tab w:val="right" w:leader="dot" w:pos="7077"/>
        </w:tabs>
        <w:rPr>
          <w:rFonts w:asciiTheme="minorHAnsi" w:eastAsiaTheme="minorEastAsia" w:hAnsiTheme="minorHAnsi" w:cstheme="minorBidi"/>
          <w:b w:val="0"/>
          <w:szCs w:val="22"/>
        </w:rPr>
      </w:pPr>
      <w:r>
        <w:t>Division 1 — Public Sector Commissioner</w:t>
      </w:r>
    </w:p>
    <w:p>
      <w:pPr>
        <w:pStyle w:val="TOC8"/>
        <w:rPr>
          <w:rFonts w:asciiTheme="minorHAnsi" w:eastAsiaTheme="minorEastAsia" w:hAnsiTheme="minorHAnsi" w:cstheme="minorBidi"/>
          <w:szCs w:val="22"/>
        </w:rPr>
      </w:pPr>
      <w:r>
        <w:t>16.</w:t>
      </w:r>
      <w:r>
        <w:tab/>
        <w:t>Office of Public Sector Commissioner</w:t>
      </w:r>
      <w:r>
        <w:tab/>
      </w:r>
      <w:r>
        <w:fldChar w:fldCharType="begin"/>
      </w:r>
      <w:r>
        <w:instrText xml:space="preserve"> PAGEREF _Toc20390025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Appointment etc. of Commissioner</w:t>
      </w:r>
      <w:r>
        <w:tab/>
      </w:r>
      <w:r>
        <w:fldChar w:fldCharType="begin"/>
      </w:r>
      <w:r>
        <w:instrText xml:space="preserve"> PAGEREF _Toc20390026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Vacation of, or suspension from, office of Commissioner</w:t>
      </w:r>
      <w:r>
        <w:tab/>
      </w:r>
      <w:r>
        <w:fldChar w:fldCharType="begin"/>
      </w:r>
      <w:r>
        <w:instrText xml:space="preserve"> PAGEREF _Toc20390027 \h </w:instrText>
      </w:r>
      <w:r>
        <w:fldChar w:fldCharType="separate"/>
      </w:r>
      <w:r>
        <w:t>14</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Remuneration etc. of Commissioner</w:t>
      </w:r>
      <w:r>
        <w:tab/>
      </w:r>
      <w:r>
        <w:fldChar w:fldCharType="begin"/>
      </w:r>
      <w:r>
        <w:instrText xml:space="preserve"> PAGEREF _Toc20390028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Miscellaneous provisions as to superannuation and leave of absence</w:t>
      </w:r>
      <w:r>
        <w:tab/>
      </w:r>
      <w:r>
        <w:fldChar w:fldCharType="begin"/>
      </w:r>
      <w:r>
        <w:instrText xml:space="preserve"> PAGEREF _Toc20390029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Functions of Commissioner</w:t>
      </w:r>
    </w:p>
    <w:p>
      <w:pPr>
        <w:pStyle w:val="TOC8"/>
        <w:rPr>
          <w:rFonts w:asciiTheme="minorHAnsi" w:eastAsiaTheme="minorEastAsia" w:hAnsiTheme="minorHAnsi" w:cstheme="minorBidi"/>
          <w:szCs w:val="22"/>
        </w:rPr>
      </w:pPr>
      <w:r>
        <w:t>21A.</w:t>
      </w:r>
      <w:r>
        <w:tab/>
        <w:t>General functions</w:t>
      </w:r>
      <w:r>
        <w:tab/>
      </w:r>
      <w:r>
        <w:fldChar w:fldCharType="begin"/>
      </w:r>
      <w:r>
        <w:instrText xml:space="preserve"> PAGEREF _Toc20390031 \h </w:instrText>
      </w:r>
      <w:r>
        <w:fldChar w:fldCharType="separate"/>
      </w:r>
      <w:r>
        <w:t>18</w:t>
      </w:r>
      <w:r>
        <w:fldChar w:fldCharType="end"/>
      </w:r>
    </w:p>
    <w:p>
      <w:pPr>
        <w:pStyle w:val="TOC8"/>
        <w:rPr>
          <w:rFonts w:asciiTheme="minorHAnsi" w:eastAsiaTheme="minorEastAsia" w:hAnsiTheme="minorHAnsi" w:cstheme="minorBidi"/>
          <w:szCs w:val="22"/>
        </w:rPr>
      </w:pPr>
      <w:r>
        <w:lastRenderedPageBreak/>
        <w:t>21</w:t>
      </w:r>
      <w:r>
        <w:rPr>
          <w:snapToGrid w:val="0"/>
        </w:rPr>
        <w:t>.</w:t>
      </w:r>
      <w:r>
        <w:rPr>
          <w:snapToGrid w:val="0"/>
        </w:rPr>
        <w:tab/>
        <w:t>Public sector standards, codes of ethics and codes of conduct, establishing etc.</w:t>
      </w:r>
      <w:r>
        <w:tab/>
      </w:r>
      <w:r>
        <w:fldChar w:fldCharType="begin"/>
      </w:r>
      <w:r>
        <w:instrText xml:space="preserve"> PAGEREF _Toc20390032 \h </w:instrText>
      </w:r>
      <w:r>
        <w:fldChar w:fldCharType="separate"/>
      </w:r>
      <w:r>
        <w:t>18</w:t>
      </w:r>
      <w:r>
        <w:fldChar w:fldCharType="end"/>
      </w:r>
    </w:p>
    <w:p>
      <w:pPr>
        <w:pStyle w:val="TOC8"/>
        <w:rPr>
          <w:rFonts w:asciiTheme="minorHAnsi" w:eastAsiaTheme="minorEastAsia" w:hAnsiTheme="minorHAnsi" w:cstheme="minorBidi"/>
          <w:szCs w:val="22"/>
        </w:rPr>
      </w:pPr>
      <w:r>
        <w:t>22A.</w:t>
      </w:r>
      <w:r>
        <w:tab/>
        <w:t>Commissioner’s instructions</w:t>
      </w:r>
      <w:r>
        <w:tab/>
      </w:r>
      <w:r>
        <w:fldChar w:fldCharType="begin"/>
      </w:r>
      <w:r>
        <w:instrText xml:space="preserve"> PAGEREF _Toc20390033 \h </w:instrText>
      </w:r>
      <w:r>
        <w:fldChar w:fldCharType="separate"/>
      </w:r>
      <w:r>
        <w:t>21</w:t>
      </w:r>
      <w:r>
        <w:fldChar w:fldCharType="end"/>
      </w:r>
    </w:p>
    <w:p>
      <w:pPr>
        <w:pStyle w:val="TOC8"/>
        <w:rPr>
          <w:rFonts w:asciiTheme="minorHAnsi" w:eastAsiaTheme="minorEastAsia" w:hAnsiTheme="minorHAnsi" w:cstheme="minorBidi"/>
          <w:szCs w:val="22"/>
        </w:rPr>
      </w:pPr>
      <w:r>
        <w:t>22B.</w:t>
      </w:r>
      <w:r>
        <w:tab/>
        <w:t>Disposition of employees and offices</w:t>
      </w:r>
      <w:r>
        <w:tab/>
      </w:r>
      <w:r>
        <w:fldChar w:fldCharType="begin"/>
      </w:r>
      <w:r>
        <w:instrText xml:space="preserve"> PAGEREF _Toc20390034 \h </w:instrText>
      </w:r>
      <w:r>
        <w:fldChar w:fldCharType="separate"/>
      </w:r>
      <w:r>
        <w:t>23</w:t>
      </w:r>
      <w:r>
        <w:fldChar w:fldCharType="end"/>
      </w:r>
    </w:p>
    <w:p>
      <w:pPr>
        <w:pStyle w:val="TOC8"/>
        <w:rPr>
          <w:rFonts w:asciiTheme="minorHAnsi" w:eastAsiaTheme="minorEastAsia" w:hAnsiTheme="minorHAnsi" w:cstheme="minorBidi"/>
          <w:szCs w:val="22"/>
        </w:rPr>
      </w:pPr>
      <w:r>
        <w:t>22C.</w:t>
      </w:r>
      <w:r>
        <w:tab/>
        <w:t>Reports to Ministers</w:t>
      </w:r>
      <w:r>
        <w:tab/>
      </w:r>
      <w:r>
        <w:fldChar w:fldCharType="begin"/>
      </w:r>
      <w:r>
        <w:instrText xml:space="preserve"> PAGEREF _Toc20390035 \h </w:instrText>
      </w:r>
      <w:r>
        <w:fldChar w:fldCharType="separate"/>
      </w:r>
      <w:r>
        <w:t>23</w:t>
      </w:r>
      <w:r>
        <w:fldChar w:fldCharType="end"/>
      </w:r>
    </w:p>
    <w:p>
      <w:pPr>
        <w:pStyle w:val="TOC8"/>
        <w:rPr>
          <w:rFonts w:asciiTheme="minorHAnsi" w:eastAsiaTheme="minorEastAsia" w:hAnsiTheme="minorHAnsi" w:cstheme="minorBidi"/>
          <w:szCs w:val="22"/>
        </w:rPr>
      </w:pPr>
      <w:r>
        <w:t>22D.</w:t>
      </w:r>
      <w:r>
        <w:tab/>
        <w:t>Annual report</w:t>
      </w:r>
      <w:r>
        <w:tab/>
      </w:r>
      <w:r>
        <w:fldChar w:fldCharType="begin"/>
      </w:r>
      <w:r>
        <w:instrText xml:space="preserve"> PAGEREF _Toc20390036 \h </w:instrText>
      </w:r>
      <w:r>
        <w:fldChar w:fldCharType="separate"/>
      </w:r>
      <w:r>
        <w:t>23</w:t>
      </w:r>
      <w:r>
        <w:fldChar w:fldCharType="end"/>
      </w:r>
    </w:p>
    <w:p>
      <w:pPr>
        <w:pStyle w:val="TOC8"/>
        <w:rPr>
          <w:rFonts w:asciiTheme="minorHAnsi" w:eastAsiaTheme="minorEastAsia" w:hAnsiTheme="minorHAnsi" w:cstheme="minorBidi"/>
          <w:szCs w:val="22"/>
        </w:rPr>
      </w:pPr>
      <w:r>
        <w:t>22E.</w:t>
      </w:r>
      <w:r>
        <w:tab/>
        <w:t>Other reports</w:t>
      </w:r>
      <w:r>
        <w:tab/>
      </w:r>
      <w:r>
        <w:fldChar w:fldCharType="begin"/>
      </w:r>
      <w:r>
        <w:instrText xml:space="preserve"> PAGEREF _Toc20390037 \h </w:instrText>
      </w:r>
      <w:r>
        <w:fldChar w:fldCharType="separate"/>
      </w:r>
      <w:r>
        <w:t>24</w:t>
      </w:r>
      <w:r>
        <w:fldChar w:fldCharType="end"/>
      </w:r>
    </w:p>
    <w:p>
      <w:pPr>
        <w:pStyle w:val="TOC8"/>
        <w:rPr>
          <w:rFonts w:asciiTheme="minorHAnsi" w:eastAsiaTheme="minorEastAsia" w:hAnsiTheme="minorHAnsi" w:cstheme="minorBidi"/>
          <w:szCs w:val="22"/>
        </w:rPr>
      </w:pPr>
      <w:r>
        <w:t>22F.</w:t>
      </w:r>
      <w:r>
        <w:tab/>
        <w:t>Reports under s. 22D or 22E must be laid before Parliament</w:t>
      </w:r>
      <w:r>
        <w:tab/>
      </w:r>
      <w:r>
        <w:fldChar w:fldCharType="begin"/>
      </w:r>
      <w:r>
        <w:instrText xml:space="preserve"> PAGEREF _Toc20390038 \h </w:instrText>
      </w:r>
      <w:r>
        <w:fldChar w:fldCharType="separate"/>
      </w:r>
      <w:r>
        <w:t>24</w:t>
      </w:r>
      <w:r>
        <w:fldChar w:fldCharType="end"/>
      </w:r>
    </w:p>
    <w:p>
      <w:pPr>
        <w:pStyle w:val="TOC8"/>
        <w:rPr>
          <w:rFonts w:asciiTheme="minorHAnsi" w:eastAsiaTheme="minorEastAsia" w:hAnsiTheme="minorHAnsi" w:cstheme="minorBidi"/>
          <w:szCs w:val="22"/>
        </w:rPr>
      </w:pPr>
      <w:r>
        <w:t>22G.</w:t>
      </w:r>
      <w:r>
        <w:tab/>
        <w:t>Powers</w:t>
      </w:r>
      <w:r>
        <w:tab/>
      </w:r>
      <w:r>
        <w:fldChar w:fldCharType="begin"/>
      </w:r>
      <w:r>
        <w:instrText xml:space="preserve"> PAGEREF _Toc20390039 \h </w:instrText>
      </w:r>
      <w:r>
        <w:fldChar w:fldCharType="separate"/>
      </w:r>
      <w:r>
        <w:t>25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Commissioner to act independently</w:t>
      </w:r>
      <w:r>
        <w:tab/>
      </w:r>
      <w:r>
        <w:fldChar w:fldCharType="begin"/>
      </w:r>
      <w:r>
        <w:instrText xml:space="preserve"> PAGEREF _Toc20390040 \h </w:instrText>
      </w:r>
      <w:r>
        <w:fldChar w:fldCharType="separate"/>
      </w:r>
      <w:r>
        <w:t>25</w:t>
      </w:r>
      <w:r>
        <w:fldChar w:fldCharType="end"/>
      </w:r>
    </w:p>
    <w:p>
      <w:pPr>
        <w:pStyle w:val="TOC8"/>
        <w:rPr>
          <w:rFonts w:asciiTheme="minorHAnsi" w:eastAsiaTheme="minorEastAsia" w:hAnsiTheme="minorHAnsi" w:cstheme="minorBidi"/>
          <w:szCs w:val="22"/>
        </w:rPr>
      </w:pPr>
      <w:r>
        <w:t>23.</w:t>
      </w:r>
      <w:r>
        <w:tab/>
        <w:t>Delegation by Commissioner</w:t>
      </w:r>
      <w:r>
        <w:tab/>
      </w:r>
      <w:r>
        <w:fldChar w:fldCharType="begin"/>
      </w:r>
      <w:r>
        <w:instrText xml:space="preserve"> PAGEREF _Toc20390041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Reviews, special inquiries and investigations</w:t>
      </w:r>
    </w:p>
    <w:p>
      <w:pPr>
        <w:pStyle w:val="TOC6"/>
        <w:tabs>
          <w:tab w:val="right" w:leader="dot" w:pos="7077"/>
        </w:tabs>
        <w:rPr>
          <w:rFonts w:asciiTheme="minorHAnsi" w:eastAsiaTheme="minorEastAsia" w:hAnsiTheme="minorHAnsi" w:cstheme="minorBidi"/>
          <w:b w:val="0"/>
          <w:sz w:val="22"/>
          <w:szCs w:val="22"/>
        </w:rPr>
      </w:pPr>
      <w:r>
        <w:t>Subdivision 1 — Reviews</w:t>
      </w:r>
    </w:p>
    <w:p>
      <w:pPr>
        <w:pStyle w:val="TOC8"/>
        <w:rPr>
          <w:rFonts w:asciiTheme="minorHAnsi" w:eastAsiaTheme="minorEastAsia" w:hAnsiTheme="minorHAnsi" w:cstheme="minorBidi"/>
          <w:szCs w:val="22"/>
        </w:rPr>
      </w:pPr>
      <w:r>
        <w:t>24A.</w:t>
      </w:r>
      <w:r>
        <w:tab/>
        <w:t>Terms used</w:t>
      </w:r>
      <w:r>
        <w:tab/>
      </w:r>
      <w:r>
        <w:fldChar w:fldCharType="begin"/>
      </w:r>
      <w:r>
        <w:instrText xml:space="preserve"> PAGEREF _Toc20390044 \h </w:instrText>
      </w:r>
      <w:r>
        <w:fldChar w:fldCharType="separate"/>
      </w:r>
      <w:r>
        <w:t>26</w:t>
      </w:r>
      <w:r>
        <w:fldChar w:fldCharType="end"/>
      </w:r>
    </w:p>
    <w:p>
      <w:pPr>
        <w:pStyle w:val="TOC8"/>
        <w:rPr>
          <w:rFonts w:asciiTheme="minorHAnsi" w:eastAsiaTheme="minorEastAsia" w:hAnsiTheme="minorHAnsi" w:cstheme="minorBidi"/>
          <w:szCs w:val="22"/>
        </w:rPr>
      </w:pPr>
      <w:r>
        <w:t>24B.</w:t>
      </w:r>
      <w:r>
        <w:tab/>
        <w:t>Reviews of operations etc. of public sector bodies</w:t>
      </w:r>
      <w:r>
        <w:tab/>
      </w:r>
      <w:r>
        <w:fldChar w:fldCharType="begin"/>
      </w:r>
      <w:r>
        <w:instrText xml:space="preserve"> PAGEREF _Toc20390045 \h </w:instrText>
      </w:r>
      <w:r>
        <w:fldChar w:fldCharType="separate"/>
      </w:r>
      <w:r>
        <w:t>26</w:t>
      </w:r>
      <w:r>
        <w:fldChar w:fldCharType="end"/>
      </w:r>
    </w:p>
    <w:p>
      <w:pPr>
        <w:pStyle w:val="TOC8"/>
        <w:rPr>
          <w:rFonts w:asciiTheme="minorHAnsi" w:eastAsiaTheme="minorEastAsia" w:hAnsiTheme="minorHAnsi" w:cstheme="minorBidi"/>
          <w:szCs w:val="22"/>
        </w:rPr>
      </w:pPr>
      <w:r>
        <w:t>24C.</w:t>
      </w:r>
      <w:r>
        <w:tab/>
        <w:t>Commissioner may authorise people to perform functions</w:t>
      </w:r>
      <w:r>
        <w:tab/>
      </w:r>
      <w:r>
        <w:fldChar w:fldCharType="begin"/>
      </w:r>
      <w:r>
        <w:instrText xml:space="preserve"> PAGEREF _Toc20390046 \h </w:instrText>
      </w:r>
      <w:r>
        <w:fldChar w:fldCharType="separate"/>
      </w:r>
      <w:r>
        <w:t>27</w:t>
      </w:r>
      <w:r>
        <w:fldChar w:fldCharType="end"/>
      </w:r>
    </w:p>
    <w:p>
      <w:pPr>
        <w:pStyle w:val="TOC8"/>
        <w:rPr>
          <w:rFonts w:asciiTheme="minorHAnsi" w:eastAsiaTheme="minorEastAsia" w:hAnsiTheme="minorHAnsi" w:cstheme="minorBidi"/>
          <w:szCs w:val="22"/>
        </w:rPr>
      </w:pPr>
      <w:r>
        <w:t>24D.</w:t>
      </w:r>
      <w:r>
        <w:tab/>
        <w:t>Powers of Commissioner etc. for purposes of reviews</w:t>
      </w:r>
      <w:r>
        <w:tab/>
      </w:r>
      <w:r>
        <w:fldChar w:fldCharType="begin"/>
      </w:r>
      <w:r>
        <w:instrText xml:space="preserve"> PAGEREF _Toc20390047 \h </w:instrText>
      </w:r>
      <w:r>
        <w:fldChar w:fldCharType="separate"/>
      </w:r>
      <w:r>
        <w:t>27</w:t>
      </w:r>
      <w:r>
        <w:fldChar w:fldCharType="end"/>
      </w:r>
    </w:p>
    <w:p>
      <w:pPr>
        <w:pStyle w:val="TOC8"/>
        <w:rPr>
          <w:rFonts w:asciiTheme="minorHAnsi" w:eastAsiaTheme="minorEastAsia" w:hAnsiTheme="minorHAnsi" w:cstheme="minorBidi"/>
          <w:szCs w:val="22"/>
        </w:rPr>
      </w:pPr>
      <w:r>
        <w:t>24E.</w:t>
      </w:r>
      <w:r>
        <w:tab/>
        <w:t>Consultation required before exercising powers in s. 24D</w:t>
      </w:r>
      <w:r>
        <w:tab/>
      </w:r>
      <w:r>
        <w:fldChar w:fldCharType="begin"/>
      </w:r>
      <w:r>
        <w:instrText xml:space="preserve"> PAGEREF _Toc20390048 \h </w:instrText>
      </w:r>
      <w:r>
        <w:fldChar w:fldCharType="separate"/>
      </w:r>
      <w:r>
        <w:t>28</w:t>
      </w:r>
      <w:r>
        <w:fldChar w:fldCharType="end"/>
      </w:r>
    </w:p>
    <w:p>
      <w:pPr>
        <w:pStyle w:val="TOC8"/>
        <w:rPr>
          <w:rFonts w:asciiTheme="minorHAnsi" w:eastAsiaTheme="minorEastAsia" w:hAnsiTheme="minorHAnsi" w:cstheme="minorBidi"/>
          <w:szCs w:val="22"/>
        </w:rPr>
      </w:pPr>
      <w:r>
        <w:t>24F.</w:t>
      </w:r>
      <w:r>
        <w:tab/>
        <w:t>Privileges of employees in relation to s. 24D powers</w:t>
      </w:r>
      <w:r>
        <w:tab/>
      </w:r>
      <w:r>
        <w:fldChar w:fldCharType="begin"/>
      </w:r>
      <w:r>
        <w:instrText xml:space="preserve"> PAGEREF _Toc20390049 \h </w:instrText>
      </w:r>
      <w:r>
        <w:fldChar w:fldCharType="separate"/>
      </w:r>
      <w:r>
        <w:t>28</w:t>
      </w:r>
      <w:r>
        <w:fldChar w:fldCharType="end"/>
      </w:r>
    </w:p>
    <w:p>
      <w:pPr>
        <w:pStyle w:val="TOC8"/>
        <w:rPr>
          <w:rFonts w:asciiTheme="minorHAnsi" w:eastAsiaTheme="minorEastAsia" w:hAnsiTheme="minorHAnsi" w:cstheme="minorBidi"/>
          <w:szCs w:val="22"/>
        </w:rPr>
      </w:pPr>
      <w:r>
        <w:t>24G.</w:t>
      </w:r>
      <w:r>
        <w:tab/>
        <w:t>Report on review</w:t>
      </w:r>
      <w:r>
        <w:tab/>
      </w:r>
      <w:r>
        <w:fldChar w:fldCharType="begin"/>
      </w:r>
      <w:r>
        <w:instrText xml:space="preserve"> PAGEREF _Toc20390050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2 — Special inquiries</w:t>
      </w:r>
    </w:p>
    <w:p>
      <w:pPr>
        <w:pStyle w:val="TOC8"/>
        <w:rPr>
          <w:rFonts w:asciiTheme="minorHAnsi" w:eastAsiaTheme="minorEastAsia" w:hAnsiTheme="minorHAnsi" w:cstheme="minorBidi"/>
          <w:szCs w:val="22"/>
        </w:rPr>
      </w:pPr>
      <w:r>
        <w:t>24H.</w:t>
      </w:r>
      <w:r>
        <w:tab/>
        <w:t>Special inquiries, purpose and arrangement of</w:t>
      </w:r>
      <w:r>
        <w:tab/>
      </w:r>
      <w:r>
        <w:fldChar w:fldCharType="begin"/>
      </w:r>
      <w:r>
        <w:instrText xml:space="preserve"> PAGEREF _Toc20390052 \h </w:instrText>
      </w:r>
      <w:r>
        <w:fldChar w:fldCharType="separate"/>
      </w:r>
      <w:r>
        <w:t>29</w:t>
      </w:r>
      <w:r>
        <w:fldChar w:fldCharType="end"/>
      </w:r>
    </w:p>
    <w:p>
      <w:pPr>
        <w:pStyle w:val="TOC8"/>
        <w:rPr>
          <w:rFonts w:asciiTheme="minorHAnsi" w:eastAsiaTheme="minorEastAsia" w:hAnsiTheme="minorHAnsi" w:cstheme="minorBidi"/>
          <w:szCs w:val="22"/>
        </w:rPr>
      </w:pPr>
      <w:r>
        <w:t>24I.</w:t>
      </w:r>
      <w:r>
        <w:tab/>
        <w:t>Powers of person conducting special inquiry</w:t>
      </w:r>
      <w:r>
        <w:tab/>
      </w:r>
      <w:r>
        <w:fldChar w:fldCharType="begin"/>
      </w:r>
      <w:r>
        <w:instrText xml:space="preserve"> PAGEREF _Toc20390053 \h </w:instrText>
      </w:r>
      <w:r>
        <w:fldChar w:fldCharType="separate"/>
      </w:r>
      <w:r>
        <w:t>30</w:t>
      </w:r>
      <w:r>
        <w:fldChar w:fldCharType="end"/>
      </w:r>
    </w:p>
    <w:p>
      <w:pPr>
        <w:pStyle w:val="TOC8"/>
        <w:rPr>
          <w:rFonts w:asciiTheme="minorHAnsi" w:eastAsiaTheme="minorEastAsia" w:hAnsiTheme="minorHAnsi" w:cstheme="minorBidi"/>
          <w:szCs w:val="22"/>
        </w:rPr>
      </w:pPr>
      <w:r>
        <w:t>24J.</w:t>
      </w:r>
      <w:r>
        <w:tab/>
        <w:t>Procedure and evidence at special inquiries</w:t>
      </w:r>
      <w:r>
        <w:tab/>
      </w:r>
      <w:r>
        <w:fldChar w:fldCharType="begin"/>
      </w:r>
      <w:r>
        <w:instrText xml:space="preserve"> PAGEREF _Toc20390054 \h </w:instrText>
      </w:r>
      <w:r>
        <w:fldChar w:fldCharType="separate"/>
      </w:r>
      <w:r>
        <w:t>30</w:t>
      </w:r>
      <w:r>
        <w:fldChar w:fldCharType="end"/>
      </w:r>
    </w:p>
    <w:p>
      <w:pPr>
        <w:pStyle w:val="TOC8"/>
        <w:rPr>
          <w:rFonts w:asciiTheme="minorHAnsi" w:eastAsiaTheme="minorEastAsia" w:hAnsiTheme="minorHAnsi" w:cstheme="minorBidi"/>
          <w:szCs w:val="22"/>
        </w:rPr>
      </w:pPr>
      <w:r>
        <w:t>24K.</w:t>
      </w:r>
      <w:r>
        <w:tab/>
        <w:t>Reports on special inquiries</w:t>
      </w:r>
      <w:r>
        <w:tab/>
      </w:r>
      <w:r>
        <w:fldChar w:fldCharType="begin"/>
      </w:r>
      <w:r>
        <w:instrText xml:space="preserve"> PAGEREF _Toc20390055 \h </w:instrText>
      </w:r>
      <w:r>
        <w:fldChar w:fldCharType="separate"/>
      </w:r>
      <w:r>
        <w:t>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Investigations</w:t>
      </w:r>
    </w:p>
    <w:p>
      <w:pPr>
        <w:pStyle w:val="TOC8"/>
        <w:rPr>
          <w:rFonts w:asciiTheme="minorHAnsi" w:eastAsiaTheme="minorEastAsia" w:hAnsiTheme="minorHAnsi" w:cstheme="minorBidi"/>
          <w:szCs w:val="22"/>
        </w:rPr>
      </w:pPr>
      <w:r>
        <w:t>24</w:t>
      </w:r>
      <w:r>
        <w:rPr>
          <w:snapToGrid w:val="0"/>
        </w:rPr>
        <w:t>.</w:t>
      </w:r>
      <w:r>
        <w:rPr>
          <w:snapToGrid w:val="0"/>
        </w:rPr>
        <w:tab/>
        <w:t>Commissioner’s powers of investigation</w:t>
      </w:r>
      <w:r>
        <w:tab/>
      </w:r>
      <w:r>
        <w:fldChar w:fldCharType="begin"/>
      </w:r>
      <w:r>
        <w:instrText xml:space="preserve"> PAGEREF _Toc20390057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Acting appointments</w:t>
      </w:r>
    </w:p>
    <w:p>
      <w:pPr>
        <w:pStyle w:val="TOC8"/>
        <w:rPr>
          <w:rFonts w:asciiTheme="minorHAnsi" w:eastAsiaTheme="minorEastAsia" w:hAnsiTheme="minorHAnsi" w:cstheme="minorBidi"/>
          <w:szCs w:val="22"/>
        </w:rPr>
      </w:pPr>
      <w:r>
        <w:t>28</w:t>
      </w:r>
      <w:r>
        <w:rPr>
          <w:snapToGrid w:val="0"/>
        </w:rPr>
        <w:t>.</w:t>
      </w:r>
      <w:r>
        <w:rPr>
          <w:snapToGrid w:val="0"/>
        </w:rPr>
        <w:tab/>
        <w:t>Acting Commissioner appointed by Governor</w:t>
      </w:r>
      <w:r>
        <w:tab/>
      </w:r>
      <w:r>
        <w:fldChar w:fldCharType="begin"/>
      </w:r>
      <w:r>
        <w:instrText xml:space="preserve"> PAGEREF _Toc20390059 \h </w:instrText>
      </w:r>
      <w:r>
        <w:fldChar w:fldCharType="separate"/>
      </w:r>
      <w:r>
        <w:t>32</w:t>
      </w:r>
      <w:r>
        <w:fldChar w:fldCharType="end"/>
      </w:r>
    </w:p>
    <w:p>
      <w:pPr>
        <w:pStyle w:val="TOC8"/>
        <w:rPr>
          <w:rFonts w:asciiTheme="minorHAnsi" w:eastAsiaTheme="minorEastAsia" w:hAnsiTheme="minorHAnsi" w:cstheme="minorBidi"/>
          <w:szCs w:val="22"/>
        </w:rPr>
      </w:pPr>
      <w:r>
        <w:t>29A.</w:t>
      </w:r>
      <w:r>
        <w:tab/>
        <w:t>Acting Commissioner appointed by Commissioner</w:t>
      </w:r>
      <w:r>
        <w:tab/>
      </w:r>
      <w:r>
        <w:fldChar w:fldCharType="begin"/>
      </w:r>
      <w:r>
        <w:instrText xml:space="preserve"> PAGEREF _Toc20390060 \h </w:instrText>
      </w:r>
      <w:r>
        <w:fldChar w:fldCharType="separate"/>
      </w:r>
      <w:r>
        <w:t>33</w:t>
      </w:r>
      <w:r>
        <w:fldChar w:fldCharType="end"/>
      </w:r>
    </w:p>
    <w:p>
      <w:pPr>
        <w:pStyle w:val="TOC8"/>
        <w:rPr>
          <w:rFonts w:asciiTheme="minorHAnsi" w:eastAsiaTheme="minorEastAsia" w:hAnsiTheme="minorHAnsi" w:cstheme="minorBidi"/>
          <w:szCs w:val="22"/>
        </w:rPr>
      </w:pPr>
      <w:r>
        <w:t>29B.</w:t>
      </w:r>
      <w:r>
        <w:tab/>
        <w:t>Matters relevant to all acting appointments</w:t>
      </w:r>
      <w:r>
        <w:tab/>
      </w:r>
      <w:r>
        <w:fldChar w:fldCharType="begin"/>
      </w:r>
      <w:r>
        <w:instrText xml:space="preserve"> PAGEREF _Toc20390061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3B — Chief executive officers and chief employees</w:t>
      </w:r>
    </w:p>
    <w:p>
      <w:pPr>
        <w:pStyle w:val="TOC8"/>
        <w:rPr>
          <w:rFonts w:asciiTheme="minorHAnsi" w:eastAsiaTheme="minorEastAsia" w:hAnsiTheme="minorHAnsi" w:cstheme="minorBidi"/>
          <w:szCs w:val="22"/>
        </w:rPr>
      </w:pPr>
      <w:r>
        <w:t>29</w:t>
      </w:r>
      <w:r>
        <w:rPr>
          <w:snapToGrid w:val="0"/>
        </w:rPr>
        <w:t>.</w:t>
      </w:r>
      <w:r>
        <w:rPr>
          <w:snapToGrid w:val="0"/>
        </w:rPr>
        <w:tab/>
        <w:t>Functions of CEOs and chief employees</w:t>
      </w:r>
      <w:r>
        <w:tab/>
      </w:r>
      <w:r>
        <w:fldChar w:fldCharType="begin"/>
      </w:r>
      <w:r>
        <w:instrText xml:space="preserve"> PAGEREF _Toc20390063 \h </w:instrText>
      </w:r>
      <w:r>
        <w:fldChar w:fldCharType="separate"/>
      </w:r>
      <w:r>
        <w:t>35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Duties of CEOs and chief employees when performing functions</w:t>
      </w:r>
      <w:r>
        <w:tab/>
      </w:r>
      <w:r>
        <w:fldChar w:fldCharType="begin"/>
      </w:r>
      <w:r>
        <w:instrText xml:space="preserve"> PAGEREF _Toc20390064 \h </w:instrText>
      </w:r>
      <w:r>
        <w:fldChar w:fldCharType="separate"/>
      </w:r>
      <w:r>
        <w:t>37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Extent of compliance with public sector standards etc. to be reported</w:t>
      </w:r>
      <w:r>
        <w:tab/>
      </w:r>
      <w:r>
        <w:fldChar w:fldCharType="begin"/>
      </w:r>
      <w:r>
        <w:instrText xml:space="preserve"> PAGEREF _Toc20390065 \h </w:instrText>
      </w:r>
      <w:r>
        <w:fldChar w:fldCharType="separate"/>
      </w:r>
      <w:r>
        <w:t>37</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CEOs and chief employees to comply with directions etc. of responsible authority</w:t>
      </w:r>
      <w:r>
        <w:tab/>
      </w:r>
      <w:r>
        <w:fldChar w:fldCharType="begin"/>
      </w:r>
      <w:r>
        <w:instrText xml:space="preserve"> PAGEREF _Toc20390066 \h </w:instrText>
      </w:r>
      <w:r>
        <w:fldChar w:fldCharType="separate"/>
      </w:r>
      <w:r>
        <w:t>38</w:t>
      </w:r>
      <w:r>
        <w:fldChar w:fldCharType="end"/>
      </w:r>
    </w:p>
    <w:p>
      <w:pPr>
        <w:pStyle w:val="TOC8"/>
        <w:rPr>
          <w:rFonts w:asciiTheme="minorHAnsi" w:eastAsiaTheme="minorEastAsia" w:hAnsiTheme="minorHAnsi" w:cstheme="minorBidi"/>
          <w:szCs w:val="22"/>
        </w:rPr>
      </w:pPr>
      <w:r>
        <w:t>33.</w:t>
      </w:r>
      <w:r>
        <w:tab/>
        <w:t>Delegation by CEO or chief employee</w:t>
      </w:r>
      <w:r>
        <w:tab/>
      </w:r>
      <w:r>
        <w:fldChar w:fldCharType="begin"/>
      </w:r>
      <w:r>
        <w:instrText xml:space="preserve"> PAGEREF _Toc20390067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Public Service</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w:t>
      </w:r>
      <w:r>
        <w:rPr>
          <w:snapToGrid w:val="0"/>
        </w:rPr>
        <w:t>.</w:t>
      </w:r>
      <w:r>
        <w:rPr>
          <w:snapToGrid w:val="0"/>
        </w:rPr>
        <w:tab/>
        <w:t>Constitution of Public Service</w:t>
      </w:r>
      <w:r>
        <w:tab/>
      </w:r>
      <w:r>
        <w:fldChar w:fldCharType="begin"/>
      </w:r>
      <w:r>
        <w:instrText xml:space="preserve"> PAGEREF _Toc20390070 \h </w:instrText>
      </w:r>
      <w:r>
        <w:fldChar w:fldCharType="separate"/>
      </w:r>
      <w:r>
        <w:t>41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Departments, establishment etc. of</w:t>
      </w:r>
      <w:r>
        <w:tab/>
      </w:r>
      <w:r>
        <w:fldChar w:fldCharType="begin"/>
      </w:r>
      <w:r>
        <w:instrText xml:space="preserve"> PAGEREF _Toc20390071 \h </w:instrText>
      </w:r>
      <w:r>
        <w:fldChar w:fldCharType="separate"/>
      </w:r>
      <w:r>
        <w:t>41</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Organisational powers of employing authorities of departments etc.</w:t>
      </w:r>
      <w:r>
        <w:tab/>
      </w:r>
      <w:r>
        <w:fldChar w:fldCharType="begin"/>
      </w:r>
      <w:r>
        <w:instrText xml:space="preserve"> PAGEREF _Toc20390072 \h </w:instrText>
      </w:r>
      <w:r>
        <w:fldChar w:fldCharType="separate"/>
      </w:r>
      <w:r>
        <w:t>42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Right of appeal as to remuneration of employees of organisations that become part of Public Service</w:t>
      </w:r>
      <w:r>
        <w:tab/>
      </w:r>
      <w:r>
        <w:fldChar w:fldCharType="begin"/>
      </w:r>
      <w:r>
        <w:instrText xml:space="preserve"> PAGEREF _Toc20390073 \h </w:instrText>
      </w:r>
      <w:r>
        <w:fldChar w:fldCharType="separate"/>
      </w:r>
      <w:r>
        <w:t>42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r>
        <w:tab/>
      </w:r>
      <w:r>
        <w:fldChar w:fldCharType="begin"/>
      </w:r>
      <w:r>
        <w:instrText xml:space="preserve"> PAGEREF _Toc20390074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Retirement of public service officers on grounds of ill health</w:t>
      </w:r>
      <w:r>
        <w:tab/>
      </w:r>
      <w:r>
        <w:fldChar w:fldCharType="begin"/>
      </w:r>
      <w:r>
        <w:instrText xml:space="preserve"> PAGEREF _Toc20390075 \h </w:instrText>
      </w:r>
      <w:r>
        <w:fldChar w:fldCharType="separate"/>
      </w:r>
      <w:r>
        <w:t>43</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Service of notices etc. when address of public service officer unknown</w:t>
      </w:r>
      <w:r>
        <w:tab/>
      </w:r>
      <w:r>
        <w:fldChar w:fldCharType="begin"/>
      </w:r>
      <w:r>
        <w:instrText xml:space="preserve"> PAGEREF _Toc20390076 \h </w:instrText>
      </w:r>
      <w:r>
        <w:fldChar w:fldCharType="separate"/>
      </w:r>
      <w:r>
        <w:t>44</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Public service officers appointed by Governor, exercise of powers as to</w:t>
      </w:r>
      <w:r>
        <w:tab/>
      </w:r>
      <w:r>
        <w:fldChar w:fldCharType="begin"/>
      </w:r>
      <w:r>
        <w:instrText xml:space="preserve"> PAGEREF _Toc20390077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Senior Executive Service</w:t>
      </w:r>
    </w:p>
    <w:p>
      <w:pPr>
        <w:pStyle w:val="TOC8"/>
        <w:rPr>
          <w:rFonts w:asciiTheme="minorHAnsi" w:eastAsiaTheme="minorEastAsia" w:hAnsiTheme="minorHAnsi" w:cstheme="minorBidi"/>
          <w:szCs w:val="22"/>
        </w:rPr>
      </w:pPr>
      <w:r>
        <w:t>42</w:t>
      </w:r>
      <w:r>
        <w:rPr>
          <w:snapToGrid w:val="0"/>
        </w:rPr>
        <w:t>.</w:t>
      </w:r>
      <w:r>
        <w:rPr>
          <w:snapToGrid w:val="0"/>
        </w:rPr>
        <w:tab/>
        <w:t>Purposes of Senior Executive Service</w:t>
      </w:r>
      <w:r>
        <w:tab/>
      </w:r>
      <w:r>
        <w:fldChar w:fldCharType="begin"/>
      </w:r>
      <w:r>
        <w:instrText xml:space="preserve"> PAGEREF _Toc20390079 \h </w:instrText>
      </w:r>
      <w:r>
        <w:fldChar w:fldCharType="separate"/>
      </w:r>
      <w:r>
        <w:t>45</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Constitution of Senior Executive Service</w:t>
      </w:r>
      <w:r>
        <w:tab/>
      </w:r>
      <w:r>
        <w:fldChar w:fldCharType="begin"/>
      </w:r>
      <w:r>
        <w:instrText xml:space="preserve"> PAGEREF _Toc20390080 \h </w:instrText>
      </w:r>
      <w:r>
        <w:fldChar w:fldCharType="separate"/>
      </w:r>
      <w:r>
        <w:t>45</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Agencies each to have CEO or chief employee</w:t>
      </w:r>
      <w:r>
        <w:tab/>
      </w:r>
      <w:r>
        <w:fldChar w:fldCharType="begin"/>
      </w:r>
      <w:r>
        <w:instrText xml:space="preserve"> PAGEREF _Toc20390081 \h </w:instrText>
      </w:r>
      <w:r>
        <w:fldChar w:fldCharType="separate"/>
      </w:r>
      <w:r>
        <w:t>48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CEOs, appointment of</w:t>
      </w:r>
      <w:r>
        <w:tab/>
      </w:r>
      <w:r>
        <w:fldChar w:fldCharType="begin"/>
      </w:r>
      <w:r>
        <w:instrText xml:space="preserve"> PAGEREF _Toc20390082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CEOs, reappointment of on expiry of contract</w:t>
      </w:r>
      <w:r>
        <w:tab/>
      </w:r>
      <w:r>
        <w:fldChar w:fldCharType="begin"/>
      </w:r>
      <w:r>
        <w:instrText xml:space="preserve"> PAGEREF _Toc20390083 \h </w:instrText>
      </w:r>
      <w:r>
        <w:fldChar w:fldCharType="separate"/>
      </w:r>
      <w:r>
        <w:t>51</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CEOs, performance agreements etc. of</w:t>
      </w:r>
      <w:r>
        <w:tab/>
      </w:r>
      <w:r>
        <w:fldChar w:fldCharType="begin"/>
      </w:r>
      <w:r>
        <w:instrText xml:space="preserve"> PAGEREF _Toc20390084 \h </w:instrText>
      </w:r>
      <w:r>
        <w:fldChar w:fldCharType="separate"/>
      </w:r>
      <w:r>
        <w:t>52</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CEOs, removal of from office</w:t>
      </w:r>
      <w:r>
        <w:tab/>
      </w:r>
      <w:r>
        <w:fldChar w:fldCharType="begin"/>
      </w:r>
      <w:r>
        <w:instrText xml:space="preserve"> PAGEREF _Toc20390085 \h </w:instrText>
      </w:r>
      <w:r>
        <w:fldChar w:fldCharType="separate"/>
      </w:r>
      <w:r>
        <w:t>53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CEOs, transfer of</w:t>
      </w:r>
      <w:r>
        <w:tab/>
      </w:r>
      <w:r>
        <w:fldChar w:fldCharType="begin"/>
      </w:r>
      <w:r>
        <w:instrText xml:space="preserve"> PAGEREF _Toc20390086 \h </w:instrText>
      </w:r>
      <w:r>
        <w:fldChar w:fldCharType="separate"/>
      </w:r>
      <w:r>
        <w:t>53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Acting CEOs</w:t>
      </w:r>
      <w:r>
        <w:tab/>
      </w:r>
      <w:r>
        <w:fldChar w:fldCharType="begin"/>
      </w:r>
      <w:r>
        <w:instrText xml:space="preserve"> PAGEREF _Toc20390087 \h </w:instrText>
      </w:r>
      <w:r>
        <w:fldChar w:fldCharType="separate"/>
      </w:r>
      <w:r>
        <w:t>54</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Employment etc. of CEOs cannot be litigated etc.</w:t>
      </w:r>
      <w:r>
        <w:tab/>
      </w:r>
      <w:r>
        <w:fldChar w:fldCharType="begin"/>
      </w:r>
      <w:r>
        <w:instrText xml:space="preserve"> PAGEREF _Toc20390088 \h </w:instrText>
      </w:r>
      <w:r>
        <w:fldChar w:fldCharType="separate"/>
      </w:r>
      <w:r>
        <w:t>55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Senior executive officers, appointment of</w:t>
      </w:r>
      <w:r>
        <w:tab/>
      </w:r>
      <w:r>
        <w:fldChar w:fldCharType="begin"/>
      </w:r>
      <w:r>
        <w:instrText xml:space="preserve"> PAGEREF _Toc20390089 \h </w:instrText>
      </w:r>
      <w:r>
        <w:fldChar w:fldCharType="separate"/>
      </w:r>
      <w:r>
        <w:t>57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Senior executive officers, transfer of</w:t>
      </w:r>
      <w:r>
        <w:tab/>
      </w:r>
      <w:r>
        <w:fldChar w:fldCharType="begin"/>
      </w:r>
      <w:r>
        <w:instrText xml:space="preserve"> PAGEREF _Toc20390090 \h </w:instrText>
      </w:r>
      <w:r>
        <w:fldChar w:fldCharType="separate"/>
      </w:r>
      <w:r>
        <w:t>58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Senior executive officers, performance assessments of</w:t>
      </w:r>
      <w:r>
        <w:tab/>
      </w:r>
      <w:r>
        <w:fldChar w:fldCharType="begin"/>
      </w:r>
      <w:r>
        <w:instrText xml:space="preserve"> PAGEREF _Toc20390091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Executive officers, contracts of employment of</w:t>
      </w:r>
      <w:r>
        <w:tab/>
      </w:r>
      <w:r>
        <w:fldChar w:fldCharType="begin"/>
      </w:r>
      <w:r>
        <w:instrText xml:space="preserve"> PAGEREF _Toc20390092 \h </w:instrText>
      </w:r>
      <w:r>
        <w:fldChar w:fldCharType="separate"/>
      </w:r>
      <w:r>
        <w:t>59</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Contracts of employment of executive officers, content of</w:t>
      </w:r>
      <w:r>
        <w:tab/>
      </w:r>
      <w:r>
        <w:fldChar w:fldCharType="begin"/>
      </w:r>
      <w:r>
        <w:instrText xml:space="preserve"> PAGEREF _Toc20390093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Right of return for certain executive officers</w:t>
      </w:r>
      <w:r>
        <w:tab/>
      </w:r>
      <w:r>
        <w:fldChar w:fldCharType="begin"/>
      </w:r>
      <w:r>
        <w:instrText xml:space="preserve"> PAGEREF _Toc20390094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Compensation etc. if executive officer has no right of return</w:t>
      </w:r>
      <w:r>
        <w:tab/>
      </w:r>
      <w:r>
        <w:fldChar w:fldCharType="begin"/>
      </w:r>
      <w:r>
        <w:instrText xml:space="preserve"> PAGEREF _Toc20390095 \h </w:instrText>
      </w:r>
      <w:r>
        <w:fldChar w:fldCharType="separate"/>
      </w:r>
      <w:r>
        <w:t>63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Election to take compensation instead of right of return</w:t>
      </w:r>
      <w:r>
        <w:tab/>
      </w:r>
      <w:r>
        <w:fldChar w:fldCharType="begin"/>
      </w:r>
      <w:r>
        <w:instrText xml:space="preserve"> PAGEREF _Toc20390096 \h </w:instrText>
      </w:r>
      <w:r>
        <w:fldChar w:fldCharType="separate"/>
      </w:r>
      <w:r>
        <w:t>64</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Executive officers, secondment of</w:t>
      </w:r>
      <w:r>
        <w:tab/>
      </w:r>
      <w:r>
        <w:fldChar w:fldCharType="begin"/>
      </w:r>
      <w:r>
        <w:instrText xml:space="preserve"> PAGEREF _Toc20390097 \h </w:instrText>
      </w:r>
      <w:r>
        <w:fldChar w:fldCharType="separate"/>
      </w:r>
      <w:r>
        <w:t>64</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When executive officer ceases to be in Senior Executive Service</w:t>
      </w:r>
      <w:r>
        <w:tab/>
      </w:r>
      <w:r>
        <w:fldChar w:fldCharType="begin"/>
      </w:r>
      <w:r>
        <w:instrText xml:space="preserve"> PAGEREF _Toc20390098 \h </w:instrText>
      </w:r>
      <w:r>
        <w:fldChar w:fldCharType="separate"/>
      </w:r>
      <w:r>
        <w:t>65</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Vacation of office of executive officer</w:t>
      </w:r>
      <w:r>
        <w:tab/>
      </w:r>
      <w:r>
        <w:fldChar w:fldCharType="begin"/>
      </w:r>
      <w:r>
        <w:instrText xml:space="preserve"> PAGEREF _Toc20390099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Public service officers other than executive officers</w:t>
      </w:r>
    </w:p>
    <w:p>
      <w:pPr>
        <w:pStyle w:val="TOC8"/>
        <w:rPr>
          <w:rFonts w:asciiTheme="minorHAnsi" w:eastAsiaTheme="minorEastAsia" w:hAnsiTheme="minorHAnsi" w:cstheme="minorBidi"/>
          <w:szCs w:val="22"/>
        </w:rPr>
      </w:pPr>
      <w:r>
        <w:t>64</w:t>
      </w:r>
      <w:r>
        <w:rPr>
          <w:snapToGrid w:val="0"/>
        </w:rPr>
        <w:t>.</w:t>
      </w:r>
      <w:r>
        <w:rPr>
          <w:snapToGrid w:val="0"/>
        </w:rPr>
        <w:tab/>
        <w:t>Appointing officers</w:t>
      </w:r>
      <w:r>
        <w:tab/>
      </w:r>
      <w:r>
        <w:fldChar w:fldCharType="begin"/>
      </w:r>
      <w:r>
        <w:instrText xml:space="preserve"> PAGEREF _Toc20390101 \h </w:instrText>
      </w:r>
      <w:r>
        <w:fldChar w:fldCharType="separate"/>
      </w:r>
      <w:r>
        <w:t>66</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Transferring officers within and between departments etc.</w:t>
      </w:r>
      <w:r>
        <w:tab/>
      </w:r>
      <w:r>
        <w:fldChar w:fldCharType="begin"/>
      </w:r>
      <w:r>
        <w:instrText xml:space="preserve"> PAGEREF _Toc20390102 \h </w:instrText>
      </w:r>
      <w:r>
        <w:fldChar w:fldCharType="separate"/>
      </w:r>
      <w:r>
        <w:t>68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Seconding officers from departments or organisations</w:t>
      </w:r>
      <w:r>
        <w:tab/>
      </w:r>
      <w:r>
        <w:fldChar w:fldCharType="begin"/>
      </w:r>
      <w:r>
        <w:instrText xml:space="preserve"> PAGEREF _Toc20390103 \h </w:instrText>
      </w:r>
      <w:r>
        <w:fldChar w:fldCharType="separate"/>
      </w:r>
      <w:r>
        <w:t>69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Vacation of offices</w:t>
      </w:r>
      <w:r>
        <w:tab/>
      </w:r>
      <w:r>
        <w:fldChar w:fldCharType="begin"/>
      </w:r>
      <w:r>
        <w:instrText xml:space="preserve"> PAGEREF _Toc20390104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Assistance for political office holders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Ministerial officers</w:t>
      </w:r>
    </w:p>
    <w:p>
      <w:pPr>
        <w:pStyle w:val="TOC8"/>
        <w:rPr>
          <w:rFonts w:asciiTheme="minorHAnsi" w:eastAsiaTheme="minorEastAsia" w:hAnsiTheme="minorHAnsi" w:cstheme="minorBidi"/>
          <w:szCs w:val="22"/>
        </w:rPr>
      </w:pPr>
      <w:r>
        <w:t>68</w:t>
      </w:r>
      <w:r>
        <w:rPr>
          <w:snapToGrid w:val="0"/>
        </w:rPr>
        <w:t>.</w:t>
      </w:r>
      <w:r>
        <w:rPr>
          <w:snapToGrid w:val="0"/>
        </w:rPr>
        <w:tab/>
        <w:t>Employing ministerial officers</w:t>
      </w:r>
      <w:r>
        <w:tab/>
      </w:r>
      <w:r>
        <w:fldChar w:fldCharType="begin"/>
      </w:r>
      <w:r>
        <w:instrText xml:space="preserve"> PAGEREF _Toc20390107 \h </w:instrText>
      </w:r>
      <w:r>
        <w:fldChar w:fldCharType="separate"/>
      </w:r>
      <w:r>
        <w:t>70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Functions of ministerial officers</w:t>
      </w:r>
      <w:r>
        <w:tab/>
      </w:r>
      <w:r>
        <w:fldChar w:fldCharType="begin"/>
      </w:r>
      <w:r>
        <w:instrText xml:space="preserve"> PAGEREF _Toc20390108 \h </w:instrText>
      </w:r>
      <w:r>
        <w:fldChar w:fldCharType="separate"/>
      </w:r>
      <w:r>
        <w:t>70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Terms and conditions of employment</w:t>
      </w:r>
      <w:r>
        <w:tab/>
      </w:r>
      <w:r>
        <w:fldChar w:fldCharType="begin"/>
      </w:r>
      <w:r>
        <w:instrText xml:space="preserve"> PAGEREF _Toc20390109 \h </w:instrText>
      </w:r>
      <w:r>
        <w:fldChar w:fldCharType="separate"/>
      </w:r>
      <w:r>
        <w:t>70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Varying contract of employment</w:t>
      </w:r>
      <w:r>
        <w:tab/>
      </w:r>
      <w:r>
        <w:fldChar w:fldCharType="begin"/>
      </w:r>
      <w:r>
        <w:instrText xml:space="preserve"> PAGEREF _Toc20390110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Termination of employment</w:t>
      </w:r>
      <w:r>
        <w:tab/>
      </w:r>
      <w:r>
        <w:fldChar w:fldCharType="begin"/>
      </w:r>
      <w:r>
        <w:instrText xml:space="preserve"> PAGEREF _Toc20390111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Restriction on subsequent employment in departments etc.</w:t>
      </w:r>
      <w:r>
        <w:tab/>
      </w:r>
      <w:r>
        <w:fldChar w:fldCharType="begin"/>
      </w:r>
      <w:r>
        <w:instrText xml:space="preserve"> PAGEREF _Toc20390112 \h </w:instrText>
      </w:r>
      <w:r>
        <w:fldChar w:fldCharType="separate"/>
      </w:r>
      <w:r>
        <w:t>73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Relationship between ministerial officers etc. and employees of departments etc.</w:t>
      </w:r>
      <w:r>
        <w:tab/>
      </w:r>
      <w:r>
        <w:fldChar w:fldCharType="begin"/>
      </w:r>
      <w:r>
        <w:instrText xml:space="preserve"> PAGEREF _Toc20390113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Assistance by permanent officers and seconded employees</w:t>
      </w:r>
    </w:p>
    <w:p>
      <w:pPr>
        <w:pStyle w:val="TOC8"/>
        <w:rPr>
          <w:rFonts w:asciiTheme="minorHAnsi" w:eastAsiaTheme="minorEastAsia" w:hAnsiTheme="minorHAnsi" w:cstheme="minorBidi"/>
          <w:szCs w:val="22"/>
        </w:rPr>
      </w:pPr>
      <w:r>
        <w:t>75</w:t>
      </w:r>
      <w:r>
        <w:rPr>
          <w:snapToGrid w:val="0"/>
        </w:rPr>
        <w:t>.</w:t>
      </w:r>
      <w:r>
        <w:rPr>
          <w:snapToGrid w:val="0"/>
        </w:rPr>
        <w:tab/>
        <w:t>Special offices to assist Ministers etc.</w:t>
      </w:r>
      <w:r>
        <w:tab/>
      </w:r>
      <w:r>
        <w:fldChar w:fldCharType="begin"/>
      </w:r>
      <w:r>
        <w:instrText xml:space="preserve"> PAGEREF _Toc20390115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5 — Substandard performance and disciplinary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76</w:t>
      </w:r>
      <w:r>
        <w:rPr>
          <w:snapToGrid w:val="0"/>
        </w:rPr>
        <w:t>.</w:t>
      </w:r>
      <w:r>
        <w:rPr>
          <w:snapToGrid w:val="0"/>
        </w:rPr>
        <w:tab/>
        <w:t>Application and effect of Part 5</w:t>
      </w:r>
      <w:r>
        <w:tab/>
      </w:r>
      <w:r>
        <w:fldChar w:fldCharType="begin"/>
      </w:r>
      <w:r>
        <w:instrText xml:space="preserve"> PAGEREF _Toc20390118 \h </w:instrText>
      </w:r>
      <w:r>
        <w:fldChar w:fldCharType="separate"/>
      </w:r>
      <w:r>
        <w:t>76</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Employees appointed by Governor, exercise of powers as to</w:t>
      </w:r>
      <w:r>
        <w:tab/>
      </w:r>
      <w:r>
        <w:fldChar w:fldCharType="begin"/>
      </w:r>
      <w:r>
        <w:instrText xml:space="preserve"> PAGEREF _Toc20390119 \h </w:instrText>
      </w:r>
      <w:r>
        <w:fldChar w:fldCharType="separate"/>
      </w:r>
      <w:r>
        <w:t>77</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Appeals etc. against some decisions under s. 79, 82A, 82, 87, 88 or 92</w:t>
      </w:r>
      <w:r>
        <w:tab/>
      </w:r>
      <w:r>
        <w:fldChar w:fldCharType="begin"/>
      </w:r>
      <w:r>
        <w:instrText xml:space="preserve"> PAGEREF _Toc20390120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Substandard performance</w:t>
      </w:r>
    </w:p>
    <w:p>
      <w:pPr>
        <w:pStyle w:val="TOC8"/>
        <w:rPr>
          <w:rFonts w:asciiTheme="minorHAnsi" w:eastAsiaTheme="minorEastAsia" w:hAnsiTheme="minorHAnsi" w:cstheme="minorBidi"/>
          <w:szCs w:val="22"/>
        </w:rPr>
      </w:pPr>
      <w:r>
        <w:t>79</w:t>
      </w:r>
      <w:r>
        <w:rPr>
          <w:snapToGrid w:val="0"/>
        </w:rPr>
        <w:t>.</w:t>
      </w:r>
      <w:r>
        <w:rPr>
          <w:snapToGrid w:val="0"/>
        </w:rPr>
        <w:tab/>
        <w:t>Substandard performance, definition of and powers as to</w:t>
      </w:r>
      <w:r>
        <w:tab/>
      </w:r>
      <w:r>
        <w:fldChar w:fldCharType="begin"/>
      </w:r>
      <w:r>
        <w:instrText xml:space="preserve"> PAGEREF _Toc20390122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Disciplinary matters</w:t>
      </w:r>
    </w:p>
    <w:p>
      <w:pPr>
        <w:pStyle w:val="TOC8"/>
        <w:rPr>
          <w:rFonts w:asciiTheme="minorHAnsi" w:eastAsiaTheme="minorEastAsia" w:hAnsiTheme="minorHAnsi" w:cstheme="minorBidi"/>
          <w:szCs w:val="22"/>
        </w:rPr>
      </w:pPr>
      <w:r>
        <w:t>80A.</w:t>
      </w:r>
      <w:r>
        <w:tab/>
        <w:t>Terms used</w:t>
      </w:r>
      <w:r>
        <w:tab/>
      </w:r>
      <w:r>
        <w:fldChar w:fldCharType="begin"/>
      </w:r>
      <w:r>
        <w:instrText xml:space="preserve"> PAGEREF _Toc20390124 \h </w:instrText>
      </w:r>
      <w:r>
        <w:fldChar w:fldCharType="separate"/>
      </w:r>
      <w:r>
        <w:t>82</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Breaches of discipline, defined</w:t>
      </w:r>
      <w:r>
        <w:tab/>
      </w:r>
      <w:r>
        <w:fldChar w:fldCharType="begin"/>
      </w:r>
      <w:r>
        <w:instrText xml:space="preserve"> PAGEREF _Toc20390125 \h </w:instrText>
      </w:r>
      <w:r>
        <w:fldChar w:fldCharType="separate"/>
      </w:r>
      <w:r>
        <w:t>83</w:t>
      </w:r>
      <w:r>
        <w:fldChar w:fldCharType="end"/>
      </w:r>
    </w:p>
    <w:p>
      <w:pPr>
        <w:pStyle w:val="TOC8"/>
        <w:rPr>
          <w:rFonts w:asciiTheme="minorHAnsi" w:eastAsiaTheme="minorEastAsia" w:hAnsiTheme="minorHAnsi" w:cstheme="minorBidi"/>
          <w:szCs w:val="22"/>
        </w:rPr>
      </w:pPr>
      <w:r>
        <w:t>81.</w:t>
      </w:r>
      <w:r>
        <w:tab/>
        <w:t>Suspected breach of discipline, employing authority’s options as to</w:t>
      </w:r>
      <w:r>
        <w:tab/>
      </w:r>
      <w:r>
        <w:fldChar w:fldCharType="begin"/>
      </w:r>
      <w:r>
        <w:instrText xml:space="preserve"> PAGEREF _Toc20390126 \h </w:instrText>
      </w:r>
      <w:r>
        <w:fldChar w:fldCharType="separate"/>
      </w:r>
      <w:r>
        <w:t>84</w:t>
      </w:r>
      <w:r>
        <w:fldChar w:fldCharType="end"/>
      </w:r>
    </w:p>
    <w:p>
      <w:pPr>
        <w:pStyle w:val="TOC8"/>
        <w:rPr>
          <w:rFonts w:asciiTheme="minorHAnsi" w:eastAsiaTheme="minorEastAsia" w:hAnsiTheme="minorHAnsi" w:cstheme="minorBidi"/>
          <w:szCs w:val="22"/>
        </w:rPr>
      </w:pPr>
      <w:r>
        <w:t>82A.</w:t>
      </w:r>
      <w:r>
        <w:tab/>
        <w:t>Disciplinary matters, dealing with</w:t>
      </w:r>
      <w:r>
        <w:tab/>
      </w:r>
      <w:r>
        <w:fldChar w:fldCharType="begin"/>
      </w:r>
      <w:r>
        <w:instrText xml:space="preserve"> PAGEREF _Toc20390127 \h </w:instrText>
      </w:r>
      <w:r>
        <w:fldChar w:fldCharType="separate"/>
      </w:r>
      <w:r>
        <w:t>85</w:t>
      </w:r>
      <w:r>
        <w:fldChar w:fldCharType="end"/>
      </w:r>
    </w:p>
    <w:p>
      <w:pPr>
        <w:pStyle w:val="TOC8"/>
        <w:rPr>
          <w:rFonts w:asciiTheme="minorHAnsi" w:eastAsiaTheme="minorEastAsia" w:hAnsiTheme="minorHAnsi" w:cstheme="minorBidi"/>
          <w:szCs w:val="22"/>
        </w:rPr>
      </w:pPr>
      <w:r>
        <w:t>82.</w:t>
      </w:r>
      <w:r>
        <w:tab/>
        <w:t>Suspending employee pending decision on breach of discipline or criminal charge</w:t>
      </w:r>
      <w:r>
        <w:tab/>
      </w:r>
      <w:r>
        <w:fldChar w:fldCharType="begin"/>
      </w:r>
      <w:r>
        <w:instrText xml:space="preserve"> PAGEREF _Toc20390128 \h </w:instrText>
      </w:r>
      <w:r>
        <w:fldChar w:fldCharType="separate"/>
      </w:r>
      <w:r>
        <w:t>86</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Special disciplinary inquiries</w:t>
      </w:r>
      <w:r>
        <w:tab/>
      </w:r>
      <w:r>
        <w:fldChar w:fldCharType="begin"/>
      </w:r>
      <w:r>
        <w:instrText xml:space="preserve"> PAGEREF _Toc20390129 \h </w:instrText>
      </w:r>
      <w:r>
        <w:fldChar w:fldCharType="separate"/>
      </w:r>
      <w:r>
        <w:t>87</w:t>
      </w:r>
      <w:r>
        <w:fldChar w:fldCharType="end"/>
      </w:r>
    </w:p>
    <w:p>
      <w:pPr>
        <w:pStyle w:val="TOC8"/>
        <w:rPr>
          <w:rFonts w:asciiTheme="minorHAnsi" w:eastAsiaTheme="minorEastAsia" w:hAnsiTheme="minorHAnsi" w:cstheme="minorBidi"/>
          <w:szCs w:val="22"/>
        </w:rPr>
      </w:pPr>
      <w:r>
        <w:t>88.</w:t>
      </w:r>
      <w:r>
        <w:tab/>
        <w:t>Report of special disciplinary inquiry, consequences of</w:t>
      </w:r>
      <w:r>
        <w:tab/>
      </w:r>
      <w:r>
        <w:fldChar w:fldCharType="begin"/>
      </w:r>
      <w:r>
        <w:instrText xml:space="preserve"> PAGEREF _Toc20390130 \h </w:instrText>
      </w:r>
      <w:r>
        <w:fldChar w:fldCharType="separate"/>
      </w:r>
      <w:r>
        <w:t>89</w:t>
      </w:r>
      <w:r>
        <w:fldChar w:fldCharType="end"/>
      </w:r>
    </w:p>
    <w:p>
      <w:pPr>
        <w:pStyle w:val="TOC8"/>
        <w:rPr>
          <w:rFonts w:asciiTheme="minorHAnsi" w:eastAsiaTheme="minorEastAsia" w:hAnsiTheme="minorHAnsi" w:cstheme="minorBidi"/>
          <w:szCs w:val="22"/>
        </w:rPr>
      </w:pPr>
      <w:r>
        <w:t>89.</w:t>
      </w:r>
      <w:r>
        <w:tab/>
        <w:t>Dismissal of CEO for breach of discipline</w:t>
      </w:r>
      <w:r>
        <w:tab/>
      </w:r>
      <w:r>
        <w:fldChar w:fldCharType="begin"/>
      </w:r>
      <w:r>
        <w:instrText xml:space="preserve"> PAGEREF _Toc20390131 \h </w:instrText>
      </w:r>
      <w:r>
        <w:fldChar w:fldCharType="separate"/>
      </w:r>
      <w:r>
        <w:t>89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Employing authority to notify employee of outcome of disciplinary matter</w:t>
      </w:r>
      <w:r>
        <w:tab/>
      </w:r>
      <w:r>
        <w:fldChar w:fldCharType="begin"/>
      </w:r>
      <w:r>
        <w:instrText xml:space="preserve"> PAGEREF _Toc20390132 \h </w:instrText>
      </w:r>
      <w:r>
        <w:fldChar w:fldCharType="separate"/>
      </w:r>
      <w:r>
        <w:t>90</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Fines, payment and recovery of</w:t>
      </w:r>
      <w:r>
        <w:tab/>
      </w:r>
      <w:r>
        <w:fldChar w:fldCharType="begin"/>
      </w:r>
      <w:r>
        <w:instrText xml:space="preserve"> PAGEREF _Toc20390133 \h </w:instrText>
      </w:r>
      <w:r>
        <w:fldChar w:fldCharType="separate"/>
      </w:r>
      <w:r>
        <w:t>90</w:t>
      </w:r>
      <w:r>
        <w:fldChar w:fldCharType="end"/>
      </w:r>
    </w:p>
    <w:p>
      <w:pPr>
        <w:pStyle w:val="TOC8"/>
        <w:rPr>
          <w:rFonts w:asciiTheme="minorHAnsi" w:eastAsiaTheme="minorEastAsia" w:hAnsiTheme="minorHAnsi" w:cstheme="minorBidi"/>
          <w:szCs w:val="22"/>
        </w:rPr>
      </w:pPr>
      <w:r>
        <w:t>92.</w:t>
      </w:r>
      <w:r>
        <w:tab/>
        <w:t>Employee convicted of serious offence, powers as to</w:t>
      </w:r>
      <w:r>
        <w:tab/>
      </w:r>
      <w:r>
        <w:fldChar w:fldCharType="begin"/>
      </w:r>
      <w:r>
        <w:instrText xml:space="preserve"> PAGEREF _Toc20390134 \h </w:instrText>
      </w:r>
      <w:r>
        <w:fldChar w:fldCharType="separate"/>
      </w:r>
      <w:r>
        <w:t>91</w:t>
      </w:r>
      <w:r>
        <w:fldChar w:fldCharType="end"/>
      </w:r>
    </w:p>
    <w:p>
      <w:pPr>
        <w:pStyle w:val="TOC8"/>
        <w:rPr>
          <w:rFonts w:asciiTheme="minorHAnsi" w:eastAsiaTheme="minorEastAsia" w:hAnsiTheme="minorHAnsi" w:cstheme="minorBidi"/>
          <w:szCs w:val="22"/>
        </w:rPr>
      </w:pPr>
      <w:r>
        <w:t>93A.</w:t>
      </w:r>
      <w:r>
        <w:tab/>
        <w:t>Disciplinary action etc., when it can be taken</w:t>
      </w:r>
      <w:r>
        <w:tab/>
      </w:r>
      <w:r>
        <w:fldChar w:fldCharType="begin"/>
      </w:r>
      <w:r>
        <w:instrText xml:space="preserve"> PAGEREF _Toc20390135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6 — Redeployment and redundancy of employees</w:t>
      </w:r>
    </w:p>
    <w:p>
      <w:pPr>
        <w:pStyle w:val="TOC8"/>
        <w:rPr>
          <w:rFonts w:asciiTheme="minorHAnsi" w:eastAsiaTheme="minorEastAsia" w:hAnsiTheme="minorHAnsi" w:cstheme="minorBidi"/>
          <w:szCs w:val="22"/>
        </w:rPr>
      </w:pPr>
      <w:r>
        <w:t>93</w:t>
      </w:r>
      <w:r>
        <w:rPr>
          <w:snapToGrid w:val="0"/>
        </w:rPr>
        <w:t>.</w:t>
      </w:r>
      <w:r>
        <w:rPr>
          <w:snapToGrid w:val="0"/>
        </w:rPr>
        <w:tab/>
        <w:t>Functions of some employing authorities under s. 94 regulations, performance of</w:t>
      </w:r>
      <w:r>
        <w:tab/>
      </w:r>
      <w:r>
        <w:fldChar w:fldCharType="begin"/>
      </w:r>
      <w:r>
        <w:instrText xml:space="preserve"> PAGEREF _Toc20390137 \h </w:instrText>
      </w:r>
      <w:r>
        <w:fldChar w:fldCharType="separate"/>
      </w:r>
      <w:r>
        <w:t>92</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concerning redeployment and redundancy</w:t>
      </w:r>
      <w:r>
        <w:tab/>
      </w:r>
      <w:r>
        <w:fldChar w:fldCharType="begin"/>
      </w:r>
      <w:r>
        <w:instrText xml:space="preserve"> PAGEREF _Toc20390138 \h </w:instrText>
      </w:r>
      <w:r>
        <w:fldChar w:fldCharType="separate"/>
      </w:r>
      <w:r>
        <w:t>92</w:t>
      </w:r>
      <w:r>
        <w:fldChar w:fldCharType="end"/>
      </w:r>
    </w:p>
    <w:p>
      <w:pPr>
        <w:pStyle w:val="TOC8"/>
        <w:rPr>
          <w:rFonts w:asciiTheme="minorHAnsi" w:eastAsiaTheme="minorEastAsia" w:hAnsiTheme="minorHAnsi" w:cstheme="minorBidi"/>
          <w:szCs w:val="22"/>
        </w:rPr>
      </w:pPr>
      <w:r>
        <w:t>95A.</w:t>
      </w:r>
      <w:r>
        <w:tab/>
        <w:t>Termination of employment of registered employees</w:t>
      </w:r>
      <w:r>
        <w:tab/>
      </w:r>
      <w:r>
        <w:fldChar w:fldCharType="begin"/>
      </w:r>
      <w:r>
        <w:instrText xml:space="preserve"> PAGEREF _Toc20390139 \h </w:instrText>
      </w:r>
      <w:r>
        <w:fldChar w:fldCharType="separate"/>
      </w:r>
      <w:r>
        <w:t>96</w:t>
      </w:r>
      <w:r>
        <w:fldChar w:fldCharType="end"/>
      </w:r>
    </w:p>
    <w:p>
      <w:pPr>
        <w:pStyle w:val="TOC8"/>
        <w:rPr>
          <w:rFonts w:asciiTheme="minorHAnsi" w:eastAsiaTheme="minorEastAsia" w:hAnsiTheme="minorHAnsi" w:cstheme="minorBidi"/>
          <w:szCs w:val="22"/>
        </w:rPr>
      </w:pPr>
      <w:r>
        <w:t>95B.</w:t>
      </w:r>
      <w:r>
        <w:tab/>
        <w:t>Inconsistent provisions, instruments and contracts</w:t>
      </w:r>
      <w:r>
        <w:tab/>
      </w:r>
      <w:r>
        <w:fldChar w:fldCharType="begin"/>
      </w:r>
      <w:r>
        <w:instrText xml:space="preserve"> PAGEREF _Toc20390140 \h </w:instrText>
      </w:r>
      <w:r>
        <w:fldChar w:fldCharType="separate"/>
      </w:r>
      <w:r>
        <w:t>96</w:t>
      </w:r>
      <w:r>
        <w:fldChar w:fldCharType="end"/>
      </w:r>
    </w:p>
    <w:p>
      <w:pPr>
        <w:pStyle w:val="TOC8"/>
        <w:rPr>
          <w:rFonts w:asciiTheme="minorHAnsi" w:eastAsiaTheme="minorEastAsia" w:hAnsiTheme="minorHAnsi" w:cstheme="minorBidi"/>
          <w:szCs w:val="22"/>
        </w:rPr>
      </w:pPr>
      <w:r>
        <w:t>95.</w:t>
      </w:r>
      <w:r>
        <w:tab/>
        <w:t>Jurisdiction of Industrial Commission in relation to section 94 decision</w:t>
      </w:r>
      <w:r>
        <w:tab/>
      </w:r>
      <w:r>
        <w:fldChar w:fldCharType="begin"/>
      </w:r>
      <w:r>
        <w:instrText xml:space="preserve"> PAGEREF _Toc20390141 \h </w:instrText>
      </w:r>
      <w:r>
        <w:fldChar w:fldCharType="separate"/>
      </w:r>
      <w:r>
        <w:t>97</w:t>
      </w:r>
      <w:r>
        <w:fldChar w:fldCharType="end"/>
      </w:r>
    </w:p>
    <w:p>
      <w:pPr>
        <w:pStyle w:val="TOC8"/>
        <w:rPr>
          <w:rFonts w:asciiTheme="minorHAnsi" w:eastAsiaTheme="minorEastAsia" w:hAnsiTheme="minorHAnsi" w:cstheme="minorBidi"/>
          <w:szCs w:val="22"/>
        </w:rPr>
      </w:pPr>
      <w:r>
        <w:t>96A.</w:t>
      </w:r>
      <w:r>
        <w:tab/>
        <w:t>Jurisdiction of Industrial Commission in relation to section 95A decision</w:t>
      </w:r>
      <w:r>
        <w:tab/>
      </w:r>
      <w:r>
        <w:fldChar w:fldCharType="begin"/>
      </w:r>
      <w:r>
        <w:instrText xml:space="preserve"> PAGEREF _Toc20390142 \h </w:instrText>
      </w:r>
      <w:r>
        <w:fldChar w:fldCharType="separate"/>
      </w:r>
      <w:r>
        <w:t>98</w:t>
      </w:r>
      <w:r>
        <w:fldChar w:fldCharType="end"/>
      </w:r>
    </w:p>
    <w:p>
      <w:pPr>
        <w:pStyle w:val="TOC8"/>
        <w:rPr>
          <w:rFonts w:asciiTheme="minorHAnsi" w:eastAsiaTheme="minorEastAsia" w:hAnsiTheme="minorHAnsi" w:cstheme="minorBidi"/>
          <w:szCs w:val="22"/>
        </w:rPr>
      </w:pPr>
      <w:r>
        <w:t>96B</w:t>
      </w:r>
      <w:r>
        <w:rPr>
          <w:rFonts w:eastAsiaTheme="majorEastAsia"/>
        </w:rPr>
        <w:t>.</w:t>
      </w:r>
      <w:r>
        <w:rPr>
          <w:rFonts w:eastAsiaTheme="majorEastAsia"/>
        </w:rPr>
        <w:tab/>
        <w:t>Review of this Part</w:t>
      </w:r>
      <w:r>
        <w:tab/>
      </w:r>
      <w:r>
        <w:fldChar w:fldCharType="begin"/>
      </w:r>
      <w:r>
        <w:instrText xml:space="preserve"> PAGEREF _Toc20390143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Procedures for seeking relief in respect of breach of public sector standards</w:t>
      </w:r>
    </w:p>
    <w:p>
      <w:pPr>
        <w:pStyle w:val="TOC8"/>
        <w:rPr>
          <w:rFonts w:asciiTheme="minorHAnsi" w:eastAsiaTheme="minorEastAsia" w:hAnsiTheme="minorHAnsi" w:cstheme="minorBidi"/>
          <w:szCs w:val="22"/>
        </w:rPr>
      </w:pPr>
      <w:r>
        <w:t>96</w:t>
      </w:r>
      <w:r>
        <w:rPr>
          <w:snapToGrid w:val="0"/>
        </w:rPr>
        <w:t>.</w:t>
      </w:r>
      <w:r>
        <w:rPr>
          <w:snapToGrid w:val="0"/>
        </w:rPr>
        <w:tab/>
        <w:t>Application of Part 7</w:t>
      </w:r>
      <w:r>
        <w:tab/>
      </w:r>
      <w:r>
        <w:fldChar w:fldCharType="begin"/>
      </w:r>
      <w:r>
        <w:instrText xml:space="preserve"> PAGEREF _Toc20390145 \h </w:instrText>
      </w:r>
      <w:r>
        <w:fldChar w:fldCharType="separate"/>
      </w:r>
      <w:r>
        <w:t>100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Commissioner’s functions under Part 7</w:t>
      </w:r>
      <w:r>
        <w:tab/>
      </w:r>
      <w:r>
        <w:fldChar w:fldCharType="begin"/>
      </w:r>
      <w:r>
        <w:instrText xml:space="preserve"> PAGEREF _Toc20390146 \h </w:instrText>
      </w:r>
      <w:r>
        <w:fldChar w:fldCharType="separate"/>
      </w:r>
      <w:r>
        <w:t>100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Regulations as to procedure for seeking relief etc.</w:t>
      </w:r>
      <w:r>
        <w:tab/>
      </w:r>
      <w:r>
        <w:fldChar w:fldCharType="begin"/>
      </w:r>
      <w:r>
        <w:instrText xml:space="preserve"> PAGEREF _Toc20390147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100</w:t>
      </w:r>
      <w:r>
        <w:rPr>
          <w:snapToGrid w:val="0"/>
        </w:rPr>
        <w:t>.</w:t>
      </w:r>
      <w:r>
        <w:rPr>
          <w:snapToGrid w:val="0"/>
        </w:rPr>
        <w:tab/>
        <w:t>Engaging people by contracts for services and casual employees, powers for</w:t>
      </w:r>
      <w:r>
        <w:tab/>
      </w:r>
      <w:r>
        <w:fldChar w:fldCharType="begin"/>
      </w:r>
      <w:r>
        <w:instrText xml:space="preserve"> PAGEREF _Toc20390149 \h </w:instrText>
      </w:r>
      <w:r>
        <w:fldChar w:fldCharType="separate"/>
      </w:r>
      <w:r>
        <w:t>102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Restriction on compensation for early termination of employment</w:t>
      </w:r>
      <w:r>
        <w:tab/>
      </w:r>
      <w:r>
        <w:fldChar w:fldCharType="begin"/>
      </w:r>
      <w:r>
        <w:instrText xml:space="preserve"> PAGEREF _Toc20390150 \h </w:instrText>
      </w:r>
      <w:r>
        <w:fldChar w:fldCharType="separate"/>
      </w:r>
      <w:r>
        <w:t>103</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Employees not to be employed outside Government etc. without permission</w:t>
      </w:r>
      <w:r>
        <w:tab/>
      </w:r>
      <w:r>
        <w:fldChar w:fldCharType="begin"/>
      </w:r>
      <w:r>
        <w:instrText xml:space="preserve"> PAGEREF _Toc20390151 \h </w:instrText>
      </w:r>
      <w:r>
        <w:fldChar w:fldCharType="separate"/>
      </w:r>
      <w:r>
        <w:t>103</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Unsuccessful electoral candidates, reappointment of</w:t>
      </w:r>
      <w:r>
        <w:tab/>
      </w:r>
      <w:r>
        <w:fldChar w:fldCharType="begin"/>
      </w:r>
      <w:r>
        <w:instrText xml:space="preserve"> PAGEREF _Toc20390152 \h </w:instrText>
      </w:r>
      <w:r>
        <w:fldChar w:fldCharType="separate"/>
      </w:r>
      <w:r>
        <w:t>105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Time between resignation and reappointment not to count as service</w:t>
      </w:r>
      <w:r>
        <w:tab/>
      </w:r>
      <w:r>
        <w:fldChar w:fldCharType="begin"/>
      </w:r>
      <w:r>
        <w:instrText xml:space="preserve"> PAGEREF _Toc20390153 \h </w:instrText>
      </w:r>
      <w:r>
        <w:fldChar w:fldCharType="separate"/>
      </w:r>
      <w:r>
        <w:t>106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Members of Parliament etc. not to contact employing authorities etc. about some appointments</w:t>
      </w:r>
      <w:r>
        <w:tab/>
      </w:r>
      <w:r>
        <w:fldChar w:fldCharType="begin"/>
      </w:r>
      <w:r>
        <w:instrText xml:space="preserve"> PAGEREF _Toc20390154 \h </w:instrText>
      </w:r>
      <w:r>
        <w:fldChar w:fldCharType="separate"/>
      </w:r>
      <w:r>
        <w:t>106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Protection from personal liability</w:t>
      </w:r>
      <w:r>
        <w:tab/>
      </w:r>
      <w:r>
        <w:fldChar w:fldCharType="begin"/>
      </w:r>
      <w:r>
        <w:instrText xml:space="preserve"> PAGEREF _Toc20390155 \h </w:instrText>
      </w:r>
      <w:r>
        <w:fldChar w:fldCharType="separate"/>
      </w:r>
      <w:r>
        <w:t>108</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Vacancy etc. in office etc., directing people to act in case of</w:t>
      </w:r>
      <w:r>
        <w:tab/>
      </w:r>
      <w:r>
        <w:fldChar w:fldCharType="begin"/>
      </w:r>
      <w:r>
        <w:instrText xml:space="preserve"> PAGEREF _Toc20390156 \h </w:instrText>
      </w:r>
      <w:r>
        <w:fldChar w:fldCharType="separate"/>
      </w:r>
      <w:r>
        <w:t>108</w:t>
      </w:r>
      <w:r>
        <w:fldChar w:fldCharType="end"/>
      </w:r>
    </w:p>
    <w:p>
      <w:pPr>
        <w:pStyle w:val="TOC8"/>
        <w:rPr>
          <w:rFonts w:asciiTheme="minorHAnsi" w:eastAsiaTheme="minorEastAsia" w:hAnsiTheme="minorHAnsi" w:cstheme="minorBidi"/>
          <w:szCs w:val="22"/>
        </w:rPr>
      </w:pPr>
      <w:r>
        <w:t>108A.</w:t>
      </w:r>
      <w:r>
        <w:tab/>
        <w:t>Delegation by Minister</w:t>
      </w:r>
      <w:r>
        <w:tab/>
      </w:r>
      <w:r>
        <w:fldChar w:fldCharType="begin"/>
      </w:r>
      <w:r>
        <w:instrText xml:space="preserve"> PAGEREF _Toc20390157 \h </w:instrText>
      </w:r>
      <w:r>
        <w:fldChar w:fldCharType="separate"/>
      </w:r>
      <w:r>
        <w:t>109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Regulations</w:t>
      </w:r>
      <w:r>
        <w:tab/>
      </w:r>
      <w:r>
        <w:fldChar w:fldCharType="begin"/>
      </w:r>
      <w:r>
        <w:instrText xml:space="preserve"> PAGEREF _Toc20390158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4"/>
        <w:tabs>
          <w:tab w:val="right" w:leader="dot" w:pos="7077"/>
        </w:tabs>
        <w:rPr>
          <w:rFonts w:asciiTheme="minorHAnsi" w:eastAsiaTheme="minorEastAsia" w:hAnsiTheme="minorHAnsi" w:cstheme="minorBidi"/>
          <w:b w:val="0"/>
          <w:szCs w:val="22"/>
        </w:rPr>
      </w:pPr>
      <w:r>
        <w:t>Division 1 — </w:t>
      </w:r>
      <w:r>
        <w:rPr>
          <w:i/>
          <w:iCs/>
        </w:rPr>
        <w:t>Public Service Act 1978</w:t>
      </w:r>
      <w:r>
        <w:t xml:space="preserve"> repeal and transitional provisions</w:t>
      </w:r>
    </w:p>
    <w:p>
      <w:pPr>
        <w:pStyle w:val="TOC8"/>
        <w:rPr>
          <w:rFonts w:asciiTheme="minorHAnsi" w:eastAsiaTheme="minorEastAsia" w:hAnsiTheme="minorHAnsi" w:cstheme="minorBidi"/>
          <w:szCs w:val="22"/>
        </w:rPr>
      </w:pPr>
      <w:r>
        <w:t>110</w:t>
      </w:r>
      <w:r>
        <w:rPr>
          <w:snapToGrid w:val="0"/>
        </w:rPr>
        <w:t>.</w:t>
      </w:r>
      <w:r>
        <w:rPr>
          <w:snapToGrid w:val="0"/>
        </w:rPr>
        <w:tab/>
      </w:r>
      <w:r>
        <w:rPr>
          <w:i/>
          <w:snapToGrid w:val="0"/>
        </w:rPr>
        <w:t>Public Service Act 1978</w:t>
      </w:r>
      <w:r>
        <w:rPr>
          <w:snapToGrid w:val="0"/>
        </w:rPr>
        <w:t xml:space="preserve"> repealed; transitional (Sch. 5)</w:t>
      </w:r>
      <w:r>
        <w:tab/>
      </w:r>
      <w:r>
        <w:fldChar w:fldCharType="begin"/>
      </w:r>
      <w:r>
        <w:instrText xml:space="preserve"> PAGEREF _Toc20390161 \h </w:instrText>
      </w:r>
      <w:r>
        <w:fldChar w:fldCharType="separate"/>
      </w:r>
      <w:r>
        <w:t>111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Transitional provisions related to Part 4 (Sch. 6)</w:t>
      </w:r>
      <w:r>
        <w:tab/>
      </w:r>
      <w:r>
        <w:fldChar w:fldCharType="begin"/>
      </w:r>
      <w:r>
        <w:instrText xml:space="preserve"> PAGEREF _Toc20390162 \h </w:instrText>
      </w:r>
      <w:r>
        <w:fldChar w:fldCharType="separate"/>
      </w:r>
      <w:r>
        <w:t>111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Certain words etc. in written laws etc. taken to be amended</w:t>
      </w:r>
      <w:r>
        <w:tab/>
      </w:r>
      <w:r>
        <w:fldChar w:fldCharType="begin"/>
      </w:r>
      <w:r>
        <w:instrText xml:space="preserve"> PAGEREF _Toc20390163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113.</w:t>
      </w:r>
      <w:r>
        <w:tab/>
        <w:t xml:space="preserve">Transitional provisions </w:t>
      </w:r>
      <w:r>
        <w:rPr>
          <w:snapToGrid w:val="0"/>
        </w:rPr>
        <w:t>(Sch. 7)</w:t>
      </w:r>
      <w:r>
        <w:tab/>
      </w:r>
      <w:r>
        <w:fldChar w:fldCharType="begin"/>
      </w:r>
      <w:r>
        <w:instrText xml:space="preserve"> PAGEREF _Toc20390165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114.</w:t>
      </w:r>
      <w:r>
        <w:tab/>
        <w:t xml:space="preserve">Transitional provisions </w:t>
      </w:r>
      <w:r>
        <w:rPr>
          <w:snapToGrid w:val="0"/>
        </w:rPr>
        <w:t>(Sch. 8)</w:t>
      </w:r>
      <w:r>
        <w:tab/>
      </w:r>
      <w:r>
        <w:fldChar w:fldCharType="begin"/>
      </w:r>
      <w:r>
        <w:instrText xml:space="preserve"> PAGEREF _Toc20390167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Schedule 1 — Entities which are not organisations</w:t>
      </w:r>
    </w:p>
    <w:p>
      <w:pPr>
        <w:pStyle w:val="TOC2"/>
        <w:tabs>
          <w:tab w:val="right" w:leader="dot" w:pos="7077"/>
        </w:tabs>
        <w:rPr>
          <w:rFonts w:asciiTheme="minorHAnsi" w:eastAsiaTheme="minorEastAsia" w:hAnsiTheme="minorHAnsi" w:cstheme="minorBidi"/>
          <w:b w:val="0"/>
          <w:sz w:val="22"/>
          <w:szCs w:val="22"/>
        </w:rPr>
      </w:pPr>
      <w:r>
        <w:t>Schedule 2 — Entities which are SES organisations</w:t>
      </w:r>
    </w:p>
    <w:p>
      <w:pPr>
        <w:pStyle w:val="TOC2"/>
        <w:tabs>
          <w:tab w:val="right" w:leader="dot" w:pos="7077"/>
        </w:tabs>
        <w:rPr>
          <w:rFonts w:asciiTheme="minorHAnsi" w:eastAsiaTheme="minorEastAsia" w:hAnsiTheme="minorHAnsi" w:cstheme="minorBidi"/>
          <w:b w:val="0"/>
          <w:sz w:val="22"/>
          <w:szCs w:val="22"/>
        </w:rPr>
      </w:pPr>
      <w:r>
        <w:t>Schedule 3 — Provisions applicable to and in relation to special inquirers</w:t>
      </w:r>
    </w:p>
    <w:p>
      <w:pPr>
        <w:pStyle w:val="TOC8"/>
        <w:rPr>
          <w:rFonts w:asciiTheme="minorHAnsi" w:eastAsiaTheme="minorEastAsia" w:hAnsiTheme="minorHAnsi" w:cstheme="minorBidi"/>
          <w:szCs w:val="22"/>
        </w:rPr>
      </w:pPr>
      <w:r>
        <w:t xml:space="preserve">1. </w:t>
      </w:r>
      <w:r>
        <w:tab/>
        <w:t>Power to summon witnesses and documents</w:t>
      </w:r>
      <w:r>
        <w:tab/>
      </w:r>
      <w:r>
        <w:fldChar w:fldCharType="begin"/>
      </w:r>
      <w:r>
        <w:instrText xml:space="preserve"> PAGEREF _Toc20390171 \h </w:instrText>
      </w:r>
      <w:r>
        <w:fldChar w:fldCharType="separate"/>
      </w:r>
      <w:r>
        <w:t>119</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Duty of witnesses to continue in attendance</w:t>
      </w:r>
      <w:r>
        <w:tab/>
      </w:r>
      <w:r>
        <w:fldChar w:fldCharType="begin"/>
      </w:r>
      <w:r>
        <w:instrText xml:space="preserve"> PAGEREF _Toc20390172 \h </w:instrText>
      </w:r>
      <w:r>
        <w:fldChar w:fldCharType="separate"/>
      </w:r>
      <w:r>
        <w:t>119</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r>
      <w:r>
        <w:t>Power</w:t>
      </w:r>
      <w:r>
        <w:rPr>
          <w:snapToGrid w:val="0"/>
        </w:rPr>
        <w:t xml:space="preserve"> to examine on oath or affirmation</w:t>
      </w:r>
      <w:r>
        <w:tab/>
      </w:r>
      <w:r>
        <w:fldChar w:fldCharType="begin"/>
      </w:r>
      <w:r>
        <w:instrText xml:space="preserve"> PAGEREF _Toc20390173 \h </w:instrText>
      </w:r>
      <w:r>
        <w:fldChar w:fldCharType="separate"/>
      </w:r>
      <w:r>
        <w:t>119</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r>
        <w:tab/>
      </w:r>
      <w:r>
        <w:fldChar w:fldCharType="begin"/>
      </w:r>
      <w:r>
        <w:instrText xml:space="preserve"> PAGEREF _Toc20390174 \h </w:instrText>
      </w:r>
      <w:r>
        <w:fldChar w:fldCharType="separate"/>
      </w:r>
      <w:r>
        <w:t>120</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Hindering</w:t>
      </w:r>
      <w:r>
        <w:rPr>
          <w:snapToGrid w:val="0"/>
        </w:rPr>
        <w:t xml:space="preserve"> or misleading special inquirers</w:t>
      </w:r>
      <w:r>
        <w:tab/>
      </w:r>
      <w:r>
        <w:fldChar w:fldCharType="begin"/>
      </w:r>
      <w:r>
        <w:instrText xml:space="preserve"> PAGEREF _Toc20390175 \h </w:instrText>
      </w:r>
      <w:r>
        <w:fldChar w:fldCharType="separate"/>
      </w:r>
      <w:r>
        <w:t>121</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Protection</w:t>
      </w:r>
      <w:r>
        <w:rPr>
          <w:snapToGrid w:val="0"/>
        </w:rPr>
        <w:t xml:space="preserve"> to special inquirers and witnesses</w:t>
      </w:r>
      <w:r>
        <w:tab/>
      </w:r>
      <w:r>
        <w:fldChar w:fldCharType="begin"/>
      </w:r>
      <w:r>
        <w:instrText xml:space="preserve"> PAGEREF _Toc20390176 \h </w:instrText>
      </w:r>
      <w:r>
        <w:fldChar w:fldCharType="separate"/>
      </w:r>
      <w:r>
        <w:t>121</w:t>
      </w:r>
      <w:r>
        <w:fldChar w:fldCharType="end"/>
      </w:r>
    </w:p>
    <w:p>
      <w:pPr>
        <w:pStyle w:val="TOC2"/>
        <w:tabs>
          <w:tab w:val="right" w:leader="dot" w:pos="7077"/>
        </w:tabs>
        <w:rPr>
          <w:rFonts w:asciiTheme="minorHAnsi" w:eastAsiaTheme="minorEastAsia" w:hAnsiTheme="minorHAnsi" w:cstheme="minorBidi"/>
          <w:b w:val="0"/>
          <w:sz w:val="22"/>
          <w:szCs w:val="22"/>
        </w:rPr>
      </w:pPr>
      <w:r>
        <w:t>Schedule 4 — Form of declaration</w:t>
      </w:r>
    </w:p>
    <w:p>
      <w:pPr>
        <w:pStyle w:val="TOC2"/>
        <w:tabs>
          <w:tab w:val="right" w:leader="dot" w:pos="7077"/>
        </w:tabs>
        <w:rPr>
          <w:rFonts w:asciiTheme="minorHAnsi" w:eastAsiaTheme="minorEastAsia" w:hAnsiTheme="minorHAnsi" w:cstheme="minorBidi"/>
          <w:b w:val="0"/>
          <w:sz w:val="22"/>
          <w:szCs w:val="22"/>
        </w:rPr>
      </w:pPr>
      <w:r>
        <w:t>Schedule 5 — General transitional provisions</w:t>
      </w:r>
    </w:p>
    <w:p>
      <w:pPr>
        <w:pStyle w:val="TOC8"/>
        <w:rPr>
          <w:rFonts w:asciiTheme="minorHAnsi" w:eastAsiaTheme="minorEastAsia" w:hAnsiTheme="minorHAnsi" w:cstheme="minorBidi"/>
          <w:szCs w:val="22"/>
        </w:rPr>
      </w:pPr>
      <w:r>
        <w:t>1</w:t>
      </w:r>
      <w:r>
        <w:rPr>
          <w:snapToGrid w:val="0"/>
        </w:rPr>
        <w:t xml:space="preserve">. </w:t>
      </w:r>
      <w:r>
        <w:rPr>
          <w:snapToGrid w:val="0"/>
        </w:rPr>
        <w:tab/>
        <w:t>Interpretation</w:t>
      </w:r>
      <w:r>
        <w:tab/>
      </w:r>
      <w:r>
        <w:fldChar w:fldCharType="begin"/>
      </w:r>
      <w:r>
        <w:instrText xml:space="preserve"> PAGEREF _Toc20390179 \h </w:instrText>
      </w:r>
      <w:r>
        <w:fldChar w:fldCharType="separate"/>
      </w:r>
      <w:r>
        <w:t>123</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 xml:space="preserve">Public </w:t>
      </w:r>
      <w:r>
        <w:t>service</w:t>
      </w:r>
      <w:r>
        <w:rPr>
          <w:snapToGrid w:val="0"/>
        </w:rPr>
        <w:t xml:space="preserve"> notices under repealed Act, effect of</w:t>
      </w:r>
      <w:r>
        <w:tab/>
      </w:r>
      <w:r>
        <w:fldChar w:fldCharType="begin"/>
      </w:r>
      <w:r>
        <w:instrText xml:space="preserve"> PAGEREF _Toc20390180 \h </w:instrText>
      </w:r>
      <w:r>
        <w:fldChar w:fldCharType="separate"/>
      </w:r>
      <w:r>
        <w:t>123</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Public </w:t>
      </w:r>
      <w:r>
        <w:t>Service</w:t>
      </w:r>
      <w:r>
        <w:rPr>
          <w:snapToGrid w:val="0"/>
        </w:rPr>
        <w:t xml:space="preserve"> Commissioner and Assistant Public Service Commissioner, entitlements</w:t>
      </w:r>
      <w:r>
        <w:tab/>
      </w:r>
      <w:r>
        <w:fldChar w:fldCharType="begin"/>
      </w:r>
      <w:r>
        <w:instrText xml:space="preserve"> PAGEREF _Toc20390181 \h </w:instrText>
      </w:r>
      <w:r>
        <w:fldChar w:fldCharType="separate"/>
      </w:r>
      <w:r>
        <w:t>123</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t>General</w:t>
      </w:r>
      <w:r>
        <w:rPr>
          <w:snapToGrid w:val="0"/>
        </w:rPr>
        <w:t xml:space="preserve"> savings</w:t>
      </w:r>
      <w:r>
        <w:tab/>
      </w:r>
      <w:r>
        <w:fldChar w:fldCharType="begin"/>
      </w:r>
      <w:r>
        <w:instrText xml:space="preserve"> PAGEREF _Toc20390182 \h </w:instrText>
      </w:r>
      <w:r>
        <w:fldChar w:fldCharType="separate"/>
      </w:r>
      <w:r>
        <w:t>124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r>
      <w:r>
        <w:t>Administrative</w:t>
      </w:r>
      <w:r>
        <w:rPr>
          <w:snapToGrid w:val="0"/>
        </w:rPr>
        <w:t xml:space="preserve"> instructions under repealed Act s. 19, effect of</w:t>
      </w:r>
      <w:r>
        <w:tab/>
      </w:r>
      <w:r>
        <w:fldChar w:fldCharType="begin"/>
      </w:r>
      <w:r>
        <w:instrText xml:space="preserve"> PAGEREF _Toc20390183 \h </w:instrText>
      </w:r>
      <w:r>
        <w:fldChar w:fldCharType="separate"/>
      </w:r>
      <w:r>
        <w:t>125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r>
      <w:r>
        <w:t>Departments</w:t>
      </w:r>
      <w:r>
        <w:rPr>
          <w:snapToGrid w:val="0"/>
        </w:rPr>
        <w:t xml:space="preserve"> and sub</w:t>
      </w:r>
      <w:r>
        <w:rPr>
          <w:snapToGrid w:val="0"/>
        </w:rPr>
        <w:noBreakHyphen/>
        <w:t>departments under repealed Act</w:t>
      </w:r>
      <w:r>
        <w:tab/>
      </w:r>
      <w:r>
        <w:fldChar w:fldCharType="begin"/>
      </w:r>
      <w:r>
        <w:instrText xml:space="preserve"> PAGEREF _Toc20390184 \h </w:instrText>
      </w:r>
      <w:r>
        <w:fldChar w:fldCharType="separate"/>
      </w:r>
      <w:r>
        <w:t>125</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r>
      <w:r>
        <w:t>Absorbed</w:t>
      </w:r>
      <w:r>
        <w:rPr>
          <w:snapToGrid w:val="0"/>
        </w:rPr>
        <w:t xml:space="preserve"> personnel (repealed Act s. 25)</w:t>
      </w:r>
      <w:r>
        <w:tab/>
      </w:r>
      <w:r>
        <w:fldChar w:fldCharType="begin"/>
      </w:r>
      <w:r>
        <w:instrText xml:space="preserve"> PAGEREF _Toc20390185 \h </w:instrText>
      </w:r>
      <w:r>
        <w:fldChar w:fldCharType="separate"/>
      </w:r>
      <w:r>
        <w:t>125</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r>
      <w:r>
        <w:t>Proceedings under repealed Act s. 26</w:t>
      </w:r>
      <w:r>
        <w:tab/>
      </w:r>
      <w:r>
        <w:fldChar w:fldCharType="begin"/>
      </w:r>
      <w:r>
        <w:instrText xml:space="preserve"> PAGEREF _Toc20390186 \h </w:instrText>
      </w:r>
      <w:r>
        <w:fldChar w:fldCharType="separate"/>
      </w:r>
      <w:r>
        <w:t>126</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A</w:t>
      </w:r>
      <w:r>
        <w:t>ppointments</w:t>
      </w:r>
      <w:r>
        <w:rPr>
          <w:snapToGrid w:val="0"/>
        </w:rPr>
        <w:t xml:space="preserve"> etc. under repealed Act s. 30</w:t>
      </w:r>
      <w:r>
        <w:tab/>
      </w:r>
      <w:r>
        <w:fldChar w:fldCharType="begin"/>
      </w:r>
      <w:r>
        <w:instrText xml:space="preserve"> PAGEREF _Toc20390187 \h </w:instrText>
      </w:r>
      <w:r>
        <w:fldChar w:fldCharType="separate"/>
      </w:r>
      <w:r>
        <w:t>126</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A</w:t>
      </w:r>
      <w:r>
        <w:t>ppointments</w:t>
      </w:r>
      <w:r>
        <w:rPr>
          <w:snapToGrid w:val="0"/>
        </w:rPr>
        <w:t xml:space="preserve"> under repealed Act s. 30A</w:t>
      </w:r>
      <w:r>
        <w:tab/>
      </w:r>
      <w:r>
        <w:fldChar w:fldCharType="begin"/>
      </w:r>
      <w:r>
        <w:instrText xml:space="preserve"> PAGEREF _Toc20390188 \h </w:instrText>
      </w:r>
      <w:r>
        <w:fldChar w:fldCharType="separate"/>
      </w:r>
      <w:r>
        <w:t>127</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r>
      <w:r>
        <w:t>Temporary</w:t>
      </w:r>
      <w:r>
        <w:rPr>
          <w:snapToGrid w:val="0"/>
        </w:rPr>
        <w:t xml:space="preserve"> officers; applications under repealed Act s. 32</w:t>
      </w:r>
      <w:r>
        <w:tab/>
      </w:r>
      <w:r>
        <w:fldChar w:fldCharType="begin"/>
      </w:r>
      <w:r>
        <w:instrText xml:space="preserve"> PAGEREF _Toc20390189 \h </w:instrText>
      </w:r>
      <w:r>
        <w:fldChar w:fldCharType="separate"/>
      </w:r>
      <w:r>
        <w:t>127</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 xml:space="preserve">Senior </w:t>
      </w:r>
      <w:r>
        <w:t>Executive</w:t>
      </w:r>
      <w:r>
        <w:rPr>
          <w:snapToGrid w:val="0"/>
        </w:rPr>
        <w:t xml:space="preserve"> Service (repealed Act s. 35)</w:t>
      </w:r>
      <w:r>
        <w:tab/>
      </w:r>
      <w:r>
        <w:fldChar w:fldCharType="begin"/>
      </w:r>
      <w:r>
        <w:instrText xml:space="preserve"> PAGEREF _Toc20390190 \h </w:instrText>
      </w:r>
      <w:r>
        <w:fldChar w:fldCharType="separate"/>
      </w:r>
      <w:r>
        <w:t>128</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Senior officers (repealed Act s. 39)</w:t>
      </w:r>
      <w:r>
        <w:tab/>
      </w:r>
      <w:r>
        <w:fldChar w:fldCharType="begin"/>
      </w:r>
      <w:r>
        <w:instrText xml:space="preserve"> PAGEREF _Toc20390191 \h </w:instrText>
      </w:r>
      <w:r>
        <w:fldChar w:fldCharType="separate"/>
      </w:r>
      <w:r>
        <w:t>133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r>
      <w:r>
        <w:t>Proceedings</w:t>
      </w:r>
      <w:r>
        <w:rPr>
          <w:snapToGrid w:val="0"/>
        </w:rPr>
        <w:t xml:space="preserve"> on charges (repealed Act Part IV)</w:t>
      </w:r>
      <w:r>
        <w:tab/>
      </w:r>
      <w:r>
        <w:fldChar w:fldCharType="begin"/>
      </w:r>
      <w:r>
        <w:instrText xml:space="preserve"> PAGEREF _Toc20390192 \h </w:instrText>
      </w:r>
      <w:r>
        <w:fldChar w:fldCharType="separate"/>
      </w:r>
      <w:r>
        <w:t>133</w:t>
      </w:r>
      <w:r>
        <w:fldChar w:fldCharType="end"/>
      </w:r>
    </w:p>
    <w:p>
      <w:pPr>
        <w:pStyle w:val="TOC8"/>
        <w:rPr>
          <w:rFonts w:asciiTheme="minorHAnsi" w:eastAsiaTheme="minorEastAsia" w:hAnsiTheme="minorHAnsi" w:cstheme="minorBidi"/>
          <w:szCs w:val="22"/>
        </w:rPr>
      </w:pPr>
      <w:r>
        <w:t>16</w:t>
      </w:r>
      <w:r>
        <w:rPr>
          <w:snapToGrid w:val="0"/>
        </w:rPr>
        <w:t xml:space="preserve">. </w:t>
      </w:r>
      <w:r>
        <w:rPr>
          <w:snapToGrid w:val="0"/>
        </w:rPr>
        <w:tab/>
      </w:r>
      <w:r>
        <w:t>Long</w:t>
      </w:r>
      <w:r>
        <w:rPr>
          <w:snapToGrid w:val="0"/>
        </w:rPr>
        <w:t xml:space="preserve"> service leave and recreation leave</w:t>
      </w:r>
      <w:r>
        <w:tab/>
      </w:r>
      <w:r>
        <w:fldChar w:fldCharType="begin"/>
      </w:r>
      <w:r>
        <w:instrText xml:space="preserve"> PAGEREF _Toc20390193 \h </w:instrText>
      </w:r>
      <w:r>
        <w:fldChar w:fldCharType="separate"/>
      </w:r>
      <w:r>
        <w:t>134</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 xml:space="preserve">Intergovernmental </w:t>
      </w:r>
      <w:r>
        <w:t>arrangements</w:t>
      </w:r>
      <w:r>
        <w:rPr>
          <w:snapToGrid w:val="0"/>
        </w:rPr>
        <w:t xml:space="preserve"> (repealed Act s. 59A)</w:t>
      </w:r>
      <w:r>
        <w:tab/>
      </w:r>
      <w:r>
        <w:fldChar w:fldCharType="begin"/>
      </w:r>
      <w:r>
        <w:instrText xml:space="preserve"> PAGEREF _Toc20390194 \h </w:instrText>
      </w:r>
      <w:r>
        <w:fldChar w:fldCharType="separate"/>
      </w:r>
      <w:r>
        <w:t>134</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r>
      <w:r>
        <w:t>Regulations</w:t>
      </w:r>
      <w:r>
        <w:tab/>
      </w:r>
      <w:r>
        <w:fldChar w:fldCharType="begin"/>
      </w:r>
      <w:r>
        <w:instrText xml:space="preserve"> PAGEREF _Toc20390195 \h </w:instrText>
      </w:r>
      <w:r>
        <w:fldChar w:fldCharType="separate"/>
      </w:r>
      <w:r>
        <w:t>135</w:t>
      </w:r>
      <w:r>
        <w:fldChar w:fldCharType="end"/>
      </w:r>
    </w:p>
    <w:p>
      <w:pPr>
        <w:pStyle w:val="TOC8"/>
        <w:rPr>
          <w:rFonts w:asciiTheme="minorHAnsi" w:eastAsiaTheme="minorEastAsia" w:hAnsiTheme="minorHAnsi" w:cstheme="minorBidi"/>
          <w:szCs w:val="22"/>
        </w:rPr>
      </w:pPr>
      <w:r>
        <w:t>19</w:t>
      </w:r>
      <w:r>
        <w:rPr>
          <w:snapToGrid w:val="0"/>
        </w:rPr>
        <w:t xml:space="preserve">. </w:t>
      </w:r>
      <w:r>
        <w:rPr>
          <w:snapToGrid w:val="0"/>
        </w:rPr>
        <w:tab/>
      </w:r>
      <w:r>
        <w:t>Employment</w:t>
      </w:r>
      <w:r>
        <w:rPr>
          <w:snapToGrid w:val="0"/>
        </w:rPr>
        <w:t xml:space="preserve"> of public service officers other than executive officers</w:t>
      </w:r>
      <w:r>
        <w:tab/>
      </w:r>
      <w:r>
        <w:fldChar w:fldCharType="begin"/>
      </w:r>
      <w:r>
        <w:instrText xml:space="preserve"> PAGEREF _Toc20390196 \h </w:instrText>
      </w:r>
      <w:r>
        <w:fldChar w:fldCharType="separate"/>
      </w:r>
      <w:r>
        <w:t>135</w:t>
      </w:r>
      <w:r>
        <w:fldChar w:fldCharType="end"/>
      </w:r>
    </w:p>
    <w:p>
      <w:pPr>
        <w:pStyle w:val="TOC8"/>
        <w:rPr>
          <w:rFonts w:asciiTheme="minorHAnsi" w:eastAsiaTheme="minorEastAsia" w:hAnsiTheme="minorHAnsi" w:cstheme="minorBidi"/>
          <w:szCs w:val="22"/>
        </w:rPr>
      </w:pPr>
      <w:r>
        <w:t>20</w:t>
      </w:r>
      <w:r>
        <w:rPr>
          <w:snapToGrid w:val="0"/>
        </w:rPr>
        <w:t xml:space="preserve">. </w:t>
      </w:r>
      <w:r>
        <w:rPr>
          <w:snapToGrid w:val="0"/>
        </w:rPr>
        <w:tab/>
        <w:t xml:space="preserve">Public Service </w:t>
      </w:r>
      <w:r>
        <w:t>Award</w:t>
      </w:r>
      <w:r>
        <w:rPr>
          <w:snapToGrid w:val="0"/>
        </w:rPr>
        <w:t xml:space="preserve"> 1992, interpretation of</w:t>
      </w:r>
      <w:r>
        <w:tab/>
      </w:r>
      <w:r>
        <w:fldChar w:fldCharType="begin"/>
      </w:r>
      <w:r>
        <w:instrText xml:space="preserve"> PAGEREF _Toc20390197 \h </w:instrText>
      </w:r>
      <w:r>
        <w:fldChar w:fldCharType="separate"/>
      </w:r>
      <w:r>
        <w:t>135</w:t>
      </w:r>
      <w:r>
        <w:fldChar w:fldCharType="end"/>
      </w:r>
    </w:p>
    <w:p>
      <w:pPr>
        <w:pStyle w:val="TOC8"/>
        <w:rPr>
          <w:rFonts w:asciiTheme="minorHAnsi" w:eastAsiaTheme="minorEastAsia" w:hAnsiTheme="minorHAnsi" w:cstheme="minorBidi"/>
          <w:szCs w:val="22"/>
        </w:rPr>
      </w:pPr>
      <w:r>
        <w:t>21</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_Toc20390198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Schedule 6 — Transitional provisions relating to ministerial staff</w:t>
      </w:r>
    </w:p>
    <w:p>
      <w:pPr>
        <w:pStyle w:val="TOC8"/>
        <w:rPr>
          <w:rFonts w:asciiTheme="minorHAnsi" w:eastAsiaTheme="minorEastAsia" w:hAnsiTheme="minorHAnsi" w:cstheme="minorBidi"/>
          <w:szCs w:val="22"/>
        </w:rPr>
      </w:pPr>
      <w:r>
        <w:t>1</w:t>
      </w:r>
      <w:r>
        <w:rPr>
          <w:snapToGrid w:val="0"/>
        </w:rPr>
        <w:t xml:space="preserve">. </w:t>
      </w:r>
      <w:r>
        <w:rPr>
          <w:snapToGrid w:val="0"/>
        </w:rPr>
        <w:tab/>
      </w:r>
      <w:r>
        <w:t>Ministerial</w:t>
      </w:r>
      <w:r>
        <w:rPr>
          <w:snapToGrid w:val="0"/>
        </w:rPr>
        <w:t xml:space="preserve"> staff</w:t>
      </w:r>
      <w:r>
        <w:tab/>
      </w:r>
      <w:r>
        <w:fldChar w:fldCharType="begin"/>
      </w:r>
      <w:r>
        <w:instrText xml:space="preserve"> PAGEREF _Toc20390200 \h </w:instrText>
      </w:r>
      <w:r>
        <w:fldChar w:fldCharType="separate"/>
      </w:r>
      <w:r>
        <w:t>136</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r>
      <w:r>
        <w:t>Remuneration</w:t>
      </w:r>
      <w:r>
        <w:rPr>
          <w:snapToGrid w:val="0"/>
        </w:rPr>
        <w:t xml:space="preserve"> and terms and conditions of ministerial staff</w:t>
      </w:r>
      <w:r>
        <w:tab/>
      </w:r>
      <w:r>
        <w:fldChar w:fldCharType="begin"/>
      </w:r>
      <w:r>
        <w:instrText xml:space="preserve"> PAGEREF _Toc20390201 \h </w:instrText>
      </w:r>
      <w:r>
        <w:fldChar w:fldCharType="separate"/>
      </w:r>
      <w:r>
        <w:t>137</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 xml:space="preserve">Restriction on subsequent employment in departments or </w:t>
      </w:r>
      <w:r>
        <w:t>organisations</w:t>
      </w:r>
      <w:r>
        <w:tab/>
      </w:r>
      <w:r>
        <w:fldChar w:fldCharType="begin"/>
      </w:r>
      <w:r>
        <w:instrText xml:space="preserve"> PAGEREF _Toc20390202 \h </w:instrText>
      </w:r>
      <w:r>
        <w:fldChar w:fldCharType="separate"/>
      </w:r>
      <w:r>
        <w:t>138</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r>
      <w:r>
        <w:rPr>
          <w:i/>
          <w:snapToGrid w:val="0"/>
        </w:rPr>
        <w:t>Interpretation Act 1984</w:t>
      </w:r>
      <w:r>
        <w:rPr>
          <w:snapToGrid w:val="0"/>
        </w:rPr>
        <w:t xml:space="preserve"> not affected</w:t>
      </w:r>
      <w:r>
        <w:tab/>
      </w:r>
      <w:r>
        <w:fldChar w:fldCharType="begin"/>
      </w:r>
      <w:r>
        <w:instrText xml:space="preserve"> PAGEREF _Toc20390203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7 — </w:t>
      </w:r>
      <w:r>
        <w:rPr>
          <w:i/>
          <w:iCs/>
        </w:rPr>
        <w:t>Public Sector Reform Act 2010</w:t>
      </w:r>
      <w:r>
        <w:t xml:space="preserve"> Part 2 amendments: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_Toc20390205 \h </w:instrText>
      </w:r>
      <w:r>
        <w:fldChar w:fldCharType="separate"/>
      </w:r>
      <w:r>
        <w:t>140</w:t>
      </w:r>
      <w:r>
        <w:fldChar w:fldCharType="end"/>
      </w:r>
    </w:p>
    <w:p>
      <w:pPr>
        <w:pStyle w:val="TOC8"/>
        <w:rPr>
          <w:rFonts w:asciiTheme="minorHAnsi" w:eastAsiaTheme="minorEastAsia" w:hAnsiTheme="minorHAnsi" w:cstheme="minorBidi"/>
          <w:szCs w:val="22"/>
        </w:rPr>
      </w:pPr>
      <w:r>
        <w:t>2.</w:t>
      </w:r>
      <w:r>
        <w:tab/>
        <w:t>Incumbent CEO remains in office as Public Sector Commissioner</w:t>
      </w:r>
      <w:r>
        <w:tab/>
      </w:r>
      <w:r>
        <w:fldChar w:fldCharType="begin"/>
      </w:r>
      <w:r>
        <w:instrText xml:space="preserve"> PAGEREF _Toc20390206 \h </w:instrText>
      </w:r>
      <w:r>
        <w:fldChar w:fldCharType="separate"/>
      </w:r>
      <w:r>
        <w:t>140</w:t>
      </w:r>
      <w:r>
        <w:fldChar w:fldCharType="end"/>
      </w:r>
    </w:p>
    <w:p>
      <w:pPr>
        <w:pStyle w:val="TOC8"/>
        <w:rPr>
          <w:rFonts w:asciiTheme="minorHAnsi" w:eastAsiaTheme="minorEastAsia" w:hAnsiTheme="minorHAnsi" w:cstheme="minorBidi"/>
          <w:szCs w:val="22"/>
        </w:rPr>
      </w:pPr>
      <w:r>
        <w:t>3.</w:t>
      </w:r>
      <w:r>
        <w:tab/>
        <w:t>Commissioner for Public Sector Standards, entitlement of</w:t>
      </w:r>
      <w:r>
        <w:tab/>
      </w:r>
      <w:r>
        <w:fldChar w:fldCharType="begin"/>
      </w:r>
      <w:r>
        <w:instrText xml:space="preserve"> PAGEREF _Toc20390207 \h </w:instrText>
      </w:r>
      <w:r>
        <w:fldChar w:fldCharType="separate"/>
      </w:r>
      <w:r>
        <w:t>140</w:t>
      </w:r>
      <w:r>
        <w:fldChar w:fldCharType="end"/>
      </w:r>
    </w:p>
    <w:p>
      <w:pPr>
        <w:pStyle w:val="TOC8"/>
        <w:rPr>
          <w:rFonts w:asciiTheme="minorHAnsi" w:eastAsiaTheme="minorEastAsia" w:hAnsiTheme="minorHAnsi" w:cstheme="minorBidi"/>
          <w:szCs w:val="22"/>
        </w:rPr>
      </w:pPr>
      <w:r>
        <w:t>4.</w:t>
      </w:r>
      <w:r>
        <w:tab/>
        <w:t>Approved procedures and other instruments</w:t>
      </w:r>
      <w:r>
        <w:tab/>
      </w:r>
      <w:r>
        <w:fldChar w:fldCharType="begin"/>
      </w:r>
      <w:r>
        <w:instrText xml:space="preserve"> PAGEREF _Toc20390208 \h </w:instrText>
      </w:r>
      <w:r>
        <w:fldChar w:fldCharType="separate"/>
      </w:r>
      <w:r>
        <w:t>141</w:t>
      </w:r>
      <w:r>
        <w:fldChar w:fldCharType="end"/>
      </w:r>
    </w:p>
    <w:p>
      <w:pPr>
        <w:pStyle w:val="TOC8"/>
        <w:rPr>
          <w:rFonts w:asciiTheme="minorHAnsi" w:eastAsiaTheme="minorEastAsia" w:hAnsiTheme="minorHAnsi" w:cstheme="minorBidi"/>
          <w:szCs w:val="22"/>
        </w:rPr>
      </w:pPr>
      <w:r>
        <w:t>5.</w:t>
      </w:r>
      <w:r>
        <w:tab/>
        <w:t>Reviews, special inquiries and investigations</w:t>
      </w:r>
      <w:r>
        <w:tab/>
      </w:r>
      <w:r>
        <w:fldChar w:fldCharType="begin"/>
      </w:r>
      <w:r>
        <w:instrText xml:space="preserve"> PAGEREF _Toc20390209 \h </w:instrText>
      </w:r>
      <w:r>
        <w:fldChar w:fldCharType="separate"/>
      </w:r>
      <w:r>
        <w:t>142</w:t>
      </w:r>
      <w:r>
        <w:fldChar w:fldCharType="end"/>
      </w:r>
    </w:p>
    <w:p>
      <w:pPr>
        <w:pStyle w:val="TOC8"/>
        <w:rPr>
          <w:rFonts w:asciiTheme="minorHAnsi" w:eastAsiaTheme="minorEastAsia" w:hAnsiTheme="minorHAnsi" w:cstheme="minorBidi"/>
          <w:szCs w:val="22"/>
        </w:rPr>
      </w:pPr>
      <w:r>
        <w:t>6.</w:t>
      </w:r>
      <w:r>
        <w:tab/>
        <w:t>Special offices</w:t>
      </w:r>
      <w:r>
        <w:tab/>
      </w:r>
      <w:r>
        <w:fldChar w:fldCharType="begin"/>
      </w:r>
      <w:r>
        <w:instrText xml:space="preserve"> PAGEREF _Toc20390210 \h </w:instrText>
      </w:r>
      <w:r>
        <w:fldChar w:fldCharType="separate"/>
      </w:r>
      <w:r>
        <w:t>143</w:t>
      </w:r>
      <w:r>
        <w:fldChar w:fldCharType="end"/>
      </w:r>
    </w:p>
    <w:p>
      <w:pPr>
        <w:pStyle w:val="TOC8"/>
        <w:rPr>
          <w:rFonts w:asciiTheme="minorHAnsi" w:eastAsiaTheme="minorEastAsia" w:hAnsiTheme="minorHAnsi" w:cstheme="minorBidi"/>
          <w:szCs w:val="22"/>
        </w:rPr>
      </w:pPr>
      <w:r>
        <w:t>7.</w:t>
      </w:r>
      <w:r>
        <w:tab/>
        <w:t>Provisions affecting employment of CEOs</w:t>
      </w:r>
      <w:r>
        <w:tab/>
      </w:r>
      <w:r>
        <w:fldChar w:fldCharType="begin"/>
      </w:r>
      <w:r>
        <w:instrText xml:space="preserve"> PAGEREF _Toc20390211 \h </w:instrText>
      </w:r>
      <w:r>
        <w:fldChar w:fldCharType="separate"/>
      </w:r>
      <w:r>
        <w:t>143</w:t>
      </w:r>
      <w:r>
        <w:fldChar w:fldCharType="end"/>
      </w:r>
    </w:p>
    <w:p>
      <w:pPr>
        <w:pStyle w:val="TOC8"/>
        <w:rPr>
          <w:rFonts w:asciiTheme="minorHAnsi" w:eastAsiaTheme="minorEastAsia" w:hAnsiTheme="minorHAnsi" w:cstheme="minorBidi"/>
          <w:szCs w:val="22"/>
        </w:rPr>
      </w:pPr>
      <w:r>
        <w:t>8.</w:t>
      </w:r>
      <w:r>
        <w:tab/>
        <w:t>Continuing effect of things done under s. 97</w:t>
      </w:r>
      <w:r>
        <w:tab/>
      </w:r>
      <w:r>
        <w:fldChar w:fldCharType="begin"/>
      </w:r>
      <w:r>
        <w:instrText xml:space="preserve"> PAGEREF _Toc20390212 \h </w:instrText>
      </w:r>
      <w:r>
        <w:fldChar w:fldCharType="separate"/>
      </w:r>
      <w:r>
        <w:t>144</w:t>
      </w:r>
      <w:r>
        <w:fldChar w:fldCharType="end"/>
      </w:r>
    </w:p>
    <w:p>
      <w:pPr>
        <w:pStyle w:val="TOC8"/>
        <w:rPr>
          <w:rFonts w:asciiTheme="minorHAnsi" w:eastAsiaTheme="minorEastAsia" w:hAnsiTheme="minorHAnsi" w:cstheme="minorBidi"/>
          <w:szCs w:val="22"/>
        </w:rPr>
      </w:pPr>
      <w:r>
        <w:t>9.</w:t>
      </w:r>
      <w:r>
        <w:tab/>
        <w:t>Directions under s. 107</w:t>
      </w:r>
      <w:r>
        <w:tab/>
      </w:r>
      <w:r>
        <w:fldChar w:fldCharType="begin"/>
      </w:r>
      <w:r>
        <w:instrText xml:space="preserve"> PAGEREF _Toc20390213 \h </w:instrText>
      </w:r>
      <w:r>
        <w:fldChar w:fldCharType="separate"/>
      </w:r>
      <w:r>
        <w:t>145</w:t>
      </w:r>
      <w:r>
        <w:fldChar w:fldCharType="end"/>
      </w:r>
    </w:p>
    <w:p>
      <w:pPr>
        <w:pStyle w:val="TOC8"/>
        <w:rPr>
          <w:rFonts w:asciiTheme="minorHAnsi" w:eastAsiaTheme="minorEastAsia" w:hAnsiTheme="minorHAnsi" w:cstheme="minorBidi"/>
          <w:szCs w:val="22"/>
        </w:rPr>
      </w:pPr>
      <w:r>
        <w:t>10.</w:t>
      </w:r>
      <w:r>
        <w:tab/>
        <w:t>General savings as to acts of Commissioner</w:t>
      </w:r>
      <w:r>
        <w:tab/>
      </w:r>
      <w:r>
        <w:fldChar w:fldCharType="begin"/>
      </w:r>
      <w:r>
        <w:instrText xml:space="preserve"> PAGEREF _Toc20390214 \h </w:instrText>
      </w:r>
      <w:r>
        <w:fldChar w:fldCharType="separate"/>
      </w:r>
      <w:r>
        <w:t>145</w:t>
      </w:r>
      <w:r>
        <w:fldChar w:fldCharType="end"/>
      </w:r>
    </w:p>
    <w:p>
      <w:pPr>
        <w:pStyle w:val="TOC8"/>
        <w:rPr>
          <w:rFonts w:asciiTheme="minorHAnsi" w:eastAsiaTheme="minorEastAsia" w:hAnsiTheme="minorHAnsi" w:cstheme="minorBidi"/>
          <w:szCs w:val="22"/>
        </w:rPr>
      </w:pPr>
      <w:r>
        <w:t>11.</w:t>
      </w:r>
      <w:r>
        <w:tab/>
        <w:t>Power to amend subsidiary legislation</w:t>
      </w:r>
      <w:r>
        <w:tab/>
      </w:r>
      <w:r>
        <w:fldChar w:fldCharType="begin"/>
      </w:r>
      <w:r>
        <w:instrText xml:space="preserve"> PAGEREF _Toc20390215 \h </w:instrText>
      </w:r>
      <w:r>
        <w:fldChar w:fldCharType="separate"/>
      </w:r>
      <w:r>
        <w:t>145</w:t>
      </w:r>
      <w:r>
        <w:fldChar w:fldCharType="end"/>
      </w:r>
    </w:p>
    <w:p>
      <w:pPr>
        <w:pStyle w:val="TOC8"/>
        <w:rPr>
          <w:rFonts w:asciiTheme="minorHAnsi" w:eastAsiaTheme="minorEastAsia" w:hAnsiTheme="minorHAnsi" w:cstheme="minorBidi"/>
          <w:szCs w:val="22"/>
        </w:rPr>
      </w:pPr>
      <w:r>
        <w:t>12.</w:t>
      </w:r>
      <w:r>
        <w:tab/>
        <w:t>Transitional regulations</w:t>
      </w:r>
      <w:r>
        <w:tab/>
      </w:r>
      <w:r>
        <w:fldChar w:fldCharType="begin"/>
      </w:r>
      <w:r>
        <w:instrText xml:space="preserve"> PAGEREF _Toc20390216 \h </w:instrText>
      </w:r>
      <w:r>
        <w:fldChar w:fldCharType="separate"/>
      </w:r>
      <w:r>
        <w:t>145</w:t>
      </w:r>
      <w:r>
        <w:fldChar w:fldCharType="end"/>
      </w:r>
    </w:p>
    <w:p>
      <w:pPr>
        <w:pStyle w:val="TOC8"/>
        <w:rPr>
          <w:rFonts w:asciiTheme="minorHAnsi" w:eastAsiaTheme="minorEastAsia" w:hAnsiTheme="minorHAnsi" w:cstheme="minorBidi"/>
          <w:szCs w:val="22"/>
        </w:rPr>
      </w:pPr>
      <w:r>
        <w:t>13.</w:t>
      </w:r>
      <w:r>
        <w:tab/>
      </w:r>
      <w:r>
        <w:rPr>
          <w:i/>
          <w:iCs/>
        </w:rPr>
        <w:t>Interpretation Act 1984</w:t>
      </w:r>
      <w:r>
        <w:t xml:space="preserve"> not affected</w:t>
      </w:r>
      <w:r>
        <w:tab/>
      </w:r>
      <w:r>
        <w:fldChar w:fldCharType="begin"/>
      </w:r>
      <w:r>
        <w:instrText xml:space="preserve"> PAGEREF _Toc20390217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8 — </w:t>
      </w:r>
      <w:r>
        <w:rPr>
          <w:i/>
        </w:rPr>
        <w:t>Public Sector Reform Act 2010</w:t>
      </w:r>
      <w:r>
        <w:t xml:space="preserve"> </w:t>
      </w:r>
      <w:r>
        <w:rPr>
          <w:iCs/>
        </w:rPr>
        <w:t>Part 3 amendments: transitional provisions</w:t>
      </w:r>
    </w:p>
    <w:p>
      <w:pPr>
        <w:pStyle w:val="TOC8"/>
        <w:rPr>
          <w:rFonts w:asciiTheme="minorHAnsi" w:eastAsiaTheme="minorEastAsia" w:hAnsiTheme="minorHAnsi" w:cstheme="minorBidi"/>
          <w:szCs w:val="22"/>
        </w:rPr>
      </w:pPr>
      <w:r>
        <w:t>1.</w:t>
      </w:r>
      <w:r>
        <w:tab/>
        <w:t>Term used: commencement day</w:t>
      </w:r>
      <w:r>
        <w:tab/>
      </w:r>
      <w:r>
        <w:fldChar w:fldCharType="begin"/>
      </w:r>
      <w:r>
        <w:instrText xml:space="preserve"> PAGEREF _Toc20390219 \h </w:instrText>
      </w:r>
      <w:r>
        <w:fldChar w:fldCharType="separate"/>
      </w:r>
      <w:r>
        <w:t>147</w:t>
      </w:r>
      <w:r>
        <w:fldChar w:fldCharType="end"/>
      </w:r>
    </w:p>
    <w:p>
      <w:pPr>
        <w:pStyle w:val="TOC8"/>
        <w:rPr>
          <w:rFonts w:asciiTheme="minorHAnsi" w:eastAsiaTheme="minorEastAsia" w:hAnsiTheme="minorHAnsi" w:cstheme="minorBidi"/>
          <w:szCs w:val="22"/>
        </w:rPr>
      </w:pPr>
      <w:r>
        <w:t>2.</w:t>
      </w:r>
      <w:r>
        <w:tab/>
        <w:t>Disciplinary proceedings under Part 5 Div. 3</w:t>
      </w:r>
      <w:r>
        <w:tab/>
      </w:r>
      <w:r>
        <w:fldChar w:fldCharType="begin"/>
      </w:r>
      <w:r>
        <w:instrText xml:space="preserve"> PAGEREF _Toc20390220 \h </w:instrText>
      </w:r>
      <w:r>
        <w:fldChar w:fldCharType="separate"/>
      </w:r>
      <w:r>
        <w:t>147</w:t>
      </w:r>
      <w:r>
        <w:fldChar w:fldCharType="end"/>
      </w:r>
    </w:p>
    <w:p>
      <w:pPr>
        <w:pStyle w:val="TOC8"/>
        <w:rPr>
          <w:rFonts w:asciiTheme="minorHAnsi" w:eastAsiaTheme="minorEastAsia" w:hAnsiTheme="minorHAnsi" w:cstheme="minorBidi"/>
          <w:szCs w:val="22"/>
        </w:rPr>
      </w:pPr>
      <w:r>
        <w:t>3.</w:t>
      </w:r>
      <w:r>
        <w:tab/>
        <w:t>Suspensions under s. 82</w:t>
      </w:r>
      <w:r>
        <w:tab/>
      </w:r>
      <w:r>
        <w:fldChar w:fldCharType="begin"/>
      </w:r>
      <w:r>
        <w:instrText xml:space="preserve"> PAGEREF _Toc20390221 \h </w:instrText>
      </w:r>
      <w:r>
        <w:fldChar w:fldCharType="separate"/>
      </w:r>
      <w:r>
        <w:t>147</w:t>
      </w:r>
      <w:r>
        <w:fldChar w:fldCharType="end"/>
      </w:r>
    </w:p>
    <w:p>
      <w:pPr>
        <w:pStyle w:val="TOC8"/>
        <w:rPr>
          <w:rFonts w:asciiTheme="minorHAnsi" w:eastAsiaTheme="minorEastAsia" w:hAnsiTheme="minorHAnsi" w:cstheme="minorBidi"/>
          <w:szCs w:val="22"/>
        </w:rPr>
      </w:pPr>
      <w:r>
        <w:t>4.</w:t>
      </w:r>
      <w:r>
        <w:tab/>
        <w:t>Appeals under s. 78</w:t>
      </w:r>
      <w:r>
        <w:tab/>
      </w:r>
      <w:r>
        <w:fldChar w:fldCharType="begin"/>
      </w:r>
      <w:r>
        <w:instrText xml:space="preserve"> PAGEREF _Toc20390222 \h </w:instrText>
      </w:r>
      <w:r>
        <w:fldChar w:fldCharType="separate"/>
      </w:r>
      <w:r>
        <w:t>148</w:t>
      </w:r>
      <w:r>
        <w:fldChar w:fldCharType="end"/>
      </w:r>
    </w:p>
    <w:p>
      <w:pPr>
        <w:pStyle w:val="TOC8"/>
        <w:rPr>
          <w:rFonts w:asciiTheme="minorHAnsi" w:eastAsiaTheme="minorEastAsia" w:hAnsiTheme="minorHAnsi" w:cstheme="minorBidi"/>
          <w:szCs w:val="22"/>
        </w:rPr>
      </w:pPr>
      <w:r>
        <w:t>5.</w:t>
      </w:r>
      <w:r>
        <w:tab/>
        <w:t>Power to amend subsidiary legislation</w:t>
      </w:r>
      <w:r>
        <w:tab/>
      </w:r>
      <w:r>
        <w:fldChar w:fldCharType="begin"/>
      </w:r>
      <w:r>
        <w:instrText xml:space="preserve"> PAGEREF _Toc20390223 \h </w:instrText>
      </w:r>
      <w:r>
        <w:fldChar w:fldCharType="separate"/>
      </w:r>
      <w:r>
        <w:t>148</w:t>
      </w:r>
      <w:r>
        <w:fldChar w:fldCharType="end"/>
      </w:r>
    </w:p>
    <w:p>
      <w:pPr>
        <w:pStyle w:val="TOC8"/>
        <w:rPr>
          <w:rFonts w:asciiTheme="minorHAnsi" w:eastAsiaTheme="minorEastAsia" w:hAnsiTheme="minorHAnsi" w:cstheme="minorBidi"/>
          <w:szCs w:val="22"/>
        </w:rPr>
      </w:pPr>
      <w:r>
        <w:t>6.</w:t>
      </w:r>
      <w:r>
        <w:tab/>
        <w:t>Transitional regulations</w:t>
      </w:r>
      <w:r>
        <w:tab/>
      </w:r>
      <w:r>
        <w:fldChar w:fldCharType="begin"/>
      </w:r>
      <w:r>
        <w:instrText xml:space="preserve"> PAGEREF _Toc20390224 \h </w:instrText>
      </w:r>
      <w:r>
        <w:fldChar w:fldCharType="separate"/>
      </w:r>
      <w:r>
        <w:t>148</w:t>
      </w:r>
      <w:r>
        <w:fldChar w:fldCharType="end"/>
      </w:r>
    </w:p>
    <w:p>
      <w:pPr>
        <w:pStyle w:val="TOC8"/>
        <w:rPr>
          <w:rFonts w:asciiTheme="minorHAnsi" w:eastAsiaTheme="minorEastAsia" w:hAnsiTheme="minorHAnsi" w:cstheme="minorBidi"/>
          <w:szCs w:val="22"/>
        </w:rPr>
      </w:pPr>
      <w:r>
        <w:t>7.</w:t>
      </w:r>
      <w:r>
        <w:tab/>
      </w:r>
      <w:r>
        <w:rPr>
          <w:i/>
          <w:iCs/>
        </w:rPr>
        <w:t>Interpretation Act 1984</w:t>
      </w:r>
      <w:r>
        <w:t xml:space="preserve"> not affected</w:t>
      </w:r>
      <w:r>
        <w:tab/>
      </w:r>
      <w:r>
        <w:fldChar w:fldCharType="begin"/>
      </w:r>
      <w:r>
        <w:instrText xml:space="preserve"> PAGEREF _Toc20390225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_Toc20390227 \h </w:instrText>
      </w:r>
      <w:r>
        <w:fldChar w:fldCharType="separate"/>
      </w:r>
      <w:r>
        <w:t>150</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_Toc20390228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3" w:name="_Toc500422853"/>
      <w:bookmarkStart w:id="4" w:name="_Toc503259237"/>
      <w:bookmarkStart w:id="5" w:name="_Toc503265173"/>
      <w:bookmarkStart w:id="6" w:name="_Toc503880640"/>
      <w:bookmarkStart w:id="7" w:name="_Toc515436166"/>
      <w:bookmarkStart w:id="8" w:name="_Toc515436995"/>
      <w:bookmarkStart w:id="9" w:name="_Toc20390012"/>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r>
        <w:rPr>
          <w:rStyle w:val="CharPartText"/>
        </w:rPr>
        <w:t xml:space="preserve"> </w:t>
      </w:r>
    </w:p>
    <w:p>
      <w:pPr>
        <w:pStyle w:val="Heading5"/>
        <w:rPr>
          <w:snapToGrid w:val="0"/>
        </w:rPr>
      </w:pPr>
      <w:bookmarkStart w:id="10" w:name="_Toc20390013"/>
      <w:r>
        <w:rPr>
          <w:rStyle w:val="CharSectno"/>
        </w:rPr>
        <w:t>1</w:t>
      </w:r>
      <w:r>
        <w:rPr>
          <w:snapToGrid w:val="0"/>
        </w:rPr>
        <w:t>.</w:t>
      </w:r>
      <w:r>
        <w:rPr>
          <w:snapToGrid w:val="0"/>
        </w:rPr>
        <w:tab/>
        <w:t>Short title</w:t>
      </w:r>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1</w:t>
      </w:r>
      <w:r>
        <w:rPr>
          <w:snapToGrid w:val="0"/>
        </w:rPr>
        <w:t>.</w:t>
      </w:r>
    </w:p>
    <w:p>
      <w:pPr>
        <w:pStyle w:val="Heading5"/>
        <w:rPr>
          <w:snapToGrid w:val="0"/>
        </w:rPr>
      </w:pPr>
      <w:bookmarkStart w:id="11" w:name="_Toc20390014"/>
      <w:r>
        <w:rPr>
          <w:rStyle w:val="CharSectno"/>
        </w:rPr>
        <w:t>2</w:t>
      </w:r>
      <w:r>
        <w:rPr>
          <w:snapToGrid w:val="0"/>
        </w:rPr>
        <w:t>.</w:t>
      </w:r>
      <w:r>
        <w:rPr>
          <w:snapToGrid w:val="0"/>
        </w:rPr>
        <w:tab/>
        <w:t>Commencement</w:t>
      </w:r>
      <w:bookmarkEnd w:id="11"/>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2" w:name="_Toc20390015"/>
      <w:r>
        <w:rPr>
          <w:rStyle w:val="CharSectno"/>
        </w:rPr>
        <w:t>3</w:t>
      </w:r>
      <w:r>
        <w:rPr>
          <w:snapToGrid w:val="0"/>
        </w:rPr>
        <w:t>.</w:t>
      </w:r>
      <w:r>
        <w:rPr>
          <w:snapToGrid w:val="0"/>
        </w:rPr>
        <w:tab/>
        <w:t>Terms used</w:t>
      </w:r>
      <w:bookmarkEnd w:id="12"/>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agency</w:t>
      </w:r>
      <w:r>
        <w:t xml:space="preserve"> means — </w:t>
      </w:r>
    </w:p>
    <w:p>
      <w:pPr>
        <w:pStyle w:val="Defpara"/>
      </w:pPr>
      <w:r>
        <w:tab/>
        <w:t>(a)</w:t>
      </w:r>
      <w:r>
        <w:tab/>
        <w:t>a department; or</w:t>
      </w:r>
    </w:p>
    <w:p>
      <w:pPr>
        <w:pStyle w:val="Defpara"/>
      </w:pPr>
      <w:r>
        <w:tab/>
        <w:t>(b)</w:t>
      </w:r>
      <w:r>
        <w:tab/>
        <w:t>a SES organisation;</w:t>
      </w:r>
    </w:p>
    <w:p>
      <w:pPr>
        <w:pStyle w:val="Defstart"/>
      </w:pPr>
      <w:r>
        <w:rPr>
          <w:b/>
        </w:rPr>
        <w:tab/>
      </w:r>
      <w:r>
        <w:rPr>
          <w:rStyle w:val="CharDefText"/>
        </w:rPr>
        <w:t>appoint</w:t>
      </w:r>
      <w:r>
        <w:t xml:space="preserve"> includes promote;</w:t>
      </w:r>
    </w:p>
    <w:p>
      <w:pPr>
        <w:pStyle w:val="Defstart"/>
      </w:pPr>
      <w:r>
        <w:rPr>
          <w:b/>
        </w:rPr>
        <w:tab/>
      </w:r>
      <w:r>
        <w:rPr>
          <w:rStyle w:val="CharDefText"/>
        </w:rPr>
        <w:t>breach of discipline</w:t>
      </w:r>
      <w:r>
        <w:t xml:space="preserve"> means a breach of discipline referred to in section 80;</w:t>
      </w:r>
    </w:p>
    <w:p>
      <w:pPr>
        <w:pStyle w:val="Defstart"/>
        <w:keepNext/>
      </w:pPr>
      <w:r>
        <w:rPr>
          <w:b/>
        </w:rPr>
        <w:tab/>
      </w:r>
      <w:r>
        <w:rPr>
          <w:rStyle w:val="CharDefText"/>
        </w:rPr>
        <w:t>chief employee</w:t>
      </w:r>
      <w:r>
        <w:t xml:space="preserve"> means — </w:t>
      </w:r>
    </w:p>
    <w:p>
      <w:pPr>
        <w:pStyle w:val="Defpara"/>
      </w:pPr>
      <w:r>
        <w:tab/>
        <w:t>(a)</w:t>
      </w:r>
      <w:r>
        <w:tab/>
        <w:t>a chief employee of a non</w:t>
      </w:r>
      <w:r>
        <w:noBreakHyphen/>
        <w:t>SES organisation; or</w:t>
      </w:r>
    </w:p>
    <w:p>
      <w:pPr>
        <w:pStyle w:val="Defpara"/>
      </w:pPr>
      <w:r>
        <w:tab/>
        <w:t>(b)</w:t>
      </w:r>
      <w:r>
        <w:tab/>
        <w:t>a chief employee of an agency who is not a member of the Senior Executive Service; or</w:t>
      </w:r>
    </w:p>
    <w:p>
      <w:pPr>
        <w:pStyle w:val="Defpara"/>
      </w:pPr>
      <w:r>
        <w:tab/>
        <w:t>(c)</w:t>
      </w:r>
      <w:r>
        <w:tab/>
        <w:t>a person deemed to be a chief employee under regulations referred to in section 4;</w:t>
      </w:r>
    </w:p>
    <w:p>
      <w:pPr>
        <w:pStyle w:val="Defstart"/>
        <w:keepNext/>
      </w:pPr>
      <w:r>
        <w:rPr>
          <w:b/>
        </w:rPr>
        <w:tab/>
      </w:r>
      <w:r>
        <w:rPr>
          <w:rStyle w:val="CharDefText"/>
        </w:rPr>
        <w:t>chief executive officer</w:t>
      </w:r>
      <w:r>
        <w:t xml:space="preserve"> means — </w:t>
      </w:r>
    </w:p>
    <w:p>
      <w:pPr>
        <w:pStyle w:val="Defpara"/>
      </w:pPr>
      <w:r>
        <w:tab/>
        <w:t>(a)</w:t>
      </w:r>
      <w:r>
        <w:tab/>
        <w:t>a person holding office under Division 2 of Part 3 as the chief executive officer of an agency; or</w:t>
      </w:r>
    </w:p>
    <w:p>
      <w:pPr>
        <w:pStyle w:val="Defpara"/>
      </w:pPr>
      <w:r>
        <w:tab/>
        <w:t>(b)</w:t>
      </w:r>
      <w:r>
        <w:tab/>
        <w:t>a person deemed to be a chief executive officer under regulations referred to in section 4;</w:t>
      </w:r>
    </w:p>
    <w:p>
      <w:pPr>
        <w:pStyle w:val="Defstart"/>
      </w:pPr>
      <w:r>
        <w:rPr>
          <w:b/>
        </w:rPr>
        <w:tab/>
      </w:r>
      <w:r>
        <w:rPr>
          <w:rStyle w:val="CharDefText"/>
        </w:rPr>
        <w:t>classification system</w:t>
      </w:r>
      <w:r>
        <w:t xml:space="preserve"> means a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r>
      <w:r>
        <w:rPr>
          <w:rStyle w:val="CharDefText"/>
        </w:rPr>
        <w:t>code of conduct</w:t>
      </w:r>
      <w:r>
        <w:t xml:space="preserve"> means a code of conduct developed under section 21(1);</w:t>
      </w:r>
    </w:p>
    <w:p>
      <w:pPr>
        <w:pStyle w:val="Defstart"/>
      </w:pPr>
      <w:r>
        <w:tab/>
      </w:r>
      <w:r>
        <w:rPr>
          <w:rStyle w:val="CharDefText"/>
        </w:rPr>
        <w:t>code of ethics</w:t>
      </w:r>
      <w:r>
        <w:t xml:space="preserve"> means a code of ethics referred to in section 21(1) and established under the Commissioner’s instructions;</w:t>
      </w:r>
    </w:p>
    <w:p>
      <w:pPr>
        <w:pStyle w:val="Defstart"/>
      </w:pPr>
      <w:r>
        <w:tab/>
      </w:r>
      <w:r>
        <w:rPr>
          <w:rStyle w:val="CharDefText"/>
        </w:rPr>
        <w:t>Commissioner</w:t>
      </w:r>
      <w:r>
        <w:t xml:space="preserve"> means the person holding the office of Public Sector Commissioner established by section 16(1);</w:t>
      </w:r>
    </w:p>
    <w:p>
      <w:pPr>
        <w:pStyle w:val="Defstart"/>
      </w:pPr>
      <w:r>
        <w:tab/>
      </w:r>
      <w:r>
        <w:rPr>
          <w:rStyle w:val="CharDefText"/>
        </w:rPr>
        <w:t>Commissioner’s instructions</w:t>
      </w:r>
      <w:r>
        <w:t xml:space="preserve"> means instructions issued under section 22A;</w:t>
      </w:r>
    </w:p>
    <w:p>
      <w:pPr>
        <w:pStyle w:val="Defstart"/>
        <w:keepNext/>
      </w:pPr>
      <w:r>
        <w:rPr>
          <w:b/>
        </w:rPr>
        <w:tab/>
      </w:r>
      <w:r>
        <w:rPr>
          <w:rStyle w:val="CharDefText"/>
        </w:rPr>
        <w:t>compensation</w:t>
      </w:r>
      <w:r>
        <w:t>, in relation to an employee, does not include any payment made — </w:t>
      </w:r>
    </w:p>
    <w:p>
      <w:pPr>
        <w:pStyle w:val="Defpara"/>
      </w:pPr>
      <w:r>
        <w:tab/>
        <w:t>(a)</w:t>
      </w:r>
      <w:r>
        <w:tab/>
        <w:t>under section 56(5)(b) or 72(2)(b); or</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r>
      <w:r>
        <w:rPr>
          <w:rStyle w:val="CharDefText"/>
        </w:rPr>
        <w:t>department</w:t>
      </w:r>
      <w:r>
        <w:t xml:space="preserve"> means a department established under section 35;</w:t>
      </w:r>
    </w:p>
    <w:p>
      <w:pPr>
        <w:pStyle w:val="Defstart"/>
      </w:pPr>
      <w:r>
        <w:tab/>
      </w:r>
      <w:r>
        <w:rPr>
          <w:rStyle w:val="CharDefText"/>
        </w:rPr>
        <w:t>disciplinary action</w:t>
      </w:r>
      <w:r>
        <w:t xml:space="preserve"> has the meaning given in section 80A;</w:t>
      </w:r>
    </w:p>
    <w:p>
      <w:pPr>
        <w:pStyle w:val="Defstart"/>
      </w:pPr>
      <w:r>
        <w:rPr>
          <w:b/>
        </w:rPr>
        <w:tab/>
      </w:r>
      <w:r>
        <w:rPr>
          <w:rStyle w:val="CharDefText"/>
        </w:rPr>
        <w:t>document</w:t>
      </w:r>
      <w:r>
        <w:t xml:space="preserve"> includes a tape, disc or other device or medium on which information is recorded or stored electronically, mechanically, photographically or otherwise;</w:t>
      </w:r>
    </w:p>
    <w:p>
      <w:pPr>
        <w:pStyle w:val="Defstart"/>
      </w:pPr>
      <w:r>
        <w:rPr>
          <w:b/>
        </w:rPr>
        <w:tab/>
      </w:r>
      <w:r>
        <w:rPr>
          <w:rStyle w:val="CharDefText"/>
        </w:rPr>
        <w:t>employee</w:t>
      </w:r>
      <w:r>
        <w:t xml:space="preserve"> means a person employed in the Public Sector by or under an employing authority;</w:t>
      </w:r>
    </w:p>
    <w:p>
      <w:pPr>
        <w:pStyle w:val="Defstart"/>
      </w:pPr>
      <w:r>
        <w:rPr>
          <w:b/>
        </w:rPr>
        <w:tab/>
      </w:r>
      <w:r>
        <w:rPr>
          <w:rStyle w:val="CharDefText"/>
        </w:rPr>
        <w:t>employing authority</w:t>
      </w:r>
      <w:r>
        <w:t xml:space="preserve"> has the meaning given by section 5;</w:t>
      </w:r>
    </w:p>
    <w:p>
      <w:pPr>
        <w:pStyle w:val="Defstart"/>
      </w:pPr>
      <w:r>
        <w:rPr>
          <w:b/>
        </w:rPr>
        <w:tab/>
      </w:r>
      <w:r>
        <w:rPr>
          <w:rStyle w:val="CharDefText"/>
        </w:rPr>
        <w:t>executive officer</w:t>
      </w:r>
      <w:r>
        <w:t xml:space="preserve"> means a chief executive officer or senior executive officer;</w:t>
      </w:r>
    </w:p>
    <w:p>
      <w:pPr>
        <w:pStyle w:val="Defstart"/>
      </w:pPr>
      <w:r>
        <w:rPr>
          <w:b/>
        </w:rPr>
        <w:tab/>
      </w:r>
      <w:r>
        <w:rPr>
          <w:rStyle w:val="CharDefText"/>
        </w:rPr>
        <w:t>function</w:t>
      </w:r>
      <w:r>
        <w:t xml:space="preserve"> has the meaning given by section 5 of the </w:t>
      </w:r>
      <w:r>
        <w:rPr>
          <w:i/>
        </w:rPr>
        <w:t>Interpretation Act 1984</w:t>
      </w:r>
      <w:r>
        <w:t>;</w:t>
      </w:r>
    </w:p>
    <w:p>
      <w:pPr>
        <w:pStyle w:val="Defstart"/>
      </w:pPr>
      <w:r>
        <w:tab/>
      </w:r>
      <w:r>
        <w:rPr>
          <w:rStyle w:val="CharDefText"/>
        </w:rPr>
        <w:t>improvement action</w:t>
      </w:r>
      <w:r>
        <w:t xml:space="preserve"> means any one or more of the following actions by an employing authority in respect of an employee for the purpose of improving the performance or conduct of the employee — </w:t>
      </w:r>
    </w:p>
    <w:p>
      <w:pPr>
        <w:pStyle w:val="Defpara"/>
      </w:pPr>
      <w:r>
        <w:tab/>
        <w:t>(a)</w:t>
      </w:r>
      <w:r>
        <w:tab/>
        <w:t>counselling;</w:t>
      </w:r>
    </w:p>
    <w:p>
      <w:pPr>
        <w:pStyle w:val="Defpara"/>
      </w:pPr>
      <w:r>
        <w:tab/>
        <w:t>(b)</w:t>
      </w:r>
      <w:r>
        <w:tab/>
        <w:t>training and development;</w:t>
      </w:r>
    </w:p>
    <w:p>
      <w:pPr>
        <w:pStyle w:val="Defpara"/>
      </w:pPr>
      <w:r>
        <w:tab/>
        <w:t>(c)</w:t>
      </w:r>
      <w:r>
        <w:tab/>
        <w:t>issuing a warning to the employee that certain conduct is unacceptable or that the employee’s performance is not satisfactory;</w:t>
      </w:r>
    </w:p>
    <w:p>
      <w:pPr>
        <w:pStyle w:val="Defpara"/>
      </w:pPr>
      <w:r>
        <w:tab/>
        <w:t>(d)</w:t>
      </w:r>
      <w:r>
        <w:tab/>
        <w:t>any other action of a similar nature;</w:t>
      </w:r>
    </w:p>
    <w:p>
      <w:pPr>
        <w:pStyle w:val="Defstart"/>
      </w:pPr>
      <w:r>
        <w:rPr>
          <w:b/>
        </w:rPr>
        <w:tab/>
      </w:r>
      <w:r>
        <w:rPr>
          <w:rStyle w:val="CharDefText"/>
        </w:rPr>
        <w:t>Industrial Commission</w:t>
      </w:r>
      <w:r>
        <w:t xml:space="preserve"> has the meaning given to Commission by the </w:t>
      </w:r>
      <w:r>
        <w:rPr>
          <w:i/>
        </w:rPr>
        <w:t>Industrial Relations Act 1979</w:t>
      </w:r>
      <w:r>
        <w:t>;</w:t>
      </w:r>
    </w:p>
    <w:p>
      <w:pPr>
        <w:pStyle w:val="Defstart"/>
      </w:pPr>
      <w:r>
        <w:rPr>
          <w:b/>
        </w:rPr>
        <w:tab/>
      </w:r>
      <w:r>
        <w:rPr>
          <w:rStyle w:val="CharDefText"/>
        </w:rPr>
        <w:t>Minister</w:t>
      </w:r>
      <w:r>
        <w:t xml:space="preserve"> means the Minister to whom the administration of this Act is for the time being committed by the Governor;</w:t>
      </w:r>
    </w:p>
    <w:p>
      <w:pPr>
        <w:pStyle w:val="Defstart"/>
      </w:pPr>
      <w:r>
        <w:rPr>
          <w:b/>
        </w:rPr>
        <w:tab/>
      </w:r>
      <w:r>
        <w:rPr>
          <w:rStyle w:val="CharDefText"/>
        </w:rPr>
        <w:t>ministerial office</w:t>
      </w:r>
      <w:r>
        <w:t xml:space="preserve"> means one or more ministerial officers appointed to assist a particular political office holder;</w:t>
      </w:r>
    </w:p>
    <w:p>
      <w:pPr>
        <w:pStyle w:val="Defstart"/>
      </w:pPr>
      <w:r>
        <w:rPr>
          <w:b/>
        </w:rPr>
        <w:tab/>
      </w:r>
      <w:r>
        <w:rPr>
          <w:rStyle w:val="CharDefText"/>
        </w:rPr>
        <w:t>ministerial officer</w:t>
      </w:r>
      <w:r>
        <w:t xml:space="preserve"> means a person appointed under section 68 as a ministerial officer;</w:t>
      </w:r>
    </w:p>
    <w:p>
      <w:pPr>
        <w:pStyle w:val="Defstart"/>
        <w:keepNext/>
      </w:pPr>
      <w:r>
        <w:rPr>
          <w:b/>
        </w:rPr>
        <w:tab/>
      </w:r>
      <w:r>
        <w:rPr>
          <w:rStyle w:val="CharDefText"/>
        </w:rPr>
        <w:t>non</w:t>
      </w:r>
      <w:r>
        <w:rPr>
          <w:rStyle w:val="CharDefText"/>
        </w:rPr>
        <w:noBreakHyphen/>
        <w:t>SES organisation</w:t>
      </w:r>
      <w:r>
        <w:t xml:space="preserve"> means an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r>
      <w:r>
        <w:rPr>
          <w:rStyle w:val="CharDefText"/>
        </w:rPr>
        <w:t>organisation</w:t>
      </w:r>
      <w:r>
        <w:t xml:space="preserve"> means a non</w:t>
      </w:r>
      <w:r>
        <w:noBreakHyphen/>
        <w:t>SES organisation or SES organisation;</w:t>
      </w:r>
    </w:p>
    <w:p>
      <w:pPr>
        <w:pStyle w:val="Defstart"/>
      </w:pPr>
      <w:r>
        <w:rPr>
          <w:b/>
        </w:rPr>
        <w:tab/>
      </w:r>
      <w:r>
        <w:rPr>
          <w:rStyle w:val="CharDefText"/>
        </w:rPr>
        <w:t>performance agreement</w:t>
      </w:r>
      <w:r>
        <w:t xml:space="preserve"> means an agreement referred to in section 47(1) or clause 13(5) of Schedule 5;</w:t>
      </w:r>
    </w:p>
    <w:p>
      <w:pPr>
        <w:pStyle w:val="Defstart"/>
      </w:pPr>
      <w:r>
        <w:rPr>
          <w:b/>
        </w:rPr>
        <w:tab/>
      </w:r>
      <w:r>
        <w:rPr>
          <w:rStyle w:val="CharDefText"/>
        </w:rPr>
        <w:t>permanent officer</w:t>
      </w:r>
      <w:r>
        <w:t xml:space="preserve"> means a person appointed under section 64(1)(a) for an indefinite period;</w:t>
      </w:r>
    </w:p>
    <w:p>
      <w:pPr>
        <w:pStyle w:val="Defstart"/>
        <w:keepNext/>
      </w:pPr>
      <w:r>
        <w:rPr>
          <w:b/>
        </w:rPr>
        <w:tab/>
      </w:r>
      <w:r>
        <w:rPr>
          <w:rStyle w:val="CharDefText"/>
        </w:rPr>
        <w:t>political office holder</w:t>
      </w:r>
      <w:r>
        <w:t xml:space="preserve"> means — </w:t>
      </w:r>
    </w:p>
    <w:p>
      <w:pPr>
        <w:pStyle w:val="Defpara"/>
      </w:pPr>
      <w:r>
        <w:tab/>
        <w:t>(a)</w:t>
      </w:r>
      <w:r>
        <w:tab/>
        <w:t>a Minister; or</w:t>
      </w:r>
    </w:p>
    <w:p>
      <w:pPr>
        <w:pStyle w:val="Defpara"/>
      </w:pPr>
      <w:r>
        <w:tab/>
        <w:t>(b)</w:t>
      </w:r>
      <w:r>
        <w:tab/>
        <w:t>the Parliamentary Secretary of the Cabinet; or</w:t>
      </w:r>
    </w:p>
    <w:p>
      <w:pPr>
        <w:pStyle w:val="Defpara"/>
      </w:pPr>
      <w:r>
        <w:tab/>
        <w:t>(c)</w:t>
      </w:r>
      <w:r>
        <w:tab/>
        <w:t xml:space="preserve">a Parliamentary Secretary holding office under section 44A of the </w:t>
      </w:r>
      <w:r>
        <w:rPr>
          <w:i/>
        </w:rPr>
        <w:t>Constitution Acts Amendment Act 1899</w:t>
      </w:r>
      <w:r>
        <w:t>; or</w:t>
      </w:r>
    </w:p>
    <w:p>
      <w:pPr>
        <w:pStyle w:val="Defpara"/>
      </w:pPr>
      <w:r>
        <w:tab/>
        <w:t>(d)</w:t>
      </w:r>
      <w:r>
        <w:tab/>
        <w:t>the Government Whip; or</w:t>
      </w:r>
    </w:p>
    <w:p>
      <w:pPr>
        <w:pStyle w:val="Defpara"/>
      </w:pPr>
      <w:r>
        <w:tab/>
        <w:t>(e)</w:t>
      </w:r>
      <w:r>
        <w:tab/>
        <w:t>the Leader of the Opposition in the Legislative Council; or</w:t>
      </w:r>
    </w:p>
    <w:p>
      <w:pPr>
        <w:pStyle w:val="Defpara"/>
      </w:pPr>
      <w:r>
        <w:tab/>
        <w:t>(f)</w:t>
      </w:r>
      <w:r>
        <w:tab/>
        <w:t>the Leader of the Opposition in the Legislative Assembly; or</w:t>
      </w:r>
    </w:p>
    <w:p>
      <w:pPr>
        <w:pStyle w:val="Defpara"/>
      </w:pPr>
      <w:r>
        <w:tab/>
        <w:t>(g)</w:t>
      </w:r>
      <w:r>
        <w:tab/>
        <w:t>a person, if any, who, not being a Minister, is the leader of a party in the Legislative Assembly of at least 5 members, other than a party led by the Premier or by the Leader of the Opposition referred to in paragraph (f);</w:t>
      </w:r>
    </w:p>
    <w:p>
      <w:pPr>
        <w:pStyle w:val="Defstart"/>
        <w:outlineLvl w:val="0"/>
      </w:pPr>
      <w:r>
        <w:rPr>
          <w:b/>
        </w:rPr>
        <w:tab/>
      </w:r>
      <w:r>
        <w:rPr>
          <w:rStyle w:val="CharDefText"/>
        </w:rPr>
        <w:t>Public Sector</w:t>
      </w:r>
      <w:r>
        <w:t xml:space="preserve"> means all — </w:t>
      </w:r>
    </w:p>
    <w:p>
      <w:pPr>
        <w:pStyle w:val="Defpara"/>
      </w:pPr>
      <w:r>
        <w:tab/>
        <w:t>(a)</w:t>
      </w:r>
      <w:r>
        <w:tab/>
        <w:t>the agencies; and</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r>
      <w:r>
        <w:rPr>
          <w:rStyle w:val="CharDefText"/>
        </w:rPr>
        <w:t>public sector body</w:t>
      </w:r>
      <w:r>
        <w:t xml:space="preserve"> means an agency, ministerial office or non</w:t>
      </w:r>
      <w:r>
        <w:noBreakHyphen/>
        <w:t>SES organisation;</w:t>
      </w:r>
    </w:p>
    <w:p>
      <w:pPr>
        <w:pStyle w:val="Defstart"/>
      </w:pPr>
      <w:r>
        <w:tab/>
      </w:r>
      <w:r>
        <w:rPr>
          <w:rStyle w:val="CharDefText"/>
        </w:rPr>
        <w:t>public sector notice</w:t>
      </w:r>
      <w:r>
        <w:t xml:space="preserve"> means a notice issued by or under the authority of the Commissioner for the purposes of this Act that is published as a public sector notice in accordance with the Commissioner’s instructions;</w:t>
      </w:r>
    </w:p>
    <w:p>
      <w:pPr>
        <w:pStyle w:val="Defstart"/>
      </w:pPr>
      <w:r>
        <w:tab/>
      </w:r>
      <w:r>
        <w:rPr>
          <w:rStyle w:val="CharDefText"/>
        </w:rPr>
        <w:t>public sector standard</w:t>
      </w:r>
      <w:r>
        <w:t xml:space="preserve"> means a public sector standard referred to in section 21(1) and established under the Commissioner’s instructions;</w:t>
      </w:r>
    </w:p>
    <w:p>
      <w:pPr>
        <w:pStyle w:val="Defstart"/>
      </w:pPr>
      <w:r>
        <w:rPr>
          <w:b/>
        </w:rPr>
        <w:tab/>
      </w:r>
      <w:r>
        <w:rPr>
          <w:rStyle w:val="CharDefText"/>
        </w:rPr>
        <w:t>Public Service</w:t>
      </w:r>
      <w:r>
        <w:t xml:space="preserve"> means the Public Service as constituted under section 34;</w:t>
      </w:r>
    </w:p>
    <w:p>
      <w:pPr>
        <w:pStyle w:val="Defstart"/>
      </w:pPr>
      <w:r>
        <w:rPr>
          <w:b/>
        </w:rPr>
        <w:tab/>
      </w:r>
      <w:r>
        <w:rPr>
          <w:rStyle w:val="CharDefText"/>
        </w:rPr>
        <w:t>public service officer</w:t>
      </w:r>
      <w:r>
        <w:t xml:space="preserve"> means an executive officer, permanent officer or term officer employed in the Public Service under Part 3;</w:t>
      </w:r>
    </w:p>
    <w:p>
      <w:pPr>
        <w:pStyle w:val="Defstart"/>
      </w:pPr>
      <w:r>
        <w:rPr>
          <w:b/>
        </w:rPr>
        <w:tab/>
      </w:r>
      <w:r>
        <w:rPr>
          <w:rStyle w:val="CharDefText"/>
        </w:rPr>
        <w:t>remuneration</w:t>
      </w:r>
      <w:r>
        <w:t xml:space="preserve"> has the meaning given by the </w:t>
      </w:r>
      <w:r>
        <w:rPr>
          <w:i/>
        </w:rPr>
        <w:t>Salaries and Allowances Act 1975</w:t>
      </w:r>
      <w:r>
        <w:t>;</w:t>
      </w:r>
    </w:p>
    <w:p>
      <w:pPr>
        <w:pStyle w:val="Defstart"/>
      </w:pPr>
      <w:r>
        <w:rPr>
          <w:b/>
        </w:rPr>
        <w:tab/>
      </w:r>
      <w:r>
        <w:rPr>
          <w:rStyle w:val="CharDefText"/>
        </w:rPr>
        <w:t>repealed Act</w:t>
      </w:r>
      <w:r>
        <w:t xml:space="preserve"> means the </w:t>
      </w:r>
      <w:r>
        <w:rPr>
          <w:i/>
          <w:iCs/>
        </w:rPr>
        <w:t>Public</w:t>
      </w:r>
      <w:r>
        <w:rPr>
          <w:i/>
        </w:rPr>
        <w:t xml:space="preserve"> Service Act 1978</w:t>
      </w:r>
      <w:r>
        <w:t>;</w:t>
      </w:r>
    </w:p>
    <w:p>
      <w:pPr>
        <w:pStyle w:val="Defstart"/>
        <w:keepNext/>
      </w:pPr>
      <w:r>
        <w:rPr>
          <w:b/>
        </w:rPr>
        <w:tab/>
      </w:r>
      <w:r>
        <w:rPr>
          <w:rStyle w:val="CharDefText"/>
        </w:rPr>
        <w:t>responsible authority</w:t>
      </w:r>
      <w:r>
        <w:t>, in relation to a department or organisation, means — </w:t>
      </w:r>
    </w:p>
    <w:p>
      <w:pPr>
        <w:pStyle w:val="Defpara"/>
      </w:pPr>
      <w:r>
        <w:tab/>
        <w:t>(a)</w:t>
      </w:r>
      <w:r>
        <w:tab/>
        <w:t>a board, committee or other body for the time being administering the department or organisation; or</w:t>
      </w:r>
    </w:p>
    <w:p>
      <w:pPr>
        <w:pStyle w:val="Defpara"/>
      </w:pPr>
      <w:r>
        <w:tab/>
        <w:t>(b)</w:t>
      </w:r>
      <w:r>
        <w:tab/>
        <w:t>if there is no board, committee or other body referred to in paragraph (a), the Minister responsible for the department or organisation,</w:t>
      </w:r>
    </w:p>
    <w:p>
      <w:pPr>
        <w:pStyle w:val="Defstart"/>
      </w:pPr>
      <w:r>
        <w:tab/>
        <w:t>or, when used otherwise than in relation to a department or organisation, means a responsible authority of any department or organisation;</w:t>
      </w:r>
    </w:p>
    <w:p>
      <w:pPr>
        <w:pStyle w:val="Defstart"/>
      </w:pPr>
      <w:r>
        <w:rPr>
          <w:b/>
        </w:rPr>
        <w:tab/>
      </w:r>
      <w:r>
        <w:rPr>
          <w:rStyle w:val="CharDefText"/>
        </w:rPr>
        <w:t>senior executive officer</w:t>
      </w:r>
      <w:r>
        <w:t xml:space="preserve"> means a member of the Senior Executive Service other than a chief executive officer;</w:t>
      </w:r>
    </w:p>
    <w:p>
      <w:pPr>
        <w:pStyle w:val="Defstart"/>
      </w:pPr>
      <w:r>
        <w:rPr>
          <w:b/>
        </w:rPr>
        <w:tab/>
      </w:r>
      <w:r>
        <w:rPr>
          <w:rStyle w:val="CharDefText"/>
        </w:rPr>
        <w:t>Senior Executive Service</w:t>
      </w:r>
      <w:r>
        <w:t xml:space="preserve"> means the Senior Executive Service as constituted under section 43;</w:t>
      </w:r>
    </w:p>
    <w:p>
      <w:pPr>
        <w:pStyle w:val="Defstart"/>
        <w:keepNext/>
      </w:pPr>
      <w:r>
        <w:rPr>
          <w:b/>
        </w:rPr>
        <w:tab/>
      </w:r>
      <w:r>
        <w:rPr>
          <w:rStyle w:val="CharDefText"/>
        </w:rPr>
        <w:t>SES organisation</w:t>
      </w:r>
      <w:r>
        <w:t xml:space="preserve"> means an entity which consists of — </w:t>
      </w:r>
    </w:p>
    <w:p>
      <w:pPr>
        <w:pStyle w:val="Defpara"/>
        <w:keepNext/>
      </w:pPr>
      <w:r>
        <w:tab/>
        <w:t>(a)</w:t>
      </w:r>
      <w:r>
        <w:tab/>
        <w:t>a body, whether corporate or unincorporate, or the holder of an office, post or position, being a body or office, post or position — </w:t>
      </w:r>
    </w:p>
    <w:p>
      <w:pPr>
        <w:pStyle w:val="Defsubpara"/>
      </w:pPr>
      <w:r>
        <w:tab/>
        <w:t>(i)</w:t>
      </w:r>
      <w:r>
        <w:tab/>
        <w:t>established or continued for a public purpose under a written law; and</w:t>
      </w:r>
    </w:p>
    <w:p>
      <w:pPr>
        <w:pStyle w:val="Defsubpara"/>
      </w:pPr>
      <w:r>
        <w:tab/>
        <w:t>(ii)</w:t>
      </w:r>
      <w: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keepNext/>
      </w:pPr>
      <w:r>
        <w:tab/>
      </w:r>
      <w:r>
        <w:rPr>
          <w:rStyle w:val="CharDefText"/>
        </w:rPr>
        <w:t>special disciplinary inquiry</w:t>
      </w:r>
      <w:r>
        <w:t xml:space="preserve"> means a special disciplinary inquiry held under section 87;</w:t>
      </w:r>
    </w:p>
    <w:p>
      <w:pPr>
        <w:pStyle w:val="Defstart"/>
      </w:pPr>
      <w:r>
        <w:tab/>
      </w:r>
      <w:r>
        <w:rPr>
          <w:rStyle w:val="CharDefText"/>
        </w:rPr>
        <w:t>special inquirer</w:t>
      </w:r>
      <w:r>
        <w:t xml:space="preserve"> means a person or persons appointed under section 24H to carry out a special inquiry;</w:t>
      </w:r>
    </w:p>
    <w:p>
      <w:pPr>
        <w:pStyle w:val="Defstart"/>
      </w:pPr>
      <w:r>
        <w:tab/>
      </w:r>
      <w:r>
        <w:rPr>
          <w:rStyle w:val="CharDefText"/>
        </w:rPr>
        <w:t>special inquiry</w:t>
      </w:r>
      <w:r>
        <w:t xml:space="preserve"> means a special inquiry held under section 24H;</w:t>
      </w:r>
    </w:p>
    <w:p>
      <w:pPr>
        <w:pStyle w:val="Defstart"/>
      </w:pPr>
      <w:r>
        <w:rPr>
          <w:b/>
        </w:rPr>
        <w:tab/>
      </w:r>
      <w:r>
        <w:rPr>
          <w:rStyle w:val="CharDefText"/>
        </w:rPr>
        <w:t>substandard performance</w:t>
      </w:r>
      <w:r>
        <w:t xml:space="preserve"> means performance which is substandard within the meaning of section 79;</w:t>
      </w:r>
    </w:p>
    <w:p>
      <w:pPr>
        <w:pStyle w:val="Defstart"/>
      </w:pPr>
      <w:r>
        <w:rPr>
          <w:b/>
        </w:rPr>
        <w:tab/>
      </w:r>
      <w:r>
        <w:rPr>
          <w:rStyle w:val="CharDefText"/>
        </w:rPr>
        <w:t>term officer</w:t>
      </w:r>
      <w:r>
        <w:t xml:space="preserve"> means a person appointed under section 64(1)(b) for a term not exceeding 5 years;</w:t>
      </w:r>
    </w:p>
    <w:p>
      <w:pPr>
        <w:pStyle w:val="Defstart"/>
      </w:pPr>
      <w:r>
        <w:rPr>
          <w:b/>
        </w:rPr>
        <w:tab/>
      </w:r>
      <w:r>
        <w:rPr>
          <w:rStyle w:val="CharDefText"/>
        </w:rPr>
        <w:t>this Act</w:t>
      </w:r>
      <w:r>
        <w:t xml:space="preserve"> includes subsidiary legislation in force under this Act.</w:t>
      </w:r>
    </w:p>
    <w:p>
      <w:pPr>
        <w:pStyle w:val="Ednotesubsection"/>
      </w:pPr>
      <w:r>
        <w:tab/>
        <w:t>[(2)</w:t>
      </w:r>
      <w:r>
        <w:tab/>
        <w:t>deleted]</w:t>
      </w:r>
    </w:p>
    <w:p>
      <w:pPr>
        <w:pStyle w:val="Subsection"/>
        <w:keepNext/>
        <w:rPr>
          <w:snapToGrid w:val="0"/>
        </w:rPr>
      </w:pPr>
      <w:r>
        <w:rPr>
          <w:snapToGrid w:val="0"/>
        </w:rPr>
        <w:tab/>
        <w:t>(3)</w:t>
      </w:r>
      <w:r>
        <w:rPr>
          <w:snapToGrid w:val="0"/>
        </w:rPr>
        <w:tab/>
        <w:t xml:space="preserve">For the purposes of the definition of </w:t>
      </w:r>
      <w:r>
        <w:rPr>
          <w:b/>
          <w:i/>
          <w:snapToGrid w:val="0"/>
        </w:rPr>
        <w:t>responsible authority</w:t>
      </w:r>
      <w:r>
        <w:rPr>
          <w:snapToGrid w:val="0"/>
        </w:rPr>
        <w:t xml:space="preserve">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responsible for a public sector body of a particular kind is a reference to the Minister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w:t>
      </w:r>
      <w:r>
        <w:t xml:space="preserve"> State</w:t>
      </w:r>
      <w:r>
        <w:rPr>
          <w:snapToGrid w:val="0"/>
        </w:rPr>
        <w:t xml:space="preserve">, be construed as a reference to the person being so employed for and on behalf of the </w:t>
      </w:r>
      <w:r>
        <w:t>State</w:t>
      </w:r>
      <w:r>
        <w:rPr>
          <w:snapToGrid w:val="0"/>
        </w:rPr>
        <w:t xml:space="preserve"> or as a reference, in relation to the person, to the employing authority as being his or her employing authority for and on behalf of the</w:t>
      </w:r>
      <w:r>
        <w:t xml:space="preserve"> State</w:t>
      </w:r>
      <w:r>
        <w:rPr>
          <w:snapToGrid w:val="0"/>
        </w:rPr>
        <w:t>, as the case requires.</w:t>
      </w:r>
    </w:p>
    <w:p>
      <w:pPr>
        <w:pStyle w:val="Footnotesection"/>
      </w:pPr>
      <w:r>
        <w:tab/>
        <w:t>[Section 3 amended: No. 39 of 2010 s. 4, 68, 70 and 92.]</w:t>
      </w:r>
    </w:p>
    <w:p>
      <w:pPr>
        <w:pStyle w:val="Heading5"/>
        <w:keepNext w:val="0"/>
        <w:keepLines w:val="0"/>
        <w:pageBreakBefore/>
        <w:spacing w:before="0"/>
        <w:rPr>
          <w:snapToGrid w:val="0"/>
        </w:rPr>
      </w:pPr>
      <w:bookmarkStart w:id="13" w:name="_Toc20390016"/>
      <w:r>
        <w:rPr>
          <w:rStyle w:val="CharSectno"/>
        </w:rPr>
        <w:t>4</w:t>
      </w:r>
      <w:r>
        <w:rPr>
          <w:snapToGrid w:val="0"/>
        </w:rPr>
        <w:t>.</w:t>
      </w:r>
      <w:r>
        <w:rPr>
          <w:snapToGrid w:val="0"/>
        </w:rPr>
        <w:tab/>
        <w:t>Persons deemed to be CEOs or chief employees</w:t>
      </w:r>
      <w:bookmarkEnd w:id="13"/>
      <w:r>
        <w:rPr>
          <w:snapToGrid w:val="0"/>
        </w:rPr>
        <w:t xml:space="preserve"> </w:t>
      </w:r>
    </w:p>
    <w:p>
      <w:pPr>
        <w:pStyle w:val="Subsection"/>
      </w:pPr>
      <w:r>
        <w:tab/>
        <w:t>(1)</w:t>
      </w:r>
      <w:r>
        <w:tab/>
        <w:t>The Commissioner is deemed to be the chief executive officer of the department principally assisting in the administration of this Act.</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Footnotesection"/>
      </w:pPr>
      <w:r>
        <w:tab/>
        <w:t>[Section 4 amended: No. 39 of 2010 s. 5.]</w:t>
      </w:r>
    </w:p>
    <w:p>
      <w:pPr>
        <w:pStyle w:val="Heading5"/>
        <w:rPr>
          <w:snapToGrid w:val="0"/>
        </w:rPr>
      </w:pPr>
      <w:bookmarkStart w:id="14" w:name="_Toc20390017"/>
      <w:r>
        <w:rPr>
          <w:rStyle w:val="CharSectno"/>
        </w:rPr>
        <w:t>5</w:t>
      </w:r>
      <w:r>
        <w:rPr>
          <w:snapToGrid w:val="0"/>
        </w:rPr>
        <w:t>.</w:t>
      </w:r>
      <w:r>
        <w:rPr>
          <w:snapToGrid w:val="0"/>
        </w:rPr>
        <w:tab/>
        <w:t>Term used: employing authority</w:t>
      </w:r>
      <w:bookmarkEnd w:id="14"/>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r>
      <w:r>
        <w:rPr>
          <w:rStyle w:val="CharDefText"/>
        </w:rPr>
        <w:t>employing authority</w:t>
      </w:r>
      <w:r>
        <w:t xml:space="preserve"> means, in relation to — </w:t>
      </w:r>
    </w:p>
    <w:p>
      <w:pPr>
        <w:pStyle w:val="Defpara"/>
      </w:pPr>
      <w:r>
        <w:tab/>
        <w:t>(a)</w:t>
      </w:r>
      <w:r>
        <w:tab/>
        <w:t>a chief executive officer (other than a chief executive officer referred to in section 4), the Commissioner; or</w:t>
      </w:r>
    </w:p>
    <w:p>
      <w:pPr>
        <w:pStyle w:val="Defpara"/>
      </w:pPr>
      <w:r>
        <w:tab/>
        <w:t>(b)</w:t>
      </w:r>
      <w:r>
        <w:tab/>
        <w:t>a chief employee (other than a chief employee referred to in section 4), the person or board, committee or other body specified by a written law as being the employer of the chief employee; or</w:t>
      </w:r>
    </w:p>
    <w:p>
      <w:pPr>
        <w:pStyle w:val="Defpara"/>
      </w:pPr>
      <w:r>
        <w:tab/>
        <w:t>(c)</w:t>
      </w:r>
      <w:r>
        <w:tab/>
        <w:t>a department or organisation or an employee (other than a chief executive officer or chief employee) employed in a department or organisation — </w:t>
      </w:r>
    </w:p>
    <w:p>
      <w:pPr>
        <w:pStyle w:val="Defsubpara"/>
        <w:keepLines w:val="0"/>
      </w:pPr>
      <w:r>
        <w:tab/>
        <w:t>(i)</w:t>
      </w:r>
      <w:r>
        <w:tab/>
        <w:t>subject to subparagraph (iii), if a chief executive officer or chief employee is the accountable authority of the department or organisation, the chief executive officer or chief employee; or</w:t>
      </w:r>
    </w:p>
    <w:p>
      <w:pPr>
        <w:pStyle w:val="Defsubpara"/>
        <w:keepLines w:val="0"/>
      </w:pPr>
      <w:r>
        <w:tab/>
        <w:t>(ii)</w:t>
      </w:r>
      <w:r>
        <w:tab/>
        <w:t>subject to subparagraph (iii), if a board, committee or other body established under a written law is the accountable authority of the department or organisation, that board, committee or other body; or</w:t>
      </w:r>
    </w:p>
    <w:p>
      <w:pPr>
        <w:pStyle w:val="Defsubpara"/>
        <w:keepLines w:val="0"/>
      </w:pPr>
      <w:r>
        <w:tab/>
        <w:t>(iii)</w:t>
      </w:r>
      <w: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and</w:t>
      </w:r>
    </w:p>
    <w:p>
      <w:pPr>
        <w:pStyle w:val="Indenti"/>
        <w:keepNext/>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pPr>
      <w:r>
        <w:tab/>
        <w:t>(b)</w:t>
      </w:r>
      <w:r>
        <w:tab/>
      </w:r>
      <w:r>
        <w:rPr>
          <w:rStyle w:val="CharDefText"/>
        </w:rPr>
        <w:t>accountable authority</w:t>
      </w:r>
      <w:r>
        <w:rPr>
          <w:bCs/>
        </w:rPr>
        <w:t xml:space="preserve"> has the meaning given by section 3 of the </w:t>
      </w:r>
      <w:r>
        <w:rPr>
          <w:bCs/>
          <w:i/>
          <w:iCs/>
        </w:rPr>
        <w:t>Financial Management Act 2006</w:t>
      </w:r>
      <w:r>
        <w:rPr>
          <w:bCs/>
        </w:rPr>
        <w:t>.</w:t>
      </w:r>
    </w:p>
    <w:p>
      <w:pPr>
        <w:pStyle w:val="Subsection"/>
        <w:rPr>
          <w:snapToGrid w:val="0"/>
        </w:rPr>
      </w:pPr>
      <w:r>
        <w:rPr>
          <w:snapToGrid w:val="0"/>
        </w:rPr>
        <w:tab/>
        <w:t>(3)</w:t>
      </w:r>
      <w:r>
        <w:rPr>
          <w:snapToGrid w:val="0"/>
        </w:rPr>
        <w:tab/>
        <w:t xml:space="preserve">Despite anything in paragraph (c) of the definition of </w:t>
      </w:r>
      <w:r>
        <w:rPr>
          <w:b/>
          <w:i/>
          <w:snapToGrid w:val="0"/>
        </w:rPr>
        <w:t>employing authority</w:t>
      </w:r>
      <w:r>
        <w:rPr>
          <w:snapToGrid w:val="0"/>
        </w:rPr>
        <w:t xml:space="preserve">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Footnotesection"/>
      </w:pPr>
      <w:r>
        <w:tab/>
        <w:t>[Section 5 amended: No. 77 of 2006 s. 6 and 7; No. 39 of 2010 s. 6, 68 and 70.]</w:t>
      </w:r>
    </w:p>
    <w:p>
      <w:pPr>
        <w:pStyle w:val="Heading5"/>
        <w:rPr>
          <w:snapToGrid w:val="0"/>
        </w:rPr>
      </w:pPr>
      <w:bookmarkStart w:id="15" w:name="_Toc20390018"/>
      <w:r>
        <w:rPr>
          <w:rStyle w:val="CharSectno"/>
        </w:rPr>
        <w:t>6</w:t>
      </w:r>
      <w:r>
        <w:rPr>
          <w:snapToGrid w:val="0"/>
        </w:rPr>
        <w:t>.</w:t>
      </w:r>
      <w:r>
        <w:rPr>
          <w:snapToGrid w:val="0"/>
        </w:rPr>
        <w:tab/>
        <w:t xml:space="preserve">Crown bound; application of </w:t>
      </w:r>
      <w:smartTag w:uri="urn:schemas-microsoft-com:office:smarttags" w:element="place">
        <w:smartTag w:uri="urn:schemas-microsoft-com:office:smarttags" w:element="State">
          <w:r>
            <w:rPr>
              <w:i/>
              <w:snapToGrid w:val="0"/>
            </w:rPr>
            <w:t>Ind</w:t>
          </w:r>
        </w:smartTag>
        <w:r>
          <w:rPr>
            <w:i/>
            <w:snapToGrid w:val="0"/>
          </w:rPr>
          <w:t>us</w:t>
        </w:r>
      </w:smartTag>
      <w:r>
        <w:rPr>
          <w:i/>
          <w:snapToGrid w:val="0"/>
        </w:rPr>
        <w:t>trial Relations Act 1979</w:t>
      </w:r>
      <w:bookmarkEnd w:id="15"/>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16" w:name="_Toc500422860"/>
      <w:bookmarkStart w:id="17" w:name="_Toc503259244"/>
      <w:bookmarkStart w:id="18" w:name="_Toc503265180"/>
      <w:bookmarkStart w:id="19" w:name="_Toc503880647"/>
      <w:bookmarkStart w:id="20" w:name="_Toc515436173"/>
      <w:bookmarkStart w:id="21" w:name="_Toc515437002"/>
      <w:bookmarkStart w:id="22" w:name="_Toc20390019"/>
      <w:r>
        <w:rPr>
          <w:rStyle w:val="CharPartNo"/>
        </w:rPr>
        <w:t>Part 2</w:t>
      </w:r>
      <w:r>
        <w:rPr>
          <w:rStyle w:val="CharDivNo"/>
        </w:rPr>
        <w:t> </w:t>
      </w:r>
      <w:r>
        <w:t>—</w:t>
      </w:r>
      <w:r>
        <w:rPr>
          <w:rStyle w:val="CharDivText"/>
        </w:rPr>
        <w:t> </w:t>
      </w:r>
      <w:r>
        <w:rPr>
          <w:rStyle w:val="CharPartText"/>
        </w:rPr>
        <w:t>Public Sector principles</w:t>
      </w:r>
      <w:bookmarkEnd w:id="16"/>
      <w:bookmarkEnd w:id="17"/>
      <w:bookmarkEnd w:id="18"/>
      <w:bookmarkEnd w:id="19"/>
      <w:bookmarkEnd w:id="20"/>
      <w:bookmarkEnd w:id="21"/>
      <w:bookmarkEnd w:id="22"/>
    </w:p>
    <w:p>
      <w:pPr>
        <w:pStyle w:val="Footnoteheading"/>
        <w:rPr>
          <w:i w:val="0"/>
        </w:rPr>
      </w:pPr>
      <w:r>
        <w:tab/>
        <w:t>[Heading inserted: No. 39 of 2010 s. 7.]</w:t>
      </w:r>
    </w:p>
    <w:p>
      <w:pPr>
        <w:pStyle w:val="Ednotedivision"/>
      </w:pPr>
      <w:r>
        <w:t>[Division 1 heading deleted: No. 39 of 2010 s. 8.]</w:t>
      </w:r>
    </w:p>
    <w:p>
      <w:pPr>
        <w:pStyle w:val="Heading5"/>
        <w:rPr>
          <w:snapToGrid w:val="0"/>
        </w:rPr>
      </w:pPr>
      <w:bookmarkStart w:id="23" w:name="_Toc20390020"/>
      <w:r>
        <w:rPr>
          <w:rStyle w:val="CharSectno"/>
        </w:rPr>
        <w:t>7</w:t>
      </w:r>
      <w:r>
        <w:rPr>
          <w:snapToGrid w:val="0"/>
        </w:rPr>
        <w:t>.</w:t>
      </w:r>
      <w:r>
        <w:rPr>
          <w:snapToGrid w:val="0"/>
        </w:rPr>
        <w:tab/>
        <w:t>Public administration and management principles</w:t>
      </w:r>
      <w:bookmarkEnd w:id="23"/>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 and</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 and</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 and</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 and</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 and</w:t>
      </w:r>
    </w:p>
    <w:p>
      <w:pPr>
        <w:pStyle w:val="Indenta"/>
        <w:rPr>
          <w:snapToGrid w:val="0"/>
        </w:rPr>
      </w:pPr>
      <w:r>
        <w:rPr>
          <w:snapToGrid w:val="0"/>
        </w:rPr>
        <w:tab/>
        <w:t>(f)</w:t>
      </w:r>
      <w:r>
        <w:rPr>
          <w:snapToGrid w:val="0"/>
        </w:rPr>
        <w:tab/>
        <w:t>resources are to be deployed so as to ensure their most efficient and effective use; and</w:t>
      </w:r>
    </w:p>
    <w:p>
      <w:pPr>
        <w:pStyle w:val="Indenta"/>
        <w:rPr>
          <w:snapToGrid w:val="0"/>
        </w:rPr>
      </w:pPr>
      <w:r>
        <w:rPr>
          <w:snapToGrid w:val="0"/>
        </w:rPr>
        <w:tab/>
      </w:r>
      <w:r>
        <w:rPr>
          <w:rFonts w:ascii="Times" w:hAnsi="Times"/>
          <w:snapToGrid w:val="0"/>
        </w:rPr>
        <w:t>(</w:t>
      </w:r>
      <w:r>
        <w:rPr>
          <w:snapToGrid w:val="0"/>
        </w:rPr>
        <w:t>g)</w:t>
      </w:r>
      <w:r>
        <w:rPr>
          <w:snapToGrid w:val="0"/>
        </w:rPr>
        <w:tab/>
        <w:t>proper standards of financial management and accounting are to be maintained at all times; and</w:t>
      </w:r>
    </w:p>
    <w:p>
      <w:pPr>
        <w:pStyle w:val="Indenta"/>
        <w:rPr>
          <w:snapToGrid w:val="0"/>
        </w:rPr>
      </w:pPr>
      <w:r>
        <w:rPr>
          <w:snapToGrid w:val="0"/>
        </w:rPr>
        <w:tab/>
        <w:t>(h)</w:t>
      </w:r>
      <w:r>
        <w:rPr>
          <w:snapToGrid w:val="0"/>
        </w:rPr>
        <w:tab/>
        <w:t>proper standards are to be maintained at all times in the creation, management, maintenance and retention of records.</w:t>
      </w:r>
    </w:p>
    <w:p>
      <w:pPr>
        <w:pStyle w:val="Heading5"/>
        <w:rPr>
          <w:snapToGrid w:val="0"/>
        </w:rPr>
      </w:pPr>
      <w:bookmarkStart w:id="24" w:name="_Toc20390021"/>
      <w:r>
        <w:rPr>
          <w:rStyle w:val="CharSectno"/>
        </w:rPr>
        <w:t>8</w:t>
      </w:r>
      <w:r>
        <w:rPr>
          <w:snapToGrid w:val="0"/>
        </w:rPr>
        <w:t>.</w:t>
      </w:r>
      <w:r>
        <w:rPr>
          <w:snapToGrid w:val="0"/>
        </w:rPr>
        <w:tab/>
        <w:t>Human resource management principles</w:t>
      </w:r>
      <w:bookmarkEnd w:id="24"/>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 and</w:t>
      </w:r>
    </w:p>
    <w:p>
      <w:pPr>
        <w:pStyle w:val="Indenta"/>
        <w:rPr>
          <w:snapToGrid w:val="0"/>
        </w:rPr>
      </w:pPr>
      <w:r>
        <w:rPr>
          <w:snapToGrid w:val="0"/>
        </w:rPr>
        <w:tab/>
        <w:t>(b)</w:t>
      </w:r>
      <w:r>
        <w:rPr>
          <w:snapToGrid w:val="0"/>
        </w:rPr>
        <w:tab/>
        <w:t>no power with regard to human resource management is to be exercised on the basis of nepotism or patronage; and</w:t>
      </w:r>
    </w:p>
    <w:p>
      <w:pPr>
        <w:pStyle w:val="Indenta"/>
        <w:rPr>
          <w:snapToGrid w:val="0"/>
        </w:rPr>
      </w:pPr>
      <w:r>
        <w:rPr>
          <w:snapToGrid w:val="0"/>
        </w:rPr>
        <w:tab/>
        <w:t>(c)</w:t>
      </w:r>
      <w:r>
        <w:rPr>
          <w:snapToGrid w:val="0"/>
        </w:rPr>
        <w:tab/>
        <w:t>employees are to be treated fairly and consistently and are not to be subjected to arbitrary or capricious administrative acts; and</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keepNext/>
        <w:rPr>
          <w:snapToGrid w:val="0"/>
        </w:rPr>
      </w:pPr>
      <w:r>
        <w:rPr>
          <w:snapToGrid w:val="0"/>
        </w:rPr>
        <w:tab/>
        <w:t>(b)</w:t>
      </w:r>
      <w:r>
        <w:rPr>
          <w:snapToGrid w:val="0"/>
        </w:rPr>
        <w:tab/>
        <w:t>the classification of a particular office, post or position,</w:t>
      </w:r>
    </w:p>
    <w:p>
      <w:pPr>
        <w:pStyle w:val="Subsection"/>
        <w:rPr>
          <w:snapToGrid w:val="0"/>
        </w:rPr>
      </w:pPr>
      <w:r>
        <w:rPr>
          <w:snapToGrid w:val="0"/>
        </w:rPr>
        <w:tab/>
      </w:r>
      <w:r>
        <w:rPr>
          <w:snapToGrid w:val="0"/>
        </w:rPr>
        <w:tab/>
        <w:t>in its department or organisation, an employing authority is not subject to any direction given, whether under any written law or otherwise, by the Minister responsible for the department or organisation, but shall, subject to this Act, act independently.</w:t>
      </w:r>
    </w:p>
    <w:p>
      <w:pPr>
        <w:pStyle w:val="Subsection"/>
      </w:pPr>
      <w:r>
        <w:tab/>
        <w:t>(3)</w:t>
      </w:r>
      <w:r>
        <w:tab/>
        <w:t>For the purposes of this Act a proper assessment of merit in a selection process must be carried out in accordance with the relevant Commissioner’s instructions and does not always require a competitive assessment of merit.</w:t>
      </w:r>
    </w:p>
    <w:p>
      <w:pPr>
        <w:pStyle w:val="Footnotesection"/>
        <w:keepLines w:val="0"/>
      </w:pPr>
      <w:r>
        <w:tab/>
        <w:t xml:space="preserve">[Section 8 amended: No. 30 of 1995 s. 48; No. 39 of 2010 s. 9, 68 and 70.] </w:t>
      </w:r>
    </w:p>
    <w:p>
      <w:pPr>
        <w:pStyle w:val="Heading5"/>
        <w:rPr>
          <w:snapToGrid w:val="0"/>
        </w:rPr>
      </w:pPr>
      <w:bookmarkStart w:id="25" w:name="_Toc20390022"/>
      <w:r>
        <w:rPr>
          <w:rStyle w:val="CharSectno"/>
        </w:rPr>
        <w:t>9</w:t>
      </w:r>
      <w:r>
        <w:rPr>
          <w:snapToGrid w:val="0"/>
        </w:rPr>
        <w:t>.</w:t>
      </w:r>
      <w:r>
        <w:rPr>
          <w:snapToGrid w:val="0"/>
        </w:rPr>
        <w:tab/>
        <w:t>Principles of conduct by public sector bodies etc.</w:t>
      </w:r>
      <w:bookmarkEnd w:id="25"/>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 and</w:t>
      </w:r>
    </w:p>
    <w:p>
      <w:pPr>
        <w:pStyle w:val="Indenti"/>
      </w:pPr>
      <w:r>
        <w:tab/>
        <w:t>(ii)</w:t>
      </w:r>
      <w:r>
        <w:tab/>
        <w:t>the Commissioner’s instructions, 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Footnotesection"/>
        <w:keepLines w:val="0"/>
      </w:pPr>
      <w:r>
        <w:tab/>
        <w:t xml:space="preserve">[Section 9 amended: No. 39 of 2010 s. 10 and 70.] </w:t>
      </w:r>
    </w:p>
    <w:p>
      <w:pPr>
        <w:pStyle w:val="Ednotedivision"/>
      </w:pPr>
      <w:r>
        <w:t>[Division 2 (s. 10</w:t>
      </w:r>
      <w:r>
        <w:noBreakHyphen/>
        <w:t>15) deleted: No. 39 of 2010 s. 11.]</w:t>
      </w:r>
    </w:p>
    <w:p>
      <w:pPr>
        <w:pStyle w:val="Ednotedivision"/>
      </w:pPr>
      <w:r>
        <w:t>[Division 3 heading deleted: No. 39 of 2010 s. 11.]</w:t>
      </w:r>
    </w:p>
    <w:p>
      <w:pPr>
        <w:pStyle w:val="Heading2"/>
      </w:pPr>
      <w:bookmarkStart w:id="26" w:name="_Toc500422864"/>
      <w:bookmarkStart w:id="27" w:name="_Toc503259248"/>
      <w:bookmarkStart w:id="28" w:name="_Toc503265184"/>
      <w:bookmarkStart w:id="29" w:name="_Toc503880651"/>
      <w:bookmarkStart w:id="30" w:name="_Toc515436177"/>
      <w:bookmarkStart w:id="31" w:name="_Toc515437006"/>
      <w:bookmarkStart w:id="32" w:name="_Toc20390023"/>
      <w:r>
        <w:rPr>
          <w:rStyle w:val="CharPartNo"/>
        </w:rPr>
        <w:t>Part 3A</w:t>
      </w:r>
      <w:r>
        <w:rPr>
          <w:b w:val="0"/>
        </w:rPr>
        <w:t> </w:t>
      </w:r>
      <w:r>
        <w:t>—</w:t>
      </w:r>
      <w:r>
        <w:rPr>
          <w:b w:val="0"/>
        </w:rPr>
        <w:t> </w:t>
      </w:r>
      <w:r>
        <w:rPr>
          <w:rStyle w:val="CharPartText"/>
        </w:rPr>
        <w:t>Public Sector Commissioner</w:t>
      </w:r>
      <w:bookmarkEnd w:id="26"/>
      <w:bookmarkEnd w:id="27"/>
      <w:bookmarkEnd w:id="28"/>
      <w:bookmarkEnd w:id="29"/>
      <w:bookmarkEnd w:id="30"/>
      <w:bookmarkEnd w:id="31"/>
      <w:bookmarkEnd w:id="32"/>
    </w:p>
    <w:p>
      <w:pPr>
        <w:pStyle w:val="Footnoteheading"/>
      </w:pPr>
      <w:r>
        <w:tab/>
        <w:t>[Heading inserted: No. 39 of 2010 s. 12.]</w:t>
      </w:r>
    </w:p>
    <w:p>
      <w:pPr>
        <w:pStyle w:val="Heading3"/>
        <w:spacing w:before="180"/>
      </w:pPr>
      <w:bookmarkStart w:id="33" w:name="_Toc500422865"/>
      <w:bookmarkStart w:id="34" w:name="_Toc503259249"/>
      <w:bookmarkStart w:id="35" w:name="_Toc503265185"/>
      <w:bookmarkStart w:id="36" w:name="_Toc503880652"/>
      <w:bookmarkStart w:id="37" w:name="_Toc515436178"/>
      <w:bookmarkStart w:id="38" w:name="_Toc515437007"/>
      <w:bookmarkStart w:id="39" w:name="_Toc20390024"/>
      <w:r>
        <w:rPr>
          <w:rStyle w:val="CharDivNo"/>
        </w:rPr>
        <w:t>Division 1</w:t>
      </w:r>
      <w:r>
        <w:t> — </w:t>
      </w:r>
      <w:r>
        <w:rPr>
          <w:rStyle w:val="CharDivText"/>
        </w:rPr>
        <w:t>Public Sector Commissioner</w:t>
      </w:r>
      <w:bookmarkEnd w:id="33"/>
      <w:bookmarkEnd w:id="34"/>
      <w:bookmarkEnd w:id="35"/>
      <w:bookmarkEnd w:id="36"/>
      <w:bookmarkEnd w:id="37"/>
      <w:bookmarkEnd w:id="38"/>
      <w:bookmarkEnd w:id="39"/>
    </w:p>
    <w:p>
      <w:pPr>
        <w:pStyle w:val="Footnoteheading"/>
      </w:pPr>
      <w:r>
        <w:tab/>
        <w:t>[Heading inserted: No. 39 of 2010 s. 12.]</w:t>
      </w:r>
    </w:p>
    <w:p>
      <w:pPr>
        <w:pStyle w:val="Heading5"/>
        <w:spacing w:before="180"/>
      </w:pPr>
      <w:bookmarkStart w:id="40" w:name="_Toc20390025"/>
      <w:r>
        <w:rPr>
          <w:rStyle w:val="CharSectno"/>
        </w:rPr>
        <w:t>16</w:t>
      </w:r>
      <w:r>
        <w:t>.</w:t>
      </w:r>
      <w:r>
        <w:tab/>
        <w:t>Office of Public Sector Commissioner</w:t>
      </w:r>
      <w:bookmarkEnd w:id="40"/>
    </w:p>
    <w:p>
      <w:pPr>
        <w:pStyle w:val="Subsection"/>
        <w:spacing w:before="180"/>
      </w:pPr>
      <w:r>
        <w:tab/>
        <w:t>(1)</w:t>
      </w:r>
      <w:r>
        <w:tab/>
        <w:t>An office of Public Sector Commissioner is established.</w:t>
      </w:r>
    </w:p>
    <w:p>
      <w:pPr>
        <w:pStyle w:val="Subsection"/>
        <w:spacing w:before="180"/>
      </w:pPr>
      <w:r>
        <w:tab/>
        <w:t>(2)</w:t>
      </w:r>
      <w:r>
        <w:tab/>
        <w:t>The office of Public Sector Commissioner is not an office in the Public Service.</w:t>
      </w:r>
    </w:p>
    <w:p>
      <w:pPr>
        <w:pStyle w:val="Footnotesection"/>
      </w:pPr>
      <w:r>
        <w:tab/>
        <w:t>[Section 16 inserted: No. 39 of 2010 s. 13.]</w:t>
      </w:r>
    </w:p>
    <w:p>
      <w:pPr>
        <w:pStyle w:val="Heading5"/>
        <w:keepNext w:val="0"/>
        <w:keepLines w:val="0"/>
        <w:spacing w:before="180"/>
        <w:rPr>
          <w:snapToGrid w:val="0"/>
        </w:rPr>
      </w:pPr>
      <w:bookmarkStart w:id="41" w:name="_Toc20390026"/>
      <w:r>
        <w:rPr>
          <w:rStyle w:val="CharSectno"/>
        </w:rPr>
        <w:t>17</w:t>
      </w:r>
      <w:r>
        <w:rPr>
          <w:snapToGrid w:val="0"/>
        </w:rPr>
        <w:t>.</w:t>
      </w:r>
      <w:r>
        <w:rPr>
          <w:snapToGrid w:val="0"/>
        </w:rPr>
        <w:tab/>
        <w:t>Appointment etc. of Commissioner</w:t>
      </w:r>
      <w:bookmarkEnd w:id="41"/>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Subsection"/>
      </w:pPr>
      <w:r>
        <w:tab/>
        <w:t>(4)</w:t>
      </w:r>
      <w:r>
        <w:tab/>
        <w:t>Before performing the functions of Commissioner for the first time, the Commissioner must make a declaration before the Governor in the form in Schedule 4.</w:t>
      </w:r>
    </w:p>
    <w:p>
      <w:pPr>
        <w:pStyle w:val="Footnotesection"/>
      </w:pPr>
      <w:r>
        <w:tab/>
        <w:t>[Section 17 amended: No. 39 of 2010 s. 14.]</w:t>
      </w:r>
    </w:p>
    <w:p>
      <w:pPr>
        <w:pStyle w:val="Heading5"/>
        <w:spacing w:before="180"/>
        <w:rPr>
          <w:snapToGrid w:val="0"/>
        </w:rPr>
      </w:pPr>
      <w:bookmarkStart w:id="42" w:name="_Toc20390027"/>
      <w:r>
        <w:rPr>
          <w:rStyle w:val="CharSectno"/>
        </w:rPr>
        <w:t>18</w:t>
      </w:r>
      <w:r>
        <w:rPr>
          <w:snapToGrid w:val="0"/>
        </w:rPr>
        <w:t>.</w:t>
      </w:r>
      <w:r>
        <w:rPr>
          <w:snapToGrid w:val="0"/>
        </w:rPr>
        <w:tab/>
        <w:t>Vacation of, or suspension from, office of Commissioner</w:t>
      </w:r>
      <w:bookmarkEnd w:id="42"/>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spacing w:before="120"/>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spacing w:before="120"/>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spacing w:before="120"/>
        <w:rPr>
          <w:snapToGrid w:val="0"/>
        </w:rPr>
      </w:pPr>
      <w:r>
        <w:rPr>
          <w:snapToGrid w:val="0"/>
        </w:rPr>
        <w:tab/>
        <w:t>(4)</w:t>
      </w:r>
      <w:r>
        <w:rPr>
          <w:snapToGrid w:val="0"/>
        </w:rPr>
        <w:tab/>
        <w:t>Notwithstanding subsection (3), if the Governor is satisfied that the Commissioner — </w:t>
      </w:r>
    </w:p>
    <w:p>
      <w:pPr>
        <w:pStyle w:val="Indenta"/>
        <w:spacing w:before="60"/>
        <w:rPr>
          <w:snapToGrid w:val="0"/>
        </w:rPr>
      </w:pPr>
      <w:r>
        <w:rPr>
          <w:snapToGrid w:val="0"/>
        </w:rPr>
        <w:tab/>
        <w:t>(a)</w:t>
      </w:r>
      <w:r>
        <w:rPr>
          <w:snapToGrid w:val="0"/>
        </w:rPr>
        <w:tab/>
        <w:t>is incapable of properly performing the functions of his or her office; or</w:t>
      </w:r>
    </w:p>
    <w:p>
      <w:pPr>
        <w:pStyle w:val="Indenta"/>
        <w:spacing w:before="60"/>
        <w:rPr>
          <w:snapToGrid w:val="0"/>
        </w:rPr>
      </w:pPr>
      <w:r>
        <w:rPr>
          <w:snapToGrid w:val="0"/>
        </w:rPr>
        <w:tab/>
        <w:t>(b)</w:t>
      </w:r>
      <w:r>
        <w:rPr>
          <w:snapToGrid w:val="0"/>
        </w:rPr>
        <w:tab/>
        <w:t>has shown himself or herself incompetent properly to perform, or has neglected to perform, the functions of his or her office; or</w:t>
      </w:r>
    </w:p>
    <w:p>
      <w:pPr>
        <w:pStyle w:val="Indenta"/>
        <w:spacing w:before="60"/>
      </w:pPr>
      <w:r>
        <w:tab/>
        <w:t>(c)</w:t>
      </w:r>
      <w:r>
        <w:tab/>
        <w:t xml:space="preserve">is, according to the </w:t>
      </w:r>
      <w:r>
        <w:rPr>
          <w:i/>
        </w:rPr>
        <w:t>Interpretation Act 1984</w:t>
      </w:r>
      <w:r>
        <w:t xml:space="preserve"> section 13D, a bankrupt or a person whose affairs are under insolvency laws;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or her from office.</w:t>
      </w:r>
    </w:p>
    <w:p>
      <w:pPr>
        <w:pStyle w:val="Subsection"/>
        <w:spacing w:before="120"/>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spacing w:before="60"/>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spacing w:before="60"/>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spacing w:before="100"/>
        <w:rPr>
          <w:snapToGrid w:val="0"/>
        </w:rPr>
      </w:pPr>
      <w:r>
        <w:rPr>
          <w:snapToGrid w:val="0"/>
        </w:rPr>
        <w:tab/>
        <w:t>(6)</w:t>
      </w:r>
      <w:r>
        <w:rPr>
          <w:snapToGrid w:val="0"/>
        </w:rPr>
        <w:tab/>
        <w:t>The Commissioner shall not, except so far as he or she is authorised so to do by resolutions of both Houses of Parliament — </w:t>
      </w:r>
    </w:p>
    <w:p>
      <w:pPr>
        <w:pStyle w:val="Indenta"/>
        <w:spacing w:before="60"/>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Footnotesection"/>
      </w:pPr>
      <w:r>
        <w:tab/>
        <w:t>[Section 18 amended: No. 18 of 2009 s. 71.]</w:t>
      </w:r>
    </w:p>
    <w:p>
      <w:pPr>
        <w:pStyle w:val="Heading5"/>
        <w:rPr>
          <w:snapToGrid w:val="0"/>
        </w:rPr>
      </w:pPr>
      <w:bookmarkStart w:id="43" w:name="_Toc20390028"/>
      <w:r>
        <w:rPr>
          <w:rStyle w:val="CharSectno"/>
        </w:rPr>
        <w:t>19</w:t>
      </w:r>
      <w:r>
        <w:rPr>
          <w:snapToGrid w:val="0"/>
        </w:rPr>
        <w:t>.</w:t>
      </w:r>
      <w:r>
        <w:rPr>
          <w:snapToGrid w:val="0"/>
        </w:rPr>
        <w:tab/>
        <w:t>Remuneration etc. of Commissioner</w:t>
      </w:r>
      <w:bookmarkEnd w:id="43"/>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Account and this subsection appropriates the Consolidated Account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Subsection"/>
      </w:pPr>
      <w:r>
        <w:tab/>
        <w:t>(4)</w:t>
      </w:r>
      <w:r>
        <w:tab/>
        <w:t>Subject to any determination under subsection (3), the Commissioner is entitled to leave of absence and other conditions of service as applicable to public service officers.</w:t>
      </w:r>
    </w:p>
    <w:p>
      <w:pPr>
        <w:pStyle w:val="Footnotesection"/>
      </w:pPr>
      <w:r>
        <w:tab/>
        <w:t xml:space="preserve">[Section 19 amended: No. 49 of 1996 s. 58; No. 77 of 2006 s. 4; No. 39 of 2010 s. 15.] </w:t>
      </w:r>
    </w:p>
    <w:p>
      <w:pPr>
        <w:pStyle w:val="Heading5"/>
        <w:rPr>
          <w:snapToGrid w:val="0"/>
        </w:rPr>
      </w:pPr>
      <w:bookmarkStart w:id="44" w:name="_Toc20390029"/>
      <w:r>
        <w:rPr>
          <w:rStyle w:val="CharSectno"/>
        </w:rPr>
        <w:t>20</w:t>
      </w:r>
      <w:r>
        <w:rPr>
          <w:snapToGrid w:val="0"/>
        </w:rPr>
        <w:t>.</w:t>
      </w:r>
      <w:r>
        <w:rPr>
          <w:snapToGrid w:val="0"/>
        </w:rPr>
        <w:tab/>
        <w:t>Miscellaneous provisions as to superannuation and leave of absence</w:t>
      </w:r>
      <w:bookmarkEnd w:id="44"/>
    </w:p>
    <w:p>
      <w:pPr>
        <w:pStyle w:val="Subsection"/>
        <w:spacing w:before="120"/>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vertAlign w:val="superscript"/>
        </w:rPr>
        <w:t> 3</w:t>
      </w:r>
      <w:r>
        <w:rPr>
          <w:snapToGrid w:val="0"/>
        </w:rPr>
        <w:t xml:space="preserve"> immediately before being appointed to be the Commissioner, he or she may continue to be a contributor under that Act after that appointment.</w:t>
      </w:r>
    </w:p>
    <w:p>
      <w:pPr>
        <w:pStyle w:val="Ednotesubsection"/>
        <w:spacing w:before="120"/>
      </w:pPr>
      <w:r>
        <w:tab/>
        <w:t>[(2)</w:t>
      </w:r>
      <w:r>
        <w:tab/>
        <w:t>deleted]</w:t>
      </w:r>
    </w:p>
    <w:p>
      <w:pPr>
        <w:pStyle w:val="Subsection"/>
        <w:spacing w:before="120"/>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spacing w:before="120"/>
      </w:pPr>
      <w:r>
        <w:tab/>
        <w:t>(4)</w:t>
      </w:r>
      <w:r>
        <w:tab/>
        <w:t xml:space="preserve">If — </w:t>
      </w:r>
    </w:p>
    <w:p>
      <w:pPr>
        <w:pStyle w:val="Indenta"/>
      </w:pPr>
      <w:r>
        <w:tab/>
        <w:t>(a)</w:t>
      </w:r>
      <w:r>
        <w:tab/>
        <w:t>a person immediately before appointment as Commissioner occupied an office, post or position in a department or organisation; and</w:t>
      </w:r>
    </w:p>
    <w:p>
      <w:pPr>
        <w:pStyle w:val="Indenta"/>
      </w:pPr>
      <w:r>
        <w:tab/>
        <w:t>(b)</w:t>
      </w:r>
      <w:r>
        <w:tab/>
        <w:t>the person’s term of office as Commissioner expires by effluxion of time and the person is not reappointed to the office; and</w:t>
      </w:r>
    </w:p>
    <w:p>
      <w:pPr>
        <w:pStyle w:val="Indenta"/>
      </w:pPr>
      <w:r>
        <w:tab/>
        <w:t>(c)</w:t>
      </w:r>
      <w:r>
        <w:tab/>
        <w:t>but for the appointment as Commissioner, the person would still be entitled to hold the office, post or position referred to in paragraph (a),</w:t>
      </w:r>
    </w:p>
    <w:p>
      <w:pPr>
        <w:pStyle w:val="Subsection"/>
      </w:pPr>
      <w:r>
        <w:tab/>
      </w:r>
      <w:r>
        <w:tab/>
        <w:t>the person is entitled to be appointed to an office, post or position in a department or organisation of at least the equivalent level of classification as the office, post or position that the person occupied immediately before appointment as Commissioner.</w:t>
      </w:r>
    </w:p>
    <w:p>
      <w:pPr>
        <w:pStyle w:val="Ednotesubsection"/>
      </w:pPr>
      <w:r>
        <w:tab/>
        <w:t>[(5)</w:t>
      </w:r>
      <w:r>
        <w:tab/>
        <w:t>deleted]</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ind w:left="890" w:hanging="890"/>
      </w:pPr>
      <w:r>
        <w:tab/>
        <w:t>[Section 20 amended: No. 57 of 1997 s. 99(1); No. 39 of 2010 s. 16.]</w:t>
      </w:r>
    </w:p>
    <w:p>
      <w:pPr>
        <w:pStyle w:val="Heading3"/>
        <w:spacing w:before="200"/>
      </w:pPr>
      <w:bookmarkStart w:id="45" w:name="_Toc500422871"/>
      <w:bookmarkStart w:id="46" w:name="_Toc503259255"/>
      <w:bookmarkStart w:id="47" w:name="_Toc503265191"/>
      <w:bookmarkStart w:id="48" w:name="_Toc503880658"/>
      <w:bookmarkStart w:id="49" w:name="_Toc515436184"/>
      <w:bookmarkStart w:id="50" w:name="_Toc515437013"/>
      <w:bookmarkStart w:id="51" w:name="_Toc20390030"/>
      <w:r>
        <w:rPr>
          <w:rStyle w:val="CharDivNo"/>
        </w:rPr>
        <w:t>Division 2</w:t>
      </w:r>
      <w:r>
        <w:t> — </w:t>
      </w:r>
      <w:r>
        <w:rPr>
          <w:rStyle w:val="CharDivText"/>
        </w:rPr>
        <w:t>Functions of Commissioner</w:t>
      </w:r>
      <w:bookmarkEnd w:id="45"/>
      <w:bookmarkEnd w:id="46"/>
      <w:bookmarkEnd w:id="47"/>
      <w:bookmarkEnd w:id="48"/>
      <w:bookmarkEnd w:id="49"/>
      <w:bookmarkEnd w:id="50"/>
      <w:bookmarkEnd w:id="51"/>
    </w:p>
    <w:p>
      <w:pPr>
        <w:pStyle w:val="Footnoteheading"/>
        <w:spacing w:before="80"/>
      </w:pPr>
      <w:r>
        <w:tab/>
        <w:t>[Heading inserted: No. 39 of 2010 s. 17.]</w:t>
      </w:r>
    </w:p>
    <w:p>
      <w:pPr>
        <w:pStyle w:val="Heading5"/>
        <w:spacing w:before="180"/>
      </w:pPr>
      <w:bookmarkStart w:id="52" w:name="_Toc20390031"/>
      <w:r>
        <w:rPr>
          <w:rStyle w:val="CharSectno"/>
        </w:rPr>
        <w:t>21A</w:t>
      </w:r>
      <w:r>
        <w:t>.</w:t>
      </w:r>
      <w:r>
        <w:tab/>
        <w:t>General functions</w:t>
      </w:r>
      <w:bookmarkEnd w:id="52"/>
    </w:p>
    <w:p>
      <w:pPr>
        <w:pStyle w:val="Subsection"/>
        <w:spacing w:before="120"/>
      </w:pPr>
      <w:r>
        <w:tab/>
      </w:r>
      <w:r>
        <w:tab/>
        <w:t xml:space="preserve">The </w:t>
      </w:r>
      <w:r>
        <w:rPr>
          <w:snapToGrid w:val="0"/>
        </w:rPr>
        <w:t>functions</w:t>
      </w:r>
      <w:r>
        <w:t xml:space="preserve"> of the Commissioner include the following — </w:t>
      </w:r>
    </w:p>
    <w:p>
      <w:pPr>
        <w:pStyle w:val="Indenta"/>
      </w:pPr>
      <w:r>
        <w:tab/>
        <w:t>(a)</w:t>
      </w:r>
      <w:r>
        <w:tab/>
        <w:t>to promote the overall efficiency and effectiveness of the Public Sector, having regard to the principles set out in section 7;</w:t>
      </w:r>
    </w:p>
    <w:p>
      <w:pPr>
        <w:pStyle w:val="Indenta"/>
      </w:pPr>
      <w:r>
        <w:tab/>
        <w:t>(b)</w:t>
      </w:r>
      <w:r>
        <w:tab/>
        <w:t>to advise Ministers, chief executive officers and chief employees of changes, improvements and management practices which, in the opinion of the Commissioner, should be implemented in order to improve the efficiency and effectiveness of the whole or any part of the Public Sector;</w:t>
      </w:r>
    </w:p>
    <w:p>
      <w:pPr>
        <w:pStyle w:val="Indenta"/>
      </w:pPr>
      <w:r>
        <w:tab/>
        <w:t>(c)</w:t>
      </w:r>
      <w:r>
        <w:tab/>
        <w:t>to plan for the future management and operation of the Public Sector;</w:t>
      </w:r>
    </w:p>
    <w:p>
      <w:pPr>
        <w:pStyle w:val="Indenta"/>
      </w:pPr>
      <w:r>
        <w:tab/>
        <w:t>(d)</w:t>
      </w:r>
      <w:r>
        <w:tab/>
        <w:t>to perform other functions that are conferred on the Commissioner under this Act or any other Act.</w:t>
      </w:r>
    </w:p>
    <w:p>
      <w:pPr>
        <w:pStyle w:val="Footnotesection"/>
        <w:spacing w:before="80"/>
        <w:ind w:left="890" w:hanging="890"/>
      </w:pPr>
      <w:r>
        <w:tab/>
        <w:t>[Section 21A inserted: No. 39 of 2010 s. 18.]</w:t>
      </w:r>
    </w:p>
    <w:p>
      <w:pPr>
        <w:pStyle w:val="Heading5"/>
        <w:keepNext w:val="0"/>
        <w:keepLines w:val="0"/>
        <w:spacing w:before="180"/>
        <w:rPr>
          <w:snapToGrid w:val="0"/>
        </w:rPr>
      </w:pPr>
      <w:bookmarkStart w:id="53" w:name="_Toc20390032"/>
      <w:r>
        <w:rPr>
          <w:rStyle w:val="CharSectno"/>
        </w:rPr>
        <w:t>21</w:t>
      </w:r>
      <w:r>
        <w:rPr>
          <w:snapToGrid w:val="0"/>
        </w:rPr>
        <w:t>.</w:t>
      </w:r>
      <w:r>
        <w:rPr>
          <w:snapToGrid w:val="0"/>
        </w:rPr>
        <w:tab/>
        <w:t>Public sector standards, codes of ethics and codes of conduct, establishing etc.</w:t>
      </w:r>
      <w:bookmarkEnd w:id="53"/>
    </w:p>
    <w:p>
      <w:pPr>
        <w:pStyle w:val="Subsection"/>
        <w:spacing w:before="120"/>
        <w:rPr>
          <w:snapToGrid w:val="0"/>
        </w:rPr>
      </w:pPr>
      <w:r>
        <w:rPr>
          <w:snapToGrid w:val="0"/>
        </w:rPr>
        <w:tab/>
        <w:t>(1)</w:t>
      </w:r>
      <w:r>
        <w:rPr>
          <w:snapToGrid w:val="0"/>
        </w:rPr>
        <w:tab/>
        <w:t>The functions of the Commissioner are, having regard to the principles set out in sections 7, 8 and 9 — </w:t>
      </w:r>
    </w:p>
    <w:p>
      <w:pPr>
        <w:pStyle w:val="Indenta"/>
        <w:rPr>
          <w:snapToGrid w:val="0"/>
        </w:rPr>
      </w:pPr>
      <w:r>
        <w:rPr>
          <w:snapToGrid w:val="0"/>
        </w:rPr>
        <w:tab/>
        <w:t>(a)</w:t>
      </w:r>
      <w:r>
        <w:rPr>
          <w:snapToGrid w:val="0"/>
        </w:rPr>
        <w:tab/>
        <w:t xml:space="preserve">to </w:t>
      </w:r>
      <w:r>
        <w:t>issue Commissioner’s instructions establishing</w:t>
      </w:r>
      <w:r>
        <w:rPr>
          <w:snapToGrid w:val="0"/>
        </w:rPr>
        <w:t xml:space="preserve"> public sector standards setting out minimum standards of merit, equity and probity to be complied with in the Public Sector in — </w:t>
      </w:r>
    </w:p>
    <w:p>
      <w:pPr>
        <w:pStyle w:val="Indenti"/>
        <w:spacing w:before="60"/>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 and</w:t>
      </w:r>
    </w:p>
    <w:p>
      <w:pPr>
        <w:pStyle w:val="Indenta"/>
        <w:rPr>
          <w:snapToGrid w:val="0"/>
        </w:rPr>
      </w:pPr>
      <w:r>
        <w:rPr>
          <w:snapToGrid w:val="0"/>
        </w:rPr>
        <w:tab/>
        <w:t>(b)</w:t>
      </w:r>
      <w:r>
        <w:rPr>
          <w:snapToGrid w:val="0"/>
        </w:rPr>
        <w:tab/>
        <w:t xml:space="preserve">to </w:t>
      </w:r>
      <w:r>
        <w:t>issue Commissioner’s instructions establishing</w:t>
      </w:r>
      <w:r>
        <w:rPr>
          <w:snapToGrid w:val="0"/>
        </w:rPr>
        <w:t xml:space="preserve"> codes of ethics setting out minimum standards of conduct and integrity to be complied with by public sector bodies and employees, and monitor compliance with those codes; and</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 and</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 and</w:t>
      </w:r>
    </w:p>
    <w:p>
      <w:pPr>
        <w:pStyle w:val="Indenta"/>
        <w:rPr>
          <w:snapToGrid w:val="0"/>
        </w:rPr>
      </w:pPr>
      <w:r>
        <w:rPr>
          <w:snapToGrid w:val="0"/>
        </w:rPr>
        <w:tab/>
        <w:t>(e)</w:t>
      </w:r>
      <w:r>
        <w:rPr>
          <w:snapToGrid w:val="0"/>
        </w:rPr>
        <w:tab/>
        <w:t>to monitor compliance by public sector bodies and employees with the principles set out in sections 8(1)(a), (b) and (c) and 9; and</w:t>
      </w:r>
    </w:p>
    <w:p>
      <w:pPr>
        <w:pStyle w:val="Indenta"/>
        <w:rPr>
          <w:snapToGrid w:val="0"/>
        </w:rPr>
      </w:pPr>
      <w:r>
        <w:rPr>
          <w:snapToGrid w:val="0"/>
        </w:rPr>
        <w:tab/>
        <w:t>(f)</w:t>
      </w:r>
      <w:r>
        <w:rPr>
          <w:snapToGrid w:val="0"/>
        </w:rPr>
        <w:tab/>
        <w:t>subject to regulations referred to in section 98, to establish procedures of the kind referred to in</w:t>
      </w:r>
      <w:r>
        <w:t xml:space="preserve"> section 97(1)(a).</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Ednotesubsection"/>
      </w:pPr>
      <w:r>
        <w:tab/>
        <w:t>[(4)</w:t>
      </w:r>
      <w:r>
        <w:tab/>
        <w:t>deleted]</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pPr>
      <w:r>
        <w:tab/>
        <w:t>(9A)</w:t>
      </w:r>
      <w:r>
        <w:tab/>
        <w:t xml:space="preserve">The Commissioner may by order published in the </w:t>
      </w:r>
      <w:r>
        <w:rPr>
          <w:i/>
          <w:iCs/>
        </w:rPr>
        <w:t xml:space="preserve">Gazette </w:t>
      </w:r>
      <w:r>
        <w:t>exempt the whole or any part of any public sector body from compliance with the whole or any part of a public sector standard or code of ethics.</w:t>
      </w:r>
    </w:p>
    <w:p>
      <w:pPr>
        <w:pStyle w:val="Subsection"/>
      </w:pPr>
      <w:r>
        <w:tab/>
        <w:t>(9B)</w:t>
      </w:r>
      <w:r>
        <w:tab/>
        <w:t xml:space="preserve">The Commissioner may by order published in the </w:t>
      </w:r>
      <w:r>
        <w:rPr>
          <w:i/>
          <w:iCs/>
        </w:rPr>
        <w:t>Gazette</w:t>
      </w:r>
      <w:r>
        <w:t xml:space="preserve"> repeal or amend an order made under subsection (9A).</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 or</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pPr>
      <w:r>
        <w:tab/>
        <w:t>(11)</w:t>
      </w:r>
      <w:r>
        <w:tab/>
        <w:t xml:space="preserve">To the extent that — </w:t>
      </w:r>
    </w:p>
    <w:p>
      <w:pPr>
        <w:pStyle w:val="Indenta"/>
      </w:pPr>
      <w:r>
        <w:tab/>
        <w:t>(a)</w:t>
      </w:r>
      <w:r>
        <w:tab/>
        <w:t>a public sector standard is inconsistent with a code of ethics, a code of conduct or another Commissioner’s instruction, the public sector standard prevails; or</w:t>
      </w:r>
    </w:p>
    <w:p>
      <w:pPr>
        <w:pStyle w:val="Indenta"/>
      </w:pPr>
      <w:r>
        <w:tab/>
        <w:t>(b)</w:t>
      </w:r>
      <w:r>
        <w:tab/>
        <w:t>a code of ethics is inconsistent with a code of conduct or another Commissioner’s instruction (other than a Commissioner’s instruction establishing a public sector standard), the code of ethics prevails.</w:t>
      </w:r>
    </w:p>
    <w:p>
      <w:pPr>
        <w:pStyle w:val="Footnotesection"/>
      </w:pPr>
      <w:r>
        <w:tab/>
        <w:t>[Section 21 amended: No. 39 of 2010 s. 19 and 70.]</w:t>
      </w:r>
    </w:p>
    <w:p>
      <w:pPr>
        <w:pStyle w:val="Heading5"/>
      </w:pPr>
      <w:bookmarkStart w:id="54" w:name="_Toc20390033"/>
      <w:r>
        <w:rPr>
          <w:rStyle w:val="CharSectno"/>
        </w:rPr>
        <w:t>22A</w:t>
      </w:r>
      <w:r>
        <w:t>.</w:t>
      </w:r>
      <w:r>
        <w:tab/>
        <w:t>Commissioner’s instructions</w:t>
      </w:r>
      <w:bookmarkEnd w:id="54"/>
    </w:p>
    <w:p>
      <w:pPr>
        <w:pStyle w:val="Subsection"/>
      </w:pPr>
      <w:r>
        <w:tab/>
        <w:t>(1)</w:t>
      </w:r>
      <w:r>
        <w:tab/>
        <w:t xml:space="preserve">The Commissioner may issue written instructions concerning the following — </w:t>
      </w:r>
    </w:p>
    <w:p>
      <w:pPr>
        <w:pStyle w:val="Indenta"/>
      </w:pPr>
      <w:r>
        <w:tab/>
        <w:t>(a)</w:t>
      </w:r>
      <w:r>
        <w:tab/>
        <w:t>the management and administration of public sector bodies;</w:t>
      </w:r>
    </w:p>
    <w:p>
      <w:pPr>
        <w:pStyle w:val="Indenta"/>
      </w:pPr>
      <w:r>
        <w:tab/>
        <w:t>(b)</w:t>
      </w:r>
      <w:r>
        <w:tab/>
        <w:t>the management and administration of the Senior Executive Service;</w:t>
      </w:r>
    </w:p>
    <w:p>
      <w:pPr>
        <w:pStyle w:val="Indenta"/>
      </w:pPr>
      <w:r>
        <w:tab/>
        <w:t>(c)</w:t>
      </w:r>
      <w:r>
        <w:tab/>
        <w:t>human resource management, including the disposition of employees and offices under section 22B;</w:t>
      </w:r>
    </w:p>
    <w:p>
      <w:pPr>
        <w:pStyle w:val="Indenta"/>
      </w:pPr>
      <w:r>
        <w:tab/>
        <w:t>(d)</w:t>
      </w:r>
      <w:r>
        <w:tab/>
        <w:t>official conduct;</w:t>
      </w:r>
    </w:p>
    <w:p>
      <w:pPr>
        <w:pStyle w:val="Indenta"/>
      </w:pPr>
      <w:r>
        <w:tab/>
        <w:t>(e)</w:t>
      </w:r>
      <w:r>
        <w:tab/>
        <w:t>the taking of improvement action;</w:t>
      </w:r>
    </w:p>
    <w:p>
      <w:pPr>
        <w:pStyle w:val="Indenta"/>
      </w:pPr>
      <w:r>
        <w:tab/>
        <w:t>(f)</w:t>
      </w:r>
      <w:r>
        <w:tab/>
        <w:t>dealing with suspected breaches of discipline, disciplinary matters and the taking of disciplinary action, under Part 5 Division 3;</w:t>
      </w:r>
    </w:p>
    <w:p>
      <w:pPr>
        <w:pStyle w:val="Indenta"/>
      </w:pPr>
      <w:r>
        <w:tab/>
        <w:t>(ga)</w:t>
      </w:r>
      <w:r>
        <w:tab/>
        <w:t xml:space="preserve">dealing with — </w:t>
      </w:r>
    </w:p>
    <w:p>
      <w:pPr>
        <w:pStyle w:val="Indenti"/>
      </w:pPr>
      <w:r>
        <w:tab/>
        <w:t>(i)</w:t>
      </w:r>
      <w:r>
        <w:tab/>
        <w:t>redeployment and redundancy of employees; and</w:t>
      </w:r>
    </w:p>
    <w:p>
      <w:pPr>
        <w:pStyle w:val="Indenti"/>
        <w:spacing w:before="60"/>
      </w:pPr>
      <w:r>
        <w:tab/>
        <w:t>(ii)</w:t>
      </w:r>
      <w:r>
        <w:tab/>
        <w:t>termination of employment;</w:t>
      </w:r>
    </w:p>
    <w:p>
      <w:pPr>
        <w:pStyle w:val="Indenta"/>
        <w:spacing w:before="60"/>
      </w:pPr>
      <w:r>
        <w:tab/>
        <w:t>(g)</w:t>
      </w:r>
      <w:r>
        <w:tab/>
        <w:t>any other matter in respect of which Commissioner’s instructions are required or permitted under this Act;</w:t>
      </w:r>
    </w:p>
    <w:p>
      <w:pPr>
        <w:pStyle w:val="Indenta"/>
        <w:spacing w:before="60"/>
      </w:pPr>
      <w:r>
        <w:tab/>
        <w:t>(h)</w:t>
      </w:r>
      <w:r>
        <w:tab/>
        <w:t>any other matter in connection with the functions of the Commissioner in respect of which the Commissioner considers it is necessary or desirable to issue instructions.</w:t>
      </w:r>
    </w:p>
    <w:p>
      <w:pPr>
        <w:pStyle w:val="Subsection"/>
        <w:spacing w:before="120"/>
      </w:pPr>
      <w:r>
        <w:tab/>
        <w:t>(2A)</w:t>
      </w:r>
      <w:r>
        <w:tab/>
        <w:t xml:space="preserve">The Commissioner must issue instructions to ensure that, if a decision is made under section 81(1)(a) in respect of an employee, the employee is — </w:t>
      </w:r>
    </w:p>
    <w:p>
      <w:pPr>
        <w:pStyle w:val="Indenta"/>
        <w:spacing w:before="60"/>
      </w:pPr>
      <w:r>
        <w:tab/>
        <w:t>(a)</w:t>
      </w:r>
      <w:r>
        <w:tab/>
        <w:t>notified in writing of the possible breach of discipline; and</w:t>
      </w:r>
    </w:p>
    <w:p>
      <w:pPr>
        <w:pStyle w:val="Indenta"/>
        <w:spacing w:before="60"/>
      </w:pPr>
      <w:r>
        <w:tab/>
        <w:t>(b)</w:t>
      </w:r>
      <w:r>
        <w:tab/>
        <w:t>given a reasonable opportunity to respond.</w:t>
      </w:r>
    </w:p>
    <w:p>
      <w:pPr>
        <w:pStyle w:val="Subsection"/>
        <w:spacing w:before="120"/>
      </w:pPr>
      <w:r>
        <w:tab/>
        <w:t>(2)</w:t>
      </w:r>
      <w:r>
        <w:tab/>
        <w:t>The Commissioner’s instructions must not be inconsistent with this Act and must have regard to the principles set out in sections 7, 8 and 9.</w:t>
      </w:r>
    </w:p>
    <w:p>
      <w:pPr>
        <w:pStyle w:val="Subsection"/>
        <w:spacing w:before="120"/>
      </w:pPr>
      <w:r>
        <w:tab/>
        <w:t>(3)</w:t>
      </w:r>
      <w:r>
        <w:tab/>
        <w:t xml:space="preserve">The Commissioner’s instructions may apply — </w:t>
      </w:r>
    </w:p>
    <w:p>
      <w:pPr>
        <w:pStyle w:val="Indenta"/>
      </w:pPr>
      <w:r>
        <w:tab/>
        <w:t>(a)</w:t>
      </w:r>
      <w:r>
        <w:tab/>
        <w:t>generally; or</w:t>
      </w:r>
    </w:p>
    <w:p>
      <w:pPr>
        <w:pStyle w:val="Indenta"/>
      </w:pPr>
      <w:r>
        <w:tab/>
        <w:t>(b)</w:t>
      </w:r>
      <w:r>
        <w:tab/>
        <w:t>to a public sector body or class of public sector body specified in the instructions; or</w:t>
      </w:r>
    </w:p>
    <w:p>
      <w:pPr>
        <w:pStyle w:val="Indenta"/>
      </w:pPr>
      <w:r>
        <w:tab/>
        <w:t>(c)</w:t>
      </w:r>
      <w:r>
        <w:tab/>
        <w:t>to an office or class of office specified in the instructions; or</w:t>
      </w:r>
    </w:p>
    <w:p>
      <w:pPr>
        <w:pStyle w:val="Indenta"/>
      </w:pPr>
      <w:r>
        <w:tab/>
        <w:t>(d)</w:t>
      </w:r>
      <w:r>
        <w:tab/>
        <w:t>to an employee or class of employees specified in the instructions.</w:t>
      </w:r>
    </w:p>
    <w:p>
      <w:pPr>
        <w:pStyle w:val="Subsection"/>
        <w:spacing w:before="120"/>
      </w:pPr>
      <w:r>
        <w:tab/>
        <w:t>(4)</w:t>
      </w:r>
      <w:r>
        <w:tab/>
        <w:t xml:space="preserve">Except as provided in section 21, the Commissioner’s instructions need not be published in the </w:t>
      </w:r>
      <w:r>
        <w:rPr>
          <w:i/>
          <w:iCs/>
        </w:rPr>
        <w:t xml:space="preserve">Gazette </w:t>
      </w:r>
      <w:r>
        <w:t>but must be made publicly available in such manner as the Commissioner thinks appropriate.</w:t>
      </w:r>
    </w:p>
    <w:p>
      <w:pPr>
        <w:pStyle w:val="Subsection"/>
        <w:spacing w:before="120"/>
      </w:pPr>
      <w:r>
        <w:tab/>
        <w:t>(5)</w:t>
      </w:r>
      <w:r>
        <w:tab/>
        <w:t>The Commissioner may amend or revoke the Commissioner’s instructions.</w:t>
      </w:r>
    </w:p>
    <w:p>
      <w:pPr>
        <w:pStyle w:val="Subsection"/>
        <w:spacing w:before="120"/>
      </w:pPr>
      <w:r>
        <w:tab/>
        <w:t>(6)</w:t>
      </w:r>
      <w:r>
        <w:tab/>
        <w:t>The Commissioner must, before issuing, amending or revoking a Commissioner’s instruction, consult such persons as the Commissioner considers it desirable and practicable to consult.</w:t>
      </w:r>
    </w:p>
    <w:p>
      <w:pPr>
        <w:pStyle w:val="Subsection"/>
      </w:pPr>
      <w:r>
        <w:tab/>
        <w:t>(7)</w:t>
      </w:r>
      <w:r>
        <w:tab/>
        <w:t xml:space="preserve">The Commissioner’s instructions are not subsidiary legislation for the purposes of the </w:t>
      </w:r>
      <w:r>
        <w:rPr>
          <w:i/>
          <w:iCs/>
        </w:rPr>
        <w:t>Interpretation Act 1984</w:t>
      </w:r>
      <w:r>
        <w:t>.</w:t>
      </w:r>
    </w:p>
    <w:p>
      <w:pPr>
        <w:pStyle w:val="Footnotesection"/>
      </w:pPr>
      <w:r>
        <w:tab/>
        <w:t>[Section 22A inserted: No. 39 of 2010 s. 20; amended: No. 39 of 2010 s. 93; No. 8 of 2014 s. 9.]</w:t>
      </w:r>
    </w:p>
    <w:p>
      <w:pPr>
        <w:pStyle w:val="Heading5"/>
        <w:spacing w:before="180"/>
      </w:pPr>
      <w:bookmarkStart w:id="55" w:name="_Toc20390034"/>
      <w:r>
        <w:rPr>
          <w:rStyle w:val="CharSectno"/>
        </w:rPr>
        <w:t>22B</w:t>
      </w:r>
      <w:r>
        <w:t>.</w:t>
      </w:r>
      <w:r>
        <w:tab/>
        <w:t>Disposition of employees and offices</w:t>
      </w:r>
      <w:bookmarkEnd w:id="55"/>
    </w:p>
    <w:p>
      <w:pPr>
        <w:pStyle w:val="Subsection"/>
      </w:pPr>
      <w:r>
        <w:tab/>
      </w:r>
      <w:r>
        <w:tab/>
        <w:t>When departments or organisations are established in place of existing departments or organisations or by the amalgamation or division of existing departments or organisations, the Commissioner may effect the disposition of offices, posts and positions and employees and such other consequential changes as appear necessary to give effect to the change in departments or organisations.</w:t>
      </w:r>
    </w:p>
    <w:p>
      <w:pPr>
        <w:pStyle w:val="Footnotesection"/>
      </w:pPr>
      <w:r>
        <w:tab/>
        <w:t>[Section 22B inserted: No. 39 of 2010 s. 20.]</w:t>
      </w:r>
    </w:p>
    <w:p>
      <w:pPr>
        <w:pStyle w:val="Heading5"/>
        <w:spacing w:before="180"/>
      </w:pPr>
      <w:bookmarkStart w:id="56" w:name="_Toc20390035"/>
      <w:r>
        <w:rPr>
          <w:rStyle w:val="CharSectno"/>
        </w:rPr>
        <w:t>22C</w:t>
      </w:r>
      <w:r>
        <w:t>.</w:t>
      </w:r>
      <w:r>
        <w:tab/>
        <w:t>Reports to Ministers</w:t>
      </w:r>
      <w:bookmarkEnd w:id="56"/>
    </w:p>
    <w:p>
      <w:pPr>
        <w:pStyle w:val="Subsection"/>
      </w:pPr>
      <w:r>
        <w:tab/>
      </w:r>
      <w:r>
        <w:tab/>
        <w:t>The Commissioner may report from time to time to the Minister responsible for a public sector body on the compliance or non</w:t>
      </w:r>
      <w:r>
        <w:noBreakHyphen/>
        <w:t xml:space="preserve">compliance by the public sector body and employees in the public sector body with — </w:t>
      </w:r>
    </w:p>
    <w:p>
      <w:pPr>
        <w:pStyle w:val="Indenta"/>
      </w:pPr>
      <w:r>
        <w:tab/>
        <w:t>(a)</w:t>
      </w:r>
      <w:r>
        <w:tab/>
        <w:t>the principles set out in sections 8(1)(a), (b) and (c) and 9; and</w:t>
      </w:r>
    </w:p>
    <w:p>
      <w:pPr>
        <w:pStyle w:val="Indenta"/>
      </w:pPr>
      <w:r>
        <w:tab/>
        <w:t>(b)</w:t>
      </w:r>
      <w:r>
        <w:tab/>
        <w:t>public sector standards, codes of ethics and codes of conduct.</w:t>
      </w:r>
    </w:p>
    <w:p>
      <w:pPr>
        <w:pStyle w:val="Footnotesection"/>
        <w:ind w:left="890" w:hanging="890"/>
      </w:pPr>
      <w:r>
        <w:tab/>
        <w:t>[Section 22C inserted: No. 39 of 2010 s. 20.]</w:t>
      </w:r>
    </w:p>
    <w:p>
      <w:pPr>
        <w:pStyle w:val="Heading5"/>
        <w:spacing w:before="180"/>
      </w:pPr>
      <w:bookmarkStart w:id="57" w:name="_Toc20390036"/>
      <w:r>
        <w:rPr>
          <w:rStyle w:val="CharSectno"/>
        </w:rPr>
        <w:t>22D</w:t>
      </w:r>
      <w:r>
        <w:t>.</w:t>
      </w:r>
      <w:r>
        <w:tab/>
        <w:t>Annual report</w:t>
      </w:r>
      <w:bookmarkEnd w:id="57"/>
    </w:p>
    <w:p>
      <w:pPr>
        <w:pStyle w:val="Subsection"/>
        <w:spacing w:before="120"/>
      </w:pPr>
      <w:r>
        <w:tab/>
        <w:t>(1)</w:t>
      </w:r>
      <w:r>
        <w:tab/>
        <w:t xml:space="preserve">The Commissioner must in each year prepare a report on the following — </w:t>
      </w:r>
    </w:p>
    <w:p>
      <w:pPr>
        <w:pStyle w:val="Indenta"/>
      </w:pPr>
      <w:r>
        <w:tab/>
        <w:t>(a)</w:t>
      </w:r>
      <w:r>
        <w:tab/>
        <w:t>the state of administration and management of the Public Sector;</w:t>
      </w:r>
    </w:p>
    <w:p>
      <w:pPr>
        <w:pStyle w:val="Indenta"/>
      </w:pPr>
      <w:r>
        <w:tab/>
        <w:t>(b)</w:t>
      </w:r>
      <w:r>
        <w:tab/>
        <w:t>the compliance or non</w:t>
      </w:r>
      <w:r>
        <w:noBreakHyphen/>
        <w:t>compliance by public sector bodies and employees, either generally or in particular, with the principles set out in sections 8(1)(a), (b) and (c) and 9 and with public sector standards, codes of ethics and codes of conduct;</w:t>
      </w:r>
    </w:p>
    <w:p>
      <w:pPr>
        <w:pStyle w:val="Indenta"/>
      </w:pPr>
      <w:r>
        <w:tab/>
        <w:t>(c)</w:t>
      </w:r>
      <w:r>
        <w:tab/>
        <w:t>any other matters arising out of the performance of the Commissioner’s functions that are, in the opinion of the Commissioner, of such significance as to require reporting in that manner.</w:t>
      </w:r>
    </w:p>
    <w:p>
      <w:pPr>
        <w:pStyle w:val="Subsection"/>
      </w:pPr>
      <w:r>
        <w:tab/>
        <w:t>(2)</w:t>
      </w:r>
      <w:r>
        <w:tab/>
        <w:t xml:space="preserve">A report required under subsection (1) may be prepared and dealt with in conjunction with any report required under the </w:t>
      </w:r>
      <w:r>
        <w:rPr>
          <w:i/>
        </w:rPr>
        <w:t>Financial Management Act 2006</w:t>
      </w:r>
      <w:r>
        <w:t xml:space="preserve"> by the Commissioner in his or her capacity as the accountable authority of the department principally assisting in the administration of this Act.</w:t>
      </w:r>
    </w:p>
    <w:p>
      <w:pPr>
        <w:pStyle w:val="Footnotesection"/>
        <w:ind w:left="890" w:hanging="890"/>
      </w:pPr>
      <w:r>
        <w:tab/>
        <w:t>[Section 22D inserted: No. 39 of 2010 s. 20.]</w:t>
      </w:r>
    </w:p>
    <w:p>
      <w:pPr>
        <w:pStyle w:val="Heading5"/>
      </w:pPr>
      <w:bookmarkStart w:id="58" w:name="_Toc20390037"/>
      <w:r>
        <w:rPr>
          <w:rStyle w:val="CharSectno"/>
        </w:rPr>
        <w:t>22E</w:t>
      </w:r>
      <w:r>
        <w:t>.</w:t>
      </w:r>
      <w:r>
        <w:tab/>
        <w:t>Other reports</w:t>
      </w:r>
      <w:bookmarkEnd w:id="58"/>
    </w:p>
    <w:p>
      <w:pPr>
        <w:pStyle w:val="Subsection"/>
      </w:pPr>
      <w:r>
        <w:tab/>
      </w:r>
      <w:r>
        <w:tab/>
        <w:t>The Commissioner may, in addition to the annual report required under section 22D(1), at any time prepare a report on a matter referred to in section 22D(1).</w:t>
      </w:r>
    </w:p>
    <w:p>
      <w:pPr>
        <w:pStyle w:val="Footnotesection"/>
        <w:ind w:left="890" w:hanging="890"/>
      </w:pPr>
      <w:r>
        <w:tab/>
        <w:t>[Section 22E inserted: No. 39 of 2010 s. 20.]</w:t>
      </w:r>
    </w:p>
    <w:p>
      <w:pPr>
        <w:pStyle w:val="Heading5"/>
        <w:keepNext w:val="0"/>
        <w:keepLines w:val="0"/>
      </w:pPr>
      <w:bookmarkStart w:id="59" w:name="_Toc20390038"/>
      <w:r>
        <w:rPr>
          <w:rStyle w:val="CharSectno"/>
        </w:rPr>
        <w:t>22F</w:t>
      </w:r>
      <w:r>
        <w:t>.</w:t>
      </w:r>
      <w:r>
        <w:tab/>
        <w:t>Reports under s. 22D or 22E must be laid before Parliament</w:t>
      </w:r>
      <w:bookmarkEnd w:id="59"/>
    </w:p>
    <w:p>
      <w:pPr>
        <w:pStyle w:val="Subsection"/>
      </w:pPr>
      <w:r>
        <w:tab/>
        <w:t>(1)</w:t>
      </w:r>
      <w:r>
        <w:tab/>
        <w:t>Within 14 days after signing a report prepared under section 22D or 22E, the Commissioner is to transmit a copy of the report to each House of Parliament.</w:t>
      </w:r>
    </w:p>
    <w:p>
      <w:pPr>
        <w:pStyle w:val="Subsection"/>
        <w:keepNext/>
      </w:pPr>
      <w:r>
        <w:tab/>
        <w:t>(2)</w:t>
      </w:r>
      <w:r>
        <w:tab/>
        <w:t xml:space="preserve">If — </w:t>
      </w:r>
    </w:p>
    <w:p>
      <w:pPr>
        <w:pStyle w:val="Indenta"/>
      </w:pPr>
      <w:r>
        <w:tab/>
        <w:t>(a)</w:t>
      </w:r>
      <w:r>
        <w:tab/>
        <w:t>when the Commissioner is ready to transmit a report under subsection (1), a House of Parliament is not sitting; and</w:t>
      </w:r>
    </w:p>
    <w:p>
      <w:pPr>
        <w:pStyle w:val="Indenta"/>
      </w:pPr>
      <w:r>
        <w:tab/>
        <w:t>(b)</w:t>
      </w:r>
      <w:r>
        <w:tab/>
        <w:t>the Commissioner is of the opinion that that House will not sit during the remainder of the period referred to in subsection (1),</w:t>
      </w:r>
    </w:p>
    <w:p>
      <w:pPr>
        <w:pStyle w:val="Subsection"/>
      </w:pPr>
      <w:r>
        <w:tab/>
      </w:r>
      <w:r>
        <w:tab/>
        <w:t>the Commissioner must transmit a copy of the report to the Clerk of that House.</w:t>
      </w:r>
    </w:p>
    <w:p>
      <w:pPr>
        <w:pStyle w:val="Subsection"/>
      </w:pPr>
      <w:r>
        <w:tab/>
        <w:t>(3)</w:t>
      </w:r>
      <w:r>
        <w:tab/>
        <w:t>Subsections (1) and (2) do not apply in relation to a report prepared under section 22D if the report is prepared and dealt with as provided for in section 22D(2).</w:t>
      </w:r>
    </w:p>
    <w:p>
      <w:pPr>
        <w:pStyle w:val="Subsection"/>
      </w:pPr>
      <w:r>
        <w:tab/>
        <w:t>(4)</w:t>
      </w:r>
      <w:r>
        <w:tab/>
        <w:t>A copy of a report transmitted to the Clerk of a House of Parliament under subsection (2) is taken to have been laid before the House.</w:t>
      </w:r>
    </w:p>
    <w:p>
      <w:pPr>
        <w:pStyle w:val="Subsection"/>
      </w:pPr>
      <w:r>
        <w:tab/>
        <w:t>(5)</w:t>
      </w:r>
      <w:r>
        <w:tab/>
        <w:t>The laying of a copy of a report before a House that is taken to have occurred under subsection (4) is to be reported to the House by the Clerk, and recorded in the Votes and Proceedings or Minutes of Proceedings, on the first sitting day of the House after the receipt of the copy.</w:t>
      </w:r>
    </w:p>
    <w:p>
      <w:pPr>
        <w:pStyle w:val="Footnotesection"/>
      </w:pPr>
      <w:r>
        <w:tab/>
        <w:t>[Section 22F inserted: No. 39 of 2010 s. 20.]</w:t>
      </w:r>
    </w:p>
    <w:p>
      <w:pPr>
        <w:pStyle w:val="Heading5"/>
        <w:spacing w:before="240"/>
      </w:pPr>
      <w:bookmarkStart w:id="60" w:name="_Toc20390039"/>
      <w:r>
        <w:rPr>
          <w:rStyle w:val="CharSectno"/>
        </w:rPr>
        <w:t>22G</w:t>
      </w:r>
      <w:r>
        <w:t>.</w:t>
      </w:r>
      <w:r>
        <w:tab/>
        <w:t>Powers</w:t>
      </w:r>
      <w:bookmarkEnd w:id="60"/>
    </w:p>
    <w:p>
      <w:pPr>
        <w:pStyle w:val="Subsection"/>
      </w:pPr>
      <w:r>
        <w:tab/>
      </w:r>
      <w:r>
        <w:tab/>
        <w:t>The Commissioner has all the powers that are needed for the performance of the Commissioner’s functions.</w:t>
      </w:r>
    </w:p>
    <w:p>
      <w:pPr>
        <w:pStyle w:val="Footnotesection"/>
      </w:pPr>
      <w:r>
        <w:tab/>
        <w:t>[Section 22G inserted: No. 39 of 2010 s. 20.]</w:t>
      </w:r>
    </w:p>
    <w:p>
      <w:pPr>
        <w:pStyle w:val="Heading5"/>
        <w:spacing w:before="180"/>
        <w:rPr>
          <w:snapToGrid w:val="0"/>
        </w:rPr>
      </w:pPr>
      <w:bookmarkStart w:id="61" w:name="_Toc20390040"/>
      <w:r>
        <w:rPr>
          <w:rStyle w:val="CharSectno"/>
        </w:rPr>
        <w:t>22</w:t>
      </w:r>
      <w:r>
        <w:rPr>
          <w:snapToGrid w:val="0"/>
        </w:rPr>
        <w:t>.</w:t>
      </w:r>
      <w:r>
        <w:rPr>
          <w:snapToGrid w:val="0"/>
        </w:rPr>
        <w:tab/>
        <w:t>Commissioner to act independently</w:t>
      </w:r>
      <w:bookmarkEnd w:id="61"/>
      <w:r>
        <w:rPr>
          <w:snapToGrid w:val="0"/>
        </w:rPr>
        <w:t xml:space="preserve"> </w:t>
      </w:r>
    </w:p>
    <w:p>
      <w:pPr>
        <w:pStyle w:val="Subsection"/>
        <w:rPr>
          <w:snapToGrid w:val="0"/>
        </w:rPr>
      </w:pPr>
      <w:r>
        <w:rPr>
          <w:snapToGrid w:val="0"/>
        </w:rPr>
        <w:tab/>
        <w:t>(1)</w:t>
      </w:r>
      <w:r>
        <w:rPr>
          <w:snapToGrid w:val="0"/>
        </w:rPr>
        <w:tab/>
        <w:t>The Commissioner shall act independently in relation to the performance of his or her functions.</w:t>
      </w:r>
    </w:p>
    <w:p>
      <w:pPr>
        <w:pStyle w:val="Subsection"/>
      </w:pPr>
      <w:r>
        <w:tab/>
        <w:t>(2)</w:t>
      </w:r>
      <w:r>
        <w:tab/>
        <w:t>In particular, except as provided in this Act, the Commissioner is not subject to direction by the Minister or any other person in the performance of the Commissioner’s functions.</w:t>
      </w:r>
    </w:p>
    <w:p>
      <w:pPr>
        <w:pStyle w:val="Subsection"/>
      </w:pPr>
      <w:r>
        <w:tab/>
        <w:t>(3)</w:t>
      </w:r>
      <w:r>
        <w:tab/>
        <w:t>Section 32 does not apply to or in relation to the Public Sector Commissioner.</w:t>
      </w:r>
    </w:p>
    <w:p>
      <w:pPr>
        <w:pStyle w:val="Footnotesection"/>
      </w:pPr>
      <w:r>
        <w:tab/>
        <w:t>[Section 22 amended: No. 39 of 2010 s. 21.]</w:t>
      </w:r>
    </w:p>
    <w:p>
      <w:pPr>
        <w:pStyle w:val="Heading5"/>
      </w:pPr>
      <w:bookmarkStart w:id="62" w:name="_Toc20390041"/>
      <w:r>
        <w:rPr>
          <w:rStyle w:val="CharSectno"/>
        </w:rPr>
        <w:t>23</w:t>
      </w:r>
      <w:r>
        <w:t>.</w:t>
      </w:r>
      <w:r>
        <w:tab/>
        <w:t>Delegation by Commissioner</w:t>
      </w:r>
      <w:bookmarkEnd w:id="62"/>
    </w:p>
    <w:p>
      <w:pPr>
        <w:pStyle w:val="Subsection"/>
      </w:pPr>
      <w:r>
        <w:tab/>
        <w:t>(1)</w:t>
      </w:r>
      <w:r>
        <w:tab/>
        <w:t>The Commissioner may delegate to a person any power or duty of the Commissioner under another provision of this Act or any other Act.</w:t>
      </w:r>
    </w:p>
    <w:p>
      <w:pPr>
        <w:pStyle w:val="Subsection"/>
      </w:pPr>
      <w:r>
        <w:tab/>
        <w:t>(2)</w:t>
      </w:r>
      <w:r>
        <w:tab/>
        <w:t>A delegation under this section must be in writing and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Footnotesection"/>
      </w:pPr>
      <w:r>
        <w:tab/>
        <w:t>[Section 23 inserted: No. 39 of 2010 s. 22.]</w:t>
      </w:r>
    </w:p>
    <w:p>
      <w:pPr>
        <w:pStyle w:val="Heading3"/>
        <w:keepNext w:val="0"/>
      </w:pPr>
      <w:bookmarkStart w:id="63" w:name="_Toc500422883"/>
      <w:bookmarkStart w:id="64" w:name="_Toc503259267"/>
      <w:bookmarkStart w:id="65" w:name="_Toc503265203"/>
      <w:bookmarkStart w:id="66" w:name="_Toc503880670"/>
      <w:bookmarkStart w:id="67" w:name="_Toc515436196"/>
      <w:bookmarkStart w:id="68" w:name="_Toc515437025"/>
      <w:bookmarkStart w:id="69" w:name="_Toc20390042"/>
      <w:r>
        <w:rPr>
          <w:rStyle w:val="CharDivNo"/>
        </w:rPr>
        <w:t>Division 3</w:t>
      </w:r>
      <w:r>
        <w:t> — </w:t>
      </w:r>
      <w:r>
        <w:rPr>
          <w:rStyle w:val="CharDivText"/>
        </w:rPr>
        <w:t>Reviews, special inquiries and investigations</w:t>
      </w:r>
      <w:bookmarkEnd w:id="63"/>
      <w:bookmarkEnd w:id="64"/>
      <w:bookmarkEnd w:id="65"/>
      <w:bookmarkEnd w:id="66"/>
      <w:bookmarkEnd w:id="67"/>
      <w:bookmarkEnd w:id="68"/>
      <w:bookmarkEnd w:id="69"/>
    </w:p>
    <w:p>
      <w:pPr>
        <w:pStyle w:val="Footnoteheading"/>
      </w:pPr>
      <w:r>
        <w:tab/>
        <w:t>[Heading inserted: No. 39 of 2010 s. 23.]</w:t>
      </w:r>
    </w:p>
    <w:p>
      <w:pPr>
        <w:pStyle w:val="Heading4"/>
      </w:pPr>
      <w:bookmarkStart w:id="70" w:name="_Toc500422884"/>
      <w:bookmarkStart w:id="71" w:name="_Toc503259268"/>
      <w:bookmarkStart w:id="72" w:name="_Toc503265204"/>
      <w:bookmarkStart w:id="73" w:name="_Toc503880671"/>
      <w:bookmarkStart w:id="74" w:name="_Toc515436197"/>
      <w:bookmarkStart w:id="75" w:name="_Toc515437026"/>
      <w:bookmarkStart w:id="76" w:name="_Toc20390043"/>
      <w:r>
        <w:t>Subdivision 1 — Reviews</w:t>
      </w:r>
      <w:bookmarkEnd w:id="70"/>
      <w:bookmarkEnd w:id="71"/>
      <w:bookmarkEnd w:id="72"/>
      <w:bookmarkEnd w:id="73"/>
      <w:bookmarkEnd w:id="74"/>
      <w:bookmarkEnd w:id="75"/>
      <w:bookmarkEnd w:id="76"/>
    </w:p>
    <w:p>
      <w:pPr>
        <w:pStyle w:val="Footnoteheading"/>
      </w:pPr>
      <w:r>
        <w:tab/>
        <w:t>[Heading inserted: No. 39 of 2010 s. 23.]</w:t>
      </w:r>
    </w:p>
    <w:p>
      <w:pPr>
        <w:pStyle w:val="Heading5"/>
      </w:pPr>
      <w:bookmarkStart w:id="77" w:name="_Toc20390044"/>
      <w:r>
        <w:rPr>
          <w:rStyle w:val="CharSectno"/>
        </w:rPr>
        <w:t>24A</w:t>
      </w:r>
      <w:r>
        <w:t>.</w:t>
      </w:r>
      <w:r>
        <w:tab/>
        <w:t>Terms used</w:t>
      </w:r>
      <w:bookmarkEnd w:id="77"/>
    </w:p>
    <w:p>
      <w:pPr>
        <w:pStyle w:val="Subsection"/>
      </w:pPr>
      <w:r>
        <w:tab/>
      </w:r>
      <w:r>
        <w:tab/>
        <w:t xml:space="preserve">In this Division — </w:t>
      </w:r>
    </w:p>
    <w:p>
      <w:pPr>
        <w:pStyle w:val="Defstart"/>
      </w:pPr>
      <w:r>
        <w:tab/>
      </w:r>
      <w:r>
        <w:rPr>
          <w:rStyle w:val="CharDefText"/>
        </w:rPr>
        <w:t>authorised person</w:t>
      </w:r>
      <w:r>
        <w:t xml:space="preserve"> has the meaning given in section 24C;</w:t>
      </w:r>
    </w:p>
    <w:p>
      <w:pPr>
        <w:pStyle w:val="Defstart"/>
      </w:pPr>
      <w:r>
        <w:tab/>
      </w:r>
      <w:r>
        <w:rPr>
          <w:rStyle w:val="CharDefText"/>
        </w:rPr>
        <w:t>review</w:t>
      </w:r>
      <w:r>
        <w:t xml:space="preserve"> means a review conducted under section 24B.</w:t>
      </w:r>
    </w:p>
    <w:p>
      <w:pPr>
        <w:pStyle w:val="Footnotesection"/>
      </w:pPr>
      <w:r>
        <w:tab/>
        <w:t>[Section 24A inserted: No. 39 of 2010 s. 23.]</w:t>
      </w:r>
    </w:p>
    <w:p>
      <w:pPr>
        <w:pStyle w:val="Heading5"/>
      </w:pPr>
      <w:bookmarkStart w:id="78" w:name="_Toc20390045"/>
      <w:r>
        <w:rPr>
          <w:rStyle w:val="CharSectno"/>
        </w:rPr>
        <w:t>24B</w:t>
      </w:r>
      <w:r>
        <w:t>.</w:t>
      </w:r>
      <w:r>
        <w:tab/>
        <w:t>Reviews of operations etc. of public sector bodies</w:t>
      </w:r>
      <w:bookmarkEnd w:id="78"/>
    </w:p>
    <w:p>
      <w:pPr>
        <w:pStyle w:val="Subsection"/>
      </w:pPr>
      <w:r>
        <w:tab/>
        <w:t>(1)</w:t>
      </w:r>
      <w:r>
        <w:tab/>
        <w:t>The Commissioner may on his or her own initiative conduct a review in respect of part or all of the functions, management or operations of one or more public sector bodies.</w:t>
      </w:r>
    </w:p>
    <w:p>
      <w:pPr>
        <w:pStyle w:val="Subsection"/>
      </w:pPr>
      <w:r>
        <w:tab/>
        <w:t>(2)</w:t>
      </w:r>
      <w:r>
        <w:tab/>
        <w:t>The Minister may by written notice direct the Commissioner to conduct a review in respect of part or all of the functions, management or operations of one or more public sector bodies.</w:t>
      </w:r>
    </w:p>
    <w:p>
      <w:pPr>
        <w:pStyle w:val="Subsection"/>
      </w:pPr>
      <w:r>
        <w:tab/>
        <w:t>(3)</w:t>
      </w:r>
      <w:r>
        <w:tab/>
        <w:t>The text of a direction given under subsection (2) is to be included in the annual report prepared by the Commissioner under section 22D.</w:t>
      </w:r>
    </w:p>
    <w:p>
      <w:pPr>
        <w:pStyle w:val="Subsection"/>
        <w:spacing w:before="120"/>
      </w:pPr>
      <w:r>
        <w:tab/>
        <w:t>(4)</w:t>
      </w:r>
      <w:r>
        <w:tab/>
        <w:t>The Commissioner must comply with a direction given under subsection (2) unless, in the Commissioner’s opinion, there are exceptional circumstances for not complying.</w:t>
      </w:r>
    </w:p>
    <w:p>
      <w:pPr>
        <w:pStyle w:val="Subsection"/>
        <w:spacing w:before="120"/>
      </w:pPr>
      <w:r>
        <w:tab/>
        <w:t>(5)</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24B inserted: No. 39 of 2010 s. 23.]</w:t>
      </w:r>
    </w:p>
    <w:p>
      <w:pPr>
        <w:pStyle w:val="Heading5"/>
        <w:spacing w:before="180"/>
      </w:pPr>
      <w:bookmarkStart w:id="79" w:name="_Toc20390046"/>
      <w:r>
        <w:rPr>
          <w:rStyle w:val="CharSectno"/>
        </w:rPr>
        <w:t>24C</w:t>
      </w:r>
      <w:r>
        <w:t>.</w:t>
      </w:r>
      <w:r>
        <w:tab/>
        <w:t>Commissioner may authorise people to perform functions</w:t>
      </w:r>
      <w:bookmarkEnd w:id="79"/>
    </w:p>
    <w:p>
      <w:pPr>
        <w:pStyle w:val="Subsection"/>
        <w:spacing w:before="120"/>
      </w:pPr>
      <w:r>
        <w:tab/>
      </w:r>
      <w:r>
        <w:tab/>
        <w:t xml:space="preserve">The Commissioner may, by written notice, authorise a person (an </w:t>
      </w:r>
      <w:r>
        <w:rPr>
          <w:rStyle w:val="CharDefText"/>
        </w:rPr>
        <w:t>authorised person</w:t>
      </w:r>
      <w:r>
        <w:t>) to perform functions under this Subdivision.</w:t>
      </w:r>
    </w:p>
    <w:p>
      <w:pPr>
        <w:pStyle w:val="Footnotesection"/>
      </w:pPr>
      <w:r>
        <w:tab/>
        <w:t>[Section 24C inserted: No. 39 of 2010 s. 23.]</w:t>
      </w:r>
    </w:p>
    <w:p>
      <w:pPr>
        <w:pStyle w:val="Heading5"/>
        <w:spacing w:before="180"/>
      </w:pPr>
      <w:bookmarkStart w:id="80" w:name="_Toc20390047"/>
      <w:r>
        <w:rPr>
          <w:rStyle w:val="CharSectno"/>
        </w:rPr>
        <w:t>24D</w:t>
      </w:r>
      <w:r>
        <w:t>.</w:t>
      </w:r>
      <w:r>
        <w:tab/>
        <w:t>Powers of Commissioner etc. for purposes of reviews</w:t>
      </w:r>
      <w:bookmarkEnd w:id="80"/>
    </w:p>
    <w:p>
      <w:pPr>
        <w:pStyle w:val="Subsection"/>
        <w:spacing w:before="120"/>
      </w:pPr>
      <w:r>
        <w:tab/>
        <w:t>(1)</w:t>
      </w:r>
      <w:r>
        <w:tab/>
        <w:t xml:space="preserve">The Commissioner or an authorised person may for the purposes of a review — </w:t>
      </w:r>
    </w:p>
    <w:p>
      <w:pPr>
        <w:pStyle w:val="Indenta"/>
      </w:pPr>
      <w:r>
        <w:tab/>
        <w:t>(a)</w:t>
      </w:r>
      <w:r>
        <w:tab/>
        <w:t xml:space="preserve">enter the premises of a public sector body; </w:t>
      </w:r>
    </w:p>
    <w:p>
      <w:pPr>
        <w:pStyle w:val="Indenta"/>
      </w:pPr>
      <w:r>
        <w:tab/>
        <w:t>(b)</w:t>
      </w:r>
      <w:r>
        <w:tab/>
        <w:t xml:space="preserve">by written notice direct an employee to produce to him or her any document that is in the possession or under the control of the employee; </w:t>
      </w:r>
    </w:p>
    <w:p>
      <w:pPr>
        <w:pStyle w:val="Indenta"/>
      </w:pPr>
      <w:r>
        <w:tab/>
        <w:t>(c)</w:t>
      </w:r>
      <w:r>
        <w:tab/>
        <w:t xml:space="preserve">inspect any document produced to him or her and retain it for such reasonable period as he or she thinks fit, and make copies of it or any of its contents; </w:t>
      </w:r>
    </w:p>
    <w:p>
      <w:pPr>
        <w:pStyle w:val="Indenta"/>
      </w:pPr>
      <w:r>
        <w:tab/>
        <w:t>(d)</w:t>
      </w:r>
      <w:r>
        <w:tab/>
        <w:t>direct an employee to answer questions.</w:t>
      </w:r>
    </w:p>
    <w:p>
      <w:pPr>
        <w:pStyle w:val="Subsection"/>
        <w:spacing w:before="120"/>
      </w:pPr>
      <w:r>
        <w:tab/>
        <w:t>(2)</w:t>
      </w:r>
      <w:r>
        <w:tab/>
        <w:t>An employee who, without reasonable excuse, fails to comply with a direction under subsection (1)(b) within 14 days of receiving it commits an offence.</w:t>
      </w:r>
    </w:p>
    <w:p>
      <w:pPr>
        <w:pStyle w:val="Penstart"/>
        <w:spacing w:before="40"/>
      </w:pPr>
      <w:r>
        <w:tab/>
        <w:t>Penalty: a fine of $10 000.</w:t>
      </w:r>
    </w:p>
    <w:p>
      <w:pPr>
        <w:pStyle w:val="Subsection"/>
      </w:pPr>
      <w:r>
        <w:tab/>
        <w:t>(3)</w:t>
      </w:r>
      <w:r>
        <w:tab/>
        <w:t>An employee who, without reasonable excuse, fails to comply with a direction under subsection (1)(d) commits an offence.</w:t>
      </w:r>
    </w:p>
    <w:p>
      <w:pPr>
        <w:pStyle w:val="Penstart"/>
      </w:pPr>
      <w:r>
        <w:tab/>
        <w:t>Penalty: a fine of $10 000.</w:t>
      </w:r>
    </w:p>
    <w:p>
      <w:pPr>
        <w:pStyle w:val="Footnotesection"/>
      </w:pPr>
      <w:r>
        <w:tab/>
        <w:t>[Section 24D inserted: No. 39 of 2010 s. 23; amended: No. 35 of 2014 s. 37(2) and (3).]</w:t>
      </w:r>
    </w:p>
    <w:p>
      <w:pPr>
        <w:pStyle w:val="Heading5"/>
      </w:pPr>
      <w:bookmarkStart w:id="81" w:name="_Toc20390048"/>
      <w:r>
        <w:rPr>
          <w:rStyle w:val="CharSectno"/>
        </w:rPr>
        <w:t>24E</w:t>
      </w:r>
      <w:r>
        <w:t>.</w:t>
      </w:r>
      <w:r>
        <w:tab/>
        <w:t>Consultation required before exercising powers in s. 24D</w:t>
      </w:r>
      <w:bookmarkEnd w:id="81"/>
    </w:p>
    <w:p>
      <w:pPr>
        <w:pStyle w:val="Subsection"/>
      </w:pPr>
      <w:r>
        <w:tab/>
      </w:r>
      <w:r>
        <w:tab/>
        <w:t xml:space="preserve">The powers conferred by section 24D are exercisable in relation to a public sector body only after consultation with — </w:t>
      </w:r>
    </w:p>
    <w:p>
      <w:pPr>
        <w:pStyle w:val="Indenta"/>
      </w:pPr>
      <w:r>
        <w:tab/>
        <w:t>(a)</w:t>
      </w:r>
      <w:r>
        <w:tab/>
        <w:t>the employing authority of the public sector body; and</w:t>
      </w:r>
    </w:p>
    <w:p>
      <w:pPr>
        <w:pStyle w:val="Indenta"/>
      </w:pPr>
      <w:r>
        <w:tab/>
        <w:t>(b)</w:t>
      </w:r>
      <w:r>
        <w:tab/>
        <w:t xml:space="preserve">the Minister — </w:t>
      </w:r>
    </w:p>
    <w:p>
      <w:pPr>
        <w:pStyle w:val="Indenti"/>
      </w:pPr>
      <w:r>
        <w:tab/>
        <w:t>(i)</w:t>
      </w:r>
      <w:r>
        <w:tab/>
        <w:t>who is responsible for the public sector body; or</w:t>
      </w:r>
    </w:p>
    <w:p>
      <w:pPr>
        <w:pStyle w:val="Indenti"/>
      </w:pPr>
      <w:r>
        <w:tab/>
        <w:t>(ii)</w:t>
      </w:r>
      <w:r>
        <w:tab/>
        <w:t>to whom the administration of the Act under which the public sector body is established or continued is committed.</w:t>
      </w:r>
    </w:p>
    <w:p>
      <w:pPr>
        <w:pStyle w:val="Footnotesection"/>
      </w:pPr>
      <w:r>
        <w:tab/>
        <w:t>[Section 24E inserted: No. 39 of 2010 s. 23.]</w:t>
      </w:r>
    </w:p>
    <w:p>
      <w:pPr>
        <w:pStyle w:val="Heading5"/>
        <w:spacing w:before="180"/>
      </w:pPr>
      <w:bookmarkStart w:id="82" w:name="_Toc20390049"/>
      <w:r>
        <w:rPr>
          <w:rStyle w:val="CharSectno"/>
        </w:rPr>
        <w:t>24F</w:t>
      </w:r>
      <w:r>
        <w:t>.</w:t>
      </w:r>
      <w:r>
        <w:tab/>
        <w:t>Privileges of employees in relation to s. 24D powers</w:t>
      </w:r>
      <w:bookmarkEnd w:id="82"/>
    </w:p>
    <w:p>
      <w:pPr>
        <w:pStyle w:val="Subsection"/>
      </w:pPr>
      <w:r>
        <w:tab/>
        <w:t>(1)</w:t>
      </w:r>
      <w:r>
        <w:tab/>
        <w:t>Despite section 24D, an employee has the same privileges in relation to a requirement imposed under that section as a witness would have in proceedings in the Supreme Court.</w:t>
      </w:r>
    </w:p>
    <w:p>
      <w:pPr>
        <w:pStyle w:val="Subsection"/>
      </w:pPr>
      <w:r>
        <w:tab/>
        <w:t>(2)</w:t>
      </w:r>
      <w:r>
        <w:tab/>
        <w:t xml:space="preserve">Section 24D does not derogate from — </w:t>
      </w:r>
    </w:p>
    <w:p>
      <w:pPr>
        <w:pStyle w:val="Indenta"/>
      </w:pPr>
      <w:r>
        <w:tab/>
        <w:t>(a)</w:t>
      </w:r>
      <w:r>
        <w:tab/>
        <w:t xml:space="preserve">an enactment that imposes a prohibition or restriction on — </w:t>
      </w:r>
    </w:p>
    <w:p>
      <w:pPr>
        <w:pStyle w:val="Indenti"/>
      </w:pPr>
      <w:r>
        <w:tab/>
        <w:t>(i)</w:t>
      </w:r>
      <w:r>
        <w:tab/>
        <w:t>the availability of any information; or</w:t>
      </w:r>
    </w:p>
    <w:p>
      <w:pPr>
        <w:pStyle w:val="Indenti"/>
      </w:pPr>
      <w:r>
        <w:tab/>
        <w:t>(ii)</w:t>
      </w:r>
      <w:r>
        <w:tab/>
        <w:t xml:space="preserve">the production or examination of any document; </w:t>
      </w:r>
    </w:p>
    <w:p>
      <w:pPr>
        <w:pStyle w:val="Indenta"/>
      </w:pPr>
      <w:r>
        <w:tab/>
      </w:r>
      <w:r>
        <w:tab/>
        <w:t>or</w:t>
      </w:r>
    </w:p>
    <w:p>
      <w:pPr>
        <w:pStyle w:val="Indenta"/>
      </w:pPr>
      <w:r>
        <w:tab/>
        <w:t>(b)</w:t>
      </w:r>
      <w:r>
        <w:tab/>
        <w:t>a privilege or immunity existing by custom or convention and relating to the production of documents or other information of previous Governments of the State.</w:t>
      </w:r>
    </w:p>
    <w:p>
      <w:pPr>
        <w:pStyle w:val="Footnotesection"/>
      </w:pPr>
      <w:r>
        <w:tab/>
        <w:t>[Section 24F inserted: No. 39 of 2010 s. 23.]</w:t>
      </w:r>
    </w:p>
    <w:p>
      <w:pPr>
        <w:pStyle w:val="Heading5"/>
        <w:spacing w:before="240"/>
      </w:pPr>
      <w:bookmarkStart w:id="83" w:name="_Toc20390050"/>
      <w:r>
        <w:rPr>
          <w:rStyle w:val="CharSectno"/>
        </w:rPr>
        <w:t>24G</w:t>
      </w:r>
      <w:r>
        <w:t>.</w:t>
      </w:r>
      <w:r>
        <w:tab/>
        <w:t>Report on review</w:t>
      </w:r>
      <w:bookmarkEnd w:id="83"/>
    </w:p>
    <w:p>
      <w:pPr>
        <w:pStyle w:val="Subsection"/>
        <w:spacing w:before="180"/>
      </w:pPr>
      <w:r>
        <w:tab/>
      </w:r>
      <w:r>
        <w:tab/>
        <w:t>If a review was conducted on the direction of the Minister under section 24B(2), the Commissioner must provide the Minister with a written report on the conduct and findings of the review.</w:t>
      </w:r>
    </w:p>
    <w:p>
      <w:pPr>
        <w:pStyle w:val="Footnotesection"/>
      </w:pPr>
      <w:r>
        <w:tab/>
        <w:t>[Section 24G inserted: No. 39 of 2010 s. 23.]</w:t>
      </w:r>
    </w:p>
    <w:p>
      <w:pPr>
        <w:pStyle w:val="Heading4"/>
      </w:pPr>
      <w:bookmarkStart w:id="84" w:name="_Toc500422892"/>
      <w:bookmarkStart w:id="85" w:name="_Toc503259276"/>
      <w:bookmarkStart w:id="86" w:name="_Toc503265212"/>
      <w:bookmarkStart w:id="87" w:name="_Toc503880679"/>
      <w:bookmarkStart w:id="88" w:name="_Toc515436205"/>
      <w:bookmarkStart w:id="89" w:name="_Toc515437034"/>
      <w:bookmarkStart w:id="90" w:name="_Toc20390051"/>
      <w:r>
        <w:t>Subdivision 2 — Special inquiries</w:t>
      </w:r>
      <w:bookmarkEnd w:id="84"/>
      <w:bookmarkEnd w:id="85"/>
      <w:bookmarkEnd w:id="86"/>
      <w:bookmarkEnd w:id="87"/>
      <w:bookmarkEnd w:id="88"/>
      <w:bookmarkEnd w:id="89"/>
      <w:bookmarkEnd w:id="90"/>
    </w:p>
    <w:p>
      <w:pPr>
        <w:pStyle w:val="Footnoteheading"/>
      </w:pPr>
      <w:r>
        <w:tab/>
        <w:t>[Heading inserted: No. 39 of 2010 s. 23.]</w:t>
      </w:r>
    </w:p>
    <w:p>
      <w:pPr>
        <w:pStyle w:val="Heading5"/>
        <w:spacing w:before="240"/>
      </w:pPr>
      <w:bookmarkStart w:id="91" w:name="_Toc20390052"/>
      <w:r>
        <w:rPr>
          <w:rStyle w:val="CharSectno"/>
        </w:rPr>
        <w:t>24H</w:t>
      </w:r>
      <w:r>
        <w:t>.</w:t>
      </w:r>
      <w:r>
        <w:tab/>
        <w:t>Special inquiries, purpose and arrangement of</w:t>
      </w:r>
      <w:bookmarkEnd w:id="91"/>
    </w:p>
    <w:p>
      <w:pPr>
        <w:pStyle w:val="Subsection"/>
      </w:pPr>
      <w:r>
        <w:tab/>
        <w:t>(1)</w:t>
      </w:r>
      <w:r>
        <w:tab/>
        <w:t xml:space="preserve">The Commissioner may on his or her own initiative — </w:t>
      </w:r>
    </w:p>
    <w:p>
      <w:pPr>
        <w:pStyle w:val="Indenta"/>
      </w:pPr>
      <w:r>
        <w:tab/>
        <w:t>(a)</w:t>
      </w:r>
      <w:r>
        <w:tab/>
        <w:t>arrange for the holding of a special inquiry into a matter related to the Public Sector; and</w:t>
      </w:r>
    </w:p>
    <w:p>
      <w:pPr>
        <w:pStyle w:val="Indenta"/>
      </w:pPr>
      <w:r>
        <w:tab/>
        <w:t>(b)</w:t>
      </w:r>
      <w:r>
        <w:tab/>
        <w:t>appoint a person or persons to carry out the special inquiry.</w:t>
      </w:r>
    </w:p>
    <w:p>
      <w:pPr>
        <w:pStyle w:val="Subsection"/>
      </w:pPr>
      <w:r>
        <w:tab/>
        <w:t>(2)</w:t>
      </w:r>
      <w:r>
        <w:tab/>
        <w:t>The Minister may direct the Commissioner to arrange for the holding of a special inquiry into a matter related to the Public Sector.</w:t>
      </w:r>
    </w:p>
    <w:p>
      <w:pPr>
        <w:pStyle w:val="Subsection"/>
      </w:pPr>
      <w:r>
        <w:tab/>
        <w:t>(3)</w:t>
      </w:r>
      <w:r>
        <w:tab/>
        <w:t>A direction given under subsection (2) must specify the matter to be the subject of the special inquiry.</w:t>
      </w:r>
    </w:p>
    <w:p>
      <w:pPr>
        <w:pStyle w:val="Subsection"/>
      </w:pPr>
      <w:r>
        <w:tab/>
        <w:t>(4)</w:t>
      </w:r>
      <w:r>
        <w:tab/>
        <w:t>The text of a direction given under subsection (2) is to be included in the annual report prepared by the Commissioner under section 22D.</w:t>
      </w:r>
    </w:p>
    <w:p>
      <w:pPr>
        <w:pStyle w:val="Subsection"/>
      </w:pPr>
      <w:r>
        <w:tab/>
        <w:t>(5)</w:t>
      </w:r>
      <w:r>
        <w:tab/>
        <w:t xml:space="preserve">The Commissioner must — </w:t>
      </w:r>
    </w:p>
    <w:p>
      <w:pPr>
        <w:pStyle w:val="Indenta"/>
      </w:pPr>
      <w:r>
        <w:tab/>
        <w:t>(a)</w:t>
      </w:r>
      <w:r>
        <w:tab/>
        <w:t>comply with a direction given under subsection (2); and</w:t>
      </w:r>
    </w:p>
    <w:p>
      <w:pPr>
        <w:pStyle w:val="Indenta"/>
      </w:pPr>
      <w:r>
        <w:tab/>
        <w:t>(b)</w:t>
      </w:r>
      <w:r>
        <w:tab/>
        <w:t>appoint a person or persons to carry out the special inquiry,</w:t>
      </w:r>
    </w:p>
    <w:p>
      <w:pPr>
        <w:pStyle w:val="Subsection"/>
      </w:pPr>
      <w:r>
        <w:tab/>
      </w:r>
      <w:r>
        <w:tab/>
        <w:t>unless, in the Commissioner’s opinion, there are exceptional circumstances for not complying.</w:t>
      </w:r>
    </w:p>
    <w:p>
      <w:pPr>
        <w:pStyle w:val="Subsection"/>
      </w:pPr>
      <w:r>
        <w:tab/>
        <w:t>(6)</w:t>
      </w:r>
      <w:r>
        <w:tab/>
        <w:t>If the Commissioner refuses to comply with a direction given under subsection (2) the Commissioner must prepare written reasons for the failure to comply and cause the text of those reasons to be included in the annual report prepared by the Commissioner under section 22D.</w:t>
      </w:r>
    </w:p>
    <w:p>
      <w:pPr>
        <w:pStyle w:val="Footnotesection"/>
      </w:pPr>
      <w:r>
        <w:tab/>
        <w:t>[Section 24H inserted: No. 39 of 2010 s. 23.]</w:t>
      </w:r>
    </w:p>
    <w:p>
      <w:pPr>
        <w:pStyle w:val="Heading5"/>
        <w:spacing w:before="240"/>
      </w:pPr>
      <w:bookmarkStart w:id="92" w:name="_Toc20390053"/>
      <w:r>
        <w:rPr>
          <w:rStyle w:val="CharSectno"/>
        </w:rPr>
        <w:t>24I</w:t>
      </w:r>
      <w:r>
        <w:t>.</w:t>
      </w:r>
      <w:r>
        <w:tab/>
        <w:t>Powers of person conducting special inquiry</w:t>
      </w:r>
      <w:bookmarkEnd w:id="92"/>
    </w:p>
    <w:p>
      <w:pPr>
        <w:pStyle w:val="Subsection"/>
      </w:pPr>
      <w:r>
        <w:tab/>
        <w:t>(1)</w:t>
      </w:r>
      <w:r>
        <w:tab/>
        <w:t xml:space="preserve">A special inquirer or a person authorised in writing by a special inquirer may for the purposes of a special inquiry — </w:t>
      </w:r>
    </w:p>
    <w:p>
      <w:pPr>
        <w:pStyle w:val="Indenta"/>
      </w:pPr>
      <w:r>
        <w:tab/>
        <w:t>(a)</w:t>
      </w:r>
      <w:r>
        <w:tab/>
        <w:t>enter the premises of a public sector body; and</w:t>
      </w:r>
    </w:p>
    <w:p>
      <w:pPr>
        <w:pStyle w:val="Indenta"/>
      </w:pPr>
      <w:r>
        <w:tab/>
        <w:t>(b)</w:t>
      </w:r>
      <w:r>
        <w:tab/>
        <w:t>by written notice require a person to produce to him or her any document that is in the possession or under the control of the person; and</w:t>
      </w:r>
    </w:p>
    <w:p>
      <w:pPr>
        <w:pStyle w:val="Indenta"/>
      </w:pPr>
      <w:r>
        <w:tab/>
        <w:t>(c)</w:t>
      </w:r>
      <w:r>
        <w:tab/>
        <w:t>inspect any document produced to him or her and retain it for such reasonable period as he or she thinks fit, and make copies of it or any of its contents.</w:t>
      </w:r>
    </w:p>
    <w:p>
      <w:pPr>
        <w:pStyle w:val="Subsection"/>
      </w:pPr>
      <w:r>
        <w:tab/>
        <w:t>(2)</w:t>
      </w:r>
      <w:r>
        <w:tab/>
        <w:t>Schedule 3 applies to and in relation to a special inquirer.</w:t>
      </w:r>
    </w:p>
    <w:p>
      <w:pPr>
        <w:pStyle w:val="Footnotesection"/>
      </w:pPr>
      <w:r>
        <w:tab/>
        <w:t>[Section 24I inserted: No. 39 of 2010 s. 23.]</w:t>
      </w:r>
    </w:p>
    <w:p>
      <w:pPr>
        <w:pStyle w:val="Heading5"/>
        <w:keepLines w:val="0"/>
        <w:spacing w:before="240"/>
      </w:pPr>
      <w:bookmarkStart w:id="93" w:name="_Toc20390054"/>
      <w:r>
        <w:rPr>
          <w:rStyle w:val="CharSectno"/>
        </w:rPr>
        <w:t>24J</w:t>
      </w:r>
      <w:r>
        <w:t>.</w:t>
      </w:r>
      <w:r>
        <w:tab/>
        <w:t>Procedure and evidence at special inquiries</w:t>
      </w:r>
      <w:bookmarkEnd w:id="93"/>
    </w:p>
    <w:p>
      <w:pPr>
        <w:pStyle w:val="Subsection"/>
      </w:pPr>
      <w:r>
        <w:tab/>
        <w:t>(1)</w:t>
      </w:r>
      <w:r>
        <w:tab/>
        <w:t>An individual, public sector body or other body may be represented at a special inquiry by a legal practitioner or other agent.</w:t>
      </w:r>
    </w:p>
    <w:p>
      <w:pPr>
        <w:pStyle w:val="Subsection"/>
      </w:pPr>
      <w:r>
        <w:tab/>
        <w:t>(2)</w:t>
      </w:r>
      <w:r>
        <w:tab/>
        <w:t>A special inquirer must act independently in relation to the performance of his or her functions.</w:t>
      </w:r>
    </w:p>
    <w:p>
      <w:pPr>
        <w:pStyle w:val="Subsection"/>
        <w:keepNext/>
      </w:pPr>
      <w:r>
        <w:tab/>
        <w:t>(3)</w:t>
      </w:r>
      <w:r>
        <w:tab/>
        <w:t xml:space="preserve">A special inquirer — </w:t>
      </w:r>
    </w:p>
    <w:p>
      <w:pPr>
        <w:pStyle w:val="Indenta"/>
      </w:pPr>
      <w:r>
        <w:tab/>
        <w:t>(a)</w:t>
      </w:r>
      <w:r>
        <w:tab/>
        <w:t>is not bound by the rules of evidence and may be informed as the special inquirer thinks fit; and</w:t>
      </w:r>
    </w:p>
    <w:p>
      <w:pPr>
        <w:pStyle w:val="Indenta"/>
      </w:pPr>
      <w:r>
        <w:tab/>
        <w:t>(b)</w:t>
      </w:r>
      <w:r>
        <w:tab/>
        <w:t>must act according to equity, good conscience and the substantial merits of the case and without regard to technicalities and legal forms.</w:t>
      </w:r>
    </w:p>
    <w:p>
      <w:pPr>
        <w:pStyle w:val="Subsection"/>
      </w:pPr>
      <w:r>
        <w:tab/>
        <w:t>(4)</w:t>
      </w:r>
      <w:r>
        <w:tab/>
        <w:t>To the extent that the practice or procedure of a special inquirer is not prescribed by or under this Act, it is to be as the special inquirer determines.</w:t>
      </w:r>
    </w:p>
    <w:p>
      <w:pPr>
        <w:pStyle w:val="Subsection"/>
      </w:pPr>
      <w:r>
        <w:tab/>
        <w:t>(5)</w:t>
      </w:r>
      <w:r>
        <w:tab/>
        <w:t>A special inquirer does not have power to make an award of costs.</w:t>
      </w:r>
    </w:p>
    <w:p>
      <w:pPr>
        <w:pStyle w:val="Footnotesection"/>
      </w:pPr>
      <w:r>
        <w:tab/>
        <w:t>[Section 24J inserted: No. 39 of 2010 s. 23.]</w:t>
      </w:r>
    </w:p>
    <w:p>
      <w:pPr>
        <w:pStyle w:val="Heading5"/>
      </w:pPr>
      <w:bookmarkStart w:id="94" w:name="_Toc20390055"/>
      <w:r>
        <w:rPr>
          <w:rStyle w:val="CharSectno"/>
        </w:rPr>
        <w:t>24K</w:t>
      </w:r>
      <w:r>
        <w:t>.</w:t>
      </w:r>
      <w:r>
        <w:tab/>
        <w:t>Reports on special inquiries</w:t>
      </w:r>
      <w:bookmarkEnd w:id="94"/>
    </w:p>
    <w:p>
      <w:pPr>
        <w:pStyle w:val="Subsection"/>
      </w:pPr>
      <w:r>
        <w:tab/>
        <w:t>(1)</w:t>
      </w:r>
      <w:r>
        <w:tab/>
        <w:t xml:space="preserve">A special inquirer must — </w:t>
      </w:r>
    </w:p>
    <w:p>
      <w:pPr>
        <w:pStyle w:val="Indenta"/>
      </w:pPr>
      <w:r>
        <w:tab/>
        <w:t>(a)</w:t>
      </w:r>
      <w:r>
        <w:tab/>
        <w:t>within such period as the Commissioner requires, prepare a report on the conduct and findings, and any recommendations, of the special inquiry; and</w:t>
      </w:r>
    </w:p>
    <w:p>
      <w:pPr>
        <w:pStyle w:val="Indenta"/>
      </w:pPr>
      <w:r>
        <w:tab/>
        <w:t>(b)</w:t>
      </w:r>
      <w:r>
        <w:tab/>
        <w:t>immediately after preparing the report, provide the Commissioner with a copy of the report.</w:t>
      </w:r>
    </w:p>
    <w:p>
      <w:pPr>
        <w:pStyle w:val="Subsection"/>
      </w:pPr>
      <w:r>
        <w:tab/>
        <w:t>(2)</w:t>
      </w:r>
      <w:r>
        <w:tab/>
        <w:t>If a special inquiry was held on the direction of the Minister under section 24H(2), the Commissioner must provide the Minister with a copy of the report on the special inquiry provided to the Commissioner under subsection (1)(b).</w:t>
      </w:r>
    </w:p>
    <w:p>
      <w:pPr>
        <w:pStyle w:val="Footnotesection"/>
      </w:pPr>
      <w:r>
        <w:tab/>
        <w:t>[Section 24K inserted: No. 39 of 2010 s. 23.]</w:t>
      </w:r>
    </w:p>
    <w:p>
      <w:pPr>
        <w:pStyle w:val="Heading4"/>
      </w:pPr>
      <w:bookmarkStart w:id="95" w:name="_Toc500422897"/>
      <w:bookmarkStart w:id="96" w:name="_Toc503259281"/>
      <w:bookmarkStart w:id="97" w:name="_Toc503265217"/>
      <w:bookmarkStart w:id="98" w:name="_Toc503880684"/>
      <w:bookmarkStart w:id="99" w:name="_Toc515436210"/>
      <w:bookmarkStart w:id="100" w:name="_Toc515437039"/>
      <w:bookmarkStart w:id="101" w:name="_Toc20390056"/>
      <w:r>
        <w:t>Subdivision 3 — Investigations</w:t>
      </w:r>
      <w:bookmarkEnd w:id="95"/>
      <w:bookmarkEnd w:id="96"/>
      <w:bookmarkEnd w:id="97"/>
      <w:bookmarkEnd w:id="98"/>
      <w:bookmarkEnd w:id="99"/>
      <w:bookmarkEnd w:id="100"/>
      <w:bookmarkEnd w:id="101"/>
    </w:p>
    <w:p>
      <w:pPr>
        <w:pStyle w:val="Footnoteheading"/>
      </w:pPr>
      <w:r>
        <w:tab/>
        <w:t>[Heading inserted: No. 39 of 2010 s. 23.]</w:t>
      </w:r>
    </w:p>
    <w:p>
      <w:pPr>
        <w:pStyle w:val="Heading5"/>
        <w:rPr>
          <w:snapToGrid w:val="0"/>
        </w:rPr>
      </w:pPr>
      <w:bookmarkStart w:id="102" w:name="_Toc20390057"/>
      <w:r>
        <w:rPr>
          <w:rStyle w:val="CharSectno"/>
        </w:rPr>
        <w:t>24</w:t>
      </w:r>
      <w:r>
        <w:rPr>
          <w:snapToGrid w:val="0"/>
        </w:rPr>
        <w:t>.</w:t>
      </w:r>
      <w:r>
        <w:rPr>
          <w:snapToGrid w:val="0"/>
        </w:rPr>
        <w:tab/>
        <w:t>Commissioner’s powers of investigation</w:t>
      </w:r>
      <w:bookmarkEnd w:id="102"/>
    </w:p>
    <w:p>
      <w:pPr>
        <w:pStyle w:val="Subsection"/>
        <w:rPr>
          <w:snapToGrid w:val="0"/>
        </w:rPr>
      </w:pPr>
      <w:r>
        <w:rPr>
          <w:snapToGrid w:val="0"/>
        </w:rPr>
        <w:tab/>
        <w:t>(1)</w:t>
      </w:r>
      <w:r>
        <w:rPr>
          <w:snapToGrid w:val="0"/>
        </w:rPr>
        <w:tab/>
        <w:t xml:space="preserve">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w:t>
      </w:r>
      <w:r>
        <w:t>sections 24I and 24J</w:t>
      </w:r>
      <w:r>
        <w:rPr>
          <w:snapToGrid w:val="0"/>
        </w:rPr>
        <w:t xml:space="preserve">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pPr>
      <w:r>
        <w:tab/>
        <w:t>(2)</w:t>
      </w:r>
      <w:r>
        <w:tab/>
        <w:t xml:space="preserve">A person authorised under subsection (1) must — </w:t>
      </w:r>
    </w:p>
    <w:p>
      <w:pPr>
        <w:pStyle w:val="Indenta"/>
      </w:pPr>
      <w:r>
        <w:tab/>
        <w:t>(a)</w:t>
      </w:r>
      <w:r>
        <w:tab/>
        <w:t>within such period as the Commissioner requires, prepare a report on the conduct and findings of, and any recommendations resulting from, an investigation by the person; and</w:t>
      </w:r>
    </w:p>
    <w:p>
      <w:pPr>
        <w:pStyle w:val="Indenta"/>
      </w:pPr>
      <w:r>
        <w:tab/>
        <w:t>(b)</w:t>
      </w:r>
      <w:r>
        <w:tab/>
        <w:t>immediately after preparing the report, provide the Commissioner with a copy of the report.</w:t>
      </w:r>
    </w:p>
    <w:p>
      <w:pPr>
        <w:pStyle w:val="Footnotesection"/>
      </w:pPr>
      <w:r>
        <w:tab/>
        <w:t>[Section 24 amended: No. 39 of 2010 s. 24 and 69.]</w:t>
      </w:r>
    </w:p>
    <w:p>
      <w:pPr>
        <w:pStyle w:val="Ednotesection"/>
        <w:spacing w:before="160"/>
        <w:ind w:left="890" w:hanging="890"/>
      </w:pPr>
      <w:r>
        <w:t>[</w:t>
      </w:r>
      <w:r>
        <w:rPr>
          <w:b/>
          <w:bCs/>
        </w:rPr>
        <w:t>25</w:t>
      </w:r>
      <w:r>
        <w:rPr>
          <w:b/>
          <w:bCs/>
        </w:rPr>
        <w:noBreakHyphen/>
        <w:t>27.</w:t>
      </w:r>
      <w:r>
        <w:tab/>
        <w:t>Deleted: No. 39 of 2010 s. 25.]</w:t>
      </w:r>
    </w:p>
    <w:p>
      <w:pPr>
        <w:pStyle w:val="Heading3"/>
      </w:pPr>
      <w:bookmarkStart w:id="103" w:name="_Toc500422899"/>
      <w:bookmarkStart w:id="104" w:name="_Toc503259283"/>
      <w:bookmarkStart w:id="105" w:name="_Toc503265219"/>
      <w:bookmarkStart w:id="106" w:name="_Toc503880686"/>
      <w:bookmarkStart w:id="107" w:name="_Toc515436212"/>
      <w:bookmarkStart w:id="108" w:name="_Toc515437041"/>
      <w:bookmarkStart w:id="109" w:name="_Toc20390058"/>
      <w:r>
        <w:rPr>
          <w:rStyle w:val="CharDivNo"/>
        </w:rPr>
        <w:t>Division 4</w:t>
      </w:r>
      <w:r>
        <w:t> — </w:t>
      </w:r>
      <w:r>
        <w:rPr>
          <w:rStyle w:val="CharDivText"/>
        </w:rPr>
        <w:t>Acting appointments</w:t>
      </w:r>
      <w:bookmarkEnd w:id="103"/>
      <w:bookmarkEnd w:id="104"/>
      <w:bookmarkEnd w:id="105"/>
      <w:bookmarkEnd w:id="106"/>
      <w:bookmarkEnd w:id="107"/>
      <w:bookmarkEnd w:id="108"/>
      <w:bookmarkEnd w:id="109"/>
    </w:p>
    <w:p>
      <w:pPr>
        <w:pStyle w:val="Footnoteheading"/>
      </w:pPr>
      <w:r>
        <w:tab/>
        <w:t>[Heading inserted: No. 39 of 2010 s. 26.]</w:t>
      </w:r>
    </w:p>
    <w:p>
      <w:pPr>
        <w:pStyle w:val="Heading5"/>
        <w:keepNext w:val="0"/>
        <w:keepLines w:val="0"/>
        <w:spacing w:before="180"/>
        <w:rPr>
          <w:snapToGrid w:val="0"/>
        </w:rPr>
      </w:pPr>
      <w:bookmarkStart w:id="110" w:name="_Toc20390059"/>
      <w:r>
        <w:rPr>
          <w:rStyle w:val="CharSectno"/>
        </w:rPr>
        <w:t>28</w:t>
      </w:r>
      <w:r>
        <w:rPr>
          <w:snapToGrid w:val="0"/>
        </w:rPr>
        <w:t>.</w:t>
      </w:r>
      <w:r>
        <w:rPr>
          <w:snapToGrid w:val="0"/>
        </w:rPr>
        <w:tab/>
        <w:t>Acting Commissioner appointed by Governor</w:t>
      </w:r>
      <w:bookmarkEnd w:id="110"/>
    </w:p>
    <w:p>
      <w:pPr>
        <w:pStyle w:val="Subsection"/>
        <w:spacing w:before="120"/>
      </w:pPr>
      <w:r>
        <w:tab/>
        <w:t>(1)</w:t>
      </w:r>
      <w:r>
        <w:tab/>
        <w:t xml:space="preserve">The Governor may, on the recommendation of the Minister, appoint a person to act in the office of Commissioner during a period when — </w:t>
      </w:r>
    </w:p>
    <w:p>
      <w:pPr>
        <w:pStyle w:val="Indenta"/>
      </w:pPr>
      <w:r>
        <w:tab/>
        <w:t>(a)</w:t>
      </w:r>
      <w:r>
        <w:tab/>
        <w:t>the Commissioner is on leave of absence, or otherwise unable to perform the functions of Commissioner, or is absent from the State; or</w:t>
      </w:r>
    </w:p>
    <w:p>
      <w:pPr>
        <w:pStyle w:val="Indenta"/>
      </w:pPr>
      <w:r>
        <w:tab/>
        <w:t>(b)</w:t>
      </w:r>
      <w:r>
        <w:tab/>
        <w:t>the Commissioner is suspended from that office under section 18(3) or (4); or</w:t>
      </w:r>
    </w:p>
    <w:p>
      <w:pPr>
        <w:pStyle w:val="Indenta"/>
      </w:pPr>
      <w:r>
        <w:tab/>
        <w:t>(c)</w:t>
      </w:r>
      <w:r>
        <w:tab/>
        <w:t>that office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w:t>
      </w:r>
      <w:r>
        <w:t xml:space="preserve"> Public Sector Commissioner.</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the relevant leave of absence, inability, absence, suspension or vacancy ceases; or</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pPr>
      <w:r>
        <w:tab/>
        <w:t>(6)</w:t>
      </w:r>
      <w:r>
        <w:tab/>
        <w:t xml:space="preserve">If — </w:t>
      </w:r>
    </w:p>
    <w:p>
      <w:pPr>
        <w:pStyle w:val="Indenta"/>
      </w:pPr>
      <w:r>
        <w:tab/>
        <w:t>(a)</w:t>
      </w:r>
      <w:r>
        <w:tab/>
        <w:t>a person immediately before appointment as Acting Commissioner under this section occupied an office in a department or organisation; and</w:t>
      </w:r>
    </w:p>
    <w:p>
      <w:pPr>
        <w:pStyle w:val="Indenta"/>
      </w:pPr>
      <w:r>
        <w:tab/>
        <w:t>(b)</w:t>
      </w:r>
      <w:r>
        <w:tab/>
        <w:t>the person’s period of office as Acting Commissioner ends and the person is not reappointed to the office; and</w:t>
      </w:r>
    </w:p>
    <w:p>
      <w:pPr>
        <w:pStyle w:val="Indenta"/>
      </w:pPr>
      <w:r>
        <w:tab/>
        <w:t>(c)</w:t>
      </w:r>
      <w:r>
        <w:tab/>
        <w:t>but for the appointment as Acting Commissioner, the person would still be entitled to hold the office referred to in paragraph (a),</w:t>
      </w:r>
    </w:p>
    <w:p>
      <w:pPr>
        <w:pStyle w:val="Subsection"/>
        <w:rPr>
          <w:snapToGrid w:val="0"/>
        </w:rPr>
      </w:pPr>
      <w:r>
        <w:tab/>
      </w:r>
      <w:r>
        <w:tab/>
        <w:t>the person is entitled to be appointed to an office in a department or organisation of at least the equivalent level of classification as the office that the person occupied immediately before appointment as Acting Commissioner.</w:t>
      </w:r>
    </w:p>
    <w:p>
      <w:pPr>
        <w:pStyle w:val="Subsection"/>
        <w:spacing w:before="180"/>
      </w:pPr>
      <w:r>
        <w:tab/>
        <w:t>(7)</w:t>
      </w:r>
      <w:r>
        <w:tab/>
        <w:t>Sections 17(4), 18, 19 and 20(1), (3) and (6) apply to an Acting Commissioner appointed under this section.</w:t>
      </w:r>
    </w:p>
    <w:p>
      <w:pPr>
        <w:pStyle w:val="Footnotesection"/>
        <w:ind w:left="890" w:hanging="890"/>
      </w:pPr>
      <w:r>
        <w:tab/>
        <w:t>[Section 28 amended: No. 39 of 2010 s. 27.]</w:t>
      </w:r>
    </w:p>
    <w:p>
      <w:pPr>
        <w:pStyle w:val="Heading5"/>
        <w:keepNext w:val="0"/>
        <w:keepLines w:val="0"/>
        <w:spacing w:before="240"/>
      </w:pPr>
      <w:bookmarkStart w:id="111" w:name="_Toc20390060"/>
      <w:r>
        <w:rPr>
          <w:rStyle w:val="CharSectno"/>
        </w:rPr>
        <w:t>29A</w:t>
      </w:r>
      <w:r>
        <w:t>.</w:t>
      </w:r>
      <w:r>
        <w:tab/>
        <w:t>Acting Commissioner appointed by Commissioner</w:t>
      </w:r>
      <w:bookmarkEnd w:id="111"/>
    </w:p>
    <w:p>
      <w:pPr>
        <w:pStyle w:val="Subsection"/>
      </w:pPr>
      <w:r>
        <w:tab/>
        <w:t>(1)</w:t>
      </w:r>
      <w:r>
        <w:tab/>
        <w:t>If the Governor has not appointed a person under section 28, the Commissioner may appoint a person to act in the office of Commissioner in the circumstances referred to in section 28(1)(a).</w:t>
      </w:r>
    </w:p>
    <w:p>
      <w:pPr>
        <w:pStyle w:val="Subsection"/>
      </w:pPr>
      <w:r>
        <w:tab/>
        <w:t>(2)</w:t>
      </w:r>
      <w:r>
        <w:tab/>
        <w:t>A person must not be appointed under subsection (1) for more than 13 weeks in a 12 month period.</w:t>
      </w:r>
    </w:p>
    <w:p>
      <w:pPr>
        <w:pStyle w:val="Subsection"/>
        <w:spacing w:before="180"/>
      </w:pPr>
      <w:r>
        <w:tab/>
        <w:t>(3)</w:t>
      </w:r>
      <w:r>
        <w:tab/>
        <w:t xml:space="preserve">An appointment under this section — </w:t>
      </w:r>
    </w:p>
    <w:p>
      <w:pPr>
        <w:pStyle w:val="Indenta"/>
      </w:pPr>
      <w:r>
        <w:tab/>
        <w:t>(a)</w:t>
      </w:r>
      <w:r>
        <w:tab/>
        <w:t>may be terminated at any time by the Commissioner; and</w:t>
      </w:r>
    </w:p>
    <w:p>
      <w:pPr>
        <w:pStyle w:val="Indenta"/>
      </w:pPr>
      <w:r>
        <w:tab/>
        <w:t>(b)</w:t>
      </w:r>
      <w:r>
        <w:tab/>
        <w:t>may be expressed to have effect only in the circumstances specified in the instrument of appointment.</w:t>
      </w:r>
    </w:p>
    <w:p>
      <w:pPr>
        <w:pStyle w:val="Subsection"/>
        <w:spacing w:before="180"/>
      </w:pPr>
      <w:r>
        <w:tab/>
        <w:t>(4)</w:t>
      </w:r>
      <w:r>
        <w:tab/>
        <w:t>If the Commissioner appoints a person under subsection (1) and the Governor later appoints a person under section 28 whose term of appointment is to begin before the term of the Commissioner’s appointee has ended, the appointment of the Commissioner’s appointee ceases to have effect on and from the day on which the term of the Governor’s appointee begins.</w:t>
      </w:r>
    </w:p>
    <w:p>
      <w:pPr>
        <w:pStyle w:val="Subsection"/>
        <w:spacing w:before="180"/>
      </w:pPr>
      <w:r>
        <w:tab/>
        <w:t>(5)</w:t>
      </w:r>
      <w:r>
        <w:tab/>
        <w:t>Sections 18(1) and (2), 19 and 20(1), (3) and (6) apply to an Acting Commissioner appointed under this section.</w:t>
      </w:r>
    </w:p>
    <w:p>
      <w:pPr>
        <w:pStyle w:val="Footnotesection"/>
      </w:pPr>
      <w:r>
        <w:tab/>
        <w:t>[Section 29A inserted: No. 39 of 2010 s. 28.]</w:t>
      </w:r>
    </w:p>
    <w:p>
      <w:pPr>
        <w:pStyle w:val="Heading5"/>
        <w:keepLines w:val="0"/>
        <w:spacing w:before="240"/>
      </w:pPr>
      <w:bookmarkStart w:id="112" w:name="_Toc20390061"/>
      <w:r>
        <w:rPr>
          <w:rStyle w:val="CharSectno"/>
        </w:rPr>
        <w:t>29B</w:t>
      </w:r>
      <w:r>
        <w:t>.</w:t>
      </w:r>
      <w:r>
        <w:tab/>
        <w:t>Matters relevant to all acting appointments</w:t>
      </w:r>
      <w:bookmarkEnd w:id="112"/>
    </w:p>
    <w:p>
      <w:pPr>
        <w:pStyle w:val="Subsection"/>
      </w:pPr>
      <w:r>
        <w:tab/>
      </w:r>
      <w:r>
        <w:tab/>
        <w:t xml:space="preserve">While an Acting Commissioner is acting in the office of Commissioner under section 28 or 29A — </w:t>
      </w:r>
    </w:p>
    <w:p>
      <w:pPr>
        <w:pStyle w:val="Indenta"/>
      </w:pPr>
      <w:r>
        <w:tab/>
        <w:t>(a)</w:t>
      </w:r>
      <w:r>
        <w:tab/>
        <w:t>the Acting Commissioner is to perform all the functions of the Commissioner and any act or thing done by the Acting Commissioner in that performance has the like effect as if it were done by the Commissioner; and</w:t>
      </w:r>
    </w:p>
    <w:p>
      <w:pPr>
        <w:pStyle w:val="Indenta"/>
        <w:keepLines/>
      </w:pPr>
      <w:r>
        <w:tab/>
        <w:t>(b)</w:t>
      </w:r>
      <w:r>
        <w:tab/>
        <w:t>any act or thing that is required under a written law to be done to, by reference to or in relation to the Commissioner is taken to be effectually done if done to, by reference to or in relation to the Acting Commissioner; and</w:t>
      </w:r>
    </w:p>
    <w:p>
      <w:pPr>
        <w:pStyle w:val="Indenta"/>
      </w:pPr>
      <w:r>
        <w:tab/>
        <w:t>(c)</w:t>
      </w:r>
      <w:r>
        <w:tab/>
        <w:t>the Acting Commissioner has the same immunities and independence as the Commissioner.</w:t>
      </w:r>
    </w:p>
    <w:p>
      <w:pPr>
        <w:pStyle w:val="Footnotesection"/>
      </w:pPr>
      <w:r>
        <w:tab/>
        <w:t>[Section 29B inserted: No. 39 of 2010 s. 28.]</w:t>
      </w:r>
    </w:p>
    <w:p>
      <w:pPr>
        <w:pStyle w:val="Heading2"/>
      </w:pPr>
      <w:bookmarkStart w:id="113" w:name="_Toc500422903"/>
      <w:bookmarkStart w:id="114" w:name="_Toc503259287"/>
      <w:bookmarkStart w:id="115" w:name="_Toc503265223"/>
      <w:bookmarkStart w:id="116" w:name="_Toc503880690"/>
      <w:bookmarkStart w:id="117" w:name="_Toc515436216"/>
      <w:bookmarkStart w:id="118" w:name="_Toc515437045"/>
      <w:bookmarkStart w:id="119" w:name="_Toc20390062"/>
      <w:r>
        <w:rPr>
          <w:rStyle w:val="CharPartNo"/>
        </w:rPr>
        <w:t>Part 3B</w:t>
      </w:r>
      <w:r>
        <w:rPr>
          <w:rStyle w:val="CharDivNo"/>
        </w:rPr>
        <w:t> </w:t>
      </w:r>
      <w:r>
        <w:t>—</w:t>
      </w:r>
      <w:r>
        <w:rPr>
          <w:rStyle w:val="CharDivText"/>
        </w:rPr>
        <w:t> </w:t>
      </w:r>
      <w:r>
        <w:rPr>
          <w:rStyle w:val="CharPartText"/>
        </w:rPr>
        <w:t>Chief executive officers and chief employees</w:t>
      </w:r>
      <w:bookmarkEnd w:id="113"/>
      <w:bookmarkEnd w:id="114"/>
      <w:bookmarkEnd w:id="115"/>
      <w:bookmarkEnd w:id="116"/>
      <w:bookmarkEnd w:id="117"/>
      <w:bookmarkEnd w:id="118"/>
      <w:bookmarkEnd w:id="119"/>
    </w:p>
    <w:p>
      <w:pPr>
        <w:pStyle w:val="Footnoteheading"/>
      </w:pPr>
      <w:r>
        <w:tab/>
        <w:t>[Heading inserted: No. 39 of 2010 s. 29.]</w:t>
      </w:r>
    </w:p>
    <w:p>
      <w:pPr>
        <w:pStyle w:val="Heading5"/>
        <w:spacing w:before="240"/>
        <w:rPr>
          <w:snapToGrid w:val="0"/>
        </w:rPr>
      </w:pPr>
      <w:bookmarkStart w:id="120" w:name="_Toc20390063"/>
      <w:r>
        <w:rPr>
          <w:rStyle w:val="CharSectno"/>
        </w:rPr>
        <w:t>29</w:t>
      </w:r>
      <w:r>
        <w:rPr>
          <w:snapToGrid w:val="0"/>
        </w:rPr>
        <w:t>.</w:t>
      </w:r>
      <w:r>
        <w:rPr>
          <w:snapToGrid w:val="0"/>
        </w:rPr>
        <w:tab/>
        <w:t>Functions of CEOs and chief employees</w:t>
      </w:r>
      <w:bookmarkEnd w:id="120"/>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 and</w:t>
      </w:r>
    </w:p>
    <w:p>
      <w:pPr>
        <w:pStyle w:val="Indenta"/>
        <w:rPr>
          <w:snapToGrid w:val="0"/>
        </w:rPr>
      </w:pPr>
      <w:r>
        <w:rPr>
          <w:snapToGrid w:val="0"/>
        </w:rPr>
        <w:tab/>
        <w:t>(b)</w:t>
      </w:r>
      <w:r>
        <w:rPr>
          <w:snapToGrid w:val="0"/>
        </w:rPr>
        <w:tab/>
        <w:t>to provide policy advice to the responsible authority of that department or organisation; and</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 and</w:t>
      </w:r>
    </w:p>
    <w:p>
      <w:pPr>
        <w:pStyle w:val="Indenta"/>
        <w:rPr>
          <w:snapToGrid w:val="0"/>
        </w:rPr>
      </w:pPr>
      <w:r>
        <w:rPr>
          <w:snapToGrid w:val="0"/>
        </w:rPr>
        <w:tab/>
        <w:t>(d)</w:t>
      </w:r>
      <w:r>
        <w:rPr>
          <w:snapToGrid w:val="0"/>
        </w:rPr>
        <w:tab/>
        <w:t>to ensure the appropriate deployment and redeployment of resources within that department or organisation; and</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 and</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 and</w:t>
      </w:r>
    </w:p>
    <w:p>
      <w:pPr>
        <w:pStyle w:val="Indenta"/>
        <w:rPr>
          <w:snapToGrid w:val="0"/>
        </w:rPr>
      </w:pPr>
      <w:r>
        <w:rPr>
          <w:snapToGrid w:val="0"/>
        </w:rPr>
        <w:tab/>
        <w:t>(g)</w:t>
      </w:r>
      <w:r>
        <w:rPr>
          <w:snapToGrid w:val="0"/>
        </w:rPr>
        <w:tab/>
        <w:t xml:space="preserve">to manage and direct employees employed in that department or organisation and, without limiting the generality of this paragraph, to be responsible for the recruitment, selection, </w:t>
      </w:r>
      <w:r>
        <w:t>appointment, deployment and termination of employment</w:t>
      </w:r>
      <w:r>
        <w:rPr>
          <w:snapToGrid w:val="0"/>
        </w:rPr>
        <w:t xml:space="preserve"> of those employees; and</w:t>
      </w:r>
    </w:p>
    <w:p>
      <w:pPr>
        <w:pStyle w:val="Indenta"/>
        <w:keepLines/>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pPr>
      <w:r>
        <w:tab/>
        <w:t>(ii)</w:t>
      </w:r>
      <w:r>
        <w:tab/>
        <w:t>the relevant Commissioner’s instructions, if any;</w:t>
      </w:r>
    </w:p>
    <w:p>
      <w:pPr>
        <w:pStyle w:val="Indenta"/>
      </w:pPr>
      <w:r>
        <w:tab/>
      </w:r>
      <w:r>
        <w:tab/>
        <w:t>and</w:t>
      </w:r>
    </w:p>
    <w:p>
      <w:pPr>
        <w:pStyle w:val="Indenta"/>
        <w:rPr>
          <w:snapToGrid w:val="0"/>
        </w:rPr>
      </w:pPr>
      <w:r>
        <w:rPr>
          <w:snapToGrid w:val="0"/>
        </w:rPr>
        <w:tab/>
        <w:t>(i)</w:t>
      </w:r>
      <w:r>
        <w:rPr>
          <w:snapToGrid w:val="0"/>
        </w:rPr>
        <w:tab/>
        <w:t>to evaluate the performances of employees employed in that department or organisation; and</w:t>
      </w:r>
    </w:p>
    <w:p>
      <w:pPr>
        <w:pStyle w:val="Indenta"/>
      </w:pPr>
      <w:r>
        <w:tab/>
        <w:t>(ja)</w:t>
      </w:r>
      <w:r>
        <w:tab/>
        <w:t>where appropriate, to take improvement action in respect of employees employed in that department or organisation; and</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 and</w:t>
      </w:r>
    </w:p>
    <w:p>
      <w:pPr>
        <w:pStyle w:val="Indenta"/>
        <w:rPr>
          <w:snapToGrid w:val="0"/>
        </w:rPr>
      </w:pPr>
      <w:r>
        <w:rPr>
          <w:snapToGrid w:val="0"/>
        </w:rPr>
        <w:tab/>
        <w:t>(k)</w:t>
      </w:r>
      <w:r>
        <w:rPr>
          <w:snapToGrid w:val="0"/>
        </w:rPr>
        <w:tab/>
        <w:t>to establish and implement necessary management training programmes and staff training, education and development programmes; and</w:t>
      </w:r>
    </w:p>
    <w:p>
      <w:pPr>
        <w:pStyle w:val="Indenta"/>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 and</w:t>
      </w:r>
    </w:p>
    <w:p>
      <w:pPr>
        <w:pStyle w:val="Indenta"/>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 and</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ind w:left="890" w:hanging="890"/>
      </w:pPr>
      <w:r>
        <w:tab/>
        <w:t xml:space="preserve">[Section 29 amended: No. 30 of 1995 s. 48; No. 53 of 2000 s. 21; No. 20 of 2002 s. 25(2); No. 39 of 2010 s. 30 and 70; amended: Gazette 15 Aug 2003 p. 3690; No. 8 of 2014 s. 10.] </w:t>
      </w:r>
    </w:p>
    <w:p>
      <w:pPr>
        <w:pStyle w:val="Heading5"/>
        <w:rPr>
          <w:snapToGrid w:val="0"/>
        </w:rPr>
      </w:pPr>
      <w:bookmarkStart w:id="121" w:name="_Toc20390064"/>
      <w:r>
        <w:rPr>
          <w:rStyle w:val="CharSectno"/>
        </w:rPr>
        <w:t>30</w:t>
      </w:r>
      <w:r>
        <w:rPr>
          <w:snapToGrid w:val="0"/>
        </w:rPr>
        <w:t>.</w:t>
      </w:r>
      <w:r>
        <w:rPr>
          <w:snapToGrid w:val="0"/>
        </w:rPr>
        <w:tab/>
        <w:t>Duties of CEOs and chief employees when performing functions</w:t>
      </w:r>
      <w:bookmarkEnd w:id="121"/>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rPr>
          <w:snapToGrid w:val="0"/>
        </w:rPr>
      </w:pPr>
      <w:r>
        <w:rPr>
          <w:snapToGrid w:val="0"/>
        </w:rPr>
        <w:tab/>
        <w:t>(a)</w:t>
      </w:r>
      <w:r>
        <w:rPr>
          <w:snapToGrid w:val="0"/>
        </w:rPr>
        <w:tab/>
        <w:t>endeavour to attain performance objectives agreed with the responsible authority of the department or organisation; and</w:t>
      </w:r>
    </w:p>
    <w:p>
      <w:pPr>
        <w:pStyle w:val="Indenta"/>
        <w:rPr>
          <w:snapToGrid w:val="0"/>
        </w:rPr>
      </w:pPr>
      <w:r>
        <w:rPr>
          <w:snapToGrid w:val="0"/>
        </w:rPr>
        <w:tab/>
        <w:t>(b)</w:t>
      </w:r>
      <w:r>
        <w:rPr>
          <w:snapToGrid w:val="0"/>
        </w:rPr>
        <w:tab/>
        <w:t xml:space="preserve">comply with </w:t>
      </w:r>
      <w:r>
        <w:t xml:space="preserve">the Commissioner’s instructions, </w:t>
      </w:r>
      <w:r>
        <w:rPr>
          <w:snapToGrid w:val="0"/>
        </w:rPr>
        <w:t>public sector standards, codes of ethics and any relevant code of conduct; and</w:t>
      </w:r>
    </w:p>
    <w:p>
      <w:pPr>
        <w:pStyle w:val="Indenta"/>
        <w:rPr>
          <w:snapToGrid w:val="0"/>
        </w:rPr>
      </w:pPr>
      <w:r>
        <w:rPr>
          <w:snapToGrid w:val="0"/>
        </w:rPr>
        <w:tab/>
        <w:t>(c)</w:t>
      </w:r>
      <w:r>
        <w:rPr>
          <w:snapToGrid w:val="0"/>
        </w:rPr>
        <w:tab/>
        <w:t>comply with the principles set out in sections 7, 8 and 9; and</w:t>
      </w:r>
    </w:p>
    <w:p>
      <w:pPr>
        <w:pStyle w:val="Indenta"/>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ind w:left="890" w:hanging="890"/>
      </w:pPr>
      <w:r>
        <w:tab/>
        <w:t>[Section 30 amended: No. 20 of 2002 s. 25(3); No. 39 of 2010 s. 31 and 70; amended: Gazette 15 Aug 2003 p. 3690.]</w:t>
      </w:r>
    </w:p>
    <w:p>
      <w:pPr>
        <w:pStyle w:val="Heading5"/>
        <w:keepNext w:val="0"/>
        <w:keepLines w:val="0"/>
        <w:rPr>
          <w:snapToGrid w:val="0"/>
        </w:rPr>
      </w:pPr>
      <w:bookmarkStart w:id="122" w:name="_Toc20390065"/>
      <w:r>
        <w:rPr>
          <w:rStyle w:val="CharSectno"/>
        </w:rPr>
        <w:t>31</w:t>
      </w:r>
      <w:r>
        <w:rPr>
          <w:snapToGrid w:val="0"/>
        </w:rPr>
        <w:t>.</w:t>
      </w:r>
      <w:r>
        <w:rPr>
          <w:snapToGrid w:val="0"/>
        </w:rPr>
        <w:tab/>
        <w:t>Extent of compliance with public sector standards etc. to be reported</w:t>
      </w:r>
      <w:bookmarkEnd w:id="122"/>
    </w:p>
    <w:p>
      <w:pPr>
        <w:pStyle w:val="Subsection"/>
        <w:rPr>
          <w:snapToGrid w:val="0"/>
        </w:rPr>
      </w:pPr>
      <w:r>
        <w:rPr>
          <w:snapToGrid w:val="0"/>
        </w:rPr>
        <w:tab/>
        <w:t>(1)</w:t>
      </w:r>
      <w:r>
        <w:rPr>
          <w:snapToGrid w:val="0"/>
        </w:rPr>
        <w:tab/>
        <w:t xml:space="preserve">A chief executive officer or chief employee shall cause to be included in the annual report </w:t>
      </w:r>
      <w:r>
        <w:t xml:space="preserve">submitted by the accountable authority of the relevant department or organisation under Part 5 of the </w:t>
      </w:r>
      <w:r>
        <w:rPr>
          <w:i/>
          <w:iCs/>
        </w:rPr>
        <w:t xml:space="preserve">Financial Management Act 2006 </w:t>
      </w:r>
      <w:r>
        <w:rPr>
          <w:snapToGrid w:val="0"/>
        </w:rPr>
        <w:t xml:space="preserve">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the relevant department or organisation.</w:t>
      </w:r>
    </w:p>
    <w:p>
      <w:pPr>
        <w:pStyle w:val="Subsection"/>
        <w:rPr>
          <w:snapToGrid w:val="0"/>
        </w:rPr>
      </w:pPr>
      <w:r>
        <w:rPr>
          <w:snapToGrid w:val="0"/>
        </w:rPr>
        <w:tab/>
        <w:t>(2)</w:t>
      </w:r>
      <w:r>
        <w:rPr>
          <w:snapToGrid w:val="0"/>
        </w:rPr>
        <w:tab/>
        <w:t xml:space="preserve">The chief executive officer or chief employee of an organisation which is not a statutory authority within the meaning of the </w:t>
      </w:r>
      <w:r>
        <w:rPr>
          <w:i/>
          <w:iCs/>
          <w:snapToGrid w:val="0"/>
        </w:rPr>
        <w:t>Financial Management Act 2006</w:t>
      </w:r>
      <w:r>
        <w:rPr>
          <w:snapToGrid w:val="0"/>
        </w:rPr>
        <w:t xml:space="preserve"> shall, before 31 August in each year or such earlier date in that year as the Commissioner may determine by order published in the </w:t>
      </w:r>
      <w:r>
        <w:rPr>
          <w:i/>
          <w:snapToGrid w:val="0"/>
        </w:rPr>
        <w:t>Gazette</w:t>
      </w:r>
      <w:r>
        <w:rPr>
          <w:snapToGrid w:val="0"/>
        </w:rPr>
        <w:t xml:space="preserve">, cause to be prepared and submitted to the Commissioner a report, prepared in accordance with </w:t>
      </w:r>
      <w:r>
        <w:t xml:space="preserve">the relevant Commissioner’s instructions, if any, </w:t>
      </w:r>
      <w:r>
        <w:rPr>
          <w:snapToGrid w:val="0"/>
        </w:rPr>
        <w:t>on the extent to which public sector standards, codes of ethics and any relevant code of conduct have been complied with in relation to that organisation.</w:t>
      </w:r>
    </w:p>
    <w:p>
      <w:pPr>
        <w:pStyle w:val="Subsection"/>
        <w:rPr>
          <w:snapToGrid w:val="0"/>
        </w:rPr>
      </w:pPr>
      <w:r>
        <w:rPr>
          <w:snapToGrid w:val="0"/>
        </w:rPr>
        <w:tab/>
        <w:t>(3)</w:t>
      </w:r>
      <w:r>
        <w:rPr>
          <w:snapToGrid w:val="0"/>
        </w:rPr>
        <w:tab/>
        <w:t xml:space="preserve">If the whole or any part of a department or organisation is exempted under </w:t>
      </w:r>
      <w:r>
        <w:t xml:space="preserve">section 21(9A) </w:t>
      </w:r>
      <w:r>
        <w:rPr>
          <w:snapToGrid w:val="0"/>
        </w:rPr>
        <w:t>from compliance with the whole or any part of any public sector standard or code of ethics, subsections (1) and (2) do not apply to or in relation to any thing to which that exemption relates.</w:t>
      </w:r>
    </w:p>
    <w:p>
      <w:pPr>
        <w:pStyle w:val="Subsection"/>
        <w:rPr>
          <w:snapToGrid w:val="0"/>
        </w:rPr>
      </w:pPr>
      <w:r>
        <w:rPr>
          <w:snapToGrid w:val="0"/>
        </w:rPr>
        <w:tab/>
        <w:t>(4)</w:t>
      </w:r>
      <w:r>
        <w:rPr>
          <w:snapToGrid w:val="0"/>
        </w:rPr>
        <w:tab/>
        <w:t xml:space="preserve">The Commissioner shall include in the </w:t>
      </w:r>
      <w:r>
        <w:t>annual report prepared by the Commissioner under section 22D</w:t>
      </w:r>
      <w:r>
        <w:rPr>
          <w:snapToGrid w:val="0"/>
        </w:rPr>
        <w:t xml:space="preserve"> each report submitted to him or her under subsection (2).</w:t>
      </w:r>
    </w:p>
    <w:p>
      <w:pPr>
        <w:pStyle w:val="Footnotesection"/>
        <w:ind w:left="890" w:hanging="890"/>
      </w:pPr>
      <w:r>
        <w:tab/>
        <w:t>[Section 31 amended: No. 5 of 2005 s. 43; No. 77 of 2006 Sch. 1 cl. 137; No. 39 of 2010 s. 32 and 69.]</w:t>
      </w:r>
    </w:p>
    <w:p>
      <w:pPr>
        <w:pStyle w:val="Heading5"/>
        <w:rPr>
          <w:snapToGrid w:val="0"/>
        </w:rPr>
      </w:pPr>
      <w:bookmarkStart w:id="123" w:name="_Toc20390066"/>
      <w:r>
        <w:rPr>
          <w:rStyle w:val="CharSectno"/>
        </w:rPr>
        <w:t>32</w:t>
      </w:r>
      <w:r>
        <w:rPr>
          <w:snapToGrid w:val="0"/>
        </w:rPr>
        <w:t>.</w:t>
      </w:r>
      <w:r>
        <w:rPr>
          <w:snapToGrid w:val="0"/>
        </w:rPr>
        <w:tab/>
        <w:t>CEOs and chief employees to comply with directions etc. of responsible authority</w:t>
      </w:r>
      <w:bookmarkEnd w:id="123"/>
    </w:p>
    <w:p>
      <w:pPr>
        <w:pStyle w:val="Subsection"/>
        <w:keepNext/>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 and</w:t>
      </w:r>
    </w:p>
    <w:p>
      <w:pPr>
        <w:pStyle w:val="Indenta"/>
        <w:rPr>
          <w:snapToGrid w:val="0"/>
        </w:rPr>
      </w:pPr>
      <w:r>
        <w:rPr>
          <w:snapToGrid w:val="0"/>
        </w:rPr>
        <w:tab/>
        <w:t>(b)</w:t>
      </w:r>
      <w:r>
        <w:rPr>
          <w:snapToGrid w:val="0"/>
        </w:rPr>
        <w:tab/>
        <w:t xml:space="preserve">any </w:t>
      </w:r>
      <w:r>
        <w:t xml:space="preserve">Commissioner’s instruction, </w:t>
      </w:r>
      <w:r>
        <w:rPr>
          <w:snapToGrid w:val="0"/>
        </w:rPr>
        <w:t>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t xml:space="preserve">the </w:t>
      </w:r>
      <w:r>
        <w:rPr>
          <w:rStyle w:val="CharDefText"/>
        </w:rPr>
        <w:t>paragraph (a) provision</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rPr>
          <w:snapToGrid w:val="0"/>
        </w:rPr>
      </w:pPr>
      <w:r>
        <w:rPr>
          <w:snapToGrid w:val="0"/>
        </w:rPr>
        <w:tab/>
      </w:r>
      <w:r>
        <w:rPr>
          <w:snapToGrid w:val="0"/>
        </w:rPr>
        <w:tab/>
        <w:t>the paragraph (a) provision prevails.</w:t>
      </w:r>
    </w:p>
    <w:p>
      <w:pPr>
        <w:pStyle w:val="Footnotesection"/>
      </w:pPr>
      <w:r>
        <w:tab/>
        <w:t>[Section 32 amended: No. 39 of 2010 s. 33 and 70.]</w:t>
      </w:r>
    </w:p>
    <w:p>
      <w:pPr>
        <w:pStyle w:val="Heading5"/>
      </w:pPr>
      <w:bookmarkStart w:id="124" w:name="_Toc20390067"/>
      <w:r>
        <w:rPr>
          <w:rStyle w:val="CharSectno"/>
        </w:rPr>
        <w:t>33</w:t>
      </w:r>
      <w:r>
        <w:t>.</w:t>
      </w:r>
      <w:r>
        <w:tab/>
        <w:t>Delegation by CEO or chief employee</w:t>
      </w:r>
      <w:bookmarkEnd w:id="124"/>
    </w:p>
    <w:p>
      <w:pPr>
        <w:pStyle w:val="Subsection"/>
      </w:pPr>
      <w:r>
        <w:tab/>
        <w:t>(1)</w:t>
      </w:r>
      <w:r>
        <w:tab/>
        <w:t xml:space="preserve">Subject to any other written law, a chief executive officer or chief employee may delegate any power or duty of the chief executive officer or chief employee under another provision of this Act to — </w:t>
      </w:r>
    </w:p>
    <w:p>
      <w:pPr>
        <w:pStyle w:val="Indenta"/>
      </w:pPr>
      <w:r>
        <w:tab/>
        <w:t>(a)</w:t>
      </w:r>
      <w:r>
        <w:tab/>
        <w:t>a public service officer; or</w:t>
      </w:r>
    </w:p>
    <w:p>
      <w:pPr>
        <w:pStyle w:val="Indenta"/>
      </w:pPr>
      <w:r>
        <w:tab/>
        <w:t>(b)</w:t>
      </w:r>
      <w:r>
        <w:tab/>
        <w:t>any other employee; or</w:t>
      </w:r>
    </w:p>
    <w:p>
      <w:pPr>
        <w:pStyle w:val="Indenta"/>
      </w:pPr>
      <w:r>
        <w:tab/>
        <w:t>(c)</w:t>
      </w:r>
      <w:r>
        <w:tab/>
        <w:t xml:space="preserve">a person who is appointed, employed or holds office in an entity that is — </w:t>
      </w:r>
    </w:p>
    <w:p>
      <w:pPr>
        <w:pStyle w:val="Indenti"/>
      </w:pPr>
      <w:r>
        <w:tab/>
        <w:t>(i)</w:t>
      </w:r>
      <w:r>
        <w:tab/>
        <w:t>listed in Schedule 1 column 2; and</w:t>
      </w:r>
    </w:p>
    <w:p>
      <w:pPr>
        <w:pStyle w:val="Indenti"/>
      </w:pPr>
      <w:r>
        <w:tab/>
        <w:t>(ii)</w:t>
      </w:r>
      <w:r>
        <w:tab/>
        <w:t>prescribed for the purposes of this section;</w:t>
      </w:r>
    </w:p>
    <w:p>
      <w:pPr>
        <w:pStyle w:val="Indenta"/>
      </w:pPr>
      <w:r>
        <w:tab/>
      </w:r>
      <w:r>
        <w:tab/>
        <w:t>or</w:t>
      </w:r>
    </w:p>
    <w:p>
      <w:pPr>
        <w:pStyle w:val="Indenta"/>
      </w:pPr>
      <w:r>
        <w:tab/>
        <w:t>(d)</w:t>
      </w:r>
      <w:r>
        <w:tab/>
        <w:t>with the approval of the Commissioner, any other person.</w:t>
      </w:r>
    </w:p>
    <w:p>
      <w:pPr>
        <w:pStyle w:val="Subsection"/>
      </w:pPr>
      <w:r>
        <w:tab/>
        <w:t>(2)</w:t>
      </w:r>
      <w:r>
        <w:tab/>
        <w:t xml:space="preserve">The Commissioner must not approve a delegation under subsection (1)(d) unless the Commissioner is satisfied that the delegation is necessary or convenient having regard to — </w:t>
      </w:r>
    </w:p>
    <w:p>
      <w:pPr>
        <w:pStyle w:val="Indenta"/>
      </w:pPr>
      <w:r>
        <w:tab/>
        <w:t>(a)</w:t>
      </w:r>
      <w:r>
        <w:tab/>
        <w:t>the functions of the department or organisation in relation to which the chief executive officer or chief employee has the power or duty; or</w:t>
      </w:r>
    </w:p>
    <w:p>
      <w:pPr>
        <w:pStyle w:val="Indenta"/>
      </w:pPr>
      <w:r>
        <w:tab/>
        <w:t>(b)</w:t>
      </w:r>
      <w:r>
        <w:tab/>
        <w:t>the specialised knowledge, expertise or resources of the person to whom the power or duty is delegated.</w:t>
      </w:r>
    </w:p>
    <w:p>
      <w:pPr>
        <w:pStyle w:val="Subsection"/>
      </w:pPr>
      <w:r>
        <w:tab/>
        <w:t>(3)</w:t>
      </w:r>
      <w:r>
        <w:tab/>
        <w:t>The delegation must be in writing and signed by the chief executive officer or chief employee.</w:t>
      </w:r>
    </w:p>
    <w:p>
      <w:pPr>
        <w:pStyle w:val="Subsection"/>
      </w:pPr>
      <w:r>
        <w:tab/>
        <w:t>(4)</w:t>
      </w:r>
      <w:r>
        <w:tab/>
        <w:t>A person to whom a power or duty is delegated under this section cannot delegate that power or duty.</w:t>
      </w:r>
    </w:p>
    <w:p>
      <w:pPr>
        <w:pStyle w:val="Subsection"/>
      </w:pPr>
      <w:r>
        <w:tab/>
        <w:t>(5)</w:t>
      </w:r>
      <w:r>
        <w:tab/>
        <w:t>A person exercising or performing a power or duty that has been delegated to the person under this section is to be taken to do so in accordance with the terms of the delegation unless the contrary is shown.</w:t>
      </w:r>
    </w:p>
    <w:p>
      <w:pPr>
        <w:pStyle w:val="Subsection"/>
      </w:pPr>
      <w:r>
        <w:tab/>
        <w:t>(6)</w:t>
      </w:r>
      <w:r>
        <w:tab/>
        <w:t>If a power or duty is delegated under subsection (1), the power or duty is, when exercised or performed by the delegate, to be taken to be exercised or performed by the person who delegated it.</w:t>
      </w:r>
    </w:p>
    <w:p>
      <w:pPr>
        <w:pStyle w:val="Subsection"/>
      </w:pPr>
      <w:r>
        <w:tab/>
        <w:t>(7)</w:t>
      </w:r>
      <w:r>
        <w:tab/>
        <w:t>Nothing in this section limits the ability of the chief executive officer or chief employee to perform a function through an officer or agent.</w:t>
      </w:r>
    </w:p>
    <w:p>
      <w:pPr>
        <w:pStyle w:val="Footnotesection"/>
      </w:pPr>
      <w:r>
        <w:tab/>
        <w:t>[Section 33 inserted: No. 39 of 2010 s. 34.]</w:t>
      </w:r>
    </w:p>
    <w:p>
      <w:pPr>
        <w:pStyle w:val="Heading2"/>
      </w:pPr>
      <w:bookmarkStart w:id="125" w:name="_Toc500422909"/>
      <w:bookmarkStart w:id="126" w:name="_Toc503259293"/>
      <w:bookmarkStart w:id="127" w:name="_Toc503265229"/>
      <w:bookmarkStart w:id="128" w:name="_Toc503880696"/>
      <w:bookmarkStart w:id="129" w:name="_Toc515436222"/>
      <w:bookmarkStart w:id="130" w:name="_Toc515437051"/>
      <w:bookmarkStart w:id="131" w:name="_Toc20390068"/>
      <w:r>
        <w:rPr>
          <w:rStyle w:val="CharPartNo"/>
        </w:rPr>
        <w:t>Part 3</w:t>
      </w:r>
      <w:r>
        <w:t> — </w:t>
      </w:r>
      <w:r>
        <w:rPr>
          <w:rStyle w:val="CharPartText"/>
        </w:rPr>
        <w:t>Public Service</w:t>
      </w:r>
      <w:bookmarkEnd w:id="125"/>
      <w:bookmarkEnd w:id="126"/>
      <w:bookmarkEnd w:id="127"/>
      <w:bookmarkEnd w:id="128"/>
      <w:bookmarkEnd w:id="129"/>
      <w:bookmarkEnd w:id="130"/>
      <w:bookmarkEnd w:id="131"/>
      <w:r>
        <w:rPr>
          <w:rStyle w:val="CharPartText"/>
        </w:rPr>
        <w:t xml:space="preserve"> </w:t>
      </w:r>
    </w:p>
    <w:p>
      <w:pPr>
        <w:pStyle w:val="Heading3"/>
        <w:spacing w:before="180"/>
        <w:rPr>
          <w:snapToGrid w:val="0"/>
        </w:rPr>
      </w:pPr>
      <w:bookmarkStart w:id="132" w:name="_Toc500422910"/>
      <w:bookmarkStart w:id="133" w:name="_Toc503259294"/>
      <w:bookmarkStart w:id="134" w:name="_Toc503265230"/>
      <w:bookmarkStart w:id="135" w:name="_Toc503880697"/>
      <w:bookmarkStart w:id="136" w:name="_Toc515436223"/>
      <w:bookmarkStart w:id="137" w:name="_Toc515437052"/>
      <w:bookmarkStart w:id="138" w:name="_Toc20390069"/>
      <w:r>
        <w:rPr>
          <w:rStyle w:val="CharDivNo"/>
        </w:rPr>
        <w:t>Division 1</w:t>
      </w:r>
      <w:r>
        <w:rPr>
          <w:snapToGrid w:val="0"/>
        </w:rPr>
        <w:t> — </w:t>
      </w:r>
      <w:r>
        <w:rPr>
          <w:rStyle w:val="CharDivText"/>
        </w:rPr>
        <w:t>General</w:t>
      </w:r>
      <w:bookmarkEnd w:id="132"/>
      <w:bookmarkEnd w:id="133"/>
      <w:bookmarkEnd w:id="134"/>
      <w:bookmarkEnd w:id="135"/>
      <w:bookmarkEnd w:id="136"/>
      <w:bookmarkEnd w:id="137"/>
      <w:bookmarkEnd w:id="138"/>
      <w:r>
        <w:rPr>
          <w:rStyle w:val="CharDivText"/>
        </w:rPr>
        <w:t xml:space="preserve"> </w:t>
      </w:r>
    </w:p>
    <w:p>
      <w:pPr>
        <w:pStyle w:val="Heading5"/>
        <w:rPr>
          <w:snapToGrid w:val="0"/>
        </w:rPr>
      </w:pPr>
      <w:bookmarkStart w:id="139" w:name="_Toc20390070"/>
      <w:r>
        <w:rPr>
          <w:rStyle w:val="CharSectno"/>
        </w:rPr>
        <w:t>34</w:t>
      </w:r>
      <w:r>
        <w:rPr>
          <w:snapToGrid w:val="0"/>
        </w:rPr>
        <w:t>.</w:t>
      </w:r>
      <w:r>
        <w:rPr>
          <w:snapToGrid w:val="0"/>
        </w:rPr>
        <w:tab/>
        <w:t>Constitution of Public Service</w:t>
      </w:r>
      <w:bookmarkEnd w:id="139"/>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 and</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140" w:name="_Toc20390071"/>
      <w:r>
        <w:rPr>
          <w:rStyle w:val="CharSectno"/>
        </w:rPr>
        <w:t>35</w:t>
      </w:r>
      <w:r>
        <w:rPr>
          <w:snapToGrid w:val="0"/>
        </w:rPr>
        <w:t>.</w:t>
      </w:r>
      <w:r>
        <w:rPr>
          <w:snapToGrid w:val="0"/>
        </w:rPr>
        <w:tab/>
        <w:t>Departments, establishment etc. of</w:t>
      </w:r>
      <w:bookmarkEnd w:id="140"/>
    </w:p>
    <w:p>
      <w:pPr>
        <w:pStyle w:val="Subsection"/>
        <w:rPr>
          <w:snapToGrid w:val="0"/>
        </w:rPr>
      </w:pPr>
      <w:r>
        <w:rPr>
          <w:snapToGrid w:val="0"/>
        </w:rPr>
        <w:tab/>
        <w:t>(1)</w:t>
      </w:r>
      <w:r>
        <w:rPr>
          <w:snapToGrid w:val="0"/>
        </w:rPr>
        <w:tab/>
        <w:t xml:space="preserve">The Governor may, on the recommendation of the </w:t>
      </w:r>
      <w:r>
        <w:t>Commissioner —</w:t>
      </w:r>
    </w:p>
    <w:p>
      <w:pPr>
        <w:pStyle w:val="Indenta"/>
        <w:rPr>
          <w:snapToGrid w:val="0"/>
        </w:rPr>
      </w:pPr>
      <w:r>
        <w:rPr>
          <w:snapToGrid w:val="0"/>
        </w:rPr>
        <w:tab/>
        <w:t>(a)</w:t>
      </w:r>
      <w:r>
        <w:rPr>
          <w:snapToGrid w:val="0"/>
        </w:rPr>
        <w:tab/>
        <w:t>establish and designate departments; and</w:t>
      </w:r>
    </w:p>
    <w:p>
      <w:pPr>
        <w:pStyle w:val="Indenta"/>
        <w:rPr>
          <w:snapToGrid w:val="0"/>
        </w:rPr>
      </w:pPr>
      <w:r>
        <w:rPr>
          <w:snapToGrid w:val="0"/>
        </w:rPr>
        <w:tab/>
        <w:t>(b)</w:t>
      </w:r>
      <w:r>
        <w:rPr>
          <w:snapToGrid w:val="0"/>
        </w:rPr>
        <w:tab/>
        <w:t>amalgamate or divide existing departments and designate the resulting department or departments; and</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Subsection"/>
      </w:pPr>
      <w:r>
        <w:tab/>
        <w:t>(4)</w:t>
      </w:r>
      <w:r>
        <w:tab/>
        <w:t>The Minister may direct the Commissioner to make a recommendation to the Governor under subsection (1) in respect of a department or departments specified in the direction, and the Commissioner must comply with the direction.</w:t>
      </w:r>
    </w:p>
    <w:p>
      <w:pPr>
        <w:pStyle w:val="Subsection"/>
      </w:pPr>
      <w:r>
        <w:tab/>
        <w:t>(5)</w:t>
      </w:r>
      <w:r>
        <w:tab/>
        <w:t>The text of a direction given under subsection (4) is to be included in the annual report prepared by the Commissioner under section 22D.</w:t>
      </w:r>
    </w:p>
    <w:p>
      <w:pPr>
        <w:pStyle w:val="Footnotesection"/>
        <w:ind w:left="890" w:hanging="890"/>
      </w:pPr>
      <w:r>
        <w:tab/>
        <w:t>[Section 35 amended: No. 24 of 2000 s. 34(1); No. 39 of 2010 s. 35 and 70.]</w:t>
      </w:r>
    </w:p>
    <w:p>
      <w:pPr>
        <w:pStyle w:val="Heading5"/>
        <w:keepNext w:val="0"/>
        <w:keepLines w:val="0"/>
        <w:spacing w:before="180"/>
        <w:rPr>
          <w:snapToGrid w:val="0"/>
        </w:rPr>
      </w:pPr>
      <w:bookmarkStart w:id="141" w:name="_Toc20390072"/>
      <w:r>
        <w:rPr>
          <w:rStyle w:val="CharSectno"/>
        </w:rPr>
        <w:t>36</w:t>
      </w:r>
      <w:r>
        <w:rPr>
          <w:snapToGrid w:val="0"/>
        </w:rPr>
        <w:t>.</w:t>
      </w:r>
      <w:r>
        <w:rPr>
          <w:snapToGrid w:val="0"/>
        </w:rPr>
        <w:tab/>
        <w:t>Organisational powers of employing authorities of departments etc.</w:t>
      </w:r>
      <w:bookmarkEnd w:id="141"/>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 and</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 xml:space="preserve">in accordance with </w:t>
      </w:r>
      <w:r>
        <w:t>the Commissioner’s instructions</w:t>
      </w:r>
      <w:r>
        <w:rPr>
          <w:snapToGrid w:val="0"/>
        </w:rPr>
        <w:t xml:space="preserve">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Footnotesection"/>
      </w:pPr>
      <w:r>
        <w:tab/>
        <w:t>[Section 36 amended: No. 39 of 2010 s. 36 and 70.]</w:t>
      </w:r>
    </w:p>
    <w:p>
      <w:pPr>
        <w:pStyle w:val="Heading5"/>
        <w:spacing w:before="180"/>
        <w:rPr>
          <w:snapToGrid w:val="0"/>
        </w:rPr>
      </w:pPr>
      <w:bookmarkStart w:id="142" w:name="_Toc20390073"/>
      <w:r>
        <w:rPr>
          <w:rStyle w:val="CharSectno"/>
        </w:rPr>
        <w:t>37</w:t>
      </w:r>
      <w:r>
        <w:rPr>
          <w:snapToGrid w:val="0"/>
        </w:rPr>
        <w:t>.</w:t>
      </w:r>
      <w:r>
        <w:rPr>
          <w:snapToGrid w:val="0"/>
        </w:rPr>
        <w:tab/>
        <w:t>Right of appeal as to remuneration of employees of organisations that become part of Public Service</w:t>
      </w:r>
      <w:bookmarkEnd w:id="142"/>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ind w:left="890" w:hanging="890"/>
      </w:pPr>
      <w:r>
        <w:tab/>
        <w:t xml:space="preserve">[Section 37 amended: No. 1 of 1995 s. 35.] </w:t>
      </w:r>
    </w:p>
    <w:p>
      <w:pPr>
        <w:pStyle w:val="Heading5"/>
        <w:spacing w:before="240"/>
        <w:rPr>
          <w:snapToGrid w:val="0"/>
        </w:rPr>
      </w:pPr>
      <w:bookmarkStart w:id="143" w:name="_Toc20390074"/>
      <w:r>
        <w:rPr>
          <w:rStyle w:val="CharSectno"/>
        </w:rPr>
        <w:t>38</w:t>
      </w:r>
      <w:r>
        <w:rPr>
          <w:snapToGrid w:val="0"/>
        </w:rPr>
        <w:t>.</w:t>
      </w:r>
      <w:r>
        <w:rPr>
          <w:snapToGrid w:val="0"/>
        </w:rPr>
        <w:tab/>
        <w:t xml:space="preserve">Determinations of offices in Special Division for </w:t>
      </w:r>
      <w:r>
        <w:rPr>
          <w:i/>
          <w:snapToGrid w:val="0"/>
        </w:rPr>
        <w:t>Salaries and Allowances Act 1975</w:t>
      </w:r>
      <w:r>
        <w:rPr>
          <w:snapToGrid w:val="0"/>
        </w:rPr>
        <w:t xml:space="preserve"> s. 6(1)(d)</w:t>
      </w:r>
      <w:bookmarkEnd w:id="143"/>
    </w:p>
    <w:p>
      <w:pPr>
        <w:pStyle w:val="Subsection"/>
        <w:spacing w:before="180"/>
        <w:rPr>
          <w:snapToGrid w:val="0"/>
        </w:rPr>
      </w:pPr>
      <w:r>
        <w:rPr>
          <w:snapToGrid w:val="0"/>
        </w:rPr>
        <w:tab/>
        <w:t>(1)</w:t>
      </w:r>
      <w:r>
        <w:rPr>
          <w:snapToGrid w:val="0"/>
        </w:rPr>
        <w:tab/>
        <w:t xml:space="preserve">For the purposes of section 6(1)(d) of the </w:t>
      </w:r>
      <w:r>
        <w:rPr>
          <w:i/>
          <w:snapToGrid w:val="0"/>
        </w:rPr>
        <w:t>Salaries and Allowances Act 1975</w:t>
      </w:r>
      <w:r>
        <w:rPr>
          <w:snapToGrid w:val="0"/>
        </w:rPr>
        <w:t xml:space="preserve">, the </w:t>
      </w:r>
      <w:r>
        <w:t>Commissioner may</w:t>
      </w:r>
      <w:r>
        <w:rPr>
          <w:snapToGrid w:val="0"/>
        </w:rPr>
        <w:t xml:space="preserve"> determine that an office in the Public Service is an office included in the Special Division of the Public Service.</w:t>
      </w:r>
    </w:p>
    <w:p>
      <w:pPr>
        <w:pStyle w:val="Subsection"/>
        <w:spacing w:before="180"/>
      </w:pPr>
      <w:r>
        <w:tab/>
        <w:t>(2)</w:t>
      </w:r>
      <w:r>
        <w:tab/>
        <w:t xml:space="preserve">The Commissioner may amend or revoke a </w:t>
      </w:r>
      <w:r>
        <w:rPr>
          <w:snapToGrid w:val="0"/>
        </w:rPr>
        <w:t>determination</w:t>
      </w:r>
      <w:r>
        <w:t xml:space="preserve"> made under subsection (1).</w:t>
      </w:r>
    </w:p>
    <w:p>
      <w:pPr>
        <w:pStyle w:val="Footnotesection"/>
        <w:ind w:left="890" w:hanging="890"/>
      </w:pPr>
      <w:r>
        <w:tab/>
        <w:t>[Section 38 amended: No. 39 of 2010 s. 37.]</w:t>
      </w:r>
    </w:p>
    <w:p>
      <w:pPr>
        <w:pStyle w:val="Heading5"/>
        <w:spacing w:before="240"/>
        <w:rPr>
          <w:snapToGrid w:val="0"/>
        </w:rPr>
      </w:pPr>
      <w:bookmarkStart w:id="144" w:name="_Toc20390075"/>
      <w:r>
        <w:rPr>
          <w:rStyle w:val="CharSectno"/>
        </w:rPr>
        <w:t>39</w:t>
      </w:r>
      <w:r>
        <w:rPr>
          <w:snapToGrid w:val="0"/>
        </w:rPr>
        <w:t>.</w:t>
      </w:r>
      <w:r>
        <w:rPr>
          <w:snapToGrid w:val="0"/>
        </w:rPr>
        <w:tab/>
        <w:t>Retirement of public service officers on grounds of ill health</w:t>
      </w:r>
      <w:bookmarkEnd w:id="144"/>
      <w:r>
        <w:rPr>
          <w:snapToGrid w:val="0"/>
        </w:rPr>
        <w:t xml:space="preserve"> </w:t>
      </w:r>
    </w:p>
    <w:p>
      <w:pPr>
        <w:pStyle w:val="Subsection"/>
        <w:spacing w:before="180"/>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spacing w:before="180"/>
        <w:rPr>
          <w:snapToGrid w:val="0"/>
        </w:rPr>
      </w:pPr>
      <w:r>
        <w:rPr>
          <w:snapToGrid w:val="0"/>
        </w:rPr>
        <w:tab/>
        <w:t>(2)</w:t>
      </w:r>
      <w:r>
        <w:rPr>
          <w:snapToGrid w:val="0"/>
        </w:rPr>
        <w:tab/>
        <w:t>A public service officer who is called on to retire from the Public Service under subsection (1) shall forthwith so retire.</w:t>
      </w:r>
    </w:p>
    <w:p>
      <w:pPr>
        <w:pStyle w:val="Heading5"/>
        <w:keepNext w:val="0"/>
        <w:keepLines w:val="0"/>
        <w:pageBreakBefore/>
        <w:spacing w:before="0"/>
        <w:rPr>
          <w:snapToGrid w:val="0"/>
        </w:rPr>
      </w:pPr>
      <w:bookmarkStart w:id="145" w:name="_Toc20390076"/>
      <w:r>
        <w:rPr>
          <w:rStyle w:val="CharSectno"/>
        </w:rPr>
        <w:t>40</w:t>
      </w:r>
      <w:r>
        <w:rPr>
          <w:snapToGrid w:val="0"/>
        </w:rPr>
        <w:t>.</w:t>
      </w:r>
      <w:r>
        <w:rPr>
          <w:snapToGrid w:val="0"/>
        </w:rPr>
        <w:tab/>
        <w:t>Service of notices etc. when address of public service officer unknown</w:t>
      </w:r>
      <w:bookmarkEnd w:id="145"/>
    </w:p>
    <w:p>
      <w:pPr>
        <w:pStyle w:val="Subsection"/>
        <w:spacing w:before="120"/>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w:t>
      </w:r>
      <w:r>
        <w:t xml:space="preserve"> as a public sector notice in accordance with the Commissioner’s instructions.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Footnotesection"/>
      </w:pPr>
      <w:r>
        <w:tab/>
        <w:t>[Section 40 amended: No. 39 of 2010 s. 38.]</w:t>
      </w:r>
    </w:p>
    <w:p>
      <w:pPr>
        <w:pStyle w:val="Heading5"/>
        <w:spacing w:before="180"/>
        <w:rPr>
          <w:snapToGrid w:val="0"/>
        </w:rPr>
      </w:pPr>
      <w:bookmarkStart w:id="146" w:name="_Toc20390077"/>
      <w:r>
        <w:rPr>
          <w:rStyle w:val="CharSectno"/>
        </w:rPr>
        <w:t>41</w:t>
      </w:r>
      <w:r>
        <w:rPr>
          <w:snapToGrid w:val="0"/>
        </w:rPr>
        <w:t>.</w:t>
      </w:r>
      <w:r>
        <w:rPr>
          <w:snapToGrid w:val="0"/>
        </w:rPr>
        <w:tab/>
        <w:t>Public service officers appointed by Governor, exercise of powers as to</w:t>
      </w:r>
      <w:bookmarkEnd w:id="146"/>
    </w:p>
    <w:p>
      <w:pPr>
        <w:pStyle w:val="Subsection"/>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responsible for the department or organisation.</w:t>
      </w:r>
    </w:p>
    <w:p>
      <w:pPr>
        <w:pStyle w:val="Footnotesection"/>
        <w:spacing w:before="80"/>
        <w:ind w:left="890" w:hanging="890"/>
      </w:pPr>
      <w:r>
        <w:tab/>
        <w:t>[Section 41 amended: No. 39 of 2010 s. 67 and 68.]</w:t>
      </w:r>
    </w:p>
    <w:p>
      <w:pPr>
        <w:pStyle w:val="Heading3"/>
        <w:keepNext w:val="0"/>
        <w:pageBreakBefore/>
        <w:spacing w:before="0"/>
        <w:rPr>
          <w:snapToGrid w:val="0"/>
        </w:rPr>
      </w:pPr>
      <w:bookmarkStart w:id="147" w:name="_Toc500422919"/>
      <w:bookmarkStart w:id="148" w:name="_Toc503259303"/>
      <w:bookmarkStart w:id="149" w:name="_Toc503265239"/>
      <w:bookmarkStart w:id="150" w:name="_Toc503880706"/>
      <w:bookmarkStart w:id="151" w:name="_Toc515436232"/>
      <w:bookmarkStart w:id="152" w:name="_Toc515437061"/>
      <w:bookmarkStart w:id="153" w:name="_Toc20390078"/>
      <w:r>
        <w:rPr>
          <w:rStyle w:val="CharDivNo"/>
        </w:rPr>
        <w:t>Division 2</w:t>
      </w:r>
      <w:r>
        <w:rPr>
          <w:snapToGrid w:val="0"/>
        </w:rPr>
        <w:t> — </w:t>
      </w:r>
      <w:r>
        <w:rPr>
          <w:rStyle w:val="CharDivText"/>
        </w:rPr>
        <w:t>Senior Executive Service</w:t>
      </w:r>
      <w:bookmarkEnd w:id="147"/>
      <w:bookmarkEnd w:id="148"/>
      <w:bookmarkEnd w:id="149"/>
      <w:bookmarkEnd w:id="150"/>
      <w:bookmarkEnd w:id="151"/>
      <w:bookmarkEnd w:id="152"/>
      <w:bookmarkEnd w:id="153"/>
      <w:r>
        <w:rPr>
          <w:rStyle w:val="CharDivText"/>
        </w:rPr>
        <w:t xml:space="preserve"> </w:t>
      </w:r>
    </w:p>
    <w:p>
      <w:pPr>
        <w:pStyle w:val="Heading5"/>
        <w:rPr>
          <w:snapToGrid w:val="0"/>
        </w:rPr>
      </w:pPr>
      <w:bookmarkStart w:id="154" w:name="_Toc20390079"/>
      <w:r>
        <w:rPr>
          <w:rStyle w:val="CharSectno"/>
        </w:rPr>
        <w:t>42</w:t>
      </w:r>
      <w:r>
        <w:rPr>
          <w:snapToGrid w:val="0"/>
        </w:rPr>
        <w:t>.</w:t>
      </w:r>
      <w:r>
        <w:rPr>
          <w:snapToGrid w:val="0"/>
        </w:rPr>
        <w:tab/>
        <w:t>Purposes of Senior Executive Service</w:t>
      </w:r>
      <w:bookmarkEnd w:id="154"/>
      <w:r>
        <w:rPr>
          <w:snapToGrid w:val="0"/>
        </w:rPr>
        <w:t xml:space="preserve"> </w:t>
      </w:r>
    </w:p>
    <w:p>
      <w:pPr>
        <w:pStyle w:val="Subsection"/>
        <w:keepNext/>
        <w:keepLines/>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Ednotesubsection"/>
      </w:pPr>
      <w:r>
        <w:tab/>
        <w:t>[(2)</w:t>
      </w:r>
      <w:r>
        <w:tab/>
        <w:t>deleted]</w:t>
      </w:r>
    </w:p>
    <w:p>
      <w:pPr>
        <w:pStyle w:val="Footnotesection"/>
      </w:pPr>
      <w:r>
        <w:tab/>
        <w:t>[Section 42 amended: No. 39 of 2010 s. 39.]</w:t>
      </w:r>
    </w:p>
    <w:p>
      <w:pPr>
        <w:pStyle w:val="Heading5"/>
        <w:rPr>
          <w:snapToGrid w:val="0"/>
        </w:rPr>
      </w:pPr>
      <w:bookmarkStart w:id="155" w:name="_Toc20390080"/>
      <w:r>
        <w:rPr>
          <w:rStyle w:val="CharSectno"/>
        </w:rPr>
        <w:t>43</w:t>
      </w:r>
      <w:r>
        <w:rPr>
          <w:snapToGrid w:val="0"/>
        </w:rPr>
        <w:t>.</w:t>
      </w:r>
      <w:r>
        <w:rPr>
          <w:snapToGrid w:val="0"/>
        </w:rPr>
        <w:tab/>
        <w:t>Constitution of Senior Executive Service</w:t>
      </w:r>
      <w:bookmarkEnd w:id="155"/>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rPr>
          <w:snapToGrid w:val="0"/>
        </w:rPr>
      </w:pPr>
      <w:r>
        <w:rPr>
          <w:snapToGrid w:val="0"/>
        </w:rPr>
        <w:tab/>
        <w:t>(a)</w:t>
      </w:r>
      <w:r>
        <w:rPr>
          <w:snapToGrid w:val="0"/>
        </w:rPr>
        <w:tab/>
        <w:t>each public service officer employed in a department whose salary; and</w:t>
      </w:r>
    </w:p>
    <w:p>
      <w:pPr>
        <w:pStyle w:val="Indenta"/>
        <w:rPr>
          <w:snapToGrid w:val="0"/>
        </w:rPr>
      </w:pPr>
      <w:r>
        <w:rPr>
          <w:snapToGrid w:val="0"/>
        </w:rPr>
        <w:tab/>
        <w:t>(b)</w:t>
      </w:r>
      <w:r>
        <w:rPr>
          <w:snapToGrid w:val="0"/>
        </w:rPr>
        <w:tab/>
        <w:t>each office in a department, or post in an SES organisation, the salary attached to which; and</w:t>
      </w:r>
    </w:p>
    <w:p>
      <w:pPr>
        <w:pStyle w:val="Indenta"/>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rPr>
          <w:snapToGrid w:val="0"/>
        </w:rPr>
      </w:pPr>
      <w:r>
        <w:rPr>
          <w:snapToGrid w:val="0"/>
        </w:rPr>
        <w:tab/>
        <w:t>(d)</w:t>
      </w:r>
      <w:r>
        <w:rPr>
          <w:snapToGrid w:val="0"/>
        </w:rPr>
        <w:tab/>
        <w:t>section 110(2); or</w:t>
      </w:r>
    </w:p>
    <w:p>
      <w:pPr>
        <w:pStyle w:val="Indenta"/>
        <w:rPr>
          <w:snapToGrid w:val="0"/>
        </w:rPr>
      </w:pPr>
      <w:r>
        <w:rPr>
          <w:snapToGrid w:val="0"/>
        </w:rPr>
        <w:tab/>
        <w:t>(e)</w:t>
      </w:r>
      <w:r>
        <w:rPr>
          <w:snapToGrid w:val="0"/>
        </w:rPr>
        <w:tab/>
        <w:t>an appointment under section 45 or 53; or</w:t>
      </w:r>
    </w:p>
    <w:p>
      <w:pPr>
        <w:pStyle w:val="Indenta"/>
        <w:rPr>
          <w:snapToGrid w:val="0"/>
        </w:rPr>
      </w:pPr>
      <w:r>
        <w:rPr>
          <w:snapToGrid w:val="0"/>
        </w:rPr>
        <w:tab/>
        <w:t>(f)</w:t>
      </w:r>
      <w:r>
        <w:rPr>
          <w:snapToGrid w:val="0"/>
        </w:rPr>
        <w:tab/>
        <w:t>a reappointment under section 46.</w:t>
      </w:r>
    </w:p>
    <w:p>
      <w:pPr>
        <w:pStyle w:val="Subsection"/>
        <w:spacing w:before="120"/>
        <w:rPr>
          <w:snapToGrid w:val="0"/>
        </w:rPr>
      </w:pPr>
      <w:r>
        <w:rPr>
          <w:snapToGrid w:val="0"/>
        </w:rPr>
        <w:tab/>
        <w:t>(2)</w:t>
      </w:r>
      <w:r>
        <w:rPr>
          <w:snapToGrid w:val="0"/>
        </w:rPr>
        <w:tab/>
        <w:t>The Senior Executive Service — </w:t>
      </w:r>
    </w:p>
    <w:p>
      <w:pPr>
        <w:pStyle w:val="Indenta"/>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rPr>
          <w:snapToGrid w:val="0"/>
        </w:rPr>
      </w:pPr>
      <w:r>
        <w:rPr>
          <w:snapToGrid w:val="0"/>
        </w:rPr>
        <w:tab/>
        <w:t>(4)</w:t>
      </w:r>
      <w:r>
        <w:rPr>
          <w:snapToGrid w:val="0"/>
        </w:rPr>
        <w:tab/>
        <w:t xml:space="preserve">The </w:t>
      </w:r>
      <w:r>
        <w:t>Commissioner may from time to time by notice published as a public sector notice in accordance with the Commissioner’s instructions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spacing w:before="120"/>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spacing w:before="180"/>
        <w:rPr>
          <w:snapToGrid w:val="0"/>
        </w:rPr>
      </w:pPr>
      <w:r>
        <w:rPr>
          <w:snapToGrid w:val="0"/>
        </w:rPr>
        <w:tab/>
        <w:t>(8)</w:t>
      </w:r>
      <w:r>
        <w:rPr>
          <w:snapToGrid w:val="0"/>
        </w:rPr>
        <w:tab/>
        <w:t xml:space="preserve">The </w:t>
      </w:r>
      <w:r>
        <w:t>Commissioner</w:t>
      </w:r>
      <w:r>
        <w:rPr>
          <w:snapToGrid w:val="0"/>
        </w:rPr>
        <w:t xml:space="preserve">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spacing w:before="180"/>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spacing w:before="180"/>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Footnotesection"/>
      </w:pPr>
      <w:r>
        <w:tab/>
        <w:t>[Section 43 amended: No. 39 of 2010 s. 40 and 67.]</w:t>
      </w:r>
    </w:p>
    <w:p>
      <w:pPr>
        <w:pStyle w:val="Heading5"/>
        <w:spacing w:before="240"/>
        <w:rPr>
          <w:snapToGrid w:val="0"/>
        </w:rPr>
      </w:pPr>
      <w:bookmarkStart w:id="156" w:name="_Toc20390081"/>
      <w:r>
        <w:rPr>
          <w:rStyle w:val="CharSectno"/>
        </w:rPr>
        <w:t>44</w:t>
      </w:r>
      <w:r>
        <w:rPr>
          <w:snapToGrid w:val="0"/>
        </w:rPr>
        <w:t>.</w:t>
      </w:r>
      <w:r>
        <w:rPr>
          <w:snapToGrid w:val="0"/>
        </w:rPr>
        <w:tab/>
        <w:t>Agencies each to have CEO or chief employee</w:t>
      </w:r>
      <w:bookmarkEnd w:id="156"/>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 xml:space="preserve">The </w:t>
      </w:r>
      <w:r>
        <w:t>Commissioner</w:t>
      </w:r>
      <w:r>
        <w:rPr>
          <w:snapToGrid w:val="0"/>
        </w:rPr>
        <w:t xml:space="preserve">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keepLines/>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Footnotesection"/>
        <w:ind w:left="890" w:hanging="890"/>
      </w:pPr>
      <w:r>
        <w:tab/>
        <w:t>[Section 44 amended: No. 39 of 2010 s. 67.]</w:t>
      </w:r>
    </w:p>
    <w:p>
      <w:pPr>
        <w:pStyle w:val="Heading5"/>
        <w:spacing w:before="240"/>
        <w:rPr>
          <w:snapToGrid w:val="0"/>
        </w:rPr>
      </w:pPr>
      <w:bookmarkStart w:id="157" w:name="_Toc20390082"/>
      <w:r>
        <w:rPr>
          <w:rStyle w:val="CharSectno"/>
        </w:rPr>
        <w:t>45</w:t>
      </w:r>
      <w:r>
        <w:rPr>
          <w:snapToGrid w:val="0"/>
        </w:rPr>
        <w:t>.</w:t>
      </w:r>
      <w:r>
        <w:rPr>
          <w:snapToGrid w:val="0"/>
        </w:rPr>
        <w:tab/>
        <w:t>CEOs, appointment of</w:t>
      </w:r>
      <w:bookmarkEnd w:id="157"/>
    </w:p>
    <w:p>
      <w:pPr>
        <w:pStyle w:val="Subsection"/>
        <w:spacing w:before="180"/>
        <w:rPr>
          <w:snapToGrid w:val="0"/>
        </w:rPr>
      </w:pPr>
      <w:r>
        <w:rPr>
          <w:snapToGrid w:val="0"/>
        </w:rPr>
        <w:tab/>
        <w:t>(1)</w:t>
      </w:r>
      <w:r>
        <w:rPr>
          <w:snapToGrid w:val="0"/>
        </w:rPr>
        <w:tab/>
        <w:t xml:space="preserve">Each chief executive officer shall be appointed for such term not exceeding 5 years as is specified in the instrument of his or her appointment by the Governor for and on behalf of the </w:t>
      </w:r>
      <w:r>
        <w:t>State</w:t>
      </w:r>
      <w:r>
        <w:rPr>
          <w:snapToGrid w:val="0"/>
        </w:rPr>
        <w:t xml:space="preserve"> on the recommendation of the </w:t>
      </w:r>
      <w:r>
        <w:t>Commissioner</w:t>
      </w:r>
      <w:r>
        <w:rPr>
          <w:snapToGrid w:val="0"/>
        </w:rPr>
        <w:t xml:space="preserve"> under this section, but this section does not apply to the reappointment of a person to his or her office of chief executive officer.</w:t>
      </w:r>
    </w:p>
    <w:p>
      <w:pPr>
        <w:pStyle w:val="Subsection"/>
        <w:spacing w:before="180"/>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spacing w:before="180"/>
      </w:pPr>
      <w:r>
        <w:tab/>
        <w:t>(3)</w:t>
      </w:r>
      <w:r>
        <w:tab/>
        <w:t xml:space="preserve">If — </w:t>
      </w:r>
    </w:p>
    <w:p>
      <w:pPr>
        <w:pStyle w:val="Indenta"/>
      </w:pPr>
      <w:r>
        <w:tab/>
        <w:t>(a)</w:t>
      </w:r>
      <w:r>
        <w:tab/>
        <w:t>there is a vacancy or an impending vacancy in the office of a chief executive officer; and</w:t>
      </w:r>
    </w:p>
    <w:p>
      <w:pPr>
        <w:pStyle w:val="Indenta"/>
      </w:pPr>
      <w:r>
        <w:tab/>
        <w:t>(b)</w:t>
      </w:r>
      <w:r>
        <w:tab/>
        <w:t>it is not intended to fill the vacancy by transferring a chief executive officer to that office under section 50, or temporarily by directing an employee to act in the office under section 51,</w:t>
      </w:r>
    </w:p>
    <w:p>
      <w:pPr>
        <w:pStyle w:val="Subsection"/>
        <w:spacing w:before="180"/>
      </w:pPr>
      <w:r>
        <w:tab/>
      </w:r>
      <w:r>
        <w:tab/>
        <w:t>the Commissioner must act under this section to enable the filling of that vacancy or impending vacancy.</w:t>
      </w:r>
    </w:p>
    <w:p>
      <w:pPr>
        <w:pStyle w:val="Subsection"/>
        <w:spacing w:before="180"/>
      </w:pPr>
      <w:r>
        <w:tab/>
        <w:t>(4)</w:t>
      </w:r>
      <w:r>
        <w:tab/>
        <w:t xml:space="preserve">The Commissioner must, for the purposes of subsection (3), invite — </w:t>
      </w:r>
    </w:p>
    <w:p>
      <w:pPr>
        <w:pStyle w:val="Indenta"/>
      </w:pPr>
      <w:r>
        <w:tab/>
        <w:t>(a)</w:t>
      </w:r>
      <w:r>
        <w:tab/>
        <w:t>the Minister; and</w:t>
      </w:r>
    </w:p>
    <w:p>
      <w:pPr>
        <w:pStyle w:val="Indenta"/>
      </w:pPr>
      <w:r>
        <w:tab/>
        <w:t>(b)</w:t>
      </w:r>
      <w:r>
        <w:tab/>
        <w:t>if the Minister is not the responsible authority of the agency concerned, that responsible authority; and</w:t>
      </w:r>
    </w:p>
    <w:p>
      <w:pPr>
        <w:pStyle w:val="Indenta"/>
        <w:spacing w:before="60"/>
      </w:pPr>
      <w:r>
        <w:tab/>
        <w:t>(c)</w:t>
      </w:r>
      <w:r>
        <w:tab/>
        <w:t>if the responsible authority of the agency concerned is not the Minister responsible for that agency, that Minister,</w:t>
      </w:r>
    </w:p>
    <w:p>
      <w:pPr>
        <w:pStyle w:val="Subsection"/>
      </w:pPr>
      <w:r>
        <w:tab/>
      </w:r>
      <w:r>
        <w:tab/>
        <w:t>to inform the Commissioner of any matters that they wish the Commissioner to take into account in recommending a person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pPr>
      <w:r>
        <w:tab/>
        <w:t>(8)</w:t>
      </w:r>
      <w:r>
        <w:tab/>
        <w:t>When the Commissioner decides on a person suitable for appointment to the relevant office, the Commissioner must recommend to the Governor that that person be appointed to the relevant office.</w:t>
      </w:r>
    </w:p>
    <w:p>
      <w:pPr>
        <w:pStyle w:val="Ednotesubsection"/>
      </w:pPr>
      <w:r>
        <w:tab/>
        <w:t>[(9)</w:t>
      </w:r>
      <w:r>
        <w:noBreakHyphen/>
        <w:t>(12)</w:t>
      </w:r>
      <w:r>
        <w:tab/>
        <w:t xml:space="preserve"> deleted]</w:t>
      </w:r>
    </w:p>
    <w:p>
      <w:pPr>
        <w:pStyle w:val="Subsection"/>
        <w:rPr>
          <w:snapToGrid w:val="0"/>
        </w:rPr>
      </w:pPr>
      <w:r>
        <w:rPr>
          <w:snapToGrid w:val="0"/>
        </w:rPr>
        <w:tab/>
        <w:t>(13)</w:t>
      </w:r>
      <w:r>
        <w:rPr>
          <w:snapToGrid w:val="0"/>
        </w:rPr>
        <w:tab/>
        <w:t>In deciding on a person to be recommended for appointment as a chief executive officer, the Commissioner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 and</w:t>
      </w:r>
    </w:p>
    <w:p>
      <w:pPr>
        <w:pStyle w:val="Indenta"/>
        <w:rPr>
          <w:snapToGrid w:val="0"/>
        </w:rPr>
      </w:pPr>
      <w:r>
        <w:rPr>
          <w:snapToGrid w:val="0"/>
        </w:rPr>
        <w:tab/>
        <w:t>(b)</w:t>
      </w:r>
      <w:r>
        <w:rPr>
          <w:snapToGrid w:val="0"/>
        </w:rPr>
        <w:tab/>
        <w:t>will imbue the employees of his or her agency with a spirit of service to the community; and</w:t>
      </w:r>
    </w:p>
    <w:p>
      <w:pPr>
        <w:pStyle w:val="Indenta"/>
        <w:rPr>
          <w:snapToGrid w:val="0"/>
        </w:rPr>
      </w:pPr>
      <w:r>
        <w:rPr>
          <w:snapToGrid w:val="0"/>
        </w:rPr>
        <w:tab/>
        <w:t>(c)</w:t>
      </w:r>
      <w:r>
        <w:rPr>
          <w:snapToGrid w:val="0"/>
        </w:rPr>
        <w:tab/>
        <w:t>will promote effectiveness and efficiency in his or her agency; and</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Footnotesection"/>
        <w:ind w:left="890" w:hanging="890"/>
      </w:pPr>
      <w:r>
        <w:tab/>
        <w:t>[Section 45 amended: No. 39 of 2010 s. 41, 67 and 70.]</w:t>
      </w:r>
    </w:p>
    <w:p>
      <w:pPr>
        <w:pStyle w:val="Heading5"/>
        <w:rPr>
          <w:snapToGrid w:val="0"/>
        </w:rPr>
      </w:pPr>
      <w:bookmarkStart w:id="158" w:name="_Toc20390083"/>
      <w:r>
        <w:rPr>
          <w:rStyle w:val="CharSectno"/>
        </w:rPr>
        <w:t>46</w:t>
      </w:r>
      <w:r>
        <w:rPr>
          <w:snapToGrid w:val="0"/>
        </w:rPr>
        <w:t>.</w:t>
      </w:r>
      <w:r>
        <w:rPr>
          <w:snapToGrid w:val="0"/>
        </w:rPr>
        <w:tab/>
        <w:t>CEOs, reappointment of on expiry of contract</w:t>
      </w:r>
      <w:bookmarkEnd w:id="158"/>
    </w:p>
    <w:p>
      <w:pPr>
        <w:pStyle w:val="Subsection"/>
      </w:pPr>
      <w:r>
        <w:tab/>
        <w:t>(1)</w:t>
      </w:r>
      <w:r>
        <w:tab/>
        <w:t>If the contract of employment of a chief executive officer is about to expire and the chief executive officer has notified the Commissioner that he or she wishes to be reappointed to his or her office of chief executive officer, the Commissioner may —</w:t>
      </w:r>
    </w:p>
    <w:p>
      <w:pPr>
        <w:pStyle w:val="Indenta"/>
      </w:pPr>
      <w:r>
        <w:tab/>
        <w:t>(a)</w:t>
      </w:r>
      <w:r>
        <w:tab/>
        <w:t xml:space="preserve">recommend to the Governor that — </w:t>
      </w:r>
    </w:p>
    <w:p>
      <w:pPr>
        <w:pStyle w:val="Indenti"/>
      </w:pPr>
      <w:r>
        <w:tab/>
        <w:t>(i)</w:t>
      </w:r>
      <w:r>
        <w:tab/>
        <w:t>the chief executive officer be reappointed to the relevant office; or</w:t>
      </w:r>
    </w:p>
    <w:p>
      <w:pPr>
        <w:pStyle w:val="Indenti"/>
      </w:pPr>
      <w:r>
        <w:tab/>
        <w:t>(ii)</w:t>
      </w:r>
      <w:r>
        <w:tab/>
        <w:t>if the chief executive officer has been transferred to the performance of other functions under section 50, the chief executive officer be reappointed to perform those functions at the same level of classification;</w:t>
      </w:r>
    </w:p>
    <w:p>
      <w:pPr>
        <w:pStyle w:val="Indenta"/>
      </w:pPr>
      <w:r>
        <w:tab/>
      </w:r>
      <w:r>
        <w:tab/>
        <w:t>or</w:t>
      </w:r>
    </w:p>
    <w:p>
      <w:pPr>
        <w:pStyle w:val="Indenta"/>
      </w:pPr>
      <w:r>
        <w:tab/>
        <w:t>(b)</w:t>
      </w:r>
      <w:r>
        <w:tab/>
        <w:t>notify the chief executive officer that he or she will not be reappointed.</w:t>
      </w:r>
    </w:p>
    <w:p>
      <w:pPr>
        <w:pStyle w:val="Subsection"/>
        <w:rPr>
          <w:snapToGrid w:val="0"/>
        </w:rPr>
      </w:pPr>
      <w:r>
        <w:rPr>
          <w:snapToGrid w:val="0"/>
        </w:rPr>
        <w:tab/>
        <w:t>(2)</w:t>
      </w:r>
      <w:r>
        <w:rPr>
          <w:snapToGrid w:val="0"/>
        </w:rPr>
        <w:tab/>
        <w:t>If the</w:t>
      </w:r>
      <w:r>
        <w:t xml:space="preserve"> Commissioner</w:t>
      </w:r>
      <w:r>
        <w:rPr>
          <w:snapToGrid w:val="0"/>
        </w:rPr>
        <w:t> — </w:t>
      </w:r>
    </w:p>
    <w:p>
      <w:pPr>
        <w:pStyle w:val="Indenta"/>
        <w:rPr>
          <w:snapToGrid w:val="0"/>
        </w:rPr>
      </w:pPr>
      <w:r>
        <w:rPr>
          <w:snapToGrid w:val="0"/>
        </w:rPr>
        <w:tab/>
        <w:t>(a)</w:t>
      </w:r>
      <w:r>
        <w:rPr>
          <w:snapToGrid w:val="0"/>
        </w:rPr>
        <w:tab/>
        <w:t xml:space="preserve">recommends to the Governor that the incumbent be reappointed to the relevant office, the Governor shall so reappoint the incumbent for and on behalf of the </w:t>
      </w:r>
      <w:r>
        <w:t>State</w:t>
      </w:r>
      <w:r>
        <w:rPr>
          <w:snapToGrid w:val="0"/>
        </w:rPr>
        <w:t xml:space="preserve"> for such term not exceeding 5 years as is specified in the instrument of his or her reappointment; or</w:t>
      </w:r>
    </w:p>
    <w:p>
      <w:pPr>
        <w:pStyle w:val="Indenta"/>
        <w:keepLines/>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Footnotesection"/>
      </w:pPr>
      <w:r>
        <w:tab/>
        <w:t>[Section 46 amended: No. 39 of 2010 s. 42, 67 and 70.]</w:t>
      </w:r>
    </w:p>
    <w:p>
      <w:pPr>
        <w:pStyle w:val="Heading5"/>
        <w:rPr>
          <w:snapToGrid w:val="0"/>
        </w:rPr>
      </w:pPr>
      <w:bookmarkStart w:id="159" w:name="_Toc20390084"/>
      <w:r>
        <w:rPr>
          <w:rStyle w:val="CharSectno"/>
        </w:rPr>
        <w:t>47</w:t>
      </w:r>
      <w:r>
        <w:rPr>
          <w:snapToGrid w:val="0"/>
        </w:rPr>
        <w:t>.</w:t>
      </w:r>
      <w:r>
        <w:rPr>
          <w:snapToGrid w:val="0"/>
        </w:rPr>
        <w:tab/>
        <w:t>CEOs, performance agreements etc. of</w:t>
      </w:r>
      <w:bookmarkEnd w:id="159"/>
    </w:p>
    <w:p>
      <w:pPr>
        <w:pStyle w:val="Subsection"/>
      </w:pPr>
      <w:r>
        <w:tab/>
        <w:t>(1)</w:t>
      </w:r>
      <w:r>
        <w:tab/>
        <w:t xml:space="preserve">A chief executive officer must, on appointment under section 45, and at any time when required to do so under the Commissioner’s instructions, enter in accordance with the Commissioner’s instructions into an agreement with — </w:t>
      </w:r>
    </w:p>
    <w:p>
      <w:pPr>
        <w:pStyle w:val="Indenta"/>
      </w:pPr>
      <w:r>
        <w:tab/>
        <w:t>(a)</w:t>
      </w:r>
      <w:r>
        <w:tab/>
        <w:t>the Commissioner; and</w:t>
      </w:r>
    </w:p>
    <w:p>
      <w:pPr>
        <w:pStyle w:val="Indenta"/>
      </w:pPr>
      <w:r>
        <w:tab/>
        <w:t>(b)</w:t>
      </w:r>
      <w:r>
        <w:tab/>
        <w:t>the responsible authority of the agency of the chief executive officer,</w:t>
      </w:r>
    </w:p>
    <w:p>
      <w:pPr>
        <w:pStyle w:val="Subsection"/>
      </w:pPr>
      <w:r>
        <w:tab/>
      </w:r>
      <w:r>
        <w:tab/>
        <w:t>concerning the performance criteria to be met by the chief executive officer during the period to which the agreement relates.</w:t>
      </w:r>
    </w:p>
    <w:p>
      <w:pPr>
        <w:pStyle w:val="Subsection"/>
      </w:pPr>
      <w:r>
        <w:tab/>
        <w:t>(2)</w:t>
      </w:r>
      <w:r>
        <w:tab/>
        <w:t>A performance agreement does not take effect until the Minister responsible for the agency concerned (if that Minister is not the responsible authority of the agency) has approved the performance agreement and a note of that approval has been endorsed on the performance agreement.</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 xml:space="preserve">The responsible authority of the agency of a chief executive officer is responsible for assessing in accordance with </w:t>
      </w:r>
      <w:r>
        <w:t xml:space="preserve">the Commissioner’s instructions, </w:t>
      </w:r>
      <w:r>
        <w:rPr>
          <w:snapToGrid w:val="0"/>
        </w:rPr>
        <w:t>on or shortly before the end of each period referred to in subsection (1), the extent to which the chief executive officer meets the performance criteria set out in his or her current performance agreement.</w:t>
      </w:r>
    </w:p>
    <w:p>
      <w:pPr>
        <w:pStyle w:val="Footnotesection"/>
        <w:spacing w:before="80"/>
        <w:ind w:left="890" w:hanging="890"/>
      </w:pPr>
      <w:r>
        <w:tab/>
        <w:t>[Section 47 amended: No. 39 of 2010 s. 43.]</w:t>
      </w:r>
    </w:p>
    <w:p>
      <w:pPr>
        <w:pStyle w:val="Ednotesection"/>
      </w:pPr>
      <w:r>
        <w:t>[</w:t>
      </w:r>
      <w:r>
        <w:rPr>
          <w:b/>
          <w:bCs/>
        </w:rPr>
        <w:t>48.</w:t>
      </w:r>
      <w:r>
        <w:tab/>
        <w:t>Deleted: No. 39 of 2010 s. 44.]</w:t>
      </w:r>
    </w:p>
    <w:p>
      <w:pPr>
        <w:pStyle w:val="Heading5"/>
        <w:rPr>
          <w:snapToGrid w:val="0"/>
        </w:rPr>
      </w:pPr>
      <w:bookmarkStart w:id="160" w:name="_Toc20390085"/>
      <w:r>
        <w:rPr>
          <w:rStyle w:val="CharSectno"/>
        </w:rPr>
        <w:t>49</w:t>
      </w:r>
      <w:r>
        <w:rPr>
          <w:snapToGrid w:val="0"/>
        </w:rPr>
        <w:t>.</w:t>
      </w:r>
      <w:r>
        <w:rPr>
          <w:snapToGrid w:val="0"/>
        </w:rPr>
        <w:tab/>
        <w:t>CEOs, removal of from office</w:t>
      </w:r>
      <w:bookmarkEnd w:id="160"/>
    </w:p>
    <w:p>
      <w:pPr>
        <w:pStyle w:val="Subsection"/>
        <w:rPr>
          <w:snapToGrid w:val="0"/>
        </w:rPr>
      </w:pPr>
      <w:r>
        <w:rPr>
          <w:snapToGrid w:val="0"/>
        </w:rPr>
        <w:tab/>
      </w:r>
      <w:r>
        <w:rPr>
          <w:snapToGrid w:val="0"/>
        </w:rPr>
        <w:tab/>
        <w:t xml:space="preserve">The Governor may, on the recommendation of the </w:t>
      </w:r>
      <w:r>
        <w:t xml:space="preserve">Commissioner, </w:t>
      </w:r>
      <w:r>
        <w:rPr>
          <w:snapToGrid w:val="0"/>
        </w:rPr>
        <w:t>at any time remove a chief executive officer from office.</w:t>
      </w:r>
    </w:p>
    <w:p>
      <w:pPr>
        <w:pStyle w:val="Footnotesection"/>
      </w:pPr>
      <w:r>
        <w:tab/>
        <w:t>[Section 49 amended: No. 39 of 2010 s. 45.]</w:t>
      </w:r>
    </w:p>
    <w:p>
      <w:pPr>
        <w:pStyle w:val="Heading5"/>
        <w:rPr>
          <w:snapToGrid w:val="0"/>
        </w:rPr>
      </w:pPr>
      <w:bookmarkStart w:id="161" w:name="_Toc20390086"/>
      <w:r>
        <w:rPr>
          <w:rStyle w:val="CharSectno"/>
        </w:rPr>
        <w:t>50</w:t>
      </w:r>
      <w:r>
        <w:rPr>
          <w:snapToGrid w:val="0"/>
        </w:rPr>
        <w:t>.</w:t>
      </w:r>
      <w:r>
        <w:rPr>
          <w:snapToGrid w:val="0"/>
        </w:rPr>
        <w:tab/>
        <w:t>CEOs, transfer of</w:t>
      </w:r>
      <w:bookmarkEnd w:id="161"/>
    </w:p>
    <w:p>
      <w:pPr>
        <w:pStyle w:val="Subsection"/>
        <w:keepNext/>
        <w:rPr>
          <w:snapToGrid w:val="0"/>
        </w:rPr>
      </w:pPr>
      <w:r>
        <w:rPr>
          <w:snapToGrid w:val="0"/>
        </w:rPr>
        <w:tab/>
        <w:t>(1)</w:t>
      </w:r>
      <w:r>
        <w:rPr>
          <w:snapToGrid w:val="0"/>
        </w:rPr>
        <w:tab/>
        <w:t xml:space="preserve">The Governor may at any time on the recommendation of the </w:t>
      </w:r>
      <w:r>
        <w:t>Commissioner</w:t>
      </w:r>
      <w:r>
        <w:rPr>
          <w:snapToGrid w:val="0"/>
        </w:rPr>
        <w:t xml:space="preserve">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pPr>
      <w:r>
        <w:tab/>
        <w:t>(2)</w:t>
      </w:r>
      <w:r>
        <w:tab/>
        <w:t xml:space="preserve">Before making a recommendation referred to in subsection (1) the Commissioner must consult — </w:t>
      </w:r>
    </w:p>
    <w:p>
      <w:pPr>
        <w:pStyle w:val="Indenta"/>
      </w:pPr>
      <w:r>
        <w:tab/>
        <w:t>(a)</w:t>
      </w:r>
      <w:r>
        <w:tab/>
        <w:t>the responsible authority of the agency in which the office of the chief executive officer to whom the proposed recommendation relates is located; and</w:t>
      </w:r>
    </w:p>
    <w:p>
      <w:pPr>
        <w:pStyle w:val="Indenta"/>
      </w:pPr>
      <w:r>
        <w:tab/>
        <w:t>(b)</w:t>
      </w:r>
      <w:r>
        <w:tab/>
        <w:t>the responsible authority of the agency of destination; and</w:t>
      </w:r>
    </w:p>
    <w:p>
      <w:pPr>
        <w:pStyle w:val="Indenta"/>
      </w:pPr>
      <w:r>
        <w:tab/>
        <w:t>(c)</w:t>
      </w:r>
      <w:r>
        <w:tab/>
        <w:t>if neither of the responsible authorities referred to in paragraphs (a) or (b) is the Minister responsible for the relevant agency, that Minister; and</w:t>
      </w:r>
    </w:p>
    <w:p>
      <w:pPr>
        <w:pStyle w:val="Indenta"/>
      </w:pPr>
      <w:r>
        <w:tab/>
        <w:t>(d)</w:t>
      </w:r>
      <w: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r>
      <w:r>
        <w:rPr>
          <w:rStyle w:val="CharDefText"/>
        </w:rPr>
        <w:t>agency of destination</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t>in which the chief executive officer to whom the proposed recommendation relates is proposed to be transferred.</w:t>
      </w:r>
    </w:p>
    <w:p>
      <w:pPr>
        <w:pStyle w:val="Footnotesection"/>
      </w:pPr>
      <w:r>
        <w:tab/>
        <w:t>[Section 50 amended: No. 39 of 2010 s. 46 and 67.]</w:t>
      </w:r>
    </w:p>
    <w:p>
      <w:pPr>
        <w:pStyle w:val="Heading5"/>
        <w:spacing w:before="240"/>
        <w:rPr>
          <w:snapToGrid w:val="0"/>
        </w:rPr>
      </w:pPr>
      <w:bookmarkStart w:id="162" w:name="_Toc20390087"/>
      <w:r>
        <w:rPr>
          <w:rStyle w:val="CharSectno"/>
        </w:rPr>
        <w:t>51</w:t>
      </w:r>
      <w:r>
        <w:rPr>
          <w:snapToGrid w:val="0"/>
        </w:rPr>
        <w:t>.</w:t>
      </w:r>
      <w:r>
        <w:rPr>
          <w:snapToGrid w:val="0"/>
        </w:rPr>
        <w:tab/>
        <w:t>Acting CEOs</w:t>
      </w:r>
      <w:bookmarkEnd w:id="162"/>
    </w:p>
    <w:p>
      <w:pPr>
        <w:pStyle w:val="Subsection"/>
        <w:keepNext/>
        <w:rPr>
          <w:snapToGrid w:val="0"/>
        </w:rPr>
      </w:pPr>
      <w:r>
        <w:rPr>
          <w:snapToGrid w:val="0"/>
        </w:rPr>
        <w:tab/>
        <w:t>(1)</w:t>
      </w:r>
      <w:r>
        <w:rPr>
          <w:snapToGrid w:val="0"/>
        </w:rPr>
        <w:tab/>
        <w:t xml:space="preserve">Subject to this section, the </w:t>
      </w:r>
      <w:r>
        <w:t>Commissioner</w:t>
      </w:r>
      <w:r>
        <w:rPr>
          <w:snapToGrid w:val="0"/>
        </w:rPr>
        <w:t xml:space="preserve">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 xml:space="preserve">The </w:t>
      </w:r>
      <w:r>
        <w:t>Commissioner</w:t>
      </w:r>
      <w:r>
        <w:rPr>
          <w:snapToGrid w:val="0"/>
        </w:rPr>
        <w:t xml:space="preserve">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w:t>
      </w:r>
      <w:r>
        <w:t>is as valid</w:t>
      </w:r>
      <w:r>
        <w:rPr>
          <w:snapToGrid w:val="0"/>
        </w:rPr>
        <w:t xml:space="preserve"> as if it had been done by that chief executive officer, and any such statement has effect according to its tenor.</w:t>
      </w:r>
    </w:p>
    <w:p>
      <w:pPr>
        <w:pStyle w:val="Subsection"/>
      </w:pPr>
      <w:r>
        <w:tab/>
        <w:t>(3)</w:t>
      </w:r>
      <w:r>
        <w:tab/>
        <w:t xml:space="preserve">The Commissioner must, before giving a direction under subsection (1), consult — </w:t>
      </w:r>
    </w:p>
    <w:p>
      <w:pPr>
        <w:pStyle w:val="Indenta"/>
      </w:pPr>
      <w:r>
        <w:tab/>
        <w:t>(a)</w:t>
      </w:r>
      <w:r>
        <w:tab/>
        <w:t>the responsible authority of the agency concerned; and</w:t>
      </w:r>
    </w:p>
    <w:p>
      <w:pPr>
        <w:pStyle w:val="Indenta"/>
      </w:pPr>
      <w:r>
        <w:tab/>
        <w:t>(b)</w:t>
      </w:r>
      <w:r>
        <w:tab/>
        <w:t>if that responsible authority is not the Minister responsible for that agency, that Minister.</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Footnotesection"/>
      </w:pPr>
      <w:r>
        <w:tab/>
        <w:t>[Section 51 amended: No. 39 of 2010 s. 47, 67 and 70.]</w:t>
      </w:r>
    </w:p>
    <w:p>
      <w:pPr>
        <w:pStyle w:val="Heading5"/>
        <w:rPr>
          <w:snapToGrid w:val="0"/>
        </w:rPr>
      </w:pPr>
      <w:bookmarkStart w:id="163" w:name="_Toc20390088"/>
      <w:r>
        <w:rPr>
          <w:rStyle w:val="CharSectno"/>
        </w:rPr>
        <w:t>52</w:t>
      </w:r>
      <w:r>
        <w:rPr>
          <w:snapToGrid w:val="0"/>
        </w:rPr>
        <w:t>.</w:t>
      </w:r>
      <w:r>
        <w:rPr>
          <w:snapToGrid w:val="0"/>
        </w:rPr>
        <w:tab/>
        <w:t>Employment etc. of CEOs cannot be litigated etc.</w:t>
      </w:r>
      <w:bookmarkEnd w:id="163"/>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removal, retirement, termination of employment or other cessation of office of a chief executive officer; or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 or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keepNext w:val="0"/>
        <w:keepLines w:val="0"/>
        <w:pageBreakBefore/>
        <w:spacing w:before="0"/>
        <w:rPr>
          <w:snapToGrid w:val="0"/>
        </w:rPr>
      </w:pPr>
      <w:bookmarkStart w:id="164" w:name="_Toc20390089"/>
      <w:r>
        <w:rPr>
          <w:rStyle w:val="CharSectno"/>
        </w:rPr>
        <w:t>53</w:t>
      </w:r>
      <w:r>
        <w:rPr>
          <w:snapToGrid w:val="0"/>
        </w:rPr>
        <w:t>.</w:t>
      </w:r>
      <w:r>
        <w:rPr>
          <w:snapToGrid w:val="0"/>
        </w:rPr>
        <w:tab/>
        <w:t>Senior executive officers, appointment of</w:t>
      </w:r>
      <w:bookmarkEnd w:id="164"/>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an employing authority of an agency may in accordance with </w:t>
      </w:r>
      <w:r>
        <w:t>the Commissioner’s instructions</w:t>
      </w:r>
      <w:r>
        <w:rPr>
          <w:snapToGrid w:val="0"/>
        </w:rPr>
        <w:t xml:space="preserve"> appoint for and on behalf of the </w:t>
      </w:r>
      <w:r>
        <w:t>State</w:t>
      </w:r>
      <w:r>
        <w:rPr>
          <w:snapToGrid w:val="0"/>
        </w:rPr>
        <w:t xml:space="preserve">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 xml:space="preserve">An employing authority shall in accordance with </w:t>
      </w:r>
      <w:r>
        <w:t>the Commissioner’s instructions</w:t>
      </w:r>
      <w:r>
        <w:rPr>
          <w:snapToGrid w:val="0"/>
        </w:rPr>
        <w:t xml:space="preserve"> appoint a senior executive officer to fill a vacancy in an office, or to the performance of other functions, in the Senior Executive Service for such term not exceeding 5 years as is specified in the instrument of his or her appointment.</w:t>
      </w:r>
    </w:p>
    <w:p>
      <w:pPr>
        <w:pStyle w:val="Subsection"/>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No. 20 of 2002 s. 25(4); No. 39 of 2010 s. 48 and 70; amended: Gazette 15 Aug 2003 p. 3690.]</w:t>
      </w:r>
    </w:p>
    <w:p>
      <w:pPr>
        <w:pStyle w:val="Heading5"/>
        <w:rPr>
          <w:snapToGrid w:val="0"/>
        </w:rPr>
      </w:pPr>
      <w:bookmarkStart w:id="165" w:name="_Toc20390090"/>
      <w:r>
        <w:rPr>
          <w:rStyle w:val="CharSectno"/>
        </w:rPr>
        <w:t>54</w:t>
      </w:r>
      <w:r>
        <w:rPr>
          <w:snapToGrid w:val="0"/>
        </w:rPr>
        <w:t>.</w:t>
      </w:r>
      <w:r>
        <w:rPr>
          <w:snapToGrid w:val="0"/>
        </w:rPr>
        <w:tab/>
        <w:t>Senior executive officers, transfer of</w:t>
      </w:r>
      <w:bookmarkEnd w:id="165"/>
    </w:p>
    <w:p>
      <w:pPr>
        <w:pStyle w:val="Subsection"/>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spacing w:before="180"/>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spacing w:before="240"/>
        <w:rPr>
          <w:snapToGrid w:val="0"/>
        </w:rPr>
      </w:pPr>
      <w:bookmarkStart w:id="166" w:name="_Toc20390091"/>
      <w:r>
        <w:rPr>
          <w:rStyle w:val="CharSectno"/>
        </w:rPr>
        <w:t>55</w:t>
      </w:r>
      <w:r>
        <w:rPr>
          <w:snapToGrid w:val="0"/>
        </w:rPr>
        <w:t>.</w:t>
      </w:r>
      <w:r>
        <w:rPr>
          <w:snapToGrid w:val="0"/>
        </w:rPr>
        <w:tab/>
        <w:t>Senior executive officers, performance assessments of</w:t>
      </w:r>
      <w:bookmarkEnd w:id="166"/>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spacing w:before="240"/>
        <w:rPr>
          <w:snapToGrid w:val="0"/>
        </w:rPr>
      </w:pPr>
      <w:bookmarkStart w:id="167" w:name="_Toc20390092"/>
      <w:r>
        <w:rPr>
          <w:rStyle w:val="CharSectno"/>
        </w:rPr>
        <w:t>56</w:t>
      </w:r>
      <w:r>
        <w:rPr>
          <w:snapToGrid w:val="0"/>
        </w:rPr>
        <w:t>.</w:t>
      </w:r>
      <w:r>
        <w:rPr>
          <w:snapToGrid w:val="0"/>
        </w:rPr>
        <w:tab/>
        <w:t>Executive officers, contracts of employment of</w:t>
      </w:r>
      <w:bookmarkEnd w:id="167"/>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r>
      <w:r>
        <w:t>A contract</w:t>
      </w:r>
      <w:r>
        <w:rPr>
          <w:snapToGrid w:val="0"/>
        </w:rPr>
        <w:t xml:space="preserve">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spacing w:before="120"/>
        <w:rPr>
          <w:snapToGrid w:val="0"/>
        </w:rPr>
      </w:pPr>
      <w:r>
        <w:rPr>
          <w:snapToGrid w:val="0"/>
        </w:rPr>
        <w:tab/>
        <w:t>(4)</w:t>
      </w:r>
      <w:r>
        <w:rPr>
          <w:snapToGrid w:val="0"/>
        </w:rPr>
        <w:tab/>
        <w:t>A contract of employment referred to in this section (in this subsection referred to as</w:t>
      </w:r>
      <w:r>
        <w:t xml:space="preserve"> the </w:t>
      </w:r>
      <w:r>
        <w:rPr>
          <w:rStyle w:val="CharDefText"/>
        </w:rPr>
        <w:t>original contract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spacing w:before="120"/>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spacing w:before="60"/>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spacing w:before="60"/>
        <w:rPr>
          <w:snapToGrid w:val="0"/>
        </w:rPr>
      </w:pPr>
      <w:r>
        <w:rPr>
          <w:snapToGrid w:val="0"/>
        </w:rPr>
        <w:tab/>
        <w:t>(b)</w:t>
      </w:r>
      <w:r>
        <w:rPr>
          <w:snapToGrid w:val="0"/>
        </w:rPr>
        <w:tab/>
        <w:t>pay the executive officer in lieu of that period of notice an amount — </w:t>
      </w:r>
    </w:p>
    <w:p>
      <w:pPr>
        <w:pStyle w:val="Indenti"/>
        <w:spacing w:before="60"/>
        <w:rPr>
          <w:snapToGrid w:val="0"/>
        </w:rPr>
      </w:pPr>
      <w:r>
        <w:rPr>
          <w:snapToGrid w:val="0"/>
        </w:rPr>
        <w:tab/>
        <w:t>(i)</w:t>
      </w:r>
      <w:r>
        <w:rPr>
          <w:snapToGrid w:val="0"/>
        </w:rPr>
        <w:tab/>
        <w:t>not exceeding such maximum amount as is prescribed; and</w:t>
      </w:r>
    </w:p>
    <w:p>
      <w:pPr>
        <w:pStyle w:val="Indenti"/>
        <w:spacing w:before="60"/>
        <w:rPr>
          <w:snapToGrid w:val="0"/>
        </w:rPr>
      </w:pPr>
      <w:r>
        <w:rPr>
          <w:snapToGrid w:val="0"/>
        </w:rPr>
        <w:tab/>
        <w:t>(ii)</w:t>
      </w:r>
      <w:r>
        <w:rPr>
          <w:snapToGrid w:val="0"/>
        </w:rPr>
        <w:tab/>
        <w:t>not less than such minimum amount as is prescribed for each day by which that period of notice falls short of 4 weeks.</w:t>
      </w:r>
    </w:p>
    <w:p>
      <w:pPr>
        <w:pStyle w:val="Subsection"/>
        <w:spacing w:before="120"/>
        <w:rPr>
          <w:snapToGrid w:val="0"/>
        </w:rPr>
      </w:pPr>
      <w:r>
        <w:rPr>
          <w:snapToGrid w:val="0"/>
        </w:rPr>
        <w:tab/>
        <w:t>(6)</w:t>
      </w:r>
      <w:r>
        <w:rPr>
          <w:snapToGrid w:val="0"/>
        </w:rPr>
        <w:tab/>
        <w:t xml:space="preserve">The employing authority of an executive officer acts for and on behalf of the </w:t>
      </w:r>
      <w:r>
        <w:t>State</w:t>
      </w:r>
      <w:r>
        <w:rPr>
          <w:snapToGrid w:val="0"/>
        </w:rPr>
        <w:t xml:space="preserve"> in any contract of employment between that employing authority and the executive officer.</w:t>
      </w:r>
    </w:p>
    <w:p>
      <w:pPr>
        <w:pStyle w:val="Footnotesection"/>
        <w:spacing w:before="80"/>
        <w:ind w:left="890" w:hanging="890"/>
      </w:pPr>
      <w:r>
        <w:tab/>
        <w:t>[Section 56 amended: No. 39 of 2010 s. 49 and 70.]</w:t>
      </w:r>
    </w:p>
    <w:p>
      <w:pPr>
        <w:pStyle w:val="Heading5"/>
        <w:keepNext w:val="0"/>
        <w:keepLines w:val="0"/>
        <w:spacing w:before="180"/>
        <w:rPr>
          <w:snapToGrid w:val="0"/>
        </w:rPr>
      </w:pPr>
      <w:bookmarkStart w:id="168" w:name="_Toc20390093"/>
      <w:r>
        <w:rPr>
          <w:rStyle w:val="CharSectno"/>
        </w:rPr>
        <w:t>57</w:t>
      </w:r>
      <w:r>
        <w:rPr>
          <w:snapToGrid w:val="0"/>
        </w:rPr>
        <w:t>.</w:t>
      </w:r>
      <w:r>
        <w:rPr>
          <w:snapToGrid w:val="0"/>
        </w:rPr>
        <w:tab/>
        <w:t>Contracts of employment of executive officers, content of</w:t>
      </w:r>
      <w:bookmarkEnd w:id="168"/>
    </w:p>
    <w:p>
      <w:pPr>
        <w:pStyle w:val="Subsection"/>
        <w:spacing w:before="100"/>
        <w:rPr>
          <w:snapToGrid w:val="0"/>
        </w:rPr>
      </w:pPr>
      <w:r>
        <w:rPr>
          <w:snapToGrid w:val="0"/>
        </w:rPr>
        <w:tab/>
        <w:t>(1)</w:t>
      </w:r>
      <w:r>
        <w:rPr>
          <w:snapToGrid w:val="0"/>
        </w:rPr>
        <w:tab/>
        <w:t>The matters to be dealt with in a contract of employment between an executive officer and his or her employing authority include — </w:t>
      </w:r>
    </w:p>
    <w:p>
      <w:pPr>
        <w:pStyle w:val="Indenta"/>
        <w:spacing w:before="60"/>
        <w:rPr>
          <w:snapToGrid w:val="0"/>
        </w:rPr>
      </w:pPr>
      <w:r>
        <w:rPr>
          <w:snapToGrid w:val="0"/>
        </w:rPr>
        <w:tab/>
        <w:t>(a)</w:t>
      </w:r>
      <w:r>
        <w:rPr>
          <w:snapToGrid w:val="0"/>
        </w:rPr>
        <w:tab/>
        <w:t>the functions of the office of the executive officer, including the meeting of performance criteria; and</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keepNext/>
        <w:rPr>
          <w:snapToGrid w:val="0"/>
        </w:rPr>
      </w:pPr>
      <w:r>
        <w:rPr>
          <w:snapToGrid w:val="0"/>
        </w:rPr>
        <w:tab/>
        <w:t>(2)</w:t>
      </w:r>
      <w:r>
        <w:rPr>
          <w:snapToGrid w:val="0"/>
        </w:rPr>
        <w:tab/>
        <w:t>In this section — </w:t>
      </w:r>
    </w:p>
    <w:p>
      <w:pPr>
        <w:pStyle w:val="Defstart"/>
      </w:pPr>
      <w:r>
        <w:rPr>
          <w:b/>
        </w:rPr>
        <w:tab/>
      </w:r>
      <w:r>
        <w:rPr>
          <w:rStyle w:val="CharDefText"/>
        </w:rPr>
        <w:t>Tribunal</w:t>
      </w:r>
      <w:r>
        <w:t xml:space="preserve"> means the Salaries and Allowances Tribunal established by the </w:t>
      </w:r>
      <w:r>
        <w:rPr>
          <w:i/>
        </w:rPr>
        <w:t>Salaries and Allowances Act 1975</w:t>
      </w:r>
      <w:r>
        <w:t>.</w:t>
      </w:r>
    </w:p>
    <w:p>
      <w:pPr>
        <w:pStyle w:val="Footnotesection"/>
      </w:pPr>
      <w:r>
        <w:tab/>
        <w:t>[Section 57 amended: No. 39 of 2010 s. 70.]</w:t>
      </w:r>
    </w:p>
    <w:p>
      <w:pPr>
        <w:pStyle w:val="Heading5"/>
        <w:rPr>
          <w:snapToGrid w:val="0"/>
        </w:rPr>
      </w:pPr>
      <w:bookmarkStart w:id="169" w:name="_Toc20390094"/>
      <w:r>
        <w:rPr>
          <w:rStyle w:val="CharSectno"/>
        </w:rPr>
        <w:t>58</w:t>
      </w:r>
      <w:r>
        <w:rPr>
          <w:snapToGrid w:val="0"/>
        </w:rPr>
        <w:t>.</w:t>
      </w:r>
      <w:r>
        <w:rPr>
          <w:snapToGrid w:val="0"/>
        </w:rPr>
        <w:tab/>
        <w:t>Right of return for certain executive officers</w:t>
      </w:r>
      <w:bookmarkEnd w:id="169"/>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 and</w:t>
      </w:r>
    </w:p>
    <w:p>
      <w:pPr>
        <w:pStyle w:val="Indenta"/>
        <w:rPr>
          <w:snapToGrid w:val="0"/>
        </w:rPr>
      </w:pPr>
      <w:r>
        <w:rPr>
          <w:snapToGrid w:val="0"/>
        </w:rPr>
        <w:tab/>
        <w:t>(b)</w:t>
      </w:r>
      <w:r>
        <w:rPr>
          <w:snapToGrid w:val="0"/>
        </w:rPr>
        <w:tab/>
        <w:t>is revoked if that election is not again made by the executive officer in a subsequent contract of employment; and</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keepNext/>
        <w:rPr>
          <w:snapToGrid w:val="0"/>
        </w:rPr>
      </w:pPr>
      <w:r>
        <w:rPr>
          <w:snapToGrid w:val="0"/>
        </w:rPr>
        <w:tab/>
        <w:t>(b)</w:t>
      </w:r>
      <w:r>
        <w:rPr>
          <w:snapToGrid w:val="0"/>
        </w:rPr>
        <w:tab/>
        <w:t>in the case of — </w:t>
      </w:r>
    </w:p>
    <w:p>
      <w:pPr>
        <w:pStyle w:val="Indenti"/>
        <w:spacing w:before="60"/>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spacing w:before="60"/>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spacing w:before="120"/>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spacing w:before="120"/>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spacing w:before="120"/>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spacing w:before="120"/>
        <w:rPr>
          <w:snapToGrid w:val="0"/>
        </w:rPr>
      </w:pPr>
      <w:r>
        <w:rPr>
          <w:snapToGrid w:val="0"/>
        </w:rPr>
        <w:tab/>
        <w:t>(7)</w:t>
      </w:r>
      <w:r>
        <w:rPr>
          <w:snapToGrid w:val="0"/>
        </w:rPr>
        <w:tab/>
        <w:t>In this section — </w:t>
      </w:r>
    </w:p>
    <w:p>
      <w:pPr>
        <w:pStyle w:val="Defstart"/>
        <w:spacing w:before="60"/>
      </w:pPr>
      <w:r>
        <w:rPr>
          <w:b/>
        </w:rPr>
        <w:tab/>
      </w:r>
      <w:r>
        <w:rPr>
          <w:rStyle w:val="CharDefText"/>
        </w:rPr>
        <w:t>right of return</w:t>
      </w:r>
      <w:r>
        <w:t xml:space="preserve"> means the entitlement of an executive officer to employment in a department or organisation in accordance with this section;</w:t>
      </w:r>
    </w:p>
    <w:p>
      <w:pPr>
        <w:pStyle w:val="Defstart"/>
        <w:spacing w:before="60"/>
      </w:pPr>
      <w:r>
        <w:rPr>
          <w:b/>
        </w:rPr>
        <w:tab/>
      </w:r>
      <w:r>
        <w:rPr>
          <w:rStyle w:val="CharDefText"/>
        </w:rPr>
        <w:t>statutory office</w:t>
      </w:r>
      <w:r>
        <w:t xml:space="preserve"> means an office, post or position that is established under an Act by which the right to appoint to that office, post or position is vested in the Governor or a Minister.</w:t>
      </w:r>
    </w:p>
    <w:p>
      <w:pPr>
        <w:pStyle w:val="Footnotesection"/>
      </w:pPr>
      <w:r>
        <w:tab/>
        <w:t>[Section 58 amended: No. 39 of 2010 s. 68 and 70.]</w:t>
      </w:r>
    </w:p>
    <w:p>
      <w:pPr>
        <w:pStyle w:val="Heading5"/>
        <w:rPr>
          <w:snapToGrid w:val="0"/>
        </w:rPr>
      </w:pPr>
      <w:bookmarkStart w:id="170" w:name="_Toc20390095"/>
      <w:r>
        <w:rPr>
          <w:rStyle w:val="CharSectno"/>
        </w:rPr>
        <w:t>59</w:t>
      </w:r>
      <w:r>
        <w:rPr>
          <w:snapToGrid w:val="0"/>
        </w:rPr>
        <w:t>.</w:t>
      </w:r>
      <w:r>
        <w:rPr>
          <w:snapToGrid w:val="0"/>
        </w:rPr>
        <w:tab/>
        <w:t>Compensation etc. if executive officer has no right of return</w:t>
      </w:r>
      <w:bookmarkEnd w:id="170"/>
      <w:r>
        <w:rPr>
          <w:snapToGrid w:val="0"/>
        </w:rPr>
        <w:t xml:space="preserve"> </w:t>
      </w:r>
    </w:p>
    <w:p>
      <w:pPr>
        <w:pStyle w:val="Subsection"/>
        <w:keepNext/>
        <w:rPr>
          <w:snapToGrid w:val="0"/>
        </w:rPr>
      </w:pPr>
      <w:r>
        <w:rPr>
          <w:snapToGrid w:val="0"/>
        </w:rPr>
        <w:tab/>
        <w:t>(1)</w:t>
      </w:r>
      <w:r>
        <w:rPr>
          <w:snapToGrid w:val="0"/>
        </w:rPr>
        <w:tab/>
        <w:t>This section applies to a person — </w:t>
      </w:r>
    </w:p>
    <w:p>
      <w:pPr>
        <w:pStyle w:val="Indenta"/>
        <w:keepNext/>
        <w:keepLines/>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 xml:space="preserve">A person to whom this section applies is entitled to such compensation, if any, as the </w:t>
      </w:r>
      <w:r>
        <w:t>Commissioner</w:t>
      </w:r>
      <w:r>
        <w:rPr>
          <w:snapToGrid w:val="0"/>
        </w:rPr>
        <w:t xml:space="preserve">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spacing w:before="180"/>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w:t>
      </w:r>
      <w:r>
        <w:t xml:space="preserve"> State.</w:t>
      </w:r>
    </w:p>
    <w:p>
      <w:pPr>
        <w:pStyle w:val="Footnotesection"/>
      </w:pPr>
      <w:r>
        <w:tab/>
        <w:t>[Section 59 amended: No. 39 of 2010 s. 67 and 70.]</w:t>
      </w:r>
    </w:p>
    <w:p>
      <w:pPr>
        <w:pStyle w:val="Heading5"/>
        <w:spacing w:before="240"/>
        <w:rPr>
          <w:snapToGrid w:val="0"/>
        </w:rPr>
      </w:pPr>
      <w:bookmarkStart w:id="171" w:name="_Toc20390096"/>
      <w:r>
        <w:rPr>
          <w:rStyle w:val="CharSectno"/>
        </w:rPr>
        <w:t>60</w:t>
      </w:r>
      <w:r>
        <w:rPr>
          <w:snapToGrid w:val="0"/>
        </w:rPr>
        <w:t>.</w:t>
      </w:r>
      <w:r>
        <w:rPr>
          <w:snapToGrid w:val="0"/>
        </w:rPr>
        <w:tab/>
        <w:t>Election to take compensation instead of right of return</w:t>
      </w:r>
      <w:bookmarkEnd w:id="171"/>
    </w:p>
    <w:p>
      <w:pPr>
        <w:pStyle w:val="Subsection"/>
        <w:spacing w:before="180"/>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spacing w:before="180"/>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spacing w:before="240"/>
        <w:rPr>
          <w:snapToGrid w:val="0"/>
        </w:rPr>
      </w:pPr>
      <w:bookmarkStart w:id="172" w:name="_Toc20390097"/>
      <w:r>
        <w:rPr>
          <w:rStyle w:val="CharSectno"/>
        </w:rPr>
        <w:t>61</w:t>
      </w:r>
      <w:r>
        <w:rPr>
          <w:snapToGrid w:val="0"/>
        </w:rPr>
        <w:t>.</w:t>
      </w:r>
      <w:r>
        <w:rPr>
          <w:snapToGrid w:val="0"/>
        </w:rPr>
        <w:tab/>
        <w:t>Executive officers, secondment of</w:t>
      </w:r>
      <w:bookmarkEnd w:id="172"/>
    </w:p>
    <w:p>
      <w:pPr>
        <w:pStyle w:val="Subsection"/>
        <w:spacing w:before="180"/>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173" w:name="_Toc20390098"/>
      <w:r>
        <w:rPr>
          <w:rStyle w:val="CharSectno"/>
        </w:rPr>
        <w:t>62</w:t>
      </w:r>
      <w:r>
        <w:rPr>
          <w:snapToGrid w:val="0"/>
        </w:rPr>
        <w:t>.</w:t>
      </w:r>
      <w:r>
        <w:rPr>
          <w:snapToGrid w:val="0"/>
        </w:rPr>
        <w:tab/>
        <w:t>When executive officer ceases to be in Senior Executive Service</w:t>
      </w:r>
      <w:bookmarkEnd w:id="173"/>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174" w:name="_Toc20390099"/>
      <w:r>
        <w:rPr>
          <w:rStyle w:val="CharSectno"/>
        </w:rPr>
        <w:t>63</w:t>
      </w:r>
      <w:r>
        <w:rPr>
          <w:snapToGrid w:val="0"/>
        </w:rPr>
        <w:t>.</w:t>
      </w:r>
      <w:r>
        <w:rPr>
          <w:snapToGrid w:val="0"/>
        </w:rPr>
        <w:tab/>
        <w:t>Vacation of office of executive officer</w:t>
      </w:r>
      <w:bookmarkEnd w:id="174"/>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 or</w:t>
      </w:r>
    </w:p>
    <w:p>
      <w:pPr>
        <w:pStyle w:val="Indenta"/>
        <w:rPr>
          <w:snapToGrid w:val="0"/>
        </w:rPr>
      </w:pPr>
      <w:r>
        <w:rPr>
          <w:snapToGrid w:val="0"/>
        </w:rPr>
        <w:tab/>
        <w:t>(b)</w:t>
      </w:r>
      <w:r>
        <w:rPr>
          <w:snapToGrid w:val="0"/>
        </w:rPr>
        <w:tab/>
        <w:t>in the case of a chief executive officer, he or she is removed from office under section 49; or</w:t>
      </w:r>
    </w:p>
    <w:p>
      <w:pPr>
        <w:pStyle w:val="Indenta"/>
        <w:rPr>
          <w:snapToGrid w:val="0"/>
        </w:rPr>
      </w:pPr>
      <w:r>
        <w:rPr>
          <w:snapToGrid w:val="0"/>
        </w:rPr>
        <w:tab/>
        <w:t>(c)</w:t>
      </w:r>
      <w:r>
        <w:rPr>
          <w:snapToGrid w:val="0"/>
        </w:rPr>
        <w:tab/>
        <w:t>his or her contract of employment is terminated under section 56(3); or</w:t>
      </w:r>
    </w:p>
    <w:p>
      <w:pPr>
        <w:pStyle w:val="Indenta"/>
        <w:rPr>
          <w:snapToGrid w:val="0"/>
        </w:rPr>
      </w:pPr>
      <w:r>
        <w:rPr>
          <w:snapToGrid w:val="0"/>
        </w:rPr>
        <w:tab/>
        <w:t>(d)</w:t>
      </w:r>
      <w:r>
        <w:rPr>
          <w:snapToGrid w:val="0"/>
        </w:rPr>
        <w:tab/>
        <w:t>the executive officer completes a term of office and is not reappointed; or</w:t>
      </w:r>
    </w:p>
    <w:p>
      <w:pPr>
        <w:pStyle w:val="Indenta"/>
        <w:rPr>
          <w:snapToGrid w:val="0"/>
        </w:rPr>
      </w:pPr>
      <w:r>
        <w:rPr>
          <w:snapToGrid w:val="0"/>
        </w:rPr>
        <w:tab/>
        <w:t>(e)</w:t>
      </w:r>
      <w:r>
        <w:rPr>
          <w:snapToGrid w:val="0"/>
        </w:rPr>
        <w:tab/>
        <w:t>the executive officer is dismissed, or retires from office, under this Act; or</w:t>
      </w:r>
    </w:p>
    <w:p>
      <w:pPr>
        <w:pStyle w:val="Indenta"/>
        <w:rPr>
          <w:snapToGrid w:val="0"/>
        </w:rPr>
      </w:pPr>
      <w:r>
        <w:rPr>
          <w:snapToGrid w:val="0"/>
        </w:rPr>
        <w:tab/>
        <w:t>(f)</w:t>
      </w:r>
      <w:r>
        <w:rPr>
          <w:snapToGrid w:val="0"/>
        </w:rPr>
        <w:tab/>
        <w:t xml:space="preserve">the employment of the executive officer in the Public Sector is terminated under </w:t>
      </w:r>
      <w:r>
        <w:t>section 79(3) or under regulations referred to in section 95A; or</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keepNext/>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w:t>
      </w:r>
      <w:r>
        <w:t xml:space="preserve"> Commissioner</w:t>
      </w:r>
      <w:r>
        <w:rPr>
          <w:snapToGrid w:val="0"/>
        </w:rPr>
        <w:t>,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w:t>
      </w:r>
      <w:r>
        <w:t xml:space="preserve"> office (unless it is an appointment and the Commissioner authorises the offices being held concurrently by the executive officer).</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Footnotesection"/>
      </w:pPr>
      <w:r>
        <w:tab/>
        <w:t>[Section 63 amended: No. 39 of 2010 s. 50, 67 and 70; No. 8 of 2014 s. 11.]</w:t>
      </w:r>
    </w:p>
    <w:p>
      <w:pPr>
        <w:pStyle w:val="Heading3"/>
        <w:spacing w:before="200"/>
        <w:rPr>
          <w:snapToGrid w:val="0"/>
        </w:rPr>
      </w:pPr>
      <w:bookmarkStart w:id="175" w:name="_Toc500422941"/>
      <w:bookmarkStart w:id="176" w:name="_Toc503259325"/>
      <w:bookmarkStart w:id="177" w:name="_Toc503265261"/>
      <w:bookmarkStart w:id="178" w:name="_Toc503880728"/>
      <w:bookmarkStart w:id="179" w:name="_Toc515436254"/>
      <w:bookmarkStart w:id="180" w:name="_Toc515437083"/>
      <w:bookmarkStart w:id="181" w:name="_Toc20390100"/>
      <w:r>
        <w:rPr>
          <w:rStyle w:val="CharDivNo"/>
        </w:rPr>
        <w:t>Division 3</w:t>
      </w:r>
      <w:r>
        <w:rPr>
          <w:snapToGrid w:val="0"/>
        </w:rPr>
        <w:t> — </w:t>
      </w:r>
      <w:r>
        <w:rPr>
          <w:rStyle w:val="CharDivText"/>
        </w:rPr>
        <w:t>Public service officers other than executive officers</w:t>
      </w:r>
      <w:bookmarkEnd w:id="175"/>
      <w:bookmarkEnd w:id="176"/>
      <w:bookmarkEnd w:id="177"/>
      <w:bookmarkEnd w:id="178"/>
      <w:bookmarkEnd w:id="179"/>
      <w:bookmarkEnd w:id="180"/>
      <w:bookmarkEnd w:id="181"/>
      <w:r>
        <w:rPr>
          <w:rStyle w:val="CharDivText"/>
        </w:rPr>
        <w:t xml:space="preserve"> </w:t>
      </w:r>
    </w:p>
    <w:p>
      <w:pPr>
        <w:pStyle w:val="Heading5"/>
        <w:spacing w:before="180"/>
        <w:rPr>
          <w:snapToGrid w:val="0"/>
        </w:rPr>
      </w:pPr>
      <w:bookmarkStart w:id="182" w:name="_Toc20390101"/>
      <w:r>
        <w:rPr>
          <w:rStyle w:val="CharSectno"/>
        </w:rPr>
        <w:t>64</w:t>
      </w:r>
      <w:r>
        <w:rPr>
          <w:snapToGrid w:val="0"/>
        </w:rPr>
        <w:t>.</w:t>
      </w:r>
      <w:r>
        <w:rPr>
          <w:snapToGrid w:val="0"/>
        </w:rPr>
        <w:tab/>
        <w:t>Appointing officers</w:t>
      </w:r>
      <w:bookmarkEnd w:id="182"/>
    </w:p>
    <w:p>
      <w:pPr>
        <w:pStyle w:val="Subsection"/>
        <w:spacing w:before="120"/>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xml:space="preserve">, the employing authority of a department or organisation may in accordance with </w:t>
      </w:r>
      <w:r>
        <w:t>the Commissioner’s instructions</w:t>
      </w:r>
      <w:r>
        <w:rPr>
          <w:snapToGrid w:val="0"/>
        </w:rPr>
        <w:t xml:space="preserve"> appoint for and on behalf of the </w:t>
      </w:r>
      <w:r>
        <w:t>State</w:t>
      </w:r>
      <w:r>
        <w:rPr>
          <w:snapToGrid w:val="0"/>
        </w:rPr>
        <w:t xml:space="preserve">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spacing w:before="120"/>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as being appropriate to the functions to be performed by the person so appointed.</w:t>
      </w:r>
    </w:p>
    <w:p>
      <w:pPr>
        <w:pStyle w:val="Subsection"/>
        <w:spacing w:before="120"/>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w:t>
      </w:r>
      <w:r>
        <w:t xml:space="preserve"> the Commissioner’s instructions;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as a public sector notice in accordance with the Commissioner’s instructions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ind w:left="890" w:hanging="890"/>
      </w:pPr>
      <w:r>
        <w:tab/>
        <w:t>[Section 64 amended: No. 20 of 2002 s. 25(5); No. 74 of 2003 s. 97(2); No. 39 of 2010 s. 51 and 70; amended: Gazette 15 Aug 2003 p. 3690.]</w:t>
      </w:r>
    </w:p>
    <w:p>
      <w:pPr>
        <w:pStyle w:val="Heading5"/>
        <w:keepNext w:val="0"/>
        <w:keepLines w:val="0"/>
        <w:pageBreakBefore/>
        <w:spacing w:before="0"/>
        <w:rPr>
          <w:snapToGrid w:val="0"/>
        </w:rPr>
      </w:pPr>
      <w:bookmarkStart w:id="183" w:name="_Toc20390102"/>
      <w:r>
        <w:rPr>
          <w:rStyle w:val="CharSectno"/>
        </w:rPr>
        <w:t>65</w:t>
      </w:r>
      <w:r>
        <w:rPr>
          <w:snapToGrid w:val="0"/>
        </w:rPr>
        <w:t>.</w:t>
      </w:r>
      <w:r>
        <w:rPr>
          <w:snapToGrid w:val="0"/>
        </w:rPr>
        <w:tab/>
        <w:t>Transferring officers within and between departments etc.</w:t>
      </w:r>
      <w:bookmarkEnd w:id="183"/>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184" w:name="_Toc20390103"/>
      <w:r>
        <w:rPr>
          <w:rStyle w:val="CharSectno"/>
        </w:rPr>
        <w:t>66</w:t>
      </w:r>
      <w:r>
        <w:rPr>
          <w:snapToGrid w:val="0"/>
        </w:rPr>
        <w:t>.</w:t>
      </w:r>
      <w:r>
        <w:rPr>
          <w:snapToGrid w:val="0"/>
        </w:rPr>
        <w:tab/>
        <w:t>Seconding officers from departments or organisations</w:t>
      </w:r>
      <w:bookmarkEnd w:id="184"/>
      <w:r>
        <w:rPr>
          <w:snapToGrid w:val="0"/>
        </w:rPr>
        <w:t xml:space="preserve"> </w:t>
      </w:r>
    </w:p>
    <w:p>
      <w:pPr>
        <w:pStyle w:val="Subsection"/>
        <w:rPr>
          <w:snapToGrid w:val="0"/>
        </w:rPr>
      </w:pPr>
      <w:r>
        <w:rPr>
          <w:snapToGrid w:val="0"/>
        </w:rPr>
        <w:tab/>
      </w:r>
      <w:r>
        <w:rPr>
          <w:snapToGrid w:val="0"/>
        </w:rPr>
        <w:tab/>
        <w:t xml:space="preserve">An employing authority of a department or organisation (in this section referred to as </w:t>
      </w:r>
      <w:r>
        <w:t xml:space="preserve">the </w:t>
      </w:r>
      <w:r>
        <w:rPr>
          <w:rStyle w:val="CharDefText"/>
        </w:rPr>
        <w:t>seconding authority</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185" w:name="_Toc20390104"/>
      <w:r>
        <w:rPr>
          <w:rStyle w:val="CharSectno"/>
        </w:rPr>
        <w:t>67</w:t>
      </w:r>
      <w:r>
        <w:rPr>
          <w:snapToGrid w:val="0"/>
        </w:rPr>
        <w:t>.</w:t>
      </w:r>
      <w:r>
        <w:rPr>
          <w:snapToGrid w:val="0"/>
        </w:rPr>
        <w:tab/>
        <w:t>Vacation of offices</w:t>
      </w:r>
      <w:bookmarkEnd w:id="185"/>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 or</w:t>
      </w:r>
    </w:p>
    <w:p>
      <w:pPr>
        <w:pStyle w:val="Indenta"/>
        <w:rPr>
          <w:snapToGrid w:val="0"/>
        </w:rPr>
      </w:pPr>
      <w:r>
        <w:rPr>
          <w:snapToGrid w:val="0"/>
        </w:rPr>
        <w:tab/>
        <w:t>(b)</w:t>
      </w:r>
      <w:r>
        <w:rPr>
          <w:snapToGrid w:val="0"/>
        </w:rPr>
        <w:tab/>
        <w:t>in the case of a term officer, the term officer completes a term of office and is not reappointed; or</w:t>
      </w:r>
    </w:p>
    <w:p>
      <w:pPr>
        <w:pStyle w:val="Indenta"/>
        <w:rPr>
          <w:snapToGrid w:val="0"/>
        </w:rPr>
      </w:pPr>
      <w:r>
        <w:rPr>
          <w:snapToGrid w:val="0"/>
        </w:rPr>
        <w:tab/>
        <w:t>(c)</w:t>
      </w:r>
      <w:r>
        <w:rPr>
          <w:snapToGrid w:val="0"/>
        </w:rPr>
        <w:tab/>
        <w:t>that public service officer is dismissed, or retires from office, under this Act; or</w:t>
      </w:r>
    </w:p>
    <w:p>
      <w:pPr>
        <w:pStyle w:val="Indenta"/>
        <w:rPr>
          <w:snapToGrid w:val="0"/>
        </w:rPr>
      </w:pPr>
      <w:r>
        <w:rPr>
          <w:snapToGrid w:val="0"/>
        </w:rPr>
        <w:tab/>
        <w:t>(d)</w:t>
      </w:r>
      <w:r>
        <w:rPr>
          <w:snapToGrid w:val="0"/>
        </w:rPr>
        <w:tab/>
        <w:t xml:space="preserve">the employment of that public service officer in the Public Sector is terminated under </w:t>
      </w:r>
      <w:r>
        <w:t>section 79(3) or under regulations referred to in section 95A; or</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w:t>
      </w:r>
      <w:r>
        <w:t xml:space="preserve"> position (unless it is an appointment and the Commissioner authorises the offices, posts or positions being held concurrently by that public service officer).</w:t>
      </w:r>
    </w:p>
    <w:p>
      <w:pPr>
        <w:pStyle w:val="Footnotesection"/>
      </w:pPr>
      <w:r>
        <w:tab/>
        <w:t>[Section 67 amended: No. 39 of 2010 s. 52 and 70; No. 8 of 2014 s. 12.]</w:t>
      </w:r>
    </w:p>
    <w:p>
      <w:pPr>
        <w:pStyle w:val="Heading2"/>
      </w:pPr>
      <w:bookmarkStart w:id="186" w:name="_Toc500422946"/>
      <w:bookmarkStart w:id="187" w:name="_Toc503259330"/>
      <w:bookmarkStart w:id="188" w:name="_Toc503265266"/>
      <w:bookmarkStart w:id="189" w:name="_Toc503880733"/>
      <w:bookmarkStart w:id="190" w:name="_Toc515436259"/>
      <w:bookmarkStart w:id="191" w:name="_Toc515437088"/>
      <w:bookmarkStart w:id="192" w:name="_Toc20390105"/>
      <w:r>
        <w:rPr>
          <w:rStyle w:val="CharPartNo"/>
        </w:rPr>
        <w:t>Part 4</w:t>
      </w:r>
      <w:r>
        <w:t> — </w:t>
      </w:r>
      <w:r>
        <w:rPr>
          <w:rStyle w:val="CharPartText"/>
        </w:rPr>
        <w:t>Assistance for political office holders</w:t>
      </w:r>
      <w:bookmarkEnd w:id="186"/>
      <w:bookmarkEnd w:id="187"/>
      <w:bookmarkEnd w:id="188"/>
      <w:bookmarkEnd w:id="189"/>
      <w:bookmarkEnd w:id="190"/>
      <w:bookmarkEnd w:id="191"/>
      <w:bookmarkEnd w:id="192"/>
      <w:r>
        <w:rPr>
          <w:rStyle w:val="CharPartText"/>
        </w:rPr>
        <w:t xml:space="preserve"> </w:t>
      </w:r>
    </w:p>
    <w:p>
      <w:pPr>
        <w:pStyle w:val="Heading3"/>
        <w:rPr>
          <w:snapToGrid w:val="0"/>
        </w:rPr>
      </w:pPr>
      <w:bookmarkStart w:id="193" w:name="_Toc500422947"/>
      <w:bookmarkStart w:id="194" w:name="_Toc503259331"/>
      <w:bookmarkStart w:id="195" w:name="_Toc503265267"/>
      <w:bookmarkStart w:id="196" w:name="_Toc503880734"/>
      <w:bookmarkStart w:id="197" w:name="_Toc515436260"/>
      <w:bookmarkStart w:id="198" w:name="_Toc515437089"/>
      <w:bookmarkStart w:id="199" w:name="_Toc20390106"/>
      <w:r>
        <w:rPr>
          <w:rStyle w:val="CharDivNo"/>
        </w:rPr>
        <w:t>Division 1</w:t>
      </w:r>
      <w:r>
        <w:rPr>
          <w:snapToGrid w:val="0"/>
        </w:rPr>
        <w:t> — </w:t>
      </w:r>
      <w:r>
        <w:rPr>
          <w:rStyle w:val="CharDivText"/>
        </w:rPr>
        <w:t>Ministerial officers</w:t>
      </w:r>
      <w:bookmarkEnd w:id="193"/>
      <w:bookmarkEnd w:id="194"/>
      <w:bookmarkEnd w:id="195"/>
      <w:bookmarkEnd w:id="196"/>
      <w:bookmarkEnd w:id="197"/>
      <w:bookmarkEnd w:id="198"/>
      <w:bookmarkEnd w:id="199"/>
      <w:r>
        <w:rPr>
          <w:rStyle w:val="CharDivText"/>
        </w:rPr>
        <w:t xml:space="preserve"> </w:t>
      </w:r>
    </w:p>
    <w:p>
      <w:pPr>
        <w:pStyle w:val="Heading5"/>
        <w:spacing w:before="180"/>
        <w:rPr>
          <w:snapToGrid w:val="0"/>
        </w:rPr>
      </w:pPr>
      <w:bookmarkStart w:id="200" w:name="_Toc20390107"/>
      <w:r>
        <w:rPr>
          <w:rStyle w:val="CharSectno"/>
        </w:rPr>
        <w:t>68</w:t>
      </w:r>
      <w:r>
        <w:rPr>
          <w:snapToGrid w:val="0"/>
        </w:rPr>
        <w:t>.</w:t>
      </w:r>
      <w:r>
        <w:rPr>
          <w:snapToGrid w:val="0"/>
        </w:rPr>
        <w:tab/>
        <w:t>Employing ministerial officers</w:t>
      </w:r>
      <w:bookmarkEnd w:id="200"/>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rPr>
          <w:snapToGrid w:val="0"/>
        </w:rPr>
      </w:pPr>
      <w:r>
        <w:rPr>
          <w:snapToGrid w:val="0"/>
        </w:rPr>
        <w:tab/>
      </w:r>
      <w:r>
        <w:rPr>
          <w:snapToGrid w:val="0"/>
        </w:rPr>
        <w:tab/>
        <w:t>and section 8(1) does not apply to or in relation to such an appointment.</w:t>
      </w:r>
    </w:p>
    <w:p>
      <w:pPr>
        <w:pStyle w:val="Subsection"/>
        <w:spacing w:before="120"/>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spacing w:before="120"/>
        <w:rPr>
          <w:snapToGrid w:val="0"/>
        </w:rPr>
      </w:pPr>
      <w:r>
        <w:rPr>
          <w:snapToGrid w:val="0"/>
        </w:rPr>
        <w:tab/>
        <w:t>(3)</w:t>
      </w:r>
      <w:r>
        <w:rPr>
          <w:snapToGrid w:val="0"/>
        </w:rPr>
        <w:tab/>
        <w:t>Subject to this Part, a contract of employment referred to in subsection (2) shall —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signed by or on behalf of the parties to that contract; and</w:t>
      </w:r>
    </w:p>
    <w:p>
      <w:pPr>
        <w:pStyle w:val="Indenta"/>
        <w:rPr>
          <w:snapToGrid w:val="0"/>
        </w:rPr>
      </w:pPr>
      <w:r>
        <w:rPr>
          <w:snapToGrid w:val="0"/>
        </w:rPr>
        <w:tab/>
        <w:t>(c)</w:t>
      </w:r>
      <w:r>
        <w:rPr>
          <w:snapToGrid w:val="0"/>
        </w:rPr>
        <w:tab/>
        <w:t>specify the day on which the employment expires.</w:t>
      </w:r>
    </w:p>
    <w:p>
      <w:pPr>
        <w:pStyle w:val="Heading5"/>
        <w:spacing w:before="180"/>
        <w:rPr>
          <w:snapToGrid w:val="0"/>
        </w:rPr>
      </w:pPr>
      <w:bookmarkStart w:id="201" w:name="_Toc20390108"/>
      <w:r>
        <w:rPr>
          <w:rStyle w:val="CharSectno"/>
        </w:rPr>
        <w:t>69</w:t>
      </w:r>
      <w:r>
        <w:rPr>
          <w:snapToGrid w:val="0"/>
        </w:rPr>
        <w:t>.</w:t>
      </w:r>
      <w:r>
        <w:rPr>
          <w:snapToGrid w:val="0"/>
        </w:rPr>
        <w:tab/>
        <w:t>Functions of ministerial officers</w:t>
      </w:r>
      <w:bookmarkEnd w:id="201"/>
      <w:r>
        <w:rPr>
          <w:snapToGrid w:val="0"/>
        </w:rPr>
        <w:t xml:space="preserve"> </w:t>
      </w:r>
    </w:p>
    <w:p>
      <w:pPr>
        <w:pStyle w:val="Subsection"/>
        <w:spacing w:before="120"/>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rPr>
          <w:snapToGrid w:val="0"/>
        </w:rPr>
      </w:pPr>
      <w:r>
        <w:rPr>
          <w:snapToGrid w:val="0"/>
        </w:rPr>
        <w:tab/>
        <w:t>(a)</w:t>
      </w:r>
      <w:r>
        <w:rPr>
          <w:snapToGrid w:val="0"/>
        </w:rPr>
        <w:tab/>
        <w:t>specified in that contract; or</w:t>
      </w:r>
    </w:p>
    <w:p>
      <w:pPr>
        <w:pStyle w:val="Indenta"/>
        <w:rPr>
          <w:snapToGrid w:val="0"/>
        </w:rPr>
      </w:pPr>
      <w:r>
        <w:rPr>
          <w:snapToGrid w:val="0"/>
        </w:rPr>
        <w:tab/>
        <w:t>(b)</w:t>
      </w:r>
      <w:r>
        <w:rPr>
          <w:snapToGrid w:val="0"/>
        </w:rPr>
        <w:tab/>
        <w:t>from time to time specified by the Minister or that other political office holder, as the case requires.</w:t>
      </w:r>
    </w:p>
    <w:p>
      <w:pPr>
        <w:pStyle w:val="Heading5"/>
        <w:keepNext w:val="0"/>
        <w:keepLines w:val="0"/>
        <w:spacing w:before="180"/>
        <w:rPr>
          <w:snapToGrid w:val="0"/>
        </w:rPr>
      </w:pPr>
      <w:bookmarkStart w:id="202" w:name="_Toc20390109"/>
      <w:r>
        <w:rPr>
          <w:rStyle w:val="CharSectno"/>
        </w:rPr>
        <w:t>70</w:t>
      </w:r>
      <w:r>
        <w:rPr>
          <w:snapToGrid w:val="0"/>
        </w:rPr>
        <w:t>.</w:t>
      </w:r>
      <w:r>
        <w:rPr>
          <w:snapToGrid w:val="0"/>
        </w:rPr>
        <w:tab/>
        <w:t>Terms and conditions of employment</w:t>
      </w:r>
      <w:bookmarkEnd w:id="202"/>
      <w:r>
        <w:rPr>
          <w:snapToGrid w:val="0"/>
        </w:rPr>
        <w:t xml:space="preserve"> </w:t>
      </w:r>
    </w:p>
    <w:p>
      <w:pPr>
        <w:pStyle w:val="Subsection"/>
        <w:spacing w:before="120"/>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keepNext/>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w:t>
      </w:r>
      <w:r>
        <w:t xml:space="preserve"> administration of this Part.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spacing w:before="180"/>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State.</w:t>
      </w:r>
    </w:p>
    <w:p>
      <w:pPr>
        <w:pStyle w:val="Footnotesection"/>
      </w:pPr>
      <w:r>
        <w:tab/>
        <w:t>[Section 70 amended: No. 39 of 2010 s. 53 and 70.]</w:t>
      </w:r>
    </w:p>
    <w:p>
      <w:pPr>
        <w:pStyle w:val="Heading5"/>
        <w:spacing w:before="240"/>
        <w:rPr>
          <w:snapToGrid w:val="0"/>
        </w:rPr>
      </w:pPr>
      <w:bookmarkStart w:id="203" w:name="_Toc20390110"/>
      <w:r>
        <w:rPr>
          <w:rStyle w:val="CharSectno"/>
        </w:rPr>
        <w:t>71</w:t>
      </w:r>
      <w:r>
        <w:rPr>
          <w:snapToGrid w:val="0"/>
        </w:rPr>
        <w:t>.</w:t>
      </w:r>
      <w:r>
        <w:rPr>
          <w:snapToGrid w:val="0"/>
        </w:rPr>
        <w:tab/>
        <w:t>Varying contract of employment</w:t>
      </w:r>
      <w:bookmarkEnd w:id="203"/>
      <w:r>
        <w:rPr>
          <w:snapToGrid w:val="0"/>
        </w:rPr>
        <w:t xml:space="preserve"> </w:t>
      </w:r>
    </w:p>
    <w:p>
      <w:pPr>
        <w:pStyle w:val="Subsection"/>
        <w:spacing w:before="180"/>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spacing w:before="240"/>
        <w:rPr>
          <w:snapToGrid w:val="0"/>
        </w:rPr>
      </w:pPr>
      <w:bookmarkStart w:id="204" w:name="_Toc20390111"/>
      <w:r>
        <w:rPr>
          <w:rStyle w:val="CharSectno"/>
        </w:rPr>
        <w:t>72</w:t>
      </w:r>
      <w:r>
        <w:rPr>
          <w:snapToGrid w:val="0"/>
        </w:rPr>
        <w:t>.</w:t>
      </w:r>
      <w:r>
        <w:rPr>
          <w:snapToGrid w:val="0"/>
        </w:rPr>
        <w:tab/>
        <w:t>Termination of employment</w:t>
      </w:r>
      <w:bookmarkEnd w:id="204"/>
      <w:r>
        <w:rPr>
          <w:snapToGrid w:val="0"/>
        </w:rPr>
        <w:t xml:space="preserve"> </w:t>
      </w:r>
    </w:p>
    <w:p>
      <w:pPr>
        <w:pStyle w:val="Subsection"/>
        <w:spacing w:before="180"/>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if the political office holder for whose assistance the ministerial officer was employed ceases to hold office as such; or</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rPr>
      </w:pPr>
      <w:r>
        <w:rPr>
          <w:snapToGrid w:val="0"/>
        </w:rPr>
        <w:tab/>
        <w:t>(c)</w:t>
      </w:r>
      <w:r>
        <w:rPr>
          <w:snapToGrid w:val="0"/>
        </w:rPr>
        <w:tab/>
        <w:t>on the day specified in the relevant contract of employment as the day on which that employment expires,</w:t>
      </w:r>
    </w:p>
    <w:p>
      <w:pPr>
        <w:pStyle w:val="Subsection"/>
        <w:rPr>
          <w:snapToGrid w:val="0"/>
        </w:rPr>
      </w:pPr>
      <w:r>
        <w:rPr>
          <w:snapToGrid w:val="0"/>
        </w:rPr>
        <w:tab/>
      </w:r>
      <w:r>
        <w:rPr>
          <w:snapToGrid w:val="0"/>
        </w:rPr>
        <w:tab/>
        <w:t>whichever is soonest.</w:t>
      </w:r>
    </w:p>
    <w:p>
      <w:pPr>
        <w:pStyle w:val="Subsection"/>
        <w:keepNext/>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spacing w:before="160"/>
        <w:rPr>
          <w:snapToGrid w:val="0"/>
        </w:rPr>
      </w:pPr>
      <w:r>
        <w:rPr>
          <w:snapToGrid w:val="0"/>
        </w:rPr>
        <w:tab/>
        <w:t>(a)</w:t>
      </w:r>
      <w:r>
        <w:rPr>
          <w:snapToGrid w:val="0"/>
        </w:rPr>
        <w:tab/>
        <w:t>not to have been so terminated; and</w:t>
      </w:r>
    </w:p>
    <w:p>
      <w:pPr>
        <w:pStyle w:val="Indenta"/>
        <w:spacing w:before="160"/>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ind w:left="890" w:hanging="890"/>
      </w:pPr>
      <w:r>
        <w:tab/>
        <w:t>[Section 72 amended: No. 36 of 2000 s. 24.]</w:t>
      </w:r>
    </w:p>
    <w:p>
      <w:pPr>
        <w:pStyle w:val="Heading5"/>
        <w:keepNext w:val="0"/>
        <w:keepLines w:val="0"/>
        <w:spacing w:before="180"/>
        <w:rPr>
          <w:snapToGrid w:val="0"/>
        </w:rPr>
      </w:pPr>
      <w:bookmarkStart w:id="205" w:name="_Toc20390112"/>
      <w:r>
        <w:rPr>
          <w:rStyle w:val="CharSectno"/>
        </w:rPr>
        <w:t>73</w:t>
      </w:r>
      <w:r>
        <w:rPr>
          <w:snapToGrid w:val="0"/>
        </w:rPr>
        <w:t>.</w:t>
      </w:r>
      <w:r>
        <w:rPr>
          <w:snapToGrid w:val="0"/>
        </w:rPr>
        <w:tab/>
        <w:t>Restriction on subsequent employment in departments etc.</w:t>
      </w:r>
      <w:bookmarkEnd w:id="205"/>
    </w:p>
    <w:p>
      <w:pPr>
        <w:pStyle w:val="Subsection"/>
        <w:spacing w:before="120"/>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206" w:name="_Toc20390113"/>
      <w:r>
        <w:rPr>
          <w:rStyle w:val="CharSectno"/>
        </w:rPr>
        <w:t>74</w:t>
      </w:r>
      <w:r>
        <w:rPr>
          <w:snapToGrid w:val="0"/>
        </w:rPr>
        <w:t>.</w:t>
      </w:r>
      <w:r>
        <w:rPr>
          <w:snapToGrid w:val="0"/>
        </w:rPr>
        <w:tab/>
        <w:t>Relationship between ministerial officers etc. and employees of departments etc.</w:t>
      </w:r>
      <w:bookmarkEnd w:id="206"/>
    </w:p>
    <w:p>
      <w:pPr>
        <w:pStyle w:val="Subsection"/>
        <w:rPr>
          <w:snapToGrid w:val="0"/>
        </w:rPr>
      </w:pPr>
      <w:r>
        <w:rPr>
          <w:snapToGrid w:val="0"/>
        </w:rPr>
        <w:tab/>
        <w:t>(1)</w:t>
      </w:r>
      <w:r>
        <w:rPr>
          <w:snapToGrid w:val="0"/>
        </w:rPr>
        <w:tab/>
        <w:t>A Minister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after this section commences, as soon as practicable after becoming a Minister,</w:t>
      </w:r>
    </w:p>
    <w:p>
      <w:pPr>
        <w:pStyle w:val="Subsection"/>
        <w:rPr>
          <w:snapToGrid w:val="0"/>
        </w:rPr>
      </w:pPr>
      <w:r>
        <w:rPr>
          <w:snapToGrid w:val="0"/>
        </w:rPr>
        <w:tab/>
      </w:r>
      <w:r>
        <w:rPr>
          <w:snapToGrid w:val="0"/>
        </w:rPr>
        <w:tab/>
        <w:t>make arrangements in writing in relation to each department or organisation for which the Minister is responsible setting out the manner in which, and the circumstances in which, dealings are to be had, and communications are to be made, between ministerial officers assisting the Minister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rPr>
          <w:snapToGrid w:val="0"/>
        </w:rPr>
      </w:pPr>
      <w:r>
        <w:rPr>
          <w:snapToGrid w:val="0"/>
        </w:rPr>
        <w:tab/>
        <w:t>(3)</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keepNext/>
      </w:pPr>
      <w:r>
        <w:tab/>
        <w:t>(b)</w:t>
      </w:r>
      <w:r>
        <w:tab/>
        <w:t>person engaged under a contract for services under section 100(1) to assist a political office holder.</w:t>
      </w:r>
    </w:p>
    <w:p>
      <w:pPr>
        <w:pStyle w:val="Footnotesection"/>
        <w:ind w:left="890" w:hanging="890"/>
      </w:pPr>
      <w:r>
        <w:tab/>
        <w:t>[Section 74 amended: No. 39 of 2010 s. 68.]</w:t>
      </w:r>
    </w:p>
    <w:p>
      <w:pPr>
        <w:pStyle w:val="Heading3"/>
        <w:keepNext w:val="0"/>
        <w:pageBreakBefore/>
        <w:spacing w:before="0"/>
        <w:rPr>
          <w:snapToGrid w:val="0"/>
        </w:rPr>
      </w:pPr>
      <w:bookmarkStart w:id="207" w:name="_Toc500422955"/>
      <w:bookmarkStart w:id="208" w:name="_Toc503259339"/>
      <w:bookmarkStart w:id="209" w:name="_Toc503265275"/>
      <w:bookmarkStart w:id="210" w:name="_Toc503880742"/>
      <w:bookmarkStart w:id="211" w:name="_Toc515436268"/>
      <w:bookmarkStart w:id="212" w:name="_Toc515437097"/>
      <w:bookmarkStart w:id="213" w:name="_Toc20390114"/>
      <w:r>
        <w:rPr>
          <w:rStyle w:val="CharDivNo"/>
        </w:rPr>
        <w:t>Division 2</w:t>
      </w:r>
      <w:r>
        <w:rPr>
          <w:snapToGrid w:val="0"/>
        </w:rPr>
        <w:t> — </w:t>
      </w:r>
      <w:r>
        <w:rPr>
          <w:rStyle w:val="CharDivText"/>
        </w:rPr>
        <w:t>Assistance by permanent officers and seconded employees</w:t>
      </w:r>
      <w:bookmarkEnd w:id="207"/>
      <w:bookmarkEnd w:id="208"/>
      <w:bookmarkEnd w:id="209"/>
      <w:bookmarkEnd w:id="210"/>
      <w:bookmarkEnd w:id="211"/>
      <w:bookmarkEnd w:id="212"/>
      <w:bookmarkEnd w:id="213"/>
      <w:r>
        <w:rPr>
          <w:rStyle w:val="CharDivText"/>
        </w:rPr>
        <w:t xml:space="preserve"> </w:t>
      </w:r>
    </w:p>
    <w:p>
      <w:pPr>
        <w:pStyle w:val="Heading5"/>
        <w:keepLines w:val="0"/>
        <w:spacing w:before="240"/>
        <w:rPr>
          <w:snapToGrid w:val="0"/>
        </w:rPr>
      </w:pPr>
      <w:bookmarkStart w:id="214" w:name="_Toc20390115"/>
      <w:r>
        <w:rPr>
          <w:rStyle w:val="CharSectno"/>
        </w:rPr>
        <w:t>75</w:t>
      </w:r>
      <w:r>
        <w:rPr>
          <w:snapToGrid w:val="0"/>
        </w:rPr>
        <w:t>.</w:t>
      </w:r>
      <w:r>
        <w:rPr>
          <w:snapToGrid w:val="0"/>
        </w:rPr>
        <w:tab/>
        <w:t>Special offices to assist Ministers etc.</w:t>
      </w:r>
      <w:bookmarkEnd w:id="214"/>
    </w:p>
    <w:p>
      <w:pPr>
        <w:pStyle w:val="Subsection"/>
        <w:rPr>
          <w:snapToGrid w:val="0"/>
        </w:rPr>
      </w:pPr>
      <w:r>
        <w:rPr>
          <w:snapToGrid w:val="0"/>
        </w:rPr>
        <w:tab/>
        <w:t>(1)</w:t>
      </w:r>
      <w:r>
        <w:rPr>
          <w:snapToGrid w:val="0"/>
        </w:rPr>
        <w:tab/>
        <w:t xml:space="preserve">The chief executive officer of the department principally </w:t>
      </w:r>
      <w:r>
        <w:t>assisting in the administration of this Part</w:t>
      </w:r>
      <w:r>
        <w:rPr>
          <w:snapToGrid w:val="0"/>
        </w:rPr>
        <w:t xml:space="preserve"> may, for the purpose of assisting a political office holder, create under section 36 one or more special offices within that department.</w:t>
      </w:r>
    </w:p>
    <w:p>
      <w:pPr>
        <w:pStyle w:val="Subsection"/>
        <w:spacing w:before="120"/>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w:t>
      </w:r>
      <w:r>
        <w:t xml:space="preserve"> office; or</w:t>
      </w:r>
    </w:p>
    <w:p>
      <w:pPr>
        <w:pStyle w:val="Indenta"/>
      </w:pPr>
      <w:r>
        <w:tab/>
        <w:t>(c)</w:t>
      </w:r>
      <w:r>
        <w:tab/>
        <w:t>an employee in the department principally assisting in the administration of this Part as if the employee were seconded to occupy that office.</w:t>
      </w:r>
    </w:p>
    <w:p>
      <w:pPr>
        <w:pStyle w:val="Subsection"/>
        <w:keepNext/>
        <w:spacing w:before="120"/>
        <w:rPr>
          <w:snapToGrid w:val="0"/>
        </w:rPr>
      </w:pPr>
      <w:r>
        <w:rPr>
          <w:snapToGrid w:val="0"/>
        </w:rPr>
        <w:tab/>
        <w:t>(3)</w:t>
      </w:r>
      <w:r>
        <w:rPr>
          <w:snapToGrid w:val="0"/>
        </w:rPr>
        <w:tab/>
        <w:t xml:space="preserve">An employee referred to in </w:t>
      </w:r>
      <w:r>
        <w:t>subsection (2)(b) or (c)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spacing w:before="120"/>
        <w:rPr>
          <w:snapToGrid w:val="0"/>
        </w:rPr>
      </w:pPr>
      <w:r>
        <w:rPr>
          <w:snapToGrid w:val="0"/>
        </w:rPr>
        <w:tab/>
      </w:r>
      <w:r>
        <w:rPr>
          <w:snapToGrid w:val="0"/>
        </w:rPr>
        <w:tab/>
        <w:t>continuously for at least 2 years is entitled to have his or her level of classification reviewed</w:t>
      </w:r>
      <w:r>
        <w:t xml:space="preserve"> in accordance with the Commissioner’s instructions by a person or persons appointed by the chief executive officer of the department principally assisting in the administration of this Part.</w:t>
      </w:r>
    </w:p>
    <w:p>
      <w:pPr>
        <w:pStyle w:val="Footnotesection"/>
      </w:pPr>
      <w:r>
        <w:tab/>
        <w:t>[Section 75 amended: No. 39 of 2010 s. 54.]</w:t>
      </w:r>
    </w:p>
    <w:p>
      <w:pPr>
        <w:pStyle w:val="Heading2"/>
      </w:pPr>
      <w:bookmarkStart w:id="215" w:name="_Toc500422957"/>
      <w:bookmarkStart w:id="216" w:name="_Toc503259341"/>
      <w:bookmarkStart w:id="217" w:name="_Toc503265277"/>
      <w:bookmarkStart w:id="218" w:name="_Toc503880744"/>
      <w:bookmarkStart w:id="219" w:name="_Toc515436270"/>
      <w:bookmarkStart w:id="220" w:name="_Toc515437099"/>
      <w:bookmarkStart w:id="221" w:name="_Toc20390116"/>
      <w:r>
        <w:rPr>
          <w:rStyle w:val="CharPartNo"/>
        </w:rPr>
        <w:t>Part 5</w:t>
      </w:r>
      <w:r>
        <w:t> — </w:t>
      </w:r>
      <w:r>
        <w:rPr>
          <w:rStyle w:val="CharPartText"/>
        </w:rPr>
        <w:t>Substandard performance and disciplinary matters</w:t>
      </w:r>
      <w:bookmarkEnd w:id="215"/>
      <w:bookmarkEnd w:id="216"/>
      <w:bookmarkEnd w:id="217"/>
      <w:bookmarkEnd w:id="218"/>
      <w:bookmarkEnd w:id="219"/>
      <w:bookmarkEnd w:id="220"/>
      <w:bookmarkEnd w:id="221"/>
      <w:r>
        <w:rPr>
          <w:rStyle w:val="CharPartText"/>
        </w:rPr>
        <w:t xml:space="preserve"> </w:t>
      </w:r>
    </w:p>
    <w:p>
      <w:pPr>
        <w:pStyle w:val="Heading3"/>
        <w:spacing w:before="200"/>
        <w:rPr>
          <w:snapToGrid w:val="0"/>
        </w:rPr>
      </w:pPr>
      <w:bookmarkStart w:id="222" w:name="_Toc500422958"/>
      <w:bookmarkStart w:id="223" w:name="_Toc503259342"/>
      <w:bookmarkStart w:id="224" w:name="_Toc503265278"/>
      <w:bookmarkStart w:id="225" w:name="_Toc503880745"/>
      <w:bookmarkStart w:id="226" w:name="_Toc515436271"/>
      <w:bookmarkStart w:id="227" w:name="_Toc515437100"/>
      <w:bookmarkStart w:id="228" w:name="_Toc20390117"/>
      <w:r>
        <w:rPr>
          <w:rStyle w:val="CharDivNo"/>
        </w:rPr>
        <w:t>Division 1</w:t>
      </w:r>
      <w:r>
        <w:rPr>
          <w:snapToGrid w:val="0"/>
        </w:rPr>
        <w:t> — </w:t>
      </w:r>
      <w:r>
        <w:rPr>
          <w:rStyle w:val="CharDivText"/>
        </w:rPr>
        <w:t>General</w:t>
      </w:r>
      <w:bookmarkEnd w:id="222"/>
      <w:bookmarkEnd w:id="223"/>
      <w:bookmarkEnd w:id="224"/>
      <w:bookmarkEnd w:id="225"/>
      <w:bookmarkEnd w:id="226"/>
      <w:bookmarkEnd w:id="227"/>
      <w:bookmarkEnd w:id="228"/>
      <w:r>
        <w:rPr>
          <w:rStyle w:val="CharDivText"/>
        </w:rPr>
        <w:t xml:space="preserve"> </w:t>
      </w:r>
    </w:p>
    <w:p>
      <w:pPr>
        <w:pStyle w:val="Heading5"/>
        <w:spacing w:before="180"/>
        <w:rPr>
          <w:snapToGrid w:val="0"/>
        </w:rPr>
      </w:pPr>
      <w:bookmarkStart w:id="229" w:name="_Toc20390118"/>
      <w:r>
        <w:rPr>
          <w:rStyle w:val="CharSectno"/>
        </w:rPr>
        <w:t>76</w:t>
      </w:r>
      <w:r>
        <w:rPr>
          <w:snapToGrid w:val="0"/>
        </w:rPr>
        <w:t>.</w:t>
      </w:r>
      <w:r>
        <w:rPr>
          <w:snapToGrid w:val="0"/>
        </w:rPr>
        <w:tab/>
        <w:t>Application and effect of Part 5</w:t>
      </w:r>
      <w:bookmarkEnd w:id="229"/>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(3) and (4), </w:t>
      </w:r>
      <w:r>
        <w:rPr>
          <w:snapToGrid w:val="0"/>
        </w:rPr>
        <w:t>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spacing w:before="120"/>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spacing w:before="120"/>
        <w:rPr>
          <w:snapToGrid w:val="0"/>
        </w:rPr>
      </w:pPr>
      <w:r>
        <w:rPr>
          <w:snapToGrid w:val="0"/>
        </w:rPr>
        <w:tab/>
      </w:r>
      <w:r>
        <w:rPr>
          <w:snapToGrid w:val="0"/>
        </w:rPr>
        <w:tab/>
        <w:t>prescribed under subsection (1)(b), this Part prevails.</w:t>
      </w:r>
    </w:p>
    <w:p>
      <w:pPr>
        <w:pStyle w:val="Subsection"/>
        <w:spacing w:before="120"/>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Subsection"/>
      </w:pPr>
      <w:r>
        <w:tab/>
        <w:t>(4)</w:t>
      </w:r>
      <w:r>
        <w:tab/>
        <w:t xml:space="preserve">A former employee who — </w:t>
      </w:r>
    </w:p>
    <w:p>
      <w:pPr>
        <w:pStyle w:val="Indenta"/>
      </w:pPr>
      <w:r>
        <w:tab/>
        <w:t>(a)</w:t>
      </w:r>
      <w:r>
        <w:tab/>
        <w:t>may have committed a breach of discipline; and</w:t>
      </w:r>
    </w:p>
    <w:p>
      <w:pPr>
        <w:pStyle w:val="Indenta"/>
      </w:pPr>
      <w:r>
        <w:tab/>
        <w:t>(b)</w:t>
      </w:r>
      <w:r>
        <w:tab/>
        <w:t>was an employee to whom this Part applied at the time of the suspected breach,</w:t>
      </w:r>
    </w:p>
    <w:p>
      <w:pPr>
        <w:pStyle w:val="Subsection"/>
        <w:spacing w:before="120"/>
      </w:pPr>
      <w:r>
        <w:tab/>
      </w:r>
      <w:r>
        <w:tab/>
        <w:t>is, in circumstances specified in the Commissioner’s instructions, to be taken to be an employee for the purposes of this Part even though the person has ceased to be employed in the Public Sector by or under an employing authority.</w:t>
      </w:r>
    </w:p>
    <w:p>
      <w:pPr>
        <w:pStyle w:val="Subsection"/>
      </w:pPr>
      <w:r>
        <w:tab/>
        <w:t>(5)</w:t>
      </w:r>
      <w:r>
        <w:tab/>
        <w:t>The Commissioner’s instructions may specify the disciplinary action that may be taken under this Act in respect of a former employee who is found to have committed a breach of discipline, and the provisions of this Part apply to and in relation to the disciplinary action as if the former employee were an employee.</w:t>
      </w:r>
    </w:p>
    <w:p>
      <w:pPr>
        <w:pStyle w:val="Subsection"/>
      </w:pPr>
      <w:r>
        <w:tab/>
        <w:t>(6)</w:t>
      </w:r>
      <w:r>
        <w:tab/>
        <w:t>The taking of disciplinary action with respect to a former employee does not affect the former employee’s retirement or resignation or the benefits, rights and liabilities arising from the retirement or resignation.</w:t>
      </w:r>
    </w:p>
    <w:p>
      <w:pPr>
        <w:pStyle w:val="Subsection"/>
      </w:pPr>
      <w:r>
        <w:tab/>
        <w:t>(7)</w:t>
      </w:r>
      <w:r>
        <w:tab/>
        <w:t>For the purposes of this Part, in circumstances specified in the Commissioner’s instructions, a former employing authority of an employee is to be taken to be the employing authority of the employee.</w:t>
      </w:r>
    </w:p>
    <w:p>
      <w:pPr>
        <w:pStyle w:val="Subsection"/>
      </w:pPr>
      <w:r>
        <w:tab/>
        <w:t>(8)</w:t>
      </w:r>
      <w:r>
        <w:tab/>
        <w:t>Nothing in this Part limits the power of an employing authority under other provisions of this Act to take improvement action in relation to an employee in circumstances in which the employing authority considers it appropriate to do so.</w:t>
      </w:r>
    </w:p>
    <w:p>
      <w:pPr>
        <w:pStyle w:val="Footnotesection"/>
      </w:pPr>
      <w:r>
        <w:tab/>
        <w:t>[Section 76 amended: No. 39 of 2010 s. 94.]</w:t>
      </w:r>
    </w:p>
    <w:p>
      <w:pPr>
        <w:pStyle w:val="Heading5"/>
        <w:keepNext w:val="0"/>
        <w:keepLines w:val="0"/>
        <w:spacing w:before="240"/>
        <w:rPr>
          <w:snapToGrid w:val="0"/>
        </w:rPr>
      </w:pPr>
      <w:bookmarkStart w:id="230" w:name="_Toc20390119"/>
      <w:r>
        <w:rPr>
          <w:rStyle w:val="CharSectno"/>
        </w:rPr>
        <w:t>77</w:t>
      </w:r>
      <w:r>
        <w:rPr>
          <w:snapToGrid w:val="0"/>
        </w:rPr>
        <w:t>.</w:t>
      </w:r>
      <w:r>
        <w:rPr>
          <w:snapToGrid w:val="0"/>
        </w:rPr>
        <w:tab/>
        <w:t>Employees appointed by Governor, exercise of powers as to</w:t>
      </w:r>
      <w:bookmarkEnd w:id="230"/>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w:t>
      </w:r>
      <w:r>
        <w:t xml:space="preserve"> Commissioner</w:t>
      </w:r>
      <w:r>
        <w:rPr>
          <w:snapToGrid w:val="0"/>
        </w:rPr>
        <w:t>;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responsible for the department or organisation.</w:t>
      </w:r>
    </w:p>
    <w:p>
      <w:pPr>
        <w:pStyle w:val="Footnotesection"/>
      </w:pPr>
      <w:r>
        <w:tab/>
        <w:t>[Section 77 amended: No. 39 of 2010 s. 67 and 68.]</w:t>
      </w:r>
    </w:p>
    <w:p>
      <w:pPr>
        <w:pStyle w:val="Heading5"/>
        <w:rPr>
          <w:snapToGrid w:val="0"/>
        </w:rPr>
      </w:pPr>
      <w:bookmarkStart w:id="231" w:name="_Toc20390120"/>
      <w:r>
        <w:rPr>
          <w:rStyle w:val="CharSectno"/>
        </w:rPr>
        <w:t>78</w:t>
      </w:r>
      <w:r>
        <w:rPr>
          <w:snapToGrid w:val="0"/>
        </w:rPr>
        <w:t>.</w:t>
      </w:r>
      <w:r>
        <w:rPr>
          <w:snapToGrid w:val="0"/>
        </w:rPr>
        <w:tab/>
        <w:t>Appeals etc. against some decisions under s. 79, 82A, 82, 87, 88 or 92</w:t>
      </w:r>
      <w:bookmarkEnd w:id="231"/>
    </w:p>
    <w:p>
      <w:pPr>
        <w:pStyle w:val="Subsection"/>
        <w:keepNext/>
        <w:rPr>
          <w:snapToGrid w:val="0"/>
        </w:rPr>
      </w:pPr>
      <w:r>
        <w:rPr>
          <w:snapToGrid w:val="0"/>
        </w:rPr>
        <w:tab/>
        <w:t>(1)</w:t>
      </w:r>
      <w:r>
        <w:rPr>
          <w:snapToGrid w:val="0"/>
        </w:rPr>
        <w:tab/>
        <w:t xml:space="preserve">Subject to subsection (3) and to </w:t>
      </w:r>
      <w:r>
        <w:t>section 52, an employee or former employee who —</w:t>
      </w:r>
    </w:p>
    <w:p>
      <w:pPr>
        <w:pStyle w:val="Indenta"/>
        <w:rPr>
          <w:snapToGrid w:val="0"/>
        </w:rPr>
      </w:pPr>
      <w:r>
        <w:rPr>
          <w:snapToGrid w:val="0"/>
        </w:rPr>
        <w:tab/>
        <w:t>(a)</w:t>
      </w:r>
      <w:r>
        <w:rPr>
          <w:snapToGrid w:val="0"/>
        </w:rPr>
        <w:tab/>
      </w:r>
      <w:r>
        <w:t xml:space="preserve">is, or was, </w:t>
      </w:r>
      <w:r>
        <w:rPr>
          <w:snapToGrid w:val="0"/>
        </w:rPr>
        <w:t xml:space="preserve">a Government officer within the meaning of section 80C of the </w:t>
      </w:r>
      <w:r>
        <w:rPr>
          <w:i/>
          <w:snapToGrid w:val="0"/>
        </w:rPr>
        <w:t>Industrial Relations Act 1979</w:t>
      </w:r>
      <w:r>
        <w:rPr>
          <w:snapToGrid w:val="0"/>
        </w:rPr>
        <w:t>; and</w:t>
      </w:r>
    </w:p>
    <w:p>
      <w:pPr>
        <w:pStyle w:val="Indenta"/>
      </w:pPr>
      <w:r>
        <w:tab/>
        <w:t>(b)</w:t>
      </w:r>
      <w:r>
        <w:tab/>
        <w:t xml:space="preserve">is aggrieved by — </w:t>
      </w:r>
    </w:p>
    <w:p>
      <w:pPr>
        <w:pStyle w:val="Indenti"/>
      </w:pPr>
      <w:r>
        <w:tab/>
        <w:t>(i)</w:t>
      </w:r>
      <w:r>
        <w:tab/>
        <w:t>a decision made in respect of the Government officer under section 79(3)(b) or (c) or (4); or</w:t>
      </w:r>
    </w:p>
    <w:p>
      <w:pPr>
        <w:pStyle w:val="Indenti"/>
      </w:pPr>
      <w:r>
        <w:tab/>
        <w:t>(ii)</w:t>
      </w:r>
      <w:r>
        <w:tab/>
        <w:t>a finding made in respect of the Government officer in the exercise of a power under section 87(3)(a)(ii); or</w:t>
      </w:r>
    </w:p>
    <w:p>
      <w:pPr>
        <w:pStyle w:val="Indenti"/>
      </w:pPr>
      <w:r>
        <w:tab/>
        <w:t>(iii)</w:t>
      </w:r>
      <w:r>
        <w:tab/>
        <w:t>a decision made under section 82 to suspend the Government officer on partial pay or without pay; or</w:t>
      </w:r>
    </w:p>
    <w:p>
      <w:pPr>
        <w:pStyle w:val="Indenti"/>
      </w:pPr>
      <w:r>
        <w:tab/>
        <w:t>(iv)</w:t>
      </w:r>
      <w:r>
        <w:tab/>
        <w:t>a decision to take disciplinary action made in respect of the Government officer under section 82A(3)(b), 88(b) or 92(1),</w:t>
      </w:r>
    </w:p>
    <w:p>
      <w:pPr>
        <w:pStyle w:val="Subsection"/>
        <w:rPr>
          <w:snapToGrid w:val="0"/>
        </w:rPr>
      </w:pPr>
      <w:r>
        <w:rPr>
          <w:snapToGrid w:val="0"/>
        </w:rPr>
        <w:tab/>
      </w:r>
      <w:r>
        <w:rPr>
          <w:snapToGrid w:val="0"/>
        </w:rPr>
        <w:tab/>
        <w:t xml:space="preserve">may appeal against </w:t>
      </w:r>
      <w:r>
        <w:t>that decision or finding</w:t>
      </w:r>
      <w:r>
        <w:rPr>
          <w:snapToGrid w:val="0"/>
        </w:rPr>
        <w:t xml:space="preserve"> to the Industrial Commission constituted by a Public Service Appeal Board appointed under Division 2 of Part IIA of the </w:t>
      </w:r>
      <w:r>
        <w:rPr>
          <w:i/>
          <w:snapToGrid w:val="0"/>
        </w:rPr>
        <w:t>Industrial Relations Act 1979</w:t>
      </w:r>
      <w:r>
        <w:rPr>
          <w:snapToGrid w:val="0"/>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xml:space="preserve">, but subject to </w:t>
      </w:r>
      <w:r>
        <w:t>subsection (3), an employee or former employee who —</w:t>
      </w:r>
    </w:p>
    <w:p>
      <w:pPr>
        <w:pStyle w:val="Indenta"/>
        <w:rPr>
          <w:snapToGrid w:val="0"/>
        </w:rPr>
      </w:pPr>
      <w:r>
        <w:rPr>
          <w:snapToGrid w:val="0"/>
        </w:rPr>
        <w:tab/>
        <w:t>(a)</w:t>
      </w:r>
      <w:r>
        <w:rPr>
          <w:snapToGrid w:val="0"/>
        </w:rPr>
        <w:tab/>
        <w:t>is not a Government officer within the meaning of section 80C of that Act; and</w:t>
      </w:r>
    </w:p>
    <w:p>
      <w:pPr>
        <w:pStyle w:val="Indenta"/>
      </w:pPr>
      <w:r>
        <w:tab/>
        <w:t>(b)</w:t>
      </w:r>
      <w:r>
        <w:tab/>
        <w:t xml:space="preserve">is aggrieved by — </w:t>
      </w:r>
    </w:p>
    <w:p>
      <w:pPr>
        <w:pStyle w:val="Indenti"/>
      </w:pPr>
      <w:r>
        <w:tab/>
        <w:t>(i)</w:t>
      </w:r>
      <w:r>
        <w:tab/>
        <w:t>a decision made in respect of the employee under section 79(3)(b) or (c) or (4); or</w:t>
      </w:r>
    </w:p>
    <w:p>
      <w:pPr>
        <w:pStyle w:val="Indenti"/>
      </w:pPr>
      <w:r>
        <w:tab/>
        <w:t>(ii)</w:t>
      </w:r>
      <w:r>
        <w:tab/>
        <w:t>a finding made in the exercise of a power under section 87(3)(a)(ii); or</w:t>
      </w:r>
    </w:p>
    <w:p>
      <w:pPr>
        <w:pStyle w:val="Indenti"/>
      </w:pPr>
      <w:r>
        <w:tab/>
        <w:t>(iii)</w:t>
      </w:r>
      <w:r>
        <w:tab/>
        <w:t>a decision made under section 82 to suspend the employee on partial pay or without pay; or</w:t>
      </w:r>
    </w:p>
    <w:p>
      <w:pPr>
        <w:pStyle w:val="Indenti"/>
      </w:pPr>
      <w:r>
        <w:tab/>
        <w:t>(iv)</w:t>
      </w:r>
      <w:r>
        <w:tab/>
        <w:t>a decision to take disciplinary action made under section 82A(3)(b), 88(b) or 92(1),</w:t>
      </w:r>
    </w:p>
    <w:p>
      <w:pPr>
        <w:pStyle w:val="Subsection"/>
        <w:rPr>
          <w:snapToGrid w:val="0"/>
        </w:rPr>
      </w:pPr>
      <w:r>
        <w:rPr>
          <w:snapToGrid w:val="0"/>
        </w:rPr>
        <w:tab/>
      </w:r>
      <w:r>
        <w:rPr>
          <w:snapToGrid w:val="0"/>
        </w:rPr>
        <w:tab/>
        <w:t xml:space="preserve">may refer </w:t>
      </w:r>
      <w:r>
        <w:t>the decision or finding</w:t>
      </w:r>
      <w:r>
        <w:rPr>
          <w:snapToGrid w:val="0"/>
        </w:rPr>
        <w:t xml:space="preserve"> mentioned in paragraph (b) to the Industrial Commission as if </w:t>
      </w:r>
      <w:r>
        <w:t>that decision or finding</w:t>
      </w:r>
      <w:r>
        <w:rPr>
          <w:snapToGrid w:val="0"/>
        </w:rPr>
        <w:t xml:space="preserve"> were an industrial matter mentioned in section 29(b) of that Act, and that Act applies to and in relation to that decision accordingly.</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w:t>
      </w:r>
      <w:r>
        <w:t>52, an employee or former employee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pPr>
      <w:r>
        <w:tab/>
        <w:t>(b)</w:t>
      </w:r>
      <w:r>
        <w:tab/>
        <w:t xml:space="preserve">who is aggrieved by — </w:t>
      </w:r>
    </w:p>
    <w:p>
      <w:pPr>
        <w:pStyle w:val="Indenti"/>
      </w:pPr>
      <w:r>
        <w:tab/>
        <w:t>(i)</w:t>
      </w:r>
      <w:r>
        <w:tab/>
        <w:t>a decision made under section 82 to suspend the employee on partial pay or without pay; or</w:t>
      </w:r>
    </w:p>
    <w:p>
      <w:pPr>
        <w:pStyle w:val="Indenti"/>
        <w:keepNext/>
        <w:keepLines/>
      </w:pPr>
      <w:r>
        <w:tab/>
        <w:t>(ii)</w:t>
      </w:r>
      <w:r>
        <w:tab/>
        <w:t>a finding made in respect of the person referred to in section 82A(3)(a), 87(3)(a)(i) or 88(a),</w:t>
      </w:r>
    </w:p>
    <w:p>
      <w:pPr>
        <w:pStyle w:val="Subsection"/>
        <w:spacing w:before="140"/>
        <w:rPr>
          <w:snapToGrid w:val="0"/>
        </w:rPr>
      </w:pPr>
      <w:r>
        <w:rPr>
          <w:snapToGrid w:val="0"/>
        </w:rPr>
        <w:tab/>
      </w:r>
      <w:r>
        <w:rPr>
          <w:snapToGrid w:val="0"/>
        </w:rPr>
        <w:tab/>
        <w:t xml:space="preserve">may refer </w:t>
      </w:r>
      <w:r>
        <w:t>the decision or finding</w:t>
      </w:r>
      <w:r>
        <w:rPr>
          <w:snapToGrid w:val="0"/>
        </w:rPr>
        <w:t xml:space="preserve"> referred to in paragraph (b) to the Industrial Commission as if </w:t>
      </w:r>
      <w:r>
        <w:t>that decision or finding</w:t>
      </w:r>
      <w:r>
        <w:rPr>
          <w:snapToGrid w:val="0"/>
        </w:rPr>
        <w:t xml:space="preserve"> were an industrial matter mentioned in section 29(b) of that Act, and that Act applies to and in relation to </w:t>
      </w:r>
      <w:r>
        <w:t>that decision or finding</w:t>
      </w:r>
      <w:r>
        <w:rPr>
          <w:snapToGrid w:val="0"/>
        </w:rPr>
        <w:t xml:space="preserve"> accordingly.</w:t>
      </w:r>
    </w:p>
    <w:p>
      <w:pPr>
        <w:pStyle w:val="Subsection"/>
        <w:spacing w:before="140"/>
        <w:rPr>
          <w:snapToGrid w:val="0"/>
        </w:rPr>
      </w:pPr>
      <w:r>
        <w:rPr>
          <w:snapToGrid w:val="0"/>
        </w:rPr>
        <w:tab/>
        <w:t>(4)</w:t>
      </w:r>
      <w:r>
        <w:rPr>
          <w:snapToGrid w:val="0"/>
        </w:rPr>
        <w:tab/>
        <w:t>In exercising its jurisdiction under subsection (3) in relation to a direction consisting of a lawful order referred to in section 94(4), the Industrial Commission shall confine itself to determining whether or not that direction has been, or is capable of having been, complied with.</w:t>
      </w:r>
    </w:p>
    <w:p>
      <w:pPr>
        <w:pStyle w:val="Subsection"/>
        <w:spacing w:before="140"/>
      </w:pPr>
      <w:r>
        <w:tab/>
        <w:t>(5)</w:t>
      </w:r>
      <w:r>
        <w:tab/>
        <w:t xml:space="preserve">If it appears to the Industrial Commission or the Public Service Appeal Board that the employing authority failed to comply with a Commissioner’s instruction or the rules of procedural fairness in making the decision or finding the subject of a referral or appealed against, the Industrial Commission or Public Service Appeal Board — </w:t>
      </w:r>
    </w:p>
    <w:p>
      <w:pPr>
        <w:pStyle w:val="Indenta"/>
      </w:pPr>
      <w:r>
        <w:tab/>
        <w:t>(a)</w:t>
      </w:r>
      <w:r>
        <w:tab/>
        <w:t>is not required to determine the reference or allow the appeal solely on that basis and may proceed to decide the reference or appeal on its merits; or</w:t>
      </w:r>
    </w:p>
    <w:p>
      <w:pPr>
        <w:pStyle w:val="Indenta"/>
      </w:pPr>
      <w:r>
        <w:tab/>
        <w:t>(b)</w:t>
      </w:r>
      <w:r>
        <w:tab/>
        <w:t>may quash the decision or finding and remit the matter back to the employing authority with directions as to the stage at which the disciplinary process in relation to the matter is to be recommenced by the employing authority if the employing authority continues the disciplinary process.</w:t>
      </w:r>
    </w:p>
    <w:p>
      <w:pPr>
        <w:pStyle w:val="Footnotesection"/>
      </w:pPr>
      <w:r>
        <w:tab/>
        <w:t>[Section 78 amended: No. 39 of 2010 s. 95.]</w:t>
      </w:r>
    </w:p>
    <w:p>
      <w:pPr>
        <w:pStyle w:val="Heading3"/>
        <w:spacing w:before="200"/>
        <w:rPr>
          <w:snapToGrid w:val="0"/>
        </w:rPr>
      </w:pPr>
      <w:bookmarkStart w:id="232" w:name="_Toc500422962"/>
      <w:bookmarkStart w:id="233" w:name="_Toc503259346"/>
      <w:bookmarkStart w:id="234" w:name="_Toc503265282"/>
      <w:bookmarkStart w:id="235" w:name="_Toc503880749"/>
      <w:bookmarkStart w:id="236" w:name="_Toc515436275"/>
      <w:bookmarkStart w:id="237" w:name="_Toc515437104"/>
      <w:bookmarkStart w:id="238" w:name="_Toc20390121"/>
      <w:r>
        <w:rPr>
          <w:rStyle w:val="CharDivNo"/>
        </w:rPr>
        <w:t>Division 2</w:t>
      </w:r>
      <w:r>
        <w:rPr>
          <w:snapToGrid w:val="0"/>
        </w:rPr>
        <w:t> — </w:t>
      </w:r>
      <w:r>
        <w:rPr>
          <w:rStyle w:val="CharDivText"/>
        </w:rPr>
        <w:t>Substandard performance</w:t>
      </w:r>
      <w:bookmarkEnd w:id="232"/>
      <w:bookmarkEnd w:id="233"/>
      <w:bookmarkEnd w:id="234"/>
      <w:bookmarkEnd w:id="235"/>
      <w:bookmarkEnd w:id="236"/>
      <w:bookmarkEnd w:id="237"/>
      <w:bookmarkEnd w:id="238"/>
      <w:r>
        <w:rPr>
          <w:rStyle w:val="CharDivText"/>
        </w:rPr>
        <w:t xml:space="preserve"> </w:t>
      </w:r>
    </w:p>
    <w:p>
      <w:pPr>
        <w:pStyle w:val="Heading5"/>
        <w:spacing w:before="180"/>
        <w:rPr>
          <w:snapToGrid w:val="0"/>
        </w:rPr>
      </w:pPr>
      <w:bookmarkStart w:id="239" w:name="_Toc20390122"/>
      <w:r>
        <w:rPr>
          <w:rStyle w:val="CharSectno"/>
        </w:rPr>
        <w:t>79</w:t>
      </w:r>
      <w:r>
        <w:rPr>
          <w:snapToGrid w:val="0"/>
        </w:rPr>
        <w:t>.</w:t>
      </w:r>
      <w:r>
        <w:rPr>
          <w:snapToGrid w:val="0"/>
        </w:rPr>
        <w:tab/>
        <w:t>Substandard performance, definition of and powers as to</w:t>
      </w:r>
      <w:bookmarkEnd w:id="239"/>
    </w:p>
    <w:p>
      <w:pPr>
        <w:pStyle w:val="Subsection"/>
        <w:spacing w:before="120"/>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 and</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spacing w:before="120"/>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spacing w:before="60"/>
        <w:rPr>
          <w:snapToGrid w:val="0"/>
        </w:rPr>
      </w:pPr>
      <w:r>
        <w:rPr>
          <w:snapToGrid w:val="0"/>
        </w:rPr>
        <w:tab/>
        <w:t>(a)</w:t>
      </w:r>
      <w:r>
        <w:rPr>
          <w:snapToGrid w:val="0"/>
        </w:rPr>
        <w:tab/>
        <w:t>withhold for such period as the employing authority thinks fit an increment of remuneration otherwise payable to that employee; or</w:t>
      </w:r>
    </w:p>
    <w:p>
      <w:pPr>
        <w:pStyle w:val="Indenta"/>
        <w:spacing w:before="60"/>
        <w:rPr>
          <w:snapToGrid w:val="0"/>
        </w:rPr>
      </w:pPr>
      <w:r>
        <w:rPr>
          <w:snapToGrid w:val="0"/>
        </w:rPr>
        <w:tab/>
        <w:t>(b)</w:t>
      </w:r>
      <w:r>
        <w:rPr>
          <w:snapToGrid w:val="0"/>
        </w:rPr>
        <w:tab/>
        <w:t>reduce the level of classification of that employee; or</w:t>
      </w:r>
    </w:p>
    <w:p>
      <w:pPr>
        <w:pStyle w:val="Indenta"/>
        <w:spacing w:before="60"/>
        <w:rPr>
          <w:snapToGrid w:val="0"/>
        </w:rPr>
      </w:pPr>
      <w:r>
        <w:rPr>
          <w:snapToGrid w:val="0"/>
        </w:rPr>
        <w:tab/>
        <w:t>(c)</w:t>
      </w:r>
      <w:r>
        <w:rPr>
          <w:snapToGrid w:val="0"/>
        </w:rPr>
        <w:tab/>
        <w:t>terminate the employment in the Public Sector of that employee.</w:t>
      </w:r>
    </w:p>
    <w:p>
      <w:pPr>
        <w:pStyle w:val="Subsection"/>
        <w:spacing w:before="120"/>
        <w:rPr>
          <w:snapToGrid w:val="0"/>
        </w:rPr>
      </w:pPr>
      <w:r>
        <w:rPr>
          <w:snapToGrid w:val="0"/>
          <w:spacing w:val="-6"/>
        </w:rPr>
        <w:tab/>
      </w:r>
      <w:r>
        <w:rPr>
          <w:snapToGrid w:val="0"/>
        </w:rPr>
        <w:t>(4)</w:t>
      </w:r>
      <w:r>
        <w:rPr>
          <w:snapToGrid w:val="0"/>
        </w:rPr>
        <w:tab/>
        <w:t xml:space="preserve">The Governor may, on the recommendation of the Minister responsible for the relevant public sector body, terminate the employment in the Public Sector of </w:t>
      </w:r>
      <w:r>
        <w:t>an employee other than a chief executive officer —</w:t>
      </w:r>
    </w:p>
    <w:p>
      <w:pPr>
        <w:pStyle w:val="Indenta"/>
        <w:spacing w:before="60"/>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pPr>
      <w:r>
        <w:tab/>
        <w:t>(5A)</w:t>
      </w:r>
      <w:r>
        <w:tab/>
        <w:t>The Governor may, on the recommendation of the Commissioner, terminate the employment in the Public Sector of a chief executive officer whose performance is, in the opinion of the Commissioner, substandard for the purposes of this section.</w:t>
      </w:r>
    </w:p>
    <w:p>
      <w:pPr>
        <w:pStyle w:val="Subsection"/>
      </w:pPr>
      <w:r>
        <w:tab/>
        <w:t>(5B)</w:t>
      </w:r>
      <w:r>
        <w:tab/>
        <w:t>The Commissioner must consult the responsible authority of the agency of the chief executive officer before making a recommendation under subsection (5A).</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Footnotesection"/>
        <w:ind w:left="890" w:hanging="890"/>
      </w:pPr>
      <w:r>
        <w:tab/>
        <w:t>[Section 79 amended: No. 39 of 2010 s. 55 and 68.]</w:t>
      </w:r>
    </w:p>
    <w:p>
      <w:pPr>
        <w:pStyle w:val="Heading3"/>
        <w:keepLines/>
        <w:tabs>
          <w:tab w:val="left" w:pos="1560"/>
        </w:tabs>
        <w:rPr>
          <w:snapToGrid w:val="0"/>
        </w:rPr>
      </w:pPr>
      <w:bookmarkStart w:id="240" w:name="_Toc500422964"/>
      <w:bookmarkStart w:id="241" w:name="_Toc503259348"/>
      <w:bookmarkStart w:id="242" w:name="_Toc503265284"/>
      <w:bookmarkStart w:id="243" w:name="_Toc503880751"/>
      <w:bookmarkStart w:id="244" w:name="_Toc515436277"/>
      <w:bookmarkStart w:id="245" w:name="_Toc515437106"/>
      <w:bookmarkStart w:id="246" w:name="_Toc20390123"/>
      <w:r>
        <w:rPr>
          <w:rStyle w:val="CharDivNo"/>
        </w:rPr>
        <w:t>Division 3</w:t>
      </w:r>
      <w:r>
        <w:rPr>
          <w:snapToGrid w:val="0"/>
        </w:rPr>
        <w:t> — </w:t>
      </w:r>
      <w:r>
        <w:rPr>
          <w:rStyle w:val="CharDivText"/>
        </w:rPr>
        <w:t>Disciplinary matters</w:t>
      </w:r>
      <w:bookmarkEnd w:id="240"/>
      <w:bookmarkEnd w:id="241"/>
      <w:bookmarkEnd w:id="242"/>
      <w:bookmarkEnd w:id="243"/>
      <w:bookmarkEnd w:id="244"/>
      <w:bookmarkEnd w:id="245"/>
      <w:bookmarkEnd w:id="246"/>
      <w:r>
        <w:rPr>
          <w:rStyle w:val="CharDivText"/>
        </w:rPr>
        <w:t xml:space="preserve"> </w:t>
      </w:r>
    </w:p>
    <w:p>
      <w:pPr>
        <w:pStyle w:val="Heading5"/>
      </w:pPr>
      <w:bookmarkStart w:id="247" w:name="_Toc20390124"/>
      <w:r>
        <w:rPr>
          <w:rStyle w:val="CharSectno"/>
        </w:rPr>
        <w:t>80A</w:t>
      </w:r>
      <w:r>
        <w:t>.</w:t>
      </w:r>
      <w:r>
        <w:tab/>
        <w:t>Terms used</w:t>
      </w:r>
      <w:bookmarkEnd w:id="247"/>
    </w:p>
    <w:p>
      <w:pPr>
        <w:pStyle w:val="Subsection"/>
      </w:pPr>
      <w:r>
        <w:tab/>
      </w:r>
      <w:r>
        <w:tab/>
        <w:t xml:space="preserve">In this Division — </w:t>
      </w:r>
    </w:p>
    <w:p>
      <w:pPr>
        <w:pStyle w:val="Defstart"/>
      </w:pPr>
      <w:r>
        <w:tab/>
      </w:r>
      <w:r>
        <w:rPr>
          <w:rStyle w:val="CharDefText"/>
        </w:rPr>
        <w:t>disciplinary action</w:t>
      </w:r>
      <w:r>
        <w:t xml:space="preserve">, in relation to a breach of discipline by an employee, means any one or more of the following — </w:t>
      </w:r>
    </w:p>
    <w:p>
      <w:pPr>
        <w:pStyle w:val="Defpara"/>
      </w:pPr>
      <w:r>
        <w:tab/>
        <w:t>(a)</w:t>
      </w:r>
      <w:r>
        <w:tab/>
        <w:t>a reprimand;</w:t>
      </w:r>
    </w:p>
    <w:p>
      <w:pPr>
        <w:pStyle w:val="Defpara"/>
      </w:pPr>
      <w:r>
        <w:tab/>
        <w:t>(b)</w:t>
      </w:r>
      <w:r>
        <w:tab/>
        <w:t>the imposition of a fine not exceeding an amount equal to the amount of remuneration received by the employee in respect of the last 5 days during which the employee was at work as an employee before the day on which the finding of the breach of discipline was made;</w:t>
      </w:r>
    </w:p>
    <w:p>
      <w:pPr>
        <w:pStyle w:val="Defpara"/>
      </w:pPr>
      <w:r>
        <w:tab/>
        <w:t>(c)</w:t>
      </w:r>
      <w:r>
        <w:tab/>
        <w:t>transferring the employee to another public sector body with the consent of the employing authority of that public sector body;</w:t>
      </w:r>
    </w:p>
    <w:p>
      <w:pPr>
        <w:pStyle w:val="Defpara"/>
      </w:pPr>
      <w:r>
        <w:tab/>
        <w:t>(d)</w:t>
      </w:r>
      <w:r>
        <w:tab/>
        <w:t>if the employee is not a chief executive officer or chief employee, transferring the employee to another office, post or position in the public sector body in which the employee is employed;</w:t>
      </w:r>
    </w:p>
    <w:p>
      <w:pPr>
        <w:pStyle w:val="Defpara"/>
      </w:pPr>
      <w:r>
        <w:tab/>
        <w:t>(e)</w:t>
      </w:r>
      <w:r>
        <w:tab/>
        <w:t>reduction in the monetary remuneration of the employee;</w:t>
      </w:r>
    </w:p>
    <w:p>
      <w:pPr>
        <w:pStyle w:val="Defpara"/>
      </w:pPr>
      <w:r>
        <w:tab/>
        <w:t>(f)</w:t>
      </w:r>
      <w:r>
        <w:tab/>
        <w:t>reduction in the level of classification of the employee;</w:t>
      </w:r>
    </w:p>
    <w:p>
      <w:pPr>
        <w:pStyle w:val="Defpara"/>
      </w:pPr>
      <w:r>
        <w:tab/>
        <w:t>(g)</w:t>
      </w:r>
      <w:r>
        <w:tab/>
        <w:t>dismissal;</w:t>
      </w:r>
    </w:p>
    <w:p>
      <w:pPr>
        <w:pStyle w:val="Defstart"/>
      </w:pPr>
      <w:r>
        <w:tab/>
      </w:r>
      <w:r>
        <w:rPr>
          <w:rStyle w:val="CharDefText"/>
        </w:rPr>
        <w:t>section 94 breach of discipline</w:t>
      </w:r>
      <w:r>
        <w:t xml:space="preserve"> means a breach of discipline arising out of disobedience to, or disregard of, a lawful order referred to in section 94(4);</w:t>
      </w:r>
    </w:p>
    <w:p>
      <w:pPr>
        <w:pStyle w:val="Defstart"/>
      </w:pPr>
      <w:r>
        <w:tab/>
      </w:r>
      <w:r>
        <w:rPr>
          <w:rStyle w:val="CharDefText"/>
        </w:rPr>
        <w:t>serious offence</w:t>
      </w:r>
      <w:r>
        <w:t xml:space="preserve"> means — </w:t>
      </w:r>
    </w:p>
    <w:p>
      <w:pPr>
        <w:pStyle w:val="Defpara"/>
      </w:pPr>
      <w:r>
        <w:tab/>
        <w:t>(a)</w:t>
      </w:r>
      <w:r>
        <w:tab/>
        <w:t>an indictable offence against a law of the State (whether or not the offence is or may be dealt with summarily), another State or a Territory of the Commonwealth or the Commonwealth; or</w:t>
      </w:r>
    </w:p>
    <w:p>
      <w:pPr>
        <w:pStyle w:val="Defpara"/>
      </w:pPr>
      <w:r>
        <w:tab/>
        <w:t>(b)</w:t>
      </w:r>
      <w:r>
        <w:tab/>
        <w:t>an offence against the law of another State or a Territory of the Commonwealth that would be an indictable offence against a law of this State if committed in this State (whether or not the offence could be dealt with summarily if committed in this jurisdiction); or</w:t>
      </w:r>
    </w:p>
    <w:p>
      <w:pPr>
        <w:pStyle w:val="Defpara"/>
      </w:pPr>
      <w:r>
        <w:tab/>
        <w:t>(c)</w:t>
      </w:r>
      <w:r>
        <w:tab/>
        <w:t>an offence against the law of a foreign country that would be an indictable offence against a law of the Commonwealth or this State if committed in this State (whether or not the offence could be dealt with summarily if committed in this jurisdiction); or</w:t>
      </w:r>
    </w:p>
    <w:p>
      <w:pPr>
        <w:pStyle w:val="Defpara"/>
        <w:keepNext/>
      </w:pPr>
      <w:r>
        <w:tab/>
        <w:t>(d)</w:t>
      </w:r>
      <w:r>
        <w:tab/>
        <w:t>an offence, or an offence of a class, prescribed under section 108.</w:t>
      </w:r>
    </w:p>
    <w:p>
      <w:pPr>
        <w:pStyle w:val="Footnotesection"/>
      </w:pPr>
      <w:r>
        <w:tab/>
        <w:t>[Section 80A inserted: No. 39 of 2010 s. 96.]</w:t>
      </w:r>
    </w:p>
    <w:p>
      <w:pPr>
        <w:pStyle w:val="Heading5"/>
        <w:rPr>
          <w:snapToGrid w:val="0"/>
        </w:rPr>
      </w:pPr>
      <w:bookmarkStart w:id="248" w:name="_Toc20390125"/>
      <w:r>
        <w:rPr>
          <w:rStyle w:val="CharSectno"/>
        </w:rPr>
        <w:t>80</w:t>
      </w:r>
      <w:r>
        <w:rPr>
          <w:snapToGrid w:val="0"/>
        </w:rPr>
        <w:t>.</w:t>
      </w:r>
      <w:r>
        <w:rPr>
          <w:snapToGrid w:val="0"/>
        </w:rPr>
        <w:tab/>
        <w:t>Breaches of discipline, defined</w:t>
      </w:r>
      <w:bookmarkEnd w:id="248"/>
    </w:p>
    <w:p>
      <w:pPr>
        <w:pStyle w:val="Subsection"/>
        <w:keepNext/>
        <w:keepLines/>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 or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commits an act of misconduct; or</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No. 29 of 2003 s. 28.]</w:t>
      </w:r>
    </w:p>
    <w:p>
      <w:pPr>
        <w:pStyle w:val="Heading5"/>
        <w:spacing w:before="240"/>
      </w:pPr>
      <w:bookmarkStart w:id="249" w:name="_Toc20390126"/>
      <w:r>
        <w:rPr>
          <w:rStyle w:val="CharSectno"/>
        </w:rPr>
        <w:t>81</w:t>
      </w:r>
      <w:r>
        <w:t>.</w:t>
      </w:r>
      <w:r>
        <w:tab/>
        <w:t>Suspected breach of discipline, employing authority’s options as to</w:t>
      </w:r>
      <w:bookmarkEnd w:id="249"/>
      <w:r>
        <w:t xml:space="preserve"> </w:t>
      </w:r>
    </w:p>
    <w:p>
      <w:pPr>
        <w:pStyle w:val="Subsection"/>
      </w:pPr>
      <w:r>
        <w:tab/>
        <w:t>(1)</w:t>
      </w:r>
      <w:r>
        <w:tab/>
        <w:t xml:space="preserve">If an employing authority of an employee is made aware, or becomes aware, by any means that the employee may have committed a breach of discipline, the employing authority may — </w:t>
      </w:r>
    </w:p>
    <w:p>
      <w:pPr>
        <w:pStyle w:val="Indenta"/>
      </w:pPr>
      <w:r>
        <w:tab/>
        <w:t>(a)</w:t>
      </w:r>
      <w:r>
        <w:tab/>
        <w:t>decide to deal with the matter as a disciplinary matter under this Division in accordance with the Commissioner’s instructions; or</w:t>
      </w:r>
    </w:p>
    <w:p>
      <w:pPr>
        <w:pStyle w:val="Indenta"/>
      </w:pPr>
      <w:r>
        <w:tab/>
        <w:t>(b)</w:t>
      </w:r>
      <w:r>
        <w:tab/>
        <w:t xml:space="preserve">decide that it is appropriate — </w:t>
      </w:r>
    </w:p>
    <w:p>
      <w:pPr>
        <w:pStyle w:val="Indenti"/>
      </w:pPr>
      <w:r>
        <w:tab/>
        <w:t>(i)</w:t>
      </w:r>
      <w:r>
        <w:tab/>
        <w:t>to take improvement action with respect to the employee; or</w:t>
      </w:r>
    </w:p>
    <w:p>
      <w:pPr>
        <w:pStyle w:val="Indenti"/>
      </w:pPr>
      <w:r>
        <w:tab/>
        <w:t>(ii)</w:t>
      </w:r>
      <w:r>
        <w:tab/>
        <w:t>to take no action.</w:t>
      </w:r>
    </w:p>
    <w:p>
      <w:pPr>
        <w:pStyle w:val="Subsection"/>
        <w:keepLines/>
      </w:pPr>
      <w:r>
        <w:tab/>
        <w:t>(2)</w:t>
      </w:r>
      <w:r>
        <w:tab/>
        <w:t>If the Minister, in his or her capacity as employing authority of a ministerial officer, decides to act under subsection (1)(a), the Minister must direct another person to submit to the Minister a report as to whether there has been a breach of discipline and a recommendation as to any decision to be made under section 82A(3).</w:t>
      </w:r>
    </w:p>
    <w:p>
      <w:pPr>
        <w:pStyle w:val="Subsection"/>
      </w:pPr>
      <w:r>
        <w:tab/>
        <w:t>(3)</w:t>
      </w:r>
      <w:r>
        <w:tab/>
        <w:t>A direction must not be given under subsection (2) to the Commissioner.</w:t>
      </w:r>
    </w:p>
    <w:p>
      <w:pPr>
        <w:pStyle w:val="Subsection"/>
      </w:pPr>
      <w:r>
        <w:tab/>
        <w:t>(4)</w:t>
      </w:r>
      <w:r>
        <w:tab/>
        <w:t xml:space="preserve">A person directed under subsection (2) — </w:t>
      </w:r>
    </w:p>
    <w:p>
      <w:pPr>
        <w:pStyle w:val="Indenta"/>
      </w:pPr>
      <w:r>
        <w:tab/>
        <w:t>(a)</w:t>
      </w:r>
      <w:r>
        <w:tab/>
        <w:t>must comply with the direction of the Minister; and</w:t>
      </w:r>
    </w:p>
    <w:p>
      <w:pPr>
        <w:pStyle w:val="Indenta"/>
      </w:pPr>
      <w:r>
        <w:tab/>
        <w:t>(b)</w:t>
      </w:r>
      <w:r>
        <w:tab/>
        <w:t>for that purpose, has the functions of an employing authority under section 82A(1) and under the Commissioner’s instructions.</w:t>
      </w:r>
    </w:p>
    <w:p>
      <w:pPr>
        <w:pStyle w:val="Footnotesection"/>
      </w:pPr>
      <w:r>
        <w:tab/>
        <w:t>[Section 81 inserted: No. 39 of 2010 s. 97.]</w:t>
      </w:r>
    </w:p>
    <w:p>
      <w:pPr>
        <w:pStyle w:val="Heading5"/>
      </w:pPr>
      <w:bookmarkStart w:id="250" w:name="_Toc20390127"/>
      <w:r>
        <w:rPr>
          <w:rStyle w:val="CharSectno"/>
        </w:rPr>
        <w:t>82A</w:t>
      </w:r>
      <w:r>
        <w:t>.</w:t>
      </w:r>
      <w:r>
        <w:tab/>
        <w:t>Disciplinary matters, dealing with</w:t>
      </w:r>
      <w:bookmarkEnd w:id="250"/>
    </w:p>
    <w:p>
      <w:pPr>
        <w:pStyle w:val="Subsection"/>
      </w:pPr>
      <w:r>
        <w:tab/>
        <w:t>(1)</w:t>
      </w:r>
      <w:r>
        <w:tab/>
        <w:t xml:space="preserve">In dealing with a disciplinary matter under this Division an employing authority — </w:t>
      </w:r>
    </w:p>
    <w:p>
      <w:pPr>
        <w:pStyle w:val="Indenta"/>
      </w:pPr>
      <w:r>
        <w:tab/>
        <w:t>(a)</w:t>
      </w:r>
      <w:r>
        <w:tab/>
        <w:t>must proceed with as little formality and technicality as this Division, the Commissioner’s instructions and the circumstances of the matter permit; and</w:t>
      </w:r>
    </w:p>
    <w:p>
      <w:pPr>
        <w:pStyle w:val="Indenta"/>
      </w:pPr>
      <w:r>
        <w:tab/>
        <w:t>(b)</w:t>
      </w:r>
      <w:r>
        <w:tab/>
        <w:t>is not bound by the rules of evidence; and</w:t>
      </w:r>
    </w:p>
    <w:p>
      <w:pPr>
        <w:pStyle w:val="Indenta"/>
      </w:pPr>
      <w:r>
        <w:tab/>
        <w:t>(c)</w:t>
      </w:r>
      <w:r>
        <w:tab/>
        <w:t>may, subject to this Division and the Commissioner’s instructions, determine the procedure to be followed.</w:t>
      </w:r>
    </w:p>
    <w:p>
      <w:pPr>
        <w:pStyle w:val="Subsection"/>
      </w:pPr>
      <w:r>
        <w:tab/>
        <w:t>(2)</w:t>
      </w:r>
      <w:r>
        <w:tab/>
        <w:t xml:space="preserve">Even though an employing authority decides to act under section 81(1)(a), the employing authority may, at any stage of the process, decide instead that it is appropriate — </w:t>
      </w:r>
    </w:p>
    <w:p>
      <w:pPr>
        <w:pStyle w:val="Indenta"/>
      </w:pPr>
      <w:r>
        <w:tab/>
        <w:t>(a)</w:t>
      </w:r>
      <w:r>
        <w:tab/>
        <w:t>to take improvement action with respect to the employee; or</w:t>
      </w:r>
    </w:p>
    <w:p>
      <w:pPr>
        <w:pStyle w:val="Indenta"/>
      </w:pPr>
      <w:r>
        <w:tab/>
        <w:t>(b)</w:t>
      </w:r>
      <w:r>
        <w:tab/>
        <w:t>that no further action be taken.</w:t>
      </w:r>
    </w:p>
    <w:p>
      <w:pPr>
        <w:pStyle w:val="Subsection"/>
        <w:keepNext/>
        <w:spacing w:before="200"/>
      </w:pPr>
      <w:r>
        <w:tab/>
        <w:t>(3)</w:t>
      </w:r>
      <w:r>
        <w:tab/>
        <w:t xml:space="preserve">Subject to subsection (4) and section 89, after dealing with a matter as a disciplinary matter under this Division — </w:t>
      </w:r>
    </w:p>
    <w:p>
      <w:pPr>
        <w:pStyle w:val="Indenta"/>
      </w:pPr>
      <w:r>
        <w:tab/>
        <w:t>(a)</w:t>
      </w:r>
      <w:r>
        <w:tab/>
        <w:t>if the employing authority finds that the employee has committed a section 94 breach of discipline, the employing authority must take disciplinary action by dismissing the employee; and</w:t>
      </w:r>
    </w:p>
    <w:p>
      <w:pPr>
        <w:pStyle w:val="Indenta"/>
      </w:pPr>
      <w:r>
        <w:tab/>
        <w:t>(b)</w:t>
      </w:r>
      <w:r>
        <w:tab/>
        <w:t xml:space="preserve">if the employing authority finds that the employee has committed a breach of discipline that is not a section 94 breach of discipline, the employing authority must decide — </w:t>
      </w:r>
    </w:p>
    <w:p>
      <w:pPr>
        <w:pStyle w:val="Indenti"/>
      </w:pPr>
      <w:r>
        <w:tab/>
        <w:t>(i)</w:t>
      </w:r>
      <w:r>
        <w:tab/>
        <w:t>to take disciplinary action, or both disciplinary action and improvement action, with respect to the employee; or</w:t>
      </w:r>
    </w:p>
    <w:p>
      <w:pPr>
        <w:pStyle w:val="Indenti"/>
      </w:pPr>
      <w:r>
        <w:tab/>
        <w:t>(ii)</w:t>
      </w:r>
      <w:r>
        <w:tab/>
        <w:t>to take improvement action with respect to the employee; or</w:t>
      </w:r>
    </w:p>
    <w:p>
      <w:pPr>
        <w:pStyle w:val="Indenti"/>
      </w:pPr>
      <w:r>
        <w:tab/>
        <w:t>(iii)</w:t>
      </w:r>
      <w:r>
        <w:tab/>
        <w:t>that no further action is to be taken.</w:t>
      </w:r>
    </w:p>
    <w:p>
      <w:pPr>
        <w:pStyle w:val="Subsection"/>
      </w:pPr>
      <w:r>
        <w:tab/>
        <w:t>(4)</w:t>
      </w:r>
      <w:r>
        <w:tab/>
        <w:t xml:space="preserve">The Minister — </w:t>
      </w:r>
    </w:p>
    <w:p>
      <w:pPr>
        <w:pStyle w:val="Indenta"/>
      </w:pPr>
      <w:r>
        <w:tab/>
        <w:t>(a)</w:t>
      </w:r>
      <w:r>
        <w:tab/>
        <w:t>is bound by any finding in a report submitted as directed under section 81(2); and</w:t>
      </w:r>
    </w:p>
    <w:p>
      <w:pPr>
        <w:pStyle w:val="Indenta"/>
      </w:pPr>
      <w:r>
        <w:tab/>
        <w:t>(b)</w:t>
      </w:r>
      <w:r>
        <w:tab/>
        <w:t>must, when making a decision under subsection (3)(b), have regard to, but is not bound by, a recommendation submitted as directed under section 81(2).</w:t>
      </w:r>
    </w:p>
    <w:p>
      <w:pPr>
        <w:pStyle w:val="Footnotesection"/>
        <w:ind w:left="890" w:hanging="890"/>
      </w:pPr>
      <w:r>
        <w:tab/>
        <w:t>[Section 82A inserted: No. 39 of 2010 s. 97.]</w:t>
      </w:r>
    </w:p>
    <w:p>
      <w:pPr>
        <w:pStyle w:val="Heading5"/>
        <w:spacing w:before="180"/>
      </w:pPr>
      <w:bookmarkStart w:id="251" w:name="_Toc20390128"/>
      <w:r>
        <w:rPr>
          <w:rStyle w:val="CharSectno"/>
        </w:rPr>
        <w:t>82</w:t>
      </w:r>
      <w:r>
        <w:t>.</w:t>
      </w:r>
      <w:r>
        <w:tab/>
        <w:t>Suspending employee pending decision on breach of discipline or criminal charge</w:t>
      </w:r>
      <w:bookmarkEnd w:id="251"/>
    </w:p>
    <w:p>
      <w:pPr>
        <w:pStyle w:val="Subsection"/>
      </w:pPr>
      <w:r>
        <w:tab/>
        <w:t>(1)</w:t>
      </w:r>
      <w:r>
        <w:tab/>
        <w:t xml:space="preserve">If — </w:t>
      </w:r>
    </w:p>
    <w:p>
      <w:pPr>
        <w:pStyle w:val="Indenta"/>
      </w:pPr>
      <w:r>
        <w:tab/>
        <w:t>(a)</w:t>
      </w:r>
      <w:r>
        <w:tab/>
        <w:t>an employing authority has decided to act under section 81(1)(a) in relation to an employee; or</w:t>
      </w:r>
    </w:p>
    <w:p>
      <w:pPr>
        <w:pStyle w:val="Indenta"/>
      </w:pPr>
      <w:r>
        <w:tab/>
        <w:t>(b)</w:t>
      </w:r>
      <w:r>
        <w:tab/>
        <w:t>an employee is charged with having committed a serious offence,</w:t>
      </w:r>
    </w:p>
    <w:p>
      <w:pPr>
        <w:pStyle w:val="Subsection"/>
      </w:pPr>
      <w:r>
        <w:tab/>
      </w:r>
      <w:r>
        <w:tab/>
        <w:t>the employing authority may, in accordance with the Commissioner’s instructions, suspend the employee on full pay, partial pay or without pay.</w:t>
      </w:r>
    </w:p>
    <w:p>
      <w:pPr>
        <w:pStyle w:val="Subsection"/>
      </w:pPr>
      <w:r>
        <w:tab/>
        <w:t>(2)</w:t>
      </w:r>
      <w:r>
        <w:tab/>
        <w:t xml:space="preserve">Subject to subsection (3) — </w:t>
      </w:r>
    </w:p>
    <w:p>
      <w:pPr>
        <w:pStyle w:val="Indenta"/>
      </w:pPr>
      <w:r>
        <w:tab/>
        <w:t>(a)</w:t>
      </w:r>
      <w:r>
        <w:tab/>
        <w:t>a suspension arising from a decision referred to in subsection (1)(a) has effect until a decision is made under section 82A(2) or (3) or 88 in respect of the suspected breach; or</w:t>
      </w:r>
    </w:p>
    <w:p>
      <w:pPr>
        <w:pStyle w:val="Indenta"/>
      </w:pPr>
      <w:r>
        <w:tab/>
        <w:t>(b)</w:t>
      </w:r>
      <w:r>
        <w:tab/>
        <w:t>a suspension arising from a charge referred to in subsection (1)(b) has effect until the criminal charge or any action that the employing authority is considering taking under section 92 has been finalised.</w:t>
      </w:r>
    </w:p>
    <w:p>
      <w:pPr>
        <w:pStyle w:val="Subsection"/>
      </w:pPr>
      <w:r>
        <w:tab/>
        <w:t>(3)</w:t>
      </w:r>
      <w:r>
        <w:tab/>
        <w:t>The employing authority may at any time remove, or vary the terms of, the suspension.</w:t>
      </w:r>
    </w:p>
    <w:p>
      <w:pPr>
        <w:pStyle w:val="Subsection"/>
      </w:pPr>
      <w:r>
        <w:tab/>
        <w:t>(4)</w:t>
      </w:r>
      <w:r>
        <w:tab/>
        <w:t xml:space="preserve">Unless the employing authority otherwise directs, any pay withheld under subsection (1) is forfeited to the State if — </w:t>
      </w:r>
    </w:p>
    <w:p>
      <w:pPr>
        <w:pStyle w:val="Indenta"/>
      </w:pPr>
      <w:r>
        <w:tab/>
        <w:t>(a)</w:t>
      </w:r>
      <w:r>
        <w:tab/>
        <w:t>it is decided to take disciplinary action with respect to the employee for the breach of discipline; or</w:t>
      </w:r>
    </w:p>
    <w:p>
      <w:pPr>
        <w:pStyle w:val="Indenta"/>
      </w:pPr>
      <w:r>
        <w:tab/>
        <w:t>(b)</w:t>
      </w:r>
      <w:r>
        <w:tab/>
        <w:t>the employee is convicted or found guilty of the offence concerned or another serious offence.</w:t>
      </w:r>
    </w:p>
    <w:p>
      <w:pPr>
        <w:pStyle w:val="Subsection"/>
      </w:pPr>
      <w:r>
        <w:tab/>
        <w:t>(5)</w:t>
      </w:r>
      <w:r>
        <w:tab/>
        <w:t>An employee is entitled to have any pay of the employee that is withheld under subsection (1) and not forfeited under subsection (4) restored to the employee.</w:t>
      </w:r>
    </w:p>
    <w:p>
      <w:pPr>
        <w:pStyle w:val="Footnotesection"/>
      </w:pPr>
      <w:r>
        <w:tab/>
        <w:t>[Section 82 inserted: No. 39 of 2010 s. 98.]</w:t>
      </w:r>
    </w:p>
    <w:p>
      <w:pPr>
        <w:pStyle w:val="Footnotesection"/>
        <w:spacing w:before="240"/>
        <w:ind w:left="890" w:hanging="890"/>
      </w:pPr>
      <w:r>
        <w:t>[</w:t>
      </w:r>
      <w:r>
        <w:rPr>
          <w:b/>
        </w:rPr>
        <w:t>83</w:t>
      </w:r>
      <w:r>
        <w:rPr>
          <w:b/>
        </w:rPr>
        <w:noBreakHyphen/>
        <w:t>86.</w:t>
      </w:r>
      <w:r>
        <w:tab/>
        <w:t xml:space="preserve">Deleted: No. 39 of 2010 s. 99.] </w:t>
      </w:r>
    </w:p>
    <w:p>
      <w:pPr>
        <w:pStyle w:val="Heading5"/>
        <w:spacing w:before="240"/>
        <w:rPr>
          <w:snapToGrid w:val="0"/>
        </w:rPr>
      </w:pPr>
      <w:bookmarkStart w:id="252" w:name="_Toc20390129"/>
      <w:r>
        <w:rPr>
          <w:rStyle w:val="CharSectno"/>
        </w:rPr>
        <w:t>87</w:t>
      </w:r>
      <w:r>
        <w:rPr>
          <w:snapToGrid w:val="0"/>
        </w:rPr>
        <w:t>.</w:t>
      </w:r>
      <w:r>
        <w:rPr>
          <w:snapToGrid w:val="0"/>
        </w:rPr>
        <w:tab/>
        <w:t>Special disciplinary inquiries</w:t>
      </w:r>
      <w:bookmarkEnd w:id="252"/>
      <w:r>
        <w:rPr>
          <w:snapToGrid w:val="0"/>
        </w:rPr>
        <w:t xml:space="preserve"> </w:t>
      </w:r>
    </w:p>
    <w:p>
      <w:pPr>
        <w:pStyle w:val="Subsection"/>
        <w:keepNext/>
        <w:keepLines/>
      </w:pPr>
      <w:r>
        <w:tab/>
        <w:t>(1A)</w:t>
      </w:r>
      <w:r>
        <w:tab/>
        <w:t xml:space="preserve">The Commissioner may at any time before a decision is made under section 81(1)(b) or 82A(2) or (3) in respect of a suspected breach of discipline direct that — </w:t>
      </w:r>
    </w:p>
    <w:p>
      <w:pPr>
        <w:pStyle w:val="Indenta"/>
      </w:pPr>
      <w:r>
        <w:tab/>
        <w:t>(a)</w:t>
      </w:r>
      <w:r>
        <w:tab/>
        <w:t>a special disciplinary inquiry be held into the suspected breach; or</w:t>
      </w:r>
    </w:p>
    <w:p>
      <w:pPr>
        <w:pStyle w:val="Indenta"/>
      </w:pPr>
      <w:r>
        <w:tab/>
        <w:t>(b)</w:t>
      </w:r>
      <w:r>
        <w:tab/>
        <w:t>an investigation by the employing authority or a person directed under section 81(2) into the suspected breach be continued as a special disciplinary inquiry.</w:t>
      </w:r>
    </w:p>
    <w:p>
      <w:pPr>
        <w:pStyle w:val="Subsection"/>
      </w:pPr>
      <w:r>
        <w:tab/>
        <w:t>(1B)</w:t>
      </w:r>
      <w:r>
        <w:tab/>
        <w:t>A direction under subsection (1A) may be made on the request of the employing authority of the employee suspected to have committed the breach of discipline or on the initiative of the Commissioner.</w:t>
      </w:r>
    </w:p>
    <w:p>
      <w:pPr>
        <w:pStyle w:val="Subsection"/>
        <w:rPr>
          <w:snapToGrid w:val="0"/>
        </w:rPr>
      </w:pPr>
      <w:r>
        <w:rPr>
          <w:snapToGrid w:val="0"/>
        </w:rPr>
        <w:tab/>
        <w:t>(1)</w:t>
      </w:r>
      <w:r>
        <w:rPr>
          <w:snapToGrid w:val="0"/>
        </w:rPr>
        <w:tab/>
        <w:t xml:space="preserve">The provisions of </w:t>
      </w:r>
      <w:r>
        <w:t>sections 24I and 24J</w:t>
      </w:r>
      <w:r>
        <w:rPr>
          <w:snapToGrid w:val="0"/>
        </w:rPr>
        <w:t xml:space="preserve">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pPr>
      <w:r>
        <w:tab/>
        <w:t>(3)</w:t>
      </w:r>
      <w:r>
        <w:tab/>
        <w:t xml:space="preserve">A person who holds a special disciplinary inquiry must, at the conclusion of the inquiry — </w:t>
      </w:r>
    </w:p>
    <w:p>
      <w:pPr>
        <w:pStyle w:val="Indenta"/>
      </w:pPr>
      <w:r>
        <w:tab/>
        <w:t>(a)</w:t>
      </w:r>
      <w:r>
        <w:tab/>
        <w:t xml:space="preserve">make a finding that the employee — </w:t>
      </w:r>
    </w:p>
    <w:p>
      <w:pPr>
        <w:pStyle w:val="Indenti"/>
      </w:pPr>
      <w:r>
        <w:tab/>
        <w:t>(i)</w:t>
      </w:r>
      <w:r>
        <w:tab/>
        <w:t>has committed a section 94 breach of discipline; or</w:t>
      </w:r>
    </w:p>
    <w:p>
      <w:pPr>
        <w:pStyle w:val="Indenti"/>
      </w:pPr>
      <w:r>
        <w:tab/>
        <w:t>(ii)</w:t>
      </w:r>
      <w:r>
        <w:tab/>
        <w:t>has committed a breach of discipline other than a breach referred to in subparagraph (i); or</w:t>
      </w:r>
    </w:p>
    <w:p>
      <w:pPr>
        <w:pStyle w:val="Indenti"/>
      </w:pPr>
      <w:r>
        <w:tab/>
        <w:t>(iii)</w:t>
      </w:r>
      <w:r>
        <w:tab/>
        <w:t>has not committed a breach of discipline;</w:t>
      </w:r>
    </w:p>
    <w:p>
      <w:pPr>
        <w:pStyle w:val="Indenta"/>
      </w:pPr>
      <w:r>
        <w:tab/>
      </w:r>
      <w:r>
        <w:tab/>
        <w:t>and</w:t>
      </w:r>
    </w:p>
    <w:p>
      <w:pPr>
        <w:pStyle w:val="Indenta"/>
      </w:pPr>
      <w:r>
        <w:tab/>
        <w:t>(b)</w:t>
      </w:r>
      <w:r>
        <w:tab/>
        <w:t>prepare a report on the conduct and finding, of the special disciplinary inquiry; and</w:t>
      </w:r>
    </w:p>
    <w:p>
      <w:pPr>
        <w:pStyle w:val="Indenta"/>
      </w:pPr>
      <w:r>
        <w:tab/>
        <w:t>(c)</w:t>
      </w:r>
      <w:r>
        <w:tab/>
        <w:t>if the finding is that the employee has committed a breach of discipline other than a section 94 breach of discipline, include in the report a recommendation as to any disciplinary action and improvement action that should be taken by the employing authority; and</w:t>
      </w:r>
    </w:p>
    <w:p>
      <w:pPr>
        <w:pStyle w:val="Indenta"/>
      </w:pPr>
      <w:r>
        <w:tab/>
        <w:t>(d)</w:t>
      </w:r>
      <w:r>
        <w:tab/>
        <w:t>provide the employing authority and the Commissioner with a copy of the report.</w:t>
      </w:r>
    </w:p>
    <w:p>
      <w:pPr>
        <w:pStyle w:val="Footnotesection"/>
      </w:pPr>
      <w:r>
        <w:tab/>
        <w:t>[Section 87 amended: No. 39 of 2010 s. 69 and 100.]</w:t>
      </w:r>
    </w:p>
    <w:p>
      <w:pPr>
        <w:pStyle w:val="Heading5"/>
        <w:keepLines w:val="0"/>
        <w:pageBreakBefore/>
        <w:widowControl w:val="0"/>
        <w:spacing w:before="0"/>
      </w:pPr>
      <w:bookmarkStart w:id="253" w:name="_Toc20390130"/>
      <w:r>
        <w:rPr>
          <w:rStyle w:val="CharSectno"/>
        </w:rPr>
        <w:t>88</w:t>
      </w:r>
      <w:r>
        <w:t>.</w:t>
      </w:r>
      <w:r>
        <w:tab/>
        <w:t>Report of special disciplinary inquiry, consequences of</w:t>
      </w:r>
      <w:bookmarkEnd w:id="253"/>
    </w:p>
    <w:p>
      <w:pPr>
        <w:pStyle w:val="Subsection"/>
        <w:keepNext/>
        <w:spacing w:before="120"/>
      </w:pPr>
      <w:r>
        <w:tab/>
      </w:r>
      <w:r>
        <w:tab/>
        <w:t xml:space="preserve">On receiving a report under section 87(3), the employing authority must, subject to section 89, accept the finding in the report and — </w:t>
      </w:r>
    </w:p>
    <w:p>
      <w:pPr>
        <w:pStyle w:val="Indenta"/>
        <w:keepNext/>
      </w:pPr>
      <w:r>
        <w:tab/>
        <w:t>(a)</w:t>
      </w:r>
      <w:r>
        <w:tab/>
        <w:t>in the case of a finding that the employee has committed a section 94 breach of discipline, take disciplinary action by dismissing the employee; or</w:t>
      </w:r>
    </w:p>
    <w:p>
      <w:pPr>
        <w:pStyle w:val="Indenta"/>
      </w:pPr>
      <w:r>
        <w:tab/>
        <w:t>(b)</w:t>
      </w:r>
      <w:r>
        <w:tab/>
        <w:t xml:space="preserve">in the case of a finding that the employee has committed a breach of discipline other than a breach referred to in paragraph (a) — </w:t>
      </w:r>
    </w:p>
    <w:p>
      <w:pPr>
        <w:pStyle w:val="Indenti"/>
      </w:pPr>
      <w:r>
        <w:tab/>
        <w:t>(i)</w:t>
      </w:r>
      <w:r>
        <w:tab/>
        <w:t>decide to take disciplinary action or improvement action, or both disciplinary action and improvement action, in relation to the employee in accordance with the recommendation in the report; or</w:t>
      </w:r>
    </w:p>
    <w:p>
      <w:pPr>
        <w:pStyle w:val="Indenti"/>
      </w:pPr>
      <w:r>
        <w:tab/>
        <w:t>(ii)</w:t>
      </w:r>
      <w:r>
        <w:tab/>
        <w:t>decline to accept the recommendation in the report and decide to take such other disciplinary action or improvement action, or both disciplinary action and improvement action, in relation to the employee as could have been recommended in the report;</w:t>
      </w:r>
    </w:p>
    <w:p>
      <w:pPr>
        <w:pStyle w:val="Indenta"/>
      </w:pPr>
      <w:r>
        <w:tab/>
      </w:r>
      <w:r>
        <w:tab/>
        <w:t>or</w:t>
      </w:r>
    </w:p>
    <w:p>
      <w:pPr>
        <w:pStyle w:val="Indenta"/>
      </w:pPr>
      <w:r>
        <w:tab/>
        <w:t>(c)</w:t>
      </w:r>
      <w:r>
        <w:tab/>
        <w:t>in the case of a finding that no breach of discipline was committed by the employee, notify the employee of that finding and that no further action will be taken in the matter.</w:t>
      </w:r>
    </w:p>
    <w:p>
      <w:pPr>
        <w:pStyle w:val="Footnotesection"/>
      </w:pPr>
      <w:r>
        <w:tab/>
        <w:t>[Section 88 inserted: No. 39 of 2010 s. 101.]</w:t>
      </w:r>
    </w:p>
    <w:p>
      <w:pPr>
        <w:pStyle w:val="Heading5"/>
      </w:pPr>
      <w:bookmarkStart w:id="254" w:name="_Toc20390131"/>
      <w:r>
        <w:rPr>
          <w:rStyle w:val="CharSectno"/>
        </w:rPr>
        <w:t>89</w:t>
      </w:r>
      <w:r>
        <w:t>.</w:t>
      </w:r>
      <w:r>
        <w:tab/>
        <w:t>Dismissal of CEO for breach of discipline</w:t>
      </w:r>
      <w:bookmarkEnd w:id="254"/>
    </w:p>
    <w:p>
      <w:pPr>
        <w:pStyle w:val="Subsection"/>
      </w:pPr>
      <w:r>
        <w:tab/>
        <w:t>(1)</w:t>
      </w:r>
      <w:r>
        <w:tab/>
        <w:t>If a chief executive officer is the subject of a finding under section 82A(3)(a) or a finding under section 87(3)(a)(i) in respect of a section 94 breach of discipline, the Commissioner must recommend to the Governor that the chief executive officer be dismissed, and the Governor must dismiss the chief executive officer.</w:t>
      </w:r>
    </w:p>
    <w:p>
      <w:pPr>
        <w:pStyle w:val="Subsection"/>
      </w:pPr>
      <w:r>
        <w:tab/>
        <w:t>(2)</w:t>
      </w:r>
      <w:r>
        <w:tab/>
        <w:t xml:space="preserve">If a chief executive officer — </w:t>
      </w:r>
    </w:p>
    <w:p>
      <w:pPr>
        <w:pStyle w:val="Indenta"/>
      </w:pPr>
      <w:r>
        <w:tab/>
        <w:t>(a)</w:t>
      </w:r>
      <w:r>
        <w:tab/>
        <w:t>is the subject of a finding under section 82A(3)(b) or a finding under section 87(3)(a)(ii) in respect of a breach of discipline other than a section 94 breach of discipline; and</w:t>
      </w:r>
    </w:p>
    <w:p>
      <w:pPr>
        <w:pStyle w:val="Indenta"/>
      </w:pPr>
      <w:r>
        <w:tab/>
        <w:t>(b)</w:t>
      </w:r>
      <w:r>
        <w:tab/>
        <w:t>the Commissioner considers that the chief executive officer ought to be dismissed,</w:t>
      </w:r>
    </w:p>
    <w:p>
      <w:pPr>
        <w:pStyle w:val="Subsection"/>
      </w:pPr>
      <w:r>
        <w:tab/>
      </w:r>
      <w:r>
        <w:tab/>
        <w:t>the Commissioner must recommend to the Governor that the chief executive officer be dismissed, and the Governor must dismiss the chief executive officer.</w:t>
      </w:r>
    </w:p>
    <w:p>
      <w:pPr>
        <w:pStyle w:val="Footnotesection"/>
      </w:pPr>
      <w:r>
        <w:tab/>
        <w:t>[Section 89 inserted: No. 39 of 2010 s. 102.]</w:t>
      </w:r>
    </w:p>
    <w:p>
      <w:pPr>
        <w:pStyle w:val="Heading5"/>
        <w:rPr>
          <w:snapToGrid w:val="0"/>
        </w:rPr>
      </w:pPr>
      <w:bookmarkStart w:id="255" w:name="_Toc20390132"/>
      <w:r>
        <w:rPr>
          <w:rStyle w:val="CharSectno"/>
        </w:rPr>
        <w:t>90</w:t>
      </w:r>
      <w:r>
        <w:rPr>
          <w:snapToGrid w:val="0"/>
        </w:rPr>
        <w:t>.</w:t>
      </w:r>
      <w:r>
        <w:rPr>
          <w:snapToGrid w:val="0"/>
        </w:rPr>
        <w:tab/>
        <w:t>Employing authority to notify employee of outcome of disciplinary matter</w:t>
      </w:r>
      <w:bookmarkEnd w:id="255"/>
    </w:p>
    <w:p>
      <w:pPr>
        <w:pStyle w:val="Subsection"/>
        <w:keepNext/>
        <w:rPr>
          <w:snapToGrid w:val="0"/>
        </w:rPr>
      </w:pPr>
      <w:r>
        <w:rPr>
          <w:snapToGrid w:val="0"/>
        </w:rPr>
        <w:tab/>
      </w:r>
      <w:r>
        <w:rPr>
          <w:snapToGrid w:val="0"/>
        </w:rPr>
        <w:tab/>
        <w:t xml:space="preserve">The employing authority of </w:t>
      </w:r>
      <w:r>
        <w:t>an employee</w:t>
      </w:r>
      <w:r>
        <w:rPr>
          <w:snapToGrid w:val="0"/>
        </w:rPr>
        <w:t xml:space="preserve"> shall </w:t>
      </w:r>
      <w:r>
        <w:t>notify the employee —</w:t>
      </w:r>
    </w:p>
    <w:p>
      <w:pPr>
        <w:pStyle w:val="Indenta"/>
        <w:rPr>
          <w:snapToGrid w:val="0"/>
        </w:rPr>
      </w:pPr>
      <w:r>
        <w:rPr>
          <w:snapToGrid w:val="0"/>
        </w:rPr>
        <w:tab/>
        <w:t>(a)</w:t>
      </w:r>
      <w:r>
        <w:rPr>
          <w:snapToGrid w:val="0"/>
        </w:rPr>
        <w:tab/>
        <w:t xml:space="preserve">whether or not </w:t>
      </w:r>
      <w:r>
        <w:t>the employee</w:t>
      </w:r>
      <w:r>
        <w:rPr>
          <w:snapToGrid w:val="0"/>
        </w:rPr>
        <w:t xml:space="preserve"> has been found under this Division to have committed any breach of discipline alleged against him or her; and</w:t>
      </w:r>
    </w:p>
    <w:p>
      <w:pPr>
        <w:pStyle w:val="Indenta"/>
        <w:rPr>
          <w:snapToGrid w:val="0"/>
        </w:rPr>
      </w:pPr>
      <w:r>
        <w:rPr>
          <w:snapToGrid w:val="0"/>
        </w:rPr>
        <w:tab/>
        <w:t>(b)</w:t>
      </w:r>
      <w:r>
        <w:rPr>
          <w:snapToGrid w:val="0"/>
        </w:rPr>
        <w:tab/>
        <w:t xml:space="preserve">if such a finding has been made against </w:t>
      </w:r>
      <w:r>
        <w:t xml:space="preserve">the employee, </w:t>
      </w:r>
      <w:r>
        <w:rPr>
          <w:snapToGrid w:val="0"/>
        </w:rPr>
        <w:t xml:space="preserve">what action has been taken under this Division in relation to </w:t>
      </w:r>
      <w:r>
        <w:t>the employee,</w:t>
      </w:r>
    </w:p>
    <w:p>
      <w:pPr>
        <w:pStyle w:val="Subsection"/>
      </w:pPr>
      <w:r>
        <w:rPr>
          <w:snapToGrid w:val="0"/>
        </w:rPr>
        <w:tab/>
      </w:r>
      <w:r>
        <w:rPr>
          <w:snapToGrid w:val="0"/>
        </w:rPr>
        <w:tab/>
      </w:r>
      <w:r>
        <w:t>within the period prescribed in the Commissioner’s instructions.</w:t>
      </w:r>
    </w:p>
    <w:p>
      <w:pPr>
        <w:pStyle w:val="Footnotesection"/>
      </w:pPr>
      <w:r>
        <w:tab/>
        <w:t>[Section 90 amended: No. 39 of 2010 s. 103.]</w:t>
      </w:r>
    </w:p>
    <w:p>
      <w:pPr>
        <w:pStyle w:val="Heading5"/>
        <w:rPr>
          <w:snapToGrid w:val="0"/>
        </w:rPr>
      </w:pPr>
      <w:bookmarkStart w:id="256" w:name="_Toc20390133"/>
      <w:r>
        <w:rPr>
          <w:rStyle w:val="CharSectno"/>
        </w:rPr>
        <w:t>91</w:t>
      </w:r>
      <w:r>
        <w:rPr>
          <w:snapToGrid w:val="0"/>
        </w:rPr>
        <w:t>.</w:t>
      </w:r>
      <w:r>
        <w:rPr>
          <w:snapToGrid w:val="0"/>
        </w:rPr>
        <w:tab/>
        <w:t>Fines, payment and recovery of</w:t>
      </w:r>
      <w:bookmarkEnd w:id="256"/>
    </w:p>
    <w:p>
      <w:pPr>
        <w:pStyle w:val="Subsection"/>
      </w:pPr>
      <w:r>
        <w:rPr>
          <w:snapToGrid w:val="0"/>
        </w:rPr>
        <w:tab/>
      </w:r>
      <w:r>
        <w:rPr>
          <w:snapToGrid w:val="0"/>
        </w:rPr>
        <w:tab/>
        <w:t xml:space="preserve">When a fine is imposed on </w:t>
      </w:r>
      <w:r>
        <w:t>an employee</w:t>
      </w:r>
      <w:r>
        <w:rPr>
          <w:snapToGrid w:val="0"/>
        </w:rPr>
        <w:t xml:space="preserve"> under this </w:t>
      </w:r>
      <w:r>
        <w:t>Division, the employee</w:t>
      </w:r>
      <w:r>
        <w:rPr>
          <w:snapToGrid w:val="0"/>
        </w:rPr>
        <w:t xml:space="preserve"> shall forthwith pay the amount of the fine to the Treasurer of the State and, if </w:t>
      </w:r>
      <w:r>
        <w:t>the employee does</w:t>
      </w:r>
      <w:r>
        <w:rPr>
          <w:snapToGrid w:val="0"/>
        </w:rPr>
        <w:t xml:space="preserve"> not do so, that amount may be recovered in a court of competent jurisdiction at the suit of the Treasurer of the State as a civil debt owing to the</w:t>
      </w:r>
      <w:r>
        <w:t xml:space="preserve"> State.</w:t>
      </w:r>
    </w:p>
    <w:p>
      <w:pPr>
        <w:pStyle w:val="Footnotesection"/>
      </w:pPr>
      <w:r>
        <w:tab/>
        <w:t>[Section 91 amended: No. 39 of 2010 s. 70 and 104.]</w:t>
      </w:r>
    </w:p>
    <w:p>
      <w:pPr>
        <w:pStyle w:val="Heading5"/>
      </w:pPr>
      <w:bookmarkStart w:id="257" w:name="_Toc20390134"/>
      <w:r>
        <w:rPr>
          <w:rStyle w:val="CharSectno"/>
        </w:rPr>
        <w:t>92</w:t>
      </w:r>
      <w:r>
        <w:t>.</w:t>
      </w:r>
      <w:r>
        <w:tab/>
        <w:t>Employee convicted of serious offence, powers as to</w:t>
      </w:r>
      <w:bookmarkEnd w:id="257"/>
    </w:p>
    <w:p>
      <w:pPr>
        <w:pStyle w:val="Subsection"/>
      </w:pPr>
      <w:r>
        <w:tab/>
        <w:t>(1)</w:t>
      </w:r>
      <w:r>
        <w:tab/>
        <w:t xml:space="preserve">Despite the </w:t>
      </w:r>
      <w:r>
        <w:rPr>
          <w:i/>
        </w:rPr>
        <w:t>Sentencing Act </w:t>
      </w:r>
      <w:r>
        <w:rPr>
          <w:i/>
          <w:iCs/>
        </w:rPr>
        <w:t>1995</w:t>
      </w:r>
      <w:r>
        <w:t xml:space="preserve"> section 11, if an employee is convicted or found guilty of a serious offence, the employing authority may take disciplinary action or improvement action, or both disciplinary action and improvement action, with respect to the employee.</w:t>
      </w:r>
    </w:p>
    <w:p>
      <w:pPr>
        <w:pStyle w:val="Subsection"/>
      </w:pPr>
      <w:r>
        <w:tab/>
        <w:t>(2)</w:t>
      </w:r>
      <w:r>
        <w:tab/>
        <w:t>Before any disciplinary action or improvement action is taken with respect to an employee under this section, the employee must be given an opportunity to make a submission in relation to the action that the employing authority is considering taking.</w:t>
      </w:r>
    </w:p>
    <w:p>
      <w:pPr>
        <w:pStyle w:val="Subsection"/>
      </w:pPr>
      <w:r>
        <w:tab/>
        <w:t>(3)</w:t>
      </w:r>
      <w:r>
        <w:tab/>
        <w:t>If an employee is dismissed under this section, for the purposes of sections 58(4) and 59(1) the employee is taken to have been dismissed for breach of discipline.</w:t>
      </w:r>
    </w:p>
    <w:p>
      <w:pPr>
        <w:pStyle w:val="Footnotesection"/>
      </w:pPr>
      <w:r>
        <w:tab/>
        <w:t>[Section 92 inserted: No. 39 of 2010 s. 105.]</w:t>
      </w:r>
    </w:p>
    <w:p>
      <w:pPr>
        <w:pStyle w:val="Heading5"/>
      </w:pPr>
      <w:bookmarkStart w:id="258" w:name="_Toc20390135"/>
      <w:r>
        <w:rPr>
          <w:rStyle w:val="CharSectno"/>
        </w:rPr>
        <w:t>93A</w:t>
      </w:r>
      <w:r>
        <w:t>.</w:t>
      </w:r>
      <w:r>
        <w:tab/>
        <w:t>Disciplinary action etc., when it can be taken</w:t>
      </w:r>
      <w:bookmarkEnd w:id="258"/>
    </w:p>
    <w:p>
      <w:pPr>
        <w:pStyle w:val="Subsection"/>
      </w:pPr>
      <w:r>
        <w:tab/>
      </w:r>
      <w:r>
        <w:tab/>
        <w:t>A decision of an employing authority to take disciplinary action or improvement action with respect to an employee may be carried into effect at any time.</w:t>
      </w:r>
    </w:p>
    <w:p>
      <w:pPr>
        <w:pStyle w:val="Footnotesection"/>
      </w:pPr>
      <w:r>
        <w:tab/>
        <w:t>[Section 93A inserted: No. 39 of 2010 s. 105.]</w:t>
      </w:r>
    </w:p>
    <w:p>
      <w:pPr>
        <w:pStyle w:val="Heading2"/>
      </w:pPr>
      <w:bookmarkStart w:id="259" w:name="_Toc500422977"/>
      <w:bookmarkStart w:id="260" w:name="_Toc503259361"/>
      <w:bookmarkStart w:id="261" w:name="_Toc503265297"/>
      <w:bookmarkStart w:id="262" w:name="_Toc503880764"/>
      <w:bookmarkStart w:id="263" w:name="_Toc515436290"/>
      <w:bookmarkStart w:id="264" w:name="_Toc515437119"/>
      <w:bookmarkStart w:id="265" w:name="_Toc20390136"/>
      <w:r>
        <w:rPr>
          <w:rStyle w:val="CharPartNo"/>
        </w:rPr>
        <w:t>Part 6</w:t>
      </w:r>
      <w:r>
        <w:rPr>
          <w:rStyle w:val="CharDivNo"/>
        </w:rPr>
        <w:t> </w:t>
      </w:r>
      <w:r>
        <w:t>—</w:t>
      </w:r>
      <w:r>
        <w:rPr>
          <w:rStyle w:val="CharDivText"/>
        </w:rPr>
        <w:t> </w:t>
      </w:r>
      <w:r>
        <w:rPr>
          <w:rStyle w:val="CharPartText"/>
        </w:rPr>
        <w:t>Redeployment and redundancy of employees</w:t>
      </w:r>
      <w:bookmarkEnd w:id="259"/>
      <w:bookmarkEnd w:id="260"/>
      <w:bookmarkEnd w:id="261"/>
      <w:bookmarkEnd w:id="262"/>
      <w:bookmarkEnd w:id="263"/>
      <w:bookmarkEnd w:id="264"/>
      <w:bookmarkEnd w:id="265"/>
      <w:r>
        <w:rPr>
          <w:rStyle w:val="CharPartText"/>
        </w:rPr>
        <w:t xml:space="preserve"> </w:t>
      </w:r>
    </w:p>
    <w:p>
      <w:pPr>
        <w:pStyle w:val="Heading5"/>
        <w:rPr>
          <w:snapToGrid w:val="0"/>
        </w:rPr>
      </w:pPr>
      <w:bookmarkStart w:id="266" w:name="_Toc20390137"/>
      <w:r>
        <w:rPr>
          <w:rStyle w:val="CharSectno"/>
        </w:rPr>
        <w:t>93</w:t>
      </w:r>
      <w:r>
        <w:rPr>
          <w:snapToGrid w:val="0"/>
        </w:rPr>
        <w:t>.</w:t>
      </w:r>
      <w:r>
        <w:rPr>
          <w:snapToGrid w:val="0"/>
        </w:rPr>
        <w:tab/>
        <w:t>Functions of some employing authorities under s. 94 regulations, performance of</w:t>
      </w:r>
      <w:bookmarkEnd w:id="266"/>
    </w:p>
    <w:p>
      <w:pPr>
        <w:pStyle w:val="Subsection"/>
        <w:rPr>
          <w:snapToGrid w:val="0"/>
        </w:rPr>
      </w:pPr>
      <w:r>
        <w:rPr>
          <w:snapToGrid w:val="0"/>
        </w:rPr>
        <w:tab/>
        <w:t>(1)</w:t>
      </w:r>
      <w:r>
        <w:rPr>
          <w:snapToGrid w:val="0"/>
        </w:rPr>
        <w:tab/>
        <w:t>The employing authority of an affected department or organisation may, with the approval of the</w:t>
      </w:r>
      <w:r>
        <w:t xml:space="preserve"> Commissioner</w:t>
      </w:r>
      <w:r>
        <w:rPr>
          <w:snapToGrid w:val="0"/>
        </w:rPr>
        <w:t>, exercise such powers and perform such duties as are conferred or imposed on such an employing authority by any regulations referred to in section 94(2).</w:t>
      </w:r>
    </w:p>
    <w:p>
      <w:pPr>
        <w:pStyle w:val="Subsection"/>
      </w:pPr>
      <w:r>
        <w:tab/>
        <w:t>(2A)</w:t>
      </w:r>
      <w:r>
        <w:tab/>
        <w:t xml:space="preserve">The Commissioner must consult with the Minister to whom the administration of the </w:t>
      </w:r>
      <w:r>
        <w:rPr>
          <w:i/>
        </w:rPr>
        <w:t>Industrial Relations Act 1979</w:t>
      </w:r>
      <w:r>
        <w:t xml:space="preserve"> is committed, before giving an approval under subsection (1).</w:t>
      </w:r>
    </w:p>
    <w:p>
      <w:pPr>
        <w:pStyle w:val="Ednotesubsection"/>
      </w:pPr>
      <w:r>
        <w:tab/>
        <w:t>[(2)</w:t>
      </w:r>
      <w:r>
        <w:tab/>
        <w:t>deleted]</w:t>
      </w:r>
    </w:p>
    <w:p>
      <w:pPr>
        <w:pStyle w:val="Subsection"/>
        <w:rPr>
          <w:snapToGrid w:val="0"/>
        </w:rPr>
      </w:pPr>
      <w:r>
        <w:rPr>
          <w:snapToGrid w:val="0"/>
        </w:rPr>
        <w:tab/>
        <w:t>(3)</w:t>
      </w:r>
      <w:r>
        <w:rPr>
          <w:snapToGrid w:val="0"/>
        </w:rPr>
        <w:tab/>
        <w:t>In subsection (1) — </w:t>
      </w:r>
    </w:p>
    <w:p>
      <w:pPr>
        <w:pStyle w:val="Defstart"/>
      </w:pPr>
      <w:r>
        <w:rPr>
          <w:b/>
        </w:rPr>
        <w:tab/>
      </w:r>
      <w:r>
        <w:rPr>
          <w:rStyle w:val="CharDefText"/>
        </w:rPr>
        <w:t>affected department or organisation</w:t>
      </w:r>
      <w:r>
        <w:t xml:space="preserve"> means a department or organisation the whole or any part of — </w:t>
      </w:r>
    </w:p>
    <w:p>
      <w:pPr>
        <w:pStyle w:val="Defpara"/>
      </w:pPr>
      <w:r>
        <w:tab/>
        <w:t>(a)</w:t>
      </w:r>
      <w:r>
        <w:tab/>
        <w:t>the undertaking of which is, or is to be, sold or otherwise disposed of to; or</w:t>
      </w:r>
    </w:p>
    <w:p>
      <w:pPr>
        <w:pStyle w:val="Defpara"/>
      </w:pPr>
      <w:r>
        <w:tab/>
        <w:t>(b)</w:t>
      </w:r>
      <w:r>
        <w:tab/>
        <w:t>the production or provision of goods or services or both by which is, or is to be, replaced by the production or provision of goods or services or both by,</w:t>
      </w:r>
    </w:p>
    <w:p>
      <w:pPr>
        <w:pStyle w:val="Defstart"/>
        <w:spacing w:before="160"/>
      </w:pPr>
      <w:r>
        <w:tab/>
        <w:t xml:space="preserve">a </w:t>
      </w:r>
      <w:r>
        <w:rPr>
          <w:snapToGrid/>
        </w:rPr>
        <w:t>person</w:t>
      </w:r>
      <w:r>
        <w:t xml:space="preserve"> outside the Public Sector.</w:t>
      </w:r>
    </w:p>
    <w:p>
      <w:pPr>
        <w:pStyle w:val="Footnotesection"/>
        <w:ind w:left="890" w:hanging="890"/>
      </w:pPr>
      <w:r>
        <w:tab/>
        <w:t>[Section 93 amended: No. 39 of 2010 s. 56, 67 and 70.]</w:t>
      </w:r>
    </w:p>
    <w:p>
      <w:pPr>
        <w:pStyle w:val="Heading5"/>
        <w:rPr>
          <w:snapToGrid w:val="0"/>
        </w:rPr>
      </w:pPr>
      <w:bookmarkStart w:id="267" w:name="_Toc20390138"/>
      <w:r>
        <w:rPr>
          <w:rStyle w:val="CharSectno"/>
        </w:rPr>
        <w:t>94</w:t>
      </w:r>
      <w:r>
        <w:rPr>
          <w:snapToGrid w:val="0"/>
        </w:rPr>
        <w:t>.</w:t>
      </w:r>
      <w:r>
        <w:rPr>
          <w:snapToGrid w:val="0"/>
        </w:rPr>
        <w:tab/>
        <w:t>Regulations concerning redeployment and redundancy</w:t>
      </w:r>
      <w:bookmarkEnd w:id="267"/>
      <w:r>
        <w:rPr>
          <w:snapToGrid w:val="0"/>
        </w:rPr>
        <w:t xml:space="preserve"> </w:t>
      </w:r>
    </w:p>
    <w:p>
      <w:pPr>
        <w:pStyle w:val="Subsection"/>
      </w:pPr>
      <w:r>
        <w:tab/>
        <w:t>(1A)</w:t>
      </w:r>
      <w:r>
        <w:tab/>
        <w:t xml:space="preserve">In this section — </w:t>
      </w:r>
    </w:p>
    <w:p>
      <w:pPr>
        <w:pStyle w:val="Defstart"/>
      </w:pPr>
      <w:r>
        <w:tab/>
      </w:r>
      <w:r>
        <w:rPr>
          <w:rStyle w:val="CharDefText"/>
        </w:rPr>
        <w:t>registered employee</w:t>
      </w:r>
      <w:r>
        <w:t xml:space="preserve"> means an employee registered under arrangements prescribed under subsection (1);</w:t>
      </w:r>
    </w:p>
    <w:p>
      <w:pPr>
        <w:pStyle w:val="Defstart"/>
      </w:pPr>
      <w:r>
        <w:tab/>
      </w:r>
      <w:r>
        <w:rPr>
          <w:rStyle w:val="CharDefText"/>
        </w:rPr>
        <w:t>registrable employee</w:t>
      </w:r>
      <w:r>
        <w:t xml:space="preserve"> means — </w:t>
      </w:r>
    </w:p>
    <w:p>
      <w:pPr>
        <w:pStyle w:val="Defpara"/>
      </w:pPr>
      <w:r>
        <w:tab/>
        <w:t>(a)</w:t>
      </w:r>
      <w:r>
        <w:tab/>
        <w:t>an employee who is surplus to the requirements of a department or organisation; or</w:t>
      </w:r>
    </w:p>
    <w:p>
      <w:pPr>
        <w:pStyle w:val="Defpara"/>
      </w:pPr>
      <w:r>
        <w:tab/>
        <w:t>(b)</w:t>
      </w:r>
      <w:r>
        <w:tab/>
        <w:t>an employee whose office, post or position has been abolished; or</w:t>
      </w:r>
    </w:p>
    <w:p>
      <w:pPr>
        <w:pStyle w:val="Defpara"/>
      </w:pPr>
      <w:r>
        <w:tab/>
        <w:t>(c)</w:t>
      </w:r>
      <w:r>
        <w:tab/>
        <w:t>an employee in a category prescribed by the regulations.</w:t>
      </w:r>
    </w:p>
    <w:p>
      <w:pPr>
        <w:pStyle w:val="Subsection"/>
      </w:pPr>
      <w:r>
        <w:tab/>
        <w:t>(1)</w:t>
      </w:r>
      <w:r>
        <w:tab/>
        <w:t xml:space="preserve">The Governor may under section 108 make regulations prescribing arrangements for registrable employees in relation to — </w:t>
      </w:r>
    </w:p>
    <w:p>
      <w:pPr>
        <w:pStyle w:val="Indenta"/>
      </w:pPr>
      <w:r>
        <w:tab/>
        <w:t>(a)</w:t>
      </w:r>
      <w:r>
        <w:tab/>
        <w:t>redeployment and retraining; and</w:t>
      </w:r>
    </w:p>
    <w:p>
      <w:pPr>
        <w:pStyle w:val="Indenta"/>
      </w:pPr>
      <w:r>
        <w:tab/>
        <w:t>(b)</w:t>
      </w:r>
      <w:r>
        <w:tab/>
        <w:t>redundancy.</w:t>
      </w:r>
    </w:p>
    <w:p>
      <w:pPr>
        <w:pStyle w:val="Subsection"/>
      </w:pPr>
      <w:r>
        <w:tab/>
        <w:t>(2A)</w:t>
      </w:r>
      <w:r>
        <w:tab/>
        <w:t>Regulations referred to in subsection (1) must specify which parts of the Public Sector must comply with the regulations.</w:t>
      </w:r>
    </w:p>
    <w:p>
      <w:pPr>
        <w:pStyle w:val="Subsection"/>
        <w:rPr>
          <w:snapToGrid w:val="0"/>
        </w:rPr>
      </w:pPr>
      <w:r>
        <w:rPr>
          <w:snapToGrid w:val="0"/>
        </w:rPr>
        <w:tab/>
        <w:t>(2)</w:t>
      </w:r>
      <w:r>
        <w:rPr>
          <w:snapToGrid w:val="0"/>
        </w:rPr>
        <w:tab/>
        <w:t>Without limiting the generality of subsection (1), regulations referred to in that subsection may provide for — </w:t>
      </w:r>
    </w:p>
    <w:p>
      <w:pPr>
        <w:pStyle w:val="Indenta"/>
        <w:rPr>
          <w:snapToGrid w:val="0"/>
        </w:rPr>
      </w:pPr>
      <w:r>
        <w:rPr>
          <w:snapToGrid w:val="0"/>
        </w:rPr>
        <w:tab/>
        <w:t>(a)</w:t>
      </w:r>
      <w:r>
        <w:rPr>
          <w:snapToGrid w:val="0"/>
        </w:rPr>
        <w:tab/>
        <w:t>the situation in which the whole or any part of — </w:t>
      </w:r>
    </w:p>
    <w:p>
      <w:pPr>
        <w:pStyle w:val="Indenti"/>
        <w:rPr>
          <w:snapToGrid w:val="0"/>
        </w:rPr>
      </w:pPr>
      <w:r>
        <w:rPr>
          <w:snapToGrid w:val="0"/>
        </w:rPr>
        <w:tab/>
        <w:t>(i)</w:t>
      </w:r>
      <w:r>
        <w:rPr>
          <w:snapToGrid w:val="0"/>
        </w:rPr>
        <w:tab/>
        <w:t>the undertaking of a department or organisation is, or is to be, sold or otherwise disposed of to; or</w:t>
      </w:r>
    </w:p>
    <w:p>
      <w:pPr>
        <w:pStyle w:val="Indenti"/>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rPr>
          <w:snapToGrid w:val="0"/>
        </w:rPr>
      </w:pPr>
      <w:r>
        <w:rPr>
          <w:snapToGrid w:val="0"/>
        </w:rPr>
        <w:tab/>
      </w:r>
      <w:r>
        <w:rPr>
          <w:snapToGrid w:val="0"/>
        </w:rPr>
        <w:tab/>
        <w:t>a person outside the Public Sector, and an employee of the department or organisation is offered a suitable office, post or position by that person; and</w:t>
      </w:r>
    </w:p>
    <w:p>
      <w:pPr>
        <w:pStyle w:val="Indenta"/>
        <w:rPr>
          <w:snapToGrid w:val="0"/>
        </w:rPr>
      </w:pPr>
      <w:r>
        <w:rPr>
          <w:snapToGrid w:val="0"/>
        </w:rPr>
        <w:tab/>
        <w:t>(b)</w:t>
      </w:r>
      <w:r>
        <w:rPr>
          <w:snapToGrid w:val="0"/>
        </w:rPr>
        <w:tab/>
        <w:t>an employee referred to in paragraph (a) who — </w:t>
      </w:r>
    </w:p>
    <w:p>
      <w:pPr>
        <w:pStyle w:val="Indenti"/>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rPr>
          <w:snapToGrid w:val="0"/>
        </w:rPr>
      </w:pPr>
      <w:r>
        <w:rPr>
          <w:snapToGrid w:val="0"/>
        </w:rPr>
        <w:tab/>
        <w:t>(d)</w:t>
      </w:r>
      <w:r>
        <w:rPr>
          <w:snapToGrid w:val="0"/>
        </w:rPr>
        <w:tab/>
        <w:t xml:space="preserve">the terms and conditions (including remuneration) which are to apply to an employee who is dismissed under </w:t>
      </w:r>
      <w:r>
        <w:t>section 82A(3)(a), 88(a) or 89(1).</w:t>
      </w:r>
    </w:p>
    <w:p>
      <w:pPr>
        <w:pStyle w:val="Subsection"/>
        <w:keepNext/>
        <w:rPr>
          <w:snapToGrid w:val="0"/>
        </w:rPr>
      </w:pPr>
      <w:r>
        <w:rPr>
          <w:snapToGrid w:val="0"/>
        </w:rPr>
        <w:tab/>
        <w:t>(3)</w:t>
      </w:r>
      <w:r>
        <w:rPr>
          <w:snapToGrid w:val="0"/>
        </w:rPr>
        <w:tab/>
        <w:t xml:space="preserve">Without limiting the generality of subsection (1), regulations referred to in that subsection may </w:t>
      </w:r>
      <w:r>
        <w:t>provide for the following —</w:t>
      </w:r>
    </w:p>
    <w:p>
      <w:pPr>
        <w:pStyle w:val="Indenta"/>
      </w:pPr>
      <w:r>
        <w:tab/>
        <w:t>(a)</w:t>
      </w:r>
      <w:r>
        <w:tab/>
        <w:t>the registration of a registrable employee who cannot be transferred within a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pPr>
      <w:r>
        <w:tab/>
        <w:t>(ca)</w:t>
      </w:r>
      <w:r>
        <w:tab/>
        <w:t>the revocation or suspension of registration of an employee;</w:t>
      </w:r>
    </w:p>
    <w:p>
      <w:pPr>
        <w:pStyle w:val="Indenta"/>
        <w:rPr>
          <w:snapToGrid w:val="0"/>
        </w:rPr>
      </w:pPr>
      <w:r>
        <w:rPr>
          <w:snapToGrid w:val="0"/>
        </w:rPr>
        <w:tab/>
        <w:t>(c)</w:t>
      </w:r>
      <w:r>
        <w:rPr>
          <w:snapToGrid w:val="0"/>
        </w:rPr>
        <w:tab/>
        <w:t xml:space="preserve">the circumstances in which the </w:t>
      </w:r>
      <w:r>
        <w:t>Commissioner</w:t>
      </w:r>
      <w:r>
        <w:rPr>
          <w:snapToGrid w:val="0"/>
        </w:rPr>
        <w:t xml:space="preserve">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w:t>
      </w:r>
      <w:r>
        <w:t xml:space="preserve"> Commissioner</w:t>
      </w:r>
      <w:r>
        <w:rPr>
          <w:snapToGrid w:val="0"/>
        </w:rPr>
        <w:t>, accepts voluntary severance by resigning his or her office, post or position;</w:t>
      </w:r>
    </w:p>
    <w:p>
      <w:pPr>
        <w:pStyle w:val="Indenta"/>
        <w:rPr>
          <w:snapToGrid w:val="0"/>
        </w:rPr>
      </w:pPr>
      <w:r>
        <w:rPr>
          <w:snapToGrid w:val="0"/>
        </w:rPr>
        <w:tab/>
        <w:t>(f)</w:t>
      </w:r>
      <w:r>
        <w:rPr>
          <w:snapToGrid w:val="0"/>
        </w:rPr>
        <w:tab/>
        <w:t xml:space="preserve">the terms and conditions (including remuneration) which are to apply to a registered employee who accepts an offer of a suitable office, post or position inside or outside the Public Sector, and those which are to apply to a registered employee </w:t>
      </w:r>
      <w:r>
        <w:t>who does not.</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 xml:space="preserve">upheld by the Industrial Commission on a reference under </w:t>
      </w:r>
      <w:r>
        <w:t>section 95(2), or the period referred to in section 95(3)</w:t>
      </w:r>
      <w:r>
        <w:rPr>
          <w:snapToGrid w:val="0"/>
        </w:rPr>
        <w:t xml:space="preserve"> has expired without that direction having been so referred,</w:t>
      </w:r>
    </w:p>
    <w:p>
      <w:pPr>
        <w:pStyle w:val="Subsection"/>
        <w:rPr>
          <w:snapToGrid w:val="0"/>
        </w:rPr>
      </w:pPr>
      <w:r>
        <w:rPr>
          <w:snapToGrid w:val="0"/>
        </w:rPr>
        <w:tab/>
      </w:r>
      <w:r>
        <w:rPr>
          <w:snapToGrid w:val="0"/>
        </w:rPr>
        <w:tab/>
        <w:t xml:space="preserve">a lawful order for the purposes of section 80(a), but nothing in this subsection limits the meaning of </w:t>
      </w:r>
      <w:r>
        <w:rPr>
          <w:b/>
          <w:i/>
          <w:snapToGrid w:val="0"/>
        </w:rPr>
        <w:t>lawful order</w:t>
      </w:r>
      <w:r>
        <w:rPr>
          <w:snapToGrid w:val="0"/>
        </w:rPr>
        <w:t xml:space="preserve">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rStyle w:val="CharDefText"/>
        </w:rPr>
        <w:t>suitable office, post or position</w:t>
      </w:r>
      <w:r>
        <w:rPr>
          <w:snapToGrid w:val="0"/>
        </w:rPr>
        <w:t xml:space="preserve"> or </w:t>
      </w:r>
      <w:r>
        <w:rPr>
          <w:rStyle w:val="CharDefText"/>
        </w:rPr>
        <w:t>suitable employment</w:t>
      </w:r>
      <w:r>
        <w:rPr>
          <w:snapToGrid w:val="0"/>
        </w:rPr>
        <w:t xml:space="preserve"> </w:t>
      </w:r>
      <w:r>
        <w:t xml:space="preserve">means an office, </w:t>
      </w:r>
      <w:r>
        <w:rPr>
          <w:snapToGrid w:val="0"/>
        </w:rPr>
        <w:t>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 and</w:t>
      </w:r>
    </w:p>
    <w:p>
      <w:pPr>
        <w:pStyle w:val="Indenta"/>
        <w:rPr>
          <w:snapToGrid w:val="0"/>
        </w:rPr>
      </w:pPr>
      <w:r>
        <w:rPr>
          <w:snapToGrid w:val="0"/>
        </w:rPr>
        <w:tab/>
        <w:t>(b)</w:t>
      </w:r>
      <w:r>
        <w:rPr>
          <w:snapToGrid w:val="0"/>
        </w:rPr>
        <w:tab/>
        <w:t>which does not require the employee to change his or her place of residence; and</w:t>
      </w:r>
    </w:p>
    <w:p>
      <w:pPr>
        <w:pStyle w:val="Indenta"/>
        <w:keepNext/>
        <w:rPr>
          <w:snapToGrid w:val="0"/>
        </w:rPr>
      </w:pPr>
      <w:r>
        <w:rPr>
          <w:snapToGrid w:val="0"/>
        </w:rPr>
        <w:tab/>
        <w:t>(c)</w:t>
      </w:r>
      <w:r>
        <w:rPr>
          <w:snapToGrid w:val="0"/>
        </w:rPr>
        <w:tab/>
        <w:t>which satisfies such other criteria as are prescribed.</w:t>
      </w:r>
    </w:p>
    <w:p>
      <w:pPr>
        <w:pStyle w:val="Footnotesection"/>
        <w:ind w:left="890" w:hanging="890"/>
      </w:pPr>
      <w:r>
        <w:tab/>
        <w:t>[Section 94 amended: No. 57 of 1997 s. 99(2); No. 39 of 2010 s. 67, 70 and 106; No. 8 of 2014 s. 13.]</w:t>
      </w:r>
    </w:p>
    <w:p>
      <w:pPr>
        <w:pStyle w:val="Heading5"/>
      </w:pPr>
      <w:bookmarkStart w:id="268" w:name="_Toc20390139"/>
      <w:r>
        <w:rPr>
          <w:rStyle w:val="CharSectno"/>
        </w:rPr>
        <w:t>95A</w:t>
      </w:r>
      <w:r>
        <w:t>.</w:t>
      </w:r>
      <w:r>
        <w:tab/>
        <w:t>Termination of employment of registered employees</w:t>
      </w:r>
      <w:bookmarkEnd w:id="268"/>
    </w:p>
    <w:p>
      <w:pPr>
        <w:pStyle w:val="Subsection"/>
      </w:pPr>
      <w:r>
        <w:tab/>
        <w:t>(1)</w:t>
      </w:r>
      <w:r>
        <w:tab/>
        <w:t xml:space="preserve">In this section — </w:t>
      </w:r>
    </w:p>
    <w:p>
      <w:pPr>
        <w:pStyle w:val="Defstart"/>
      </w:pPr>
      <w:r>
        <w:tab/>
      </w:r>
      <w:r>
        <w:rPr>
          <w:rStyle w:val="CharDefText"/>
        </w:rPr>
        <w:t>registered employee</w:t>
      </w:r>
      <w:r>
        <w:t xml:space="preserve"> has the meaning given in section 94(1A).</w:t>
      </w:r>
    </w:p>
    <w:p>
      <w:pPr>
        <w:pStyle w:val="Subsection"/>
      </w:pPr>
      <w:r>
        <w:tab/>
        <w:t>(2)</w:t>
      </w:r>
      <w:r>
        <w:tab/>
        <w:t xml:space="preserve">The Governor may under section 108 make regulations providing for the following — </w:t>
      </w:r>
    </w:p>
    <w:p>
      <w:pPr>
        <w:pStyle w:val="Indenta"/>
      </w:pPr>
      <w:r>
        <w:tab/>
        <w:t>(a)</w:t>
      </w:r>
      <w:r>
        <w:tab/>
        <w:t xml:space="preserve">the termination of employment of a registered employee, whether registered before, on or after the commencement of the </w:t>
      </w:r>
      <w:r>
        <w:rPr>
          <w:i/>
        </w:rPr>
        <w:t>Workforce Reform Act 2014</w:t>
      </w:r>
      <w:r>
        <w:t xml:space="preserve"> section 14;</w:t>
      </w:r>
    </w:p>
    <w:p>
      <w:pPr>
        <w:pStyle w:val="Indenta"/>
      </w:pPr>
      <w:r>
        <w:tab/>
        <w:t>(b)</w:t>
      </w:r>
      <w:r>
        <w:tab/>
        <w:t>the terms and conditions (including remuneration) which are to apply to a registered employee whose employment is terminated under the regulations.</w:t>
      </w:r>
    </w:p>
    <w:p>
      <w:pPr>
        <w:pStyle w:val="Subsection"/>
      </w:pPr>
      <w:r>
        <w:tab/>
        <w:t>(3)</w:t>
      </w:r>
      <w:r>
        <w:tab/>
        <w:t>If the employment of a registered employee is terminated under regulations referred to in subsection (2), the contract of employment of the employee is terminated.</w:t>
      </w:r>
    </w:p>
    <w:p>
      <w:pPr>
        <w:pStyle w:val="Footnotesection"/>
        <w:spacing w:before="100"/>
        <w:ind w:left="890" w:hanging="890"/>
      </w:pPr>
      <w:r>
        <w:tab/>
        <w:t>[Section 95A inserted: No. 8 of 2014 s. 14.]</w:t>
      </w:r>
    </w:p>
    <w:p>
      <w:pPr>
        <w:pStyle w:val="Heading5"/>
      </w:pPr>
      <w:bookmarkStart w:id="269" w:name="_Toc20390140"/>
      <w:r>
        <w:rPr>
          <w:rStyle w:val="CharSectno"/>
        </w:rPr>
        <w:t>95B</w:t>
      </w:r>
      <w:r>
        <w:t>.</w:t>
      </w:r>
      <w:r>
        <w:tab/>
        <w:t>Inconsistent provisions, instruments and contracts</w:t>
      </w:r>
      <w:bookmarkEnd w:id="269"/>
    </w:p>
    <w:p>
      <w:pPr>
        <w:pStyle w:val="Subsection"/>
      </w:pPr>
      <w:r>
        <w:tab/>
        <w:t>(1)</w:t>
      </w:r>
      <w:r>
        <w:tab/>
        <w:t xml:space="preserve">In this section — </w:t>
      </w:r>
    </w:p>
    <w:p>
      <w:pPr>
        <w:pStyle w:val="Defstart"/>
      </w:pPr>
      <w:r>
        <w:tab/>
      </w:r>
      <w:r>
        <w:rPr>
          <w:rStyle w:val="CharDefText"/>
        </w:rPr>
        <w:t>industrial instrument</w:t>
      </w:r>
      <w:r>
        <w:t xml:space="preserve"> means an award, industrial agreement or order made under the </w:t>
      </w:r>
      <w:r>
        <w:rPr>
          <w:i/>
        </w:rPr>
        <w:t>Industrial Relations Act 1979</w:t>
      </w:r>
      <w:r>
        <w:t xml:space="preserve">, including a General Order made under section 50 of that Act, whether made before, on or after the commencement of the </w:t>
      </w:r>
      <w:r>
        <w:rPr>
          <w:i/>
        </w:rPr>
        <w:t>Workforce Reform Act 2014</w:t>
      </w:r>
      <w:r>
        <w:t xml:space="preserve"> section 14.</w:t>
      </w:r>
    </w:p>
    <w:p>
      <w:pPr>
        <w:pStyle w:val="Subsection"/>
      </w:pPr>
      <w:r>
        <w:tab/>
        <w:t>(2A)</w:t>
      </w:r>
      <w:r>
        <w:tab/>
        <w:t>The provisions of this Part prevail, to the extent of any inconsistency, over any other provision of this Act other than section 7, 8 or 9.</w:t>
      </w:r>
    </w:p>
    <w:p>
      <w:pPr>
        <w:pStyle w:val="Subsection"/>
      </w:pPr>
      <w:r>
        <w:tab/>
        <w:t>(2)</w:t>
      </w:r>
      <w:r>
        <w:tab/>
        <w:t>The provisions of this Part and regulations referred to in sections 94 and 95A prevail, to the extent of any inconsistency, over any industrial instrument.</w:t>
      </w:r>
    </w:p>
    <w:p>
      <w:pPr>
        <w:pStyle w:val="Subsection"/>
      </w:pPr>
      <w:r>
        <w:tab/>
        <w:t>(3)</w:t>
      </w:r>
      <w:r>
        <w:tab/>
        <w:t xml:space="preserve">Regulations referred to in section 94 or 95A prevail, to the extent of any inconsistency, over the terms and conditions applying to an employee’s employment under a contract of employment, whether entered into or renewed before, on or after the commencement of the </w:t>
      </w:r>
      <w:r>
        <w:rPr>
          <w:i/>
        </w:rPr>
        <w:t>Workforce Reform Act 2014</w:t>
      </w:r>
      <w:r>
        <w:t xml:space="preserve"> section 14.</w:t>
      </w:r>
    </w:p>
    <w:p>
      <w:pPr>
        <w:pStyle w:val="Footnotesection"/>
        <w:spacing w:before="100"/>
        <w:ind w:left="890" w:hanging="890"/>
      </w:pPr>
      <w:r>
        <w:tab/>
        <w:t>[Section 95B inserted: No. 8 of 2014 s. 14.]</w:t>
      </w:r>
    </w:p>
    <w:p>
      <w:pPr>
        <w:pStyle w:val="Heading5"/>
      </w:pPr>
      <w:bookmarkStart w:id="270" w:name="_Toc20390141"/>
      <w:r>
        <w:rPr>
          <w:rStyle w:val="CharSectno"/>
        </w:rPr>
        <w:t>95</w:t>
      </w:r>
      <w:r>
        <w:t>.</w:t>
      </w:r>
      <w:r>
        <w:tab/>
        <w:t>Jurisdiction of Industrial Commission in relation to section 94 decision</w:t>
      </w:r>
      <w:bookmarkEnd w:id="270"/>
    </w:p>
    <w:p>
      <w:pPr>
        <w:pStyle w:val="Subsection"/>
        <w:keepNext/>
      </w:pPr>
      <w:r>
        <w:tab/>
        <w:t>(1)</w:t>
      </w:r>
      <w:r>
        <w:tab/>
        <w:t xml:space="preserve">In this section — </w:t>
      </w:r>
    </w:p>
    <w:p>
      <w:pPr>
        <w:pStyle w:val="Defstart"/>
      </w:pPr>
      <w:r>
        <w:tab/>
      </w:r>
      <w:r>
        <w:rPr>
          <w:rStyle w:val="CharDefText"/>
        </w:rPr>
        <w:t>section 94 decision</w:t>
      </w:r>
      <w:r>
        <w:t xml:space="preserve"> means a decision made or purported to be made under regulations referred to in section 94 (other than a decision which is a lawful order by virtue of section 94(4)).</w:t>
      </w:r>
    </w:p>
    <w:p>
      <w:pPr>
        <w:pStyle w:val="Subsection"/>
      </w:pPr>
      <w:r>
        <w:tab/>
        <w:t>(2)</w:t>
      </w:r>
      <w:r>
        <w:tab/>
        <w:t xml:space="preserve">A section 94 decision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section 94 decision referred under subsection (2) as if the decision were an industrial matter referred to the Industrial Commission in accordance with that Act.</w:t>
      </w:r>
    </w:p>
    <w:p>
      <w:pPr>
        <w:pStyle w:val="Subsection"/>
      </w:pPr>
      <w:r>
        <w:tab/>
        <w:t>(5)</w:t>
      </w:r>
      <w:r>
        <w:tab/>
        <w:t>In exercising its jurisdiction in relation to a decision referred under subsection (2), the Industrial Commission must confine itself to determining whether or not regulations referred to in section 94 have been fairly and properly applied to or in relation to the employee concerned.</w:t>
      </w:r>
    </w:p>
    <w:p>
      <w:pPr>
        <w:pStyle w:val="Subsection"/>
      </w:pPr>
      <w:r>
        <w:tab/>
        <w:t>(6)</w:t>
      </w:r>
      <w:r>
        <w:tab/>
        <w:t>The Industrial Commission does not have jurisdiction in respect of a section 94 decision if the employment of the employee concerned is terminated.</w:t>
      </w:r>
    </w:p>
    <w:p>
      <w:pPr>
        <w:pStyle w:val="Footnotesection"/>
        <w:spacing w:before="100"/>
        <w:ind w:left="890" w:hanging="890"/>
      </w:pPr>
      <w:r>
        <w:tab/>
        <w:t>[Section 95 inserted: No. 8 of 2014 s. 15.]</w:t>
      </w:r>
    </w:p>
    <w:p>
      <w:pPr>
        <w:pStyle w:val="Heading5"/>
      </w:pPr>
      <w:bookmarkStart w:id="271" w:name="_Toc20390142"/>
      <w:r>
        <w:rPr>
          <w:rStyle w:val="CharSectno"/>
        </w:rPr>
        <w:t>96A</w:t>
      </w:r>
      <w:r>
        <w:t>.</w:t>
      </w:r>
      <w:r>
        <w:tab/>
        <w:t>Jurisdiction of Industrial Commission in relation to section 95A decision</w:t>
      </w:r>
      <w:bookmarkEnd w:id="271"/>
    </w:p>
    <w:p>
      <w:pPr>
        <w:pStyle w:val="Subsection"/>
      </w:pPr>
      <w:r>
        <w:tab/>
        <w:t>(1)</w:t>
      </w:r>
      <w:r>
        <w:tab/>
        <w:t xml:space="preserve">A decision made or purported to be made under regulations referred to in section 95A to terminate the employment of an employee or any matter, question or dispute relating to the decision is not an industrial matter for the purposes of the </w:t>
      </w:r>
      <w:r>
        <w:rPr>
          <w:i/>
        </w:rPr>
        <w:t>Industrial Relations Act 1979</w:t>
      </w:r>
      <w:r>
        <w:t>.</w:t>
      </w:r>
    </w:p>
    <w:p>
      <w:pPr>
        <w:pStyle w:val="Subsection"/>
      </w:pPr>
      <w:r>
        <w:tab/>
        <w:t>(2)</w:t>
      </w:r>
      <w:r>
        <w:tab/>
        <w:t xml:space="preserve">Despite subsection (1), a decision made or purported to be made under regulations referred to in section 95A(2), other than a decision to terminate the employment of an employee, may be referred to the Industrial Commission — </w:t>
      </w:r>
    </w:p>
    <w:p>
      <w:pPr>
        <w:pStyle w:val="Indenta"/>
      </w:pPr>
      <w:r>
        <w:tab/>
        <w:t>(a)</w:t>
      </w:r>
      <w:r>
        <w:tab/>
        <w:t xml:space="preserve">under the </w:t>
      </w:r>
      <w:r>
        <w:rPr>
          <w:i/>
        </w:rPr>
        <w:t xml:space="preserve">Industrial Relations Act 1979 </w:t>
      </w:r>
      <w:r>
        <w:t>section 29(1)(a); or</w:t>
      </w:r>
    </w:p>
    <w:p>
      <w:pPr>
        <w:pStyle w:val="Indenta"/>
      </w:pPr>
      <w:r>
        <w:tab/>
        <w:t>(b)</w:t>
      </w:r>
      <w:r>
        <w:tab/>
        <w:t>by an employee or former employee aggrieved by the decision,</w:t>
      </w:r>
    </w:p>
    <w:p>
      <w:pPr>
        <w:pStyle w:val="Subsection"/>
      </w:pPr>
      <w:r>
        <w:tab/>
      </w:r>
      <w:r>
        <w:tab/>
        <w:t>as if it were an industrial matter that could be so referred under that Act.</w:t>
      </w:r>
    </w:p>
    <w:p>
      <w:pPr>
        <w:pStyle w:val="Subsection"/>
      </w:pPr>
      <w:r>
        <w:tab/>
        <w:t>(3)</w:t>
      </w:r>
      <w:r>
        <w:tab/>
        <w:t>A referral under subsection (2) must be made within the period after the making of the decision that is prescribed under section 108.</w:t>
      </w:r>
    </w:p>
    <w:p>
      <w:pPr>
        <w:pStyle w:val="Subsection"/>
      </w:pPr>
      <w:r>
        <w:tab/>
        <w:t>(4)</w:t>
      </w:r>
      <w:r>
        <w:tab/>
        <w:t xml:space="preserve">The </w:t>
      </w:r>
      <w:r>
        <w:rPr>
          <w:i/>
        </w:rPr>
        <w:t>Industrial Relations Act 1979</w:t>
      </w:r>
      <w:r>
        <w:t xml:space="preserve"> applies to and in relation to a decision referred under subsection (2) as if the decision were an industrial matter referred to the Industrial Commission in accordance with that Act.</w:t>
      </w:r>
    </w:p>
    <w:p>
      <w:pPr>
        <w:pStyle w:val="Subsection"/>
      </w:pPr>
      <w:r>
        <w:tab/>
        <w:t>(5)</w:t>
      </w:r>
      <w:r>
        <w:tab/>
        <w:t xml:space="preserve">In exercising its jurisdiction in relation to a decision referred under subsection (2), the Industrial Commission — </w:t>
      </w:r>
    </w:p>
    <w:p>
      <w:pPr>
        <w:pStyle w:val="Indenta"/>
      </w:pPr>
      <w:r>
        <w:tab/>
        <w:t>(a)</w:t>
      </w:r>
      <w:r>
        <w:tab/>
        <w:t>must confine itself to determining whether or not the employee concerned has been allowed the benefits to which the employee is entitled under the regulations referred to in section 95A(2)(b); and</w:t>
      </w:r>
    </w:p>
    <w:p>
      <w:pPr>
        <w:pStyle w:val="Indenta"/>
        <w:keepNext/>
      </w:pPr>
      <w:r>
        <w:tab/>
        <w:t>(b)</w:t>
      </w:r>
      <w:r>
        <w:tab/>
        <w:t xml:space="preserve">does not have jurisdiction to exercise its powers under the </w:t>
      </w:r>
      <w:r>
        <w:rPr>
          <w:i/>
        </w:rPr>
        <w:t>Industrial Relations Act 1979</w:t>
      </w:r>
      <w:r>
        <w:t xml:space="preserve"> section 23A.</w:t>
      </w:r>
    </w:p>
    <w:p>
      <w:pPr>
        <w:pStyle w:val="Footnotesection"/>
        <w:spacing w:before="100"/>
        <w:ind w:left="890" w:hanging="890"/>
      </w:pPr>
      <w:r>
        <w:tab/>
        <w:t>[Section 96A inserted: No. 8 of 2014 s. 15.]</w:t>
      </w:r>
    </w:p>
    <w:p>
      <w:pPr>
        <w:pStyle w:val="Heading5"/>
      </w:pPr>
      <w:bookmarkStart w:id="272" w:name="_Toc20390143"/>
      <w:r>
        <w:rPr>
          <w:rStyle w:val="CharSectno"/>
        </w:rPr>
        <w:t>96B</w:t>
      </w:r>
      <w:r>
        <w:rPr>
          <w:rFonts w:eastAsiaTheme="majorEastAsia"/>
        </w:rPr>
        <w:t>.</w:t>
      </w:r>
      <w:r>
        <w:rPr>
          <w:rFonts w:eastAsiaTheme="majorEastAsia"/>
        </w:rPr>
        <w:tab/>
        <w:t>Review of this Part</w:t>
      </w:r>
      <w:bookmarkEnd w:id="272"/>
    </w:p>
    <w:p>
      <w:pPr>
        <w:pStyle w:val="Subsection"/>
      </w:pPr>
      <w:r>
        <w:tab/>
        <w:t>(1)</w:t>
      </w:r>
      <w:r>
        <w:tab/>
        <w:t>The Minister must cause a review of the operation and effectiveness of this Part to be carried out as soon as is practicable after the 4</w:t>
      </w:r>
      <w:r>
        <w:rPr>
          <w:vertAlign w:val="superscript"/>
        </w:rPr>
        <w:t>th</w:t>
      </w:r>
      <w:r>
        <w:t xml:space="preserve"> anniversary of the day on which the </w:t>
      </w:r>
      <w:r>
        <w:rPr>
          <w:i/>
          <w:iCs/>
        </w:rPr>
        <w:t xml:space="preserve">Workforce Reform Act 2014 </w:t>
      </w:r>
      <w:r>
        <w:t xml:space="preserve">section 15 comes into operation. </w:t>
      </w:r>
    </w:p>
    <w:p>
      <w:pPr>
        <w:pStyle w:val="Subsection"/>
      </w:pPr>
      <w:r>
        <w:tab/>
        <w:t>(2)</w:t>
      </w:r>
      <w:r>
        <w:tab/>
        <w:t>The Minister must —</w:t>
      </w:r>
    </w:p>
    <w:p>
      <w:pPr>
        <w:pStyle w:val="Indenta"/>
      </w:pPr>
      <w:r>
        <w:tab/>
        <w:t>(a)</w:t>
      </w:r>
      <w:r>
        <w:tab/>
        <w:t>prepare a report based on the review; and</w:t>
      </w:r>
    </w:p>
    <w:p>
      <w:pPr>
        <w:pStyle w:val="Indenta"/>
      </w:pPr>
      <w:r>
        <w:tab/>
        <w:t>(b)</w:t>
      </w:r>
      <w:r>
        <w:tab/>
        <w:t>cause a copy of the report to be laid before each House of Parliament.</w:t>
      </w:r>
    </w:p>
    <w:p>
      <w:pPr>
        <w:pStyle w:val="Footnotesection"/>
        <w:spacing w:before="100"/>
        <w:ind w:left="890" w:hanging="890"/>
      </w:pPr>
      <w:r>
        <w:tab/>
        <w:t>[Section 96B inserted: No. 8 of 2014 s. 15.]</w:t>
      </w:r>
    </w:p>
    <w:p>
      <w:pPr>
        <w:pStyle w:val="Heading2"/>
      </w:pPr>
      <w:bookmarkStart w:id="273" w:name="_Toc500422985"/>
      <w:bookmarkStart w:id="274" w:name="_Toc503259369"/>
      <w:bookmarkStart w:id="275" w:name="_Toc503265305"/>
      <w:bookmarkStart w:id="276" w:name="_Toc503880772"/>
      <w:bookmarkStart w:id="277" w:name="_Toc515436298"/>
      <w:bookmarkStart w:id="278" w:name="_Toc515437127"/>
      <w:bookmarkStart w:id="279" w:name="_Toc20390144"/>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273"/>
      <w:bookmarkEnd w:id="274"/>
      <w:bookmarkEnd w:id="275"/>
      <w:bookmarkEnd w:id="276"/>
      <w:bookmarkEnd w:id="277"/>
      <w:bookmarkEnd w:id="278"/>
      <w:bookmarkEnd w:id="279"/>
      <w:r>
        <w:rPr>
          <w:rStyle w:val="CharPartText"/>
        </w:rPr>
        <w:t xml:space="preserve"> </w:t>
      </w:r>
    </w:p>
    <w:p>
      <w:pPr>
        <w:pStyle w:val="Heading5"/>
        <w:spacing w:before="240"/>
        <w:rPr>
          <w:snapToGrid w:val="0"/>
        </w:rPr>
      </w:pPr>
      <w:bookmarkStart w:id="280" w:name="_Toc20390145"/>
      <w:r>
        <w:rPr>
          <w:rStyle w:val="CharSectno"/>
        </w:rPr>
        <w:t>96</w:t>
      </w:r>
      <w:r>
        <w:rPr>
          <w:snapToGrid w:val="0"/>
        </w:rPr>
        <w:t>.</w:t>
      </w:r>
      <w:r>
        <w:rPr>
          <w:snapToGrid w:val="0"/>
        </w:rPr>
        <w:tab/>
        <w:t>Application of Part 7</w:t>
      </w:r>
      <w:bookmarkEnd w:id="280"/>
      <w:r>
        <w:rPr>
          <w:snapToGrid w:val="0"/>
        </w:rPr>
        <w:t xml:space="preserve"> </w:t>
      </w:r>
    </w:p>
    <w:p>
      <w:pPr>
        <w:pStyle w:val="Subsection"/>
        <w:spacing w:before="180"/>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spacing w:before="240"/>
        <w:rPr>
          <w:snapToGrid w:val="0"/>
        </w:rPr>
      </w:pPr>
      <w:bookmarkStart w:id="281" w:name="_Toc20390146"/>
      <w:r>
        <w:rPr>
          <w:rStyle w:val="CharSectno"/>
        </w:rPr>
        <w:t>97</w:t>
      </w:r>
      <w:r>
        <w:rPr>
          <w:snapToGrid w:val="0"/>
        </w:rPr>
        <w:t>.</w:t>
      </w:r>
      <w:r>
        <w:rPr>
          <w:snapToGrid w:val="0"/>
        </w:rPr>
        <w:tab/>
        <w:t>Commissioner’s functions under Part 7</w:t>
      </w:r>
      <w:bookmarkEnd w:id="281"/>
    </w:p>
    <w:p>
      <w:pPr>
        <w:pStyle w:val="Subsection"/>
        <w:keepNext/>
        <w:spacing w:before="180"/>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 and</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spacing w:before="180"/>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spacing w:before="240"/>
        <w:rPr>
          <w:snapToGrid w:val="0"/>
        </w:rPr>
      </w:pPr>
      <w:bookmarkStart w:id="282" w:name="_Toc20390147"/>
      <w:r>
        <w:rPr>
          <w:rStyle w:val="CharSectno"/>
        </w:rPr>
        <w:t>98</w:t>
      </w:r>
      <w:r>
        <w:rPr>
          <w:snapToGrid w:val="0"/>
        </w:rPr>
        <w:t>.</w:t>
      </w:r>
      <w:r>
        <w:rPr>
          <w:snapToGrid w:val="0"/>
        </w:rPr>
        <w:tab/>
        <w:t>Regulations as to procedure for seeking relief etc.</w:t>
      </w:r>
      <w:bookmarkEnd w:id="282"/>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 and</w:t>
      </w:r>
    </w:p>
    <w:p>
      <w:pPr>
        <w:pStyle w:val="Indenta"/>
        <w:keepNext/>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283" w:name="_Toc500422989"/>
      <w:bookmarkStart w:id="284" w:name="_Toc503259373"/>
      <w:bookmarkStart w:id="285" w:name="_Toc503265309"/>
      <w:bookmarkStart w:id="286" w:name="_Toc503880776"/>
      <w:bookmarkStart w:id="287" w:name="_Toc515436302"/>
      <w:bookmarkStart w:id="288" w:name="_Toc515437131"/>
      <w:bookmarkStart w:id="289" w:name="_Toc20390148"/>
      <w:r>
        <w:rPr>
          <w:rStyle w:val="CharPartNo"/>
        </w:rPr>
        <w:t>Part 8</w:t>
      </w:r>
      <w:r>
        <w:rPr>
          <w:rStyle w:val="CharDivNo"/>
        </w:rPr>
        <w:t> </w:t>
      </w:r>
      <w:r>
        <w:t>—</w:t>
      </w:r>
      <w:r>
        <w:rPr>
          <w:rStyle w:val="CharDivText"/>
        </w:rPr>
        <w:t> </w:t>
      </w:r>
      <w:r>
        <w:rPr>
          <w:rStyle w:val="CharPartText"/>
        </w:rPr>
        <w:t>Miscellaneous</w:t>
      </w:r>
      <w:bookmarkEnd w:id="283"/>
      <w:bookmarkEnd w:id="284"/>
      <w:bookmarkEnd w:id="285"/>
      <w:bookmarkEnd w:id="286"/>
      <w:bookmarkEnd w:id="287"/>
      <w:bookmarkEnd w:id="288"/>
      <w:bookmarkEnd w:id="289"/>
      <w:r>
        <w:rPr>
          <w:rStyle w:val="CharPartText"/>
        </w:rPr>
        <w:t xml:space="preserve"> </w:t>
      </w:r>
    </w:p>
    <w:p>
      <w:pPr>
        <w:pStyle w:val="Ednotesection"/>
        <w:spacing w:before="240"/>
      </w:pPr>
      <w:r>
        <w:t>[</w:t>
      </w:r>
      <w:r>
        <w:rPr>
          <w:b/>
          <w:bCs/>
        </w:rPr>
        <w:t>99.</w:t>
      </w:r>
      <w:r>
        <w:tab/>
        <w:t>Deleted: No. 39 of 2010 s. 57.]</w:t>
      </w:r>
    </w:p>
    <w:p>
      <w:pPr>
        <w:pStyle w:val="Heading5"/>
        <w:spacing w:before="240"/>
        <w:rPr>
          <w:snapToGrid w:val="0"/>
        </w:rPr>
      </w:pPr>
      <w:bookmarkStart w:id="290" w:name="_Toc20390149"/>
      <w:r>
        <w:rPr>
          <w:rStyle w:val="CharSectno"/>
        </w:rPr>
        <w:t>100</w:t>
      </w:r>
      <w:r>
        <w:rPr>
          <w:snapToGrid w:val="0"/>
        </w:rPr>
        <w:t>.</w:t>
      </w:r>
      <w:r>
        <w:rPr>
          <w:snapToGrid w:val="0"/>
        </w:rPr>
        <w:tab/>
        <w:t>Engaging people by contracts for services and casual employees, powers for</w:t>
      </w:r>
      <w:bookmarkEnd w:id="290"/>
    </w:p>
    <w:p>
      <w:pPr>
        <w:pStyle w:val="Subsection"/>
        <w:spacing w:before="180"/>
        <w:rPr>
          <w:snapToGrid w:val="0"/>
        </w:rPr>
      </w:pPr>
      <w:r>
        <w:rPr>
          <w:snapToGrid w:val="0"/>
        </w:rPr>
        <w:tab/>
        <w:t>(1)</w:t>
      </w:r>
      <w:r>
        <w:rPr>
          <w:snapToGrid w:val="0"/>
        </w:rPr>
        <w:tab/>
        <w:t xml:space="preserve">An employing authority may in accordance with </w:t>
      </w:r>
      <w:r>
        <w:t>the Commissioner’s instructions</w:t>
      </w:r>
      <w:r>
        <w:rPr>
          <w:snapToGrid w:val="0"/>
        </w:rPr>
        <w:t xml:space="preserve"> engage a person under a contract for services on such terms and conditions, including the rate of remuneration, as the employing authority determines.</w:t>
      </w:r>
    </w:p>
    <w:p>
      <w:pPr>
        <w:pStyle w:val="Subsection"/>
        <w:spacing w:before="180"/>
        <w:rPr>
          <w:snapToGrid w:val="0"/>
        </w:rPr>
      </w:pPr>
      <w:r>
        <w:rPr>
          <w:snapToGrid w:val="0"/>
        </w:rPr>
        <w:tab/>
        <w:t>(2)</w:t>
      </w:r>
      <w:r>
        <w:rPr>
          <w:snapToGrid w:val="0"/>
        </w:rPr>
        <w:tab/>
        <w:t xml:space="preserve">An employing authority may in accordance with </w:t>
      </w:r>
      <w:r>
        <w:t>the Commissioner’s instructions</w:t>
      </w:r>
      <w:r>
        <w:rPr>
          <w:snapToGrid w:val="0"/>
        </w:rPr>
        <w:t xml:space="preserve">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spacing w:before="180"/>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spacing w:before="180"/>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spacing w:before="180"/>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Footnotesection"/>
        <w:ind w:left="890" w:hanging="890"/>
      </w:pPr>
      <w:r>
        <w:tab/>
        <w:t>[Section 100 amended: No. 39 of 2010 s. 58.]</w:t>
      </w:r>
    </w:p>
    <w:p>
      <w:pPr>
        <w:pStyle w:val="Heading5"/>
        <w:keepLines w:val="0"/>
        <w:spacing w:before="240"/>
        <w:rPr>
          <w:snapToGrid w:val="0"/>
        </w:rPr>
      </w:pPr>
      <w:bookmarkStart w:id="291" w:name="_Toc20390150"/>
      <w:r>
        <w:rPr>
          <w:rStyle w:val="CharSectno"/>
        </w:rPr>
        <w:t>101</w:t>
      </w:r>
      <w:r>
        <w:rPr>
          <w:snapToGrid w:val="0"/>
        </w:rPr>
        <w:t>.</w:t>
      </w:r>
      <w:r>
        <w:rPr>
          <w:snapToGrid w:val="0"/>
        </w:rPr>
        <w:tab/>
        <w:t>Restriction on compensation for early termination of employment</w:t>
      </w:r>
      <w:bookmarkEnd w:id="291"/>
      <w:r>
        <w:rPr>
          <w:snapToGrid w:val="0"/>
        </w:rPr>
        <w:t xml:space="preserve"> </w:t>
      </w:r>
    </w:p>
    <w:p>
      <w:pPr>
        <w:pStyle w:val="Subsection"/>
        <w:rPr>
          <w:snapToGrid w:val="0"/>
        </w:rPr>
      </w:pPr>
      <w:r>
        <w:rPr>
          <w:snapToGrid w:val="0"/>
        </w:rPr>
        <w:tab/>
      </w:r>
      <w:r>
        <w:t>(1)</w:t>
      </w:r>
      <w:r>
        <w:tab/>
        <w:t>The maximum amount of compensation</w:t>
      </w:r>
      <w:r>
        <w:rPr>
          <w:snapToGrid w:val="0"/>
        </w:rPr>
        <w:t xml:space="preserve">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Subsection"/>
      </w:pPr>
      <w:r>
        <w:tab/>
        <w:t>(2)</w:t>
      </w:r>
      <w:r>
        <w:tab/>
        <w:t xml:space="preserve">Subsection (1) does not apply in relation to compensation payable under — </w:t>
      </w:r>
    </w:p>
    <w:p>
      <w:pPr>
        <w:pStyle w:val="Indenta"/>
      </w:pPr>
      <w:r>
        <w:tab/>
        <w:t>(a)</w:t>
      </w:r>
      <w:r>
        <w:tab/>
        <w:t xml:space="preserve">the </w:t>
      </w:r>
      <w:r>
        <w:rPr>
          <w:i/>
        </w:rPr>
        <w:t>Industrial Relations Act 1979</w:t>
      </w:r>
      <w:r>
        <w:t xml:space="preserve"> section 23A(6); or</w:t>
      </w:r>
    </w:p>
    <w:p>
      <w:pPr>
        <w:pStyle w:val="Indenta"/>
      </w:pPr>
      <w:r>
        <w:tab/>
        <w:t>(b)</w:t>
      </w:r>
      <w:r>
        <w:tab/>
        <w:t>regulations referred to in section 94 or 95A if those regulations provide for a higher amount of compensation.</w:t>
      </w:r>
    </w:p>
    <w:p>
      <w:pPr>
        <w:pStyle w:val="Footnotesection"/>
      </w:pPr>
      <w:r>
        <w:tab/>
        <w:t>[Section 101 amended: No. 8 of 2014 s. 16; amended: Gazette 15 Aug 2003 p. 3690.]</w:t>
      </w:r>
    </w:p>
    <w:p>
      <w:pPr>
        <w:pStyle w:val="Heading5"/>
        <w:rPr>
          <w:snapToGrid w:val="0"/>
        </w:rPr>
      </w:pPr>
      <w:bookmarkStart w:id="292" w:name="_Toc20390151"/>
      <w:r>
        <w:rPr>
          <w:rStyle w:val="CharSectno"/>
        </w:rPr>
        <w:t>102</w:t>
      </w:r>
      <w:r>
        <w:rPr>
          <w:snapToGrid w:val="0"/>
        </w:rPr>
        <w:t>.</w:t>
      </w:r>
      <w:r>
        <w:rPr>
          <w:snapToGrid w:val="0"/>
        </w:rPr>
        <w:tab/>
        <w:t>Employees not to be employed outside Government etc. without permission</w:t>
      </w:r>
      <w:bookmarkEnd w:id="292"/>
    </w:p>
    <w:p>
      <w:pPr>
        <w:pStyle w:val="Subsection"/>
      </w:pPr>
      <w:r>
        <w:tab/>
        <w:t>(1A)</w:t>
      </w:r>
      <w:r>
        <w:tab/>
        <w:t xml:space="preserve">In this section — </w:t>
      </w:r>
    </w:p>
    <w:p>
      <w:pPr>
        <w:pStyle w:val="Defstart"/>
      </w:pPr>
      <w:r>
        <w:tab/>
      </w:r>
      <w:r>
        <w:rPr>
          <w:rStyle w:val="CharDefText"/>
        </w:rPr>
        <w:t>any local government or regional local government</w:t>
      </w:r>
      <w:r>
        <w:t xml:space="preserve"> includes any regional subsidiary;</w:t>
      </w:r>
    </w:p>
    <w:p>
      <w:pPr>
        <w:pStyle w:val="Defstart"/>
      </w:pPr>
      <w:r>
        <w:tab/>
      </w:r>
      <w:r>
        <w:rPr>
          <w:rStyle w:val="CharDefText"/>
        </w:rPr>
        <w:t>council of a local government or regional local government</w:t>
      </w:r>
      <w:r>
        <w:t xml:space="preserve"> includes the governing body of a regional subsidiary.</w:t>
      </w:r>
    </w:p>
    <w:p>
      <w:pPr>
        <w:pStyle w:val="Subsection"/>
        <w:keepNext/>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 or</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 or</w:t>
      </w:r>
    </w:p>
    <w:p>
      <w:pPr>
        <w:pStyle w:val="Indenta"/>
        <w:rPr>
          <w:snapToGrid w:val="0"/>
        </w:rPr>
      </w:pPr>
      <w:r>
        <w:rPr>
          <w:snapToGrid w:val="0"/>
        </w:rPr>
        <w:tab/>
        <w:t>(c)</w:t>
      </w:r>
      <w:r>
        <w:rPr>
          <w:snapToGrid w:val="0"/>
        </w:rPr>
        <w:tab/>
        <w:t>engage in or undertake any business referred to in paragraph (b), whether as principal or agent; or</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w:t>
      </w:r>
      <w:r>
        <w:t xml:space="preserve">the </w:t>
      </w:r>
      <w:r>
        <w:rPr>
          <w:i/>
        </w:rPr>
        <w:t>Local Government Act 1995</w:t>
      </w:r>
      <w:r>
        <w:t xml:space="preserve"> Part 5 Division 8 or with a charter of a regional subsidiary.</w:t>
      </w:r>
    </w:p>
    <w:p>
      <w:pPr>
        <w:pStyle w:val="Footnotesection"/>
      </w:pPr>
      <w:r>
        <w:tab/>
        <w:t xml:space="preserve">[Section 102 amended: No. 14 of 1996 s. 4; No. 26 of 2016 s. 86.] </w:t>
      </w:r>
    </w:p>
    <w:p>
      <w:pPr>
        <w:pStyle w:val="Heading5"/>
        <w:rPr>
          <w:snapToGrid w:val="0"/>
        </w:rPr>
      </w:pPr>
      <w:bookmarkStart w:id="293" w:name="_Toc20390152"/>
      <w:r>
        <w:rPr>
          <w:rStyle w:val="CharSectno"/>
        </w:rPr>
        <w:t>103</w:t>
      </w:r>
      <w:r>
        <w:rPr>
          <w:snapToGrid w:val="0"/>
        </w:rPr>
        <w:t>.</w:t>
      </w:r>
      <w:r>
        <w:rPr>
          <w:snapToGrid w:val="0"/>
        </w:rPr>
        <w:tab/>
        <w:t>Unsuccessful electoral candidates, reappointment of</w:t>
      </w:r>
      <w:bookmarkEnd w:id="293"/>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 or</w:t>
      </w:r>
    </w:p>
    <w:p>
      <w:pPr>
        <w:pStyle w:val="Indenti"/>
        <w:rPr>
          <w:snapToGrid w:val="0"/>
        </w:rPr>
      </w:pPr>
      <w:r>
        <w:rPr>
          <w:snapToGrid w:val="0"/>
        </w:rPr>
        <w:tab/>
        <w:t>(ii)</w:t>
      </w:r>
      <w:r>
        <w:rPr>
          <w:snapToGrid w:val="0"/>
        </w:rPr>
        <w:tab/>
        <w:t>the Legislative Assembly; or</w:t>
      </w:r>
    </w:p>
    <w:p>
      <w:pPr>
        <w:pStyle w:val="Indenti"/>
        <w:rPr>
          <w:snapToGrid w:val="0"/>
        </w:rPr>
      </w:pPr>
      <w:r>
        <w:rPr>
          <w:snapToGrid w:val="0"/>
        </w:rPr>
        <w:tab/>
        <w:t>(iii)</w:t>
      </w:r>
      <w:r>
        <w:rPr>
          <w:snapToGrid w:val="0"/>
        </w:rPr>
        <w:tab/>
        <w:t>either House of the Parliament of the Commonwealth; or</w:t>
      </w:r>
    </w:p>
    <w:p>
      <w:pPr>
        <w:pStyle w:val="Indenti"/>
        <w:rPr>
          <w:snapToGrid w:val="0"/>
        </w:rPr>
      </w:pPr>
      <w:r>
        <w:rPr>
          <w:snapToGrid w:val="0"/>
        </w:rPr>
        <w:tab/>
        <w:t>(iv)</w:t>
      </w:r>
      <w:r>
        <w:rPr>
          <w:snapToGrid w:val="0"/>
        </w:rPr>
        <w:tab/>
        <w:t>the Parliament (or either House of the Parliament) of another State; or</w:t>
      </w:r>
    </w:p>
    <w:p>
      <w:pPr>
        <w:pStyle w:val="Indenti"/>
        <w:rPr>
          <w:snapToGrid w:val="0"/>
        </w:rPr>
      </w:pPr>
      <w:r>
        <w:rPr>
          <w:snapToGrid w:val="0"/>
        </w:rPr>
        <w:tab/>
        <w:t>(v)</w:t>
      </w:r>
      <w:r>
        <w:rPr>
          <w:snapToGrid w:val="0"/>
        </w:rPr>
        <w:tab/>
        <w:t xml:space="preserve">the Legislative Assembly of the </w:t>
      </w:r>
      <w:smartTag w:uri="urn:schemas-microsoft-com:office:smarttags" w:element="place">
        <w:smartTag w:uri="urn:schemas-microsoft-com:office:smarttags" w:element="State">
          <w:r>
            <w:rPr>
              <w:snapToGrid w:val="0"/>
            </w:rPr>
            <w:t>Australian Capital Territory</w:t>
          </w:r>
        </w:smartTag>
      </w:smartTag>
      <w:r>
        <w:rPr>
          <w:snapToGrid w:val="0"/>
        </w:rPr>
        <w:t>; or</w:t>
      </w:r>
    </w:p>
    <w:p>
      <w:pPr>
        <w:pStyle w:val="Indenti"/>
        <w:rPr>
          <w:snapToGrid w:val="0"/>
        </w:rPr>
      </w:pPr>
      <w:r>
        <w:rPr>
          <w:snapToGrid w:val="0"/>
        </w:rPr>
        <w:tab/>
        <w:t>(vi)</w:t>
      </w:r>
      <w:r>
        <w:rPr>
          <w:snapToGrid w:val="0"/>
        </w:rPr>
        <w:tab/>
        <w:t xml:space="preserve">the Legislative Assembly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included in that writing notification of his or her intention to become a candidate at that election; and</w:t>
      </w:r>
    </w:p>
    <w:p>
      <w:pPr>
        <w:pStyle w:val="Indenta"/>
        <w:keepNext/>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keepNext/>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rPr>
          <w:snapToGrid w:val="0"/>
        </w:rPr>
      </w:pPr>
      <w:bookmarkStart w:id="294" w:name="_Toc20390153"/>
      <w:r>
        <w:rPr>
          <w:rStyle w:val="CharSectno"/>
        </w:rPr>
        <w:t>104</w:t>
      </w:r>
      <w:r>
        <w:rPr>
          <w:snapToGrid w:val="0"/>
        </w:rPr>
        <w:t>.</w:t>
      </w:r>
      <w:r>
        <w:rPr>
          <w:snapToGrid w:val="0"/>
        </w:rPr>
        <w:tab/>
        <w:t>Time between resignation and reappointment not to count as service</w:t>
      </w:r>
      <w:bookmarkEnd w:id="294"/>
      <w:r>
        <w:rPr>
          <w:snapToGrid w:val="0"/>
        </w:rPr>
        <w:t xml:space="preserve"> </w:t>
      </w:r>
    </w:p>
    <w:p>
      <w:pPr>
        <w:pStyle w:val="Subsection"/>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rPr>
          <w:snapToGrid w:val="0"/>
        </w:rPr>
      </w:pPr>
      <w:bookmarkStart w:id="295" w:name="_Toc20390154"/>
      <w:r>
        <w:rPr>
          <w:rStyle w:val="CharSectno"/>
        </w:rPr>
        <w:t>105</w:t>
      </w:r>
      <w:r>
        <w:rPr>
          <w:snapToGrid w:val="0"/>
        </w:rPr>
        <w:t>.</w:t>
      </w:r>
      <w:r>
        <w:rPr>
          <w:snapToGrid w:val="0"/>
        </w:rPr>
        <w:tab/>
        <w:t>Members of Parliament etc. not to contact employing authorities etc. about some appointments</w:t>
      </w:r>
      <w:bookmarkEnd w:id="295"/>
    </w:p>
    <w:p>
      <w:pPr>
        <w:pStyle w:val="Subsection"/>
        <w:keepNext/>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rPr>
          <w:snapToGrid w:val="0"/>
        </w:rPr>
      </w:pPr>
      <w:r>
        <w:rPr>
          <w:snapToGrid w:val="0"/>
        </w:rPr>
        <w:tab/>
        <w:t>(a)</w:t>
      </w:r>
      <w:r>
        <w:rPr>
          <w:snapToGrid w:val="0"/>
        </w:rPr>
        <w:tab/>
        <w:t>between — </w:t>
      </w:r>
    </w:p>
    <w:p>
      <w:pPr>
        <w:pStyle w:val="Indenti"/>
        <w:rPr>
          <w:snapToGrid w:val="0"/>
        </w:rPr>
      </w:pPr>
      <w:r>
        <w:rPr>
          <w:snapToGrid w:val="0"/>
        </w:rPr>
        <w:tab/>
        <w:t>(i)</w:t>
      </w:r>
      <w:r>
        <w:rPr>
          <w:snapToGrid w:val="0"/>
        </w:rPr>
        <w:tab/>
        <w:t>a political office holder; and</w:t>
      </w:r>
    </w:p>
    <w:p>
      <w:pPr>
        <w:pStyle w:val="Indenti"/>
        <w:rPr>
          <w:snapToGrid w:val="0"/>
        </w:rPr>
      </w:pPr>
      <w:r>
        <w:rPr>
          <w:snapToGrid w:val="0"/>
        </w:rPr>
        <w:tab/>
        <w:t>(ii)</w:t>
      </w:r>
      <w:r>
        <w:rPr>
          <w:snapToGrid w:val="0"/>
        </w:rPr>
        <w:tab/>
        <w:t xml:space="preserve">the Minister, a delegate of the Minister, the chief executive officer of the department principally assisting </w:t>
      </w:r>
      <w:r>
        <w:t xml:space="preserve">in the administration of Part 4 </w:t>
      </w:r>
      <w:r>
        <w:rPr>
          <w:snapToGrid w:val="0"/>
        </w:rPr>
        <w:t>or the delegate of that chief executive officer,</w:t>
      </w:r>
    </w:p>
    <w:p>
      <w:pPr>
        <w:pStyle w:val="Indenta"/>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rPr>
          <w:snapToGrid w:val="0"/>
        </w:rPr>
      </w:pPr>
      <w:r>
        <w:rPr>
          <w:snapToGrid w:val="0"/>
        </w:rPr>
        <w:tab/>
        <w:t>(b)</w:t>
      </w:r>
      <w:r>
        <w:rPr>
          <w:snapToGrid w:val="0"/>
        </w:rPr>
        <w:tab/>
        <w:t>between — </w:t>
      </w:r>
    </w:p>
    <w:p>
      <w:pPr>
        <w:pStyle w:val="Indenti"/>
      </w:pPr>
      <w:r>
        <w:tab/>
        <w:t>(i)</w:t>
      </w:r>
      <w:r>
        <w:tab/>
        <w:t>the Minister and other Ministers; or</w:t>
      </w:r>
    </w:p>
    <w:p>
      <w:pPr>
        <w:pStyle w:val="Indenti"/>
        <w:keepNext/>
        <w:rPr>
          <w:snapToGrid w:val="0"/>
        </w:rPr>
      </w:pPr>
      <w:r>
        <w:rPr>
          <w:snapToGrid w:val="0"/>
        </w:rPr>
        <w:tab/>
        <w:t>(ii)</w:t>
      </w:r>
      <w:r>
        <w:rPr>
          <w:snapToGrid w:val="0"/>
        </w:rPr>
        <w:tab/>
        <w:t>the Commissioner and a Minister,</w:t>
      </w:r>
    </w:p>
    <w:p>
      <w:pPr>
        <w:pStyle w:val="Indenta"/>
        <w:rPr>
          <w:snapToGrid w:val="0"/>
        </w:rPr>
      </w:pPr>
      <w:r>
        <w:rPr>
          <w:snapToGrid w:val="0"/>
        </w:rPr>
        <w:tab/>
      </w:r>
      <w:r>
        <w:rPr>
          <w:snapToGrid w:val="0"/>
        </w:rPr>
        <w:tab/>
        <w:t>concerning the selection, appointment or reappointment of a chief executive officer.</w:t>
      </w:r>
    </w:p>
    <w:p>
      <w:pPr>
        <w:pStyle w:val="Subsection"/>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r>
      <w:r>
        <w:rPr>
          <w:rStyle w:val="CharDefText"/>
        </w:rPr>
        <w:t>ministerial officer</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section 100(1) under a contract for services to assist a political office holder.</w:t>
      </w:r>
    </w:p>
    <w:p>
      <w:pPr>
        <w:pStyle w:val="Footnotesection"/>
      </w:pPr>
      <w:r>
        <w:tab/>
        <w:t>[Section 105 amended: No. 39 of 2010 s. 59 and 68.]</w:t>
      </w:r>
    </w:p>
    <w:p>
      <w:pPr>
        <w:pStyle w:val="Heading5"/>
        <w:pageBreakBefore/>
        <w:rPr>
          <w:snapToGrid w:val="0"/>
        </w:rPr>
      </w:pPr>
      <w:bookmarkStart w:id="296" w:name="_Toc20390155"/>
      <w:r>
        <w:rPr>
          <w:rStyle w:val="CharSectno"/>
        </w:rPr>
        <w:t>106</w:t>
      </w:r>
      <w:r>
        <w:rPr>
          <w:snapToGrid w:val="0"/>
        </w:rPr>
        <w:t>.</w:t>
      </w:r>
      <w:r>
        <w:rPr>
          <w:snapToGrid w:val="0"/>
        </w:rPr>
        <w:tab/>
        <w:t>Protection from personal liability</w:t>
      </w:r>
      <w:bookmarkEnd w:id="296"/>
    </w:p>
    <w:p>
      <w:pPr>
        <w:pStyle w:val="Subsection"/>
        <w:keepNext/>
        <w:rPr>
          <w:snapToGrid w:val="0"/>
        </w:rPr>
      </w:pPr>
      <w:r>
        <w:rPr>
          <w:snapToGrid w:val="0"/>
        </w:rPr>
        <w:tab/>
      </w:r>
      <w:r>
        <w:rPr>
          <w:snapToGrid w:val="0"/>
        </w:rPr>
        <w:tab/>
        <w:t>An action shall not be brought or maintained against any person who is or has been — </w:t>
      </w:r>
    </w:p>
    <w:p>
      <w:pPr>
        <w:pStyle w:val="Indenta"/>
        <w:rPr>
          <w:snapToGrid w:val="0"/>
        </w:rPr>
      </w:pPr>
      <w:r>
        <w:rPr>
          <w:snapToGrid w:val="0"/>
        </w:rPr>
        <w:tab/>
        <w:t>(a)</w:t>
      </w:r>
      <w:r>
        <w:rPr>
          <w:snapToGrid w:val="0"/>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297" w:name="_Toc20390156"/>
      <w:r>
        <w:rPr>
          <w:rStyle w:val="CharSectno"/>
        </w:rPr>
        <w:t>107</w:t>
      </w:r>
      <w:r>
        <w:rPr>
          <w:snapToGrid w:val="0"/>
        </w:rPr>
        <w:t>.</w:t>
      </w:r>
      <w:r>
        <w:rPr>
          <w:snapToGrid w:val="0"/>
        </w:rPr>
        <w:tab/>
        <w:t>Vacancy etc. in office etc., directing people to act in case of</w:t>
      </w:r>
      <w:bookmarkEnd w:id="297"/>
    </w:p>
    <w:p>
      <w:pPr>
        <w:pStyle w:val="Subsection"/>
        <w:keepNext/>
        <w:rPr>
          <w:snapToGrid w:val="0"/>
        </w:rPr>
      </w:pPr>
      <w:r>
        <w:rPr>
          <w:snapToGrid w:val="0"/>
        </w:rPr>
        <w:tab/>
        <w:t>(1)</w:t>
      </w:r>
      <w:r>
        <w:rPr>
          <w:snapToGrid w:val="0"/>
        </w:rPr>
        <w:tab/>
        <w:t xml:space="preserve">If under any written law or contract or agreement any functions, obligations or rights are imposed or conferred on the holder of an office, post or position in a department or organisation (in this section called </w:t>
      </w:r>
      <w:r>
        <w:t xml:space="preserve">the </w:t>
      </w:r>
      <w:r>
        <w:rPr>
          <w:rStyle w:val="CharDefText"/>
        </w:rPr>
        <w:t>incumbent</w:t>
      </w:r>
      <w:r>
        <w:rPr>
          <w:snapToGrid w:val="0"/>
        </w:rPr>
        <w:t>) in his or her capacity as such — </w:t>
      </w:r>
    </w:p>
    <w:p>
      <w:pPr>
        <w:pStyle w:val="Indenta"/>
        <w:rPr>
          <w:snapToGrid w:val="0"/>
        </w:rPr>
      </w:pPr>
      <w:r>
        <w:rPr>
          <w:snapToGrid w:val="0"/>
        </w:rPr>
        <w:tab/>
        <w:t>(a)</w:t>
      </w:r>
      <w:r>
        <w:rPr>
          <w:snapToGrid w:val="0"/>
        </w:rPr>
        <w:tab/>
        <w:t xml:space="preserve">the </w:t>
      </w:r>
      <w:r>
        <w:t>Commissioner</w:t>
      </w:r>
      <w:r>
        <w:rPr>
          <w:snapToGrid w:val="0"/>
        </w:rPr>
        <w:t xml:space="preserve"> may direct a chief executive officer, or an employee whilst directed under section 51; or</w:t>
      </w:r>
    </w:p>
    <w:p>
      <w:pPr>
        <w:pStyle w:val="Indenta"/>
        <w:keepNext/>
        <w:rPr>
          <w:snapToGrid w:val="0"/>
        </w:rPr>
      </w:pPr>
      <w:r>
        <w:rPr>
          <w:snapToGrid w:val="0"/>
        </w:rPr>
        <w:tab/>
        <w:t>(b)</w:t>
      </w:r>
      <w:r>
        <w:rPr>
          <w:snapToGrid w:val="0"/>
        </w:rPr>
        <w:tab/>
        <w:t>the employing authority of any employee may direct that employee,</w:t>
      </w:r>
    </w:p>
    <w:p>
      <w:pPr>
        <w:pStyle w:val="Subsection"/>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Footnotesection"/>
      </w:pPr>
      <w:r>
        <w:tab/>
        <w:t>[Section 107 amended: No. 39 of 2010 s. 67.]</w:t>
      </w:r>
    </w:p>
    <w:p>
      <w:pPr>
        <w:pStyle w:val="Heading5"/>
      </w:pPr>
      <w:bookmarkStart w:id="298" w:name="_Toc20390157"/>
      <w:r>
        <w:rPr>
          <w:rStyle w:val="CharSectno"/>
        </w:rPr>
        <w:t>108A</w:t>
      </w:r>
      <w:r>
        <w:t>.</w:t>
      </w:r>
      <w:r>
        <w:tab/>
        <w:t>Delegation by Minister</w:t>
      </w:r>
      <w:bookmarkEnd w:id="298"/>
    </w:p>
    <w:p>
      <w:pPr>
        <w:pStyle w:val="Subsection"/>
      </w:pPr>
      <w:r>
        <w:tab/>
        <w:t>(1)</w:t>
      </w:r>
      <w:r>
        <w:tab/>
        <w:t>The Minister may delegate to any person any power or duty of the Minister under another provision of this Act.</w:t>
      </w:r>
    </w:p>
    <w:p>
      <w:pPr>
        <w:pStyle w:val="Subsection"/>
      </w:pPr>
      <w:r>
        <w:tab/>
        <w:t>(2)</w:t>
      </w:r>
      <w:r>
        <w:tab/>
        <w:t>A delegation under this section must be in writing signed by the Minister.</w:t>
      </w:r>
    </w:p>
    <w:p>
      <w:pPr>
        <w:pStyle w:val="Subsection"/>
      </w:pPr>
      <w:r>
        <w:tab/>
        <w:t>(3)</w:t>
      </w:r>
      <w:r>
        <w:tab/>
        <w:t>A person to whom a power or duty is delegated in accordance with this section cannot delegate that power or duty.</w:t>
      </w:r>
    </w:p>
    <w:p>
      <w:pPr>
        <w:pStyle w:val="Subsection"/>
      </w:pPr>
      <w:r>
        <w:tab/>
        <w:t>(4)</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Footnotesection"/>
      </w:pPr>
      <w:r>
        <w:tab/>
        <w:t>[Section 108A inserted: No. 39 of 2010 s. 60.]</w:t>
      </w:r>
    </w:p>
    <w:p>
      <w:pPr>
        <w:pStyle w:val="Heading5"/>
        <w:rPr>
          <w:snapToGrid w:val="0"/>
        </w:rPr>
      </w:pPr>
      <w:bookmarkStart w:id="299" w:name="_Toc20390158"/>
      <w:r>
        <w:rPr>
          <w:rStyle w:val="CharSectno"/>
        </w:rPr>
        <w:t>108</w:t>
      </w:r>
      <w:r>
        <w:rPr>
          <w:snapToGrid w:val="0"/>
        </w:rPr>
        <w:t>.</w:t>
      </w:r>
      <w:r>
        <w:rPr>
          <w:snapToGrid w:val="0"/>
        </w:rPr>
        <w:tab/>
        <w:t>Regulations</w:t>
      </w:r>
      <w:bookmarkEnd w:id="29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 or</w:t>
      </w:r>
    </w:p>
    <w:p>
      <w:pPr>
        <w:pStyle w:val="Indenta"/>
        <w:rPr>
          <w:snapToGrid w:val="0"/>
        </w:rPr>
      </w:pPr>
      <w:r>
        <w:rPr>
          <w:snapToGrid w:val="0"/>
        </w:rPr>
        <w:tab/>
        <w:t>(b)</w:t>
      </w:r>
      <w:r>
        <w:rPr>
          <w:snapToGrid w:val="0"/>
        </w:rPr>
        <w:tab/>
        <w:t>managing the Public Sector or any part thereof; or</w:t>
      </w:r>
    </w:p>
    <w:p>
      <w:pPr>
        <w:pStyle w:val="Indenta"/>
        <w:rPr>
          <w:snapToGrid w:val="0"/>
        </w:rPr>
      </w:pPr>
      <w:r>
        <w:rPr>
          <w:snapToGrid w:val="0"/>
        </w:rPr>
        <w:tab/>
        <w:t>(c)</w:t>
      </w:r>
      <w:r>
        <w:rPr>
          <w:snapToGrid w:val="0"/>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 or</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pPr>
      <w:r>
        <w:tab/>
        <w:t>(2A)</w:t>
      </w:r>
      <w:r>
        <w:tab/>
        <w:t>The regulations may make provision for or with respect to any matter for which the Commissioner’s instructions can provide.</w:t>
      </w:r>
    </w:p>
    <w:p>
      <w:pPr>
        <w:pStyle w:val="Subsection"/>
      </w:pPr>
      <w:r>
        <w:tab/>
        <w:t>(2B)</w:t>
      </w:r>
      <w:r>
        <w:tab/>
        <w:t>A reference in this Act to a Commissioner’s instruction is taken to include a reference to a regulation referred to in subsection (2A).</w:t>
      </w:r>
    </w:p>
    <w:p>
      <w:pPr>
        <w:pStyle w:val="Subsection"/>
        <w:rPr>
          <w:snapToGrid w:val="0"/>
        </w:rPr>
      </w:pPr>
      <w:r>
        <w:rPr>
          <w:snapToGrid w:val="0"/>
        </w:rPr>
        <w:tab/>
        <w:t>(2)</w:t>
      </w:r>
      <w:r>
        <w:rPr>
          <w:snapToGrid w:val="0"/>
        </w:rPr>
        <w:tab/>
        <w:t xml:space="preserve">To the extent that regulations made under subsection (1) are inconsistent with a </w:t>
      </w:r>
      <w:r>
        <w:t xml:space="preserve">Commissioner’s instruction, </w:t>
      </w:r>
      <w:r>
        <w:rPr>
          <w:snapToGrid w:val="0"/>
        </w:rPr>
        <w:t>public sector standard, code of ethics or code of conduct, those regulations prevail.</w:t>
      </w:r>
    </w:p>
    <w:p>
      <w:pPr>
        <w:pStyle w:val="Footnotesection"/>
      </w:pPr>
      <w:r>
        <w:tab/>
        <w:t>[Section 108 amended: No. 39 of 2010 s. 61.]</w:t>
      </w:r>
    </w:p>
    <w:p>
      <w:pPr>
        <w:pStyle w:val="Ednotesection"/>
      </w:pPr>
      <w:r>
        <w:rPr>
          <w:snapToGrid/>
        </w:rPr>
        <w:t>[</w:t>
      </w:r>
      <w:r>
        <w:rPr>
          <w:b/>
          <w:snapToGrid/>
        </w:rPr>
        <w:t>109</w:t>
      </w:r>
      <w:r>
        <w:rPr>
          <w:b/>
        </w:rPr>
        <w:t>.</w:t>
      </w:r>
      <w:r>
        <w:rPr>
          <w:b/>
        </w:rPr>
        <w:tab/>
      </w:r>
      <w:r>
        <w:t>Omitted under the Reprints Act 1984 s. 7(4)(e).]</w:t>
      </w:r>
    </w:p>
    <w:p>
      <w:pPr>
        <w:pStyle w:val="Heading2"/>
      </w:pPr>
      <w:bookmarkStart w:id="300" w:name="_Toc500423000"/>
      <w:bookmarkStart w:id="301" w:name="_Toc503259384"/>
      <w:bookmarkStart w:id="302" w:name="_Toc503265320"/>
      <w:bookmarkStart w:id="303" w:name="_Toc503880787"/>
      <w:bookmarkStart w:id="304" w:name="_Toc515436313"/>
      <w:bookmarkStart w:id="305" w:name="_Toc515437142"/>
      <w:bookmarkStart w:id="306" w:name="_Toc20390159"/>
      <w:r>
        <w:rPr>
          <w:rStyle w:val="CharPartNo"/>
        </w:rPr>
        <w:t>Part 9</w:t>
      </w:r>
      <w:r>
        <w:t> — </w:t>
      </w:r>
      <w:r>
        <w:rPr>
          <w:rStyle w:val="CharPartText"/>
        </w:rPr>
        <w:t>Repeal and transitional provisions</w:t>
      </w:r>
      <w:bookmarkEnd w:id="300"/>
      <w:bookmarkEnd w:id="301"/>
      <w:bookmarkEnd w:id="302"/>
      <w:bookmarkEnd w:id="303"/>
      <w:bookmarkEnd w:id="304"/>
      <w:bookmarkEnd w:id="305"/>
      <w:bookmarkEnd w:id="306"/>
      <w:r>
        <w:rPr>
          <w:rStyle w:val="CharPartText"/>
        </w:rPr>
        <w:t xml:space="preserve"> </w:t>
      </w:r>
    </w:p>
    <w:p>
      <w:pPr>
        <w:pStyle w:val="Heading3"/>
        <w:spacing w:before="200"/>
      </w:pPr>
      <w:bookmarkStart w:id="307" w:name="_Toc500423001"/>
      <w:bookmarkStart w:id="308" w:name="_Toc503259385"/>
      <w:bookmarkStart w:id="309" w:name="_Toc503265321"/>
      <w:bookmarkStart w:id="310" w:name="_Toc503880788"/>
      <w:bookmarkStart w:id="311" w:name="_Toc515436314"/>
      <w:bookmarkStart w:id="312" w:name="_Toc515437143"/>
      <w:bookmarkStart w:id="313" w:name="_Toc20390160"/>
      <w:r>
        <w:rPr>
          <w:rStyle w:val="CharDivNo"/>
        </w:rPr>
        <w:t>Division 1</w:t>
      </w:r>
      <w:r>
        <w:t> — </w:t>
      </w:r>
      <w:r>
        <w:rPr>
          <w:rStyle w:val="CharDivText"/>
          <w:i/>
          <w:iCs/>
        </w:rPr>
        <w:t>Public Service Act 1978</w:t>
      </w:r>
      <w:r>
        <w:rPr>
          <w:rStyle w:val="CharDivText"/>
        </w:rPr>
        <w:t xml:space="preserve"> repeal and transitional provisions</w:t>
      </w:r>
      <w:bookmarkEnd w:id="307"/>
      <w:bookmarkEnd w:id="308"/>
      <w:bookmarkEnd w:id="309"/>
      <w:bookmarkEnd w:id="310"/>
      <w:bookmarkEnd w:id="311"/>
      <w:bookmarkEnd w:id="312"/>
      <w:bookmarkEnd w:id="313"/>
    </w:p>
    <w:p>
      <w:pPr>
        <w:pStyle w:val="Footnoteheading"/>
        <w:spacing w:before="80"/>
      </w:pPr>
      <w:r>
        <w:tab/>
        <w:t>[Heading inserted: No. 39 of 2010 s. 62.]</w:t>
      </w:r>
    </w:p>
    <w:p>
      <w:pPr>
        <w:pStyle w:val="Heading5"/>
        <w:spacing w:before="180"/>
        <w:rPr>
          <w:snapToGrid w:val="0"/>
        </w:rPr>
      </w:pPr>
      <w:bookmarkStart w:id="314" w:name="_Toc20390161"/>
      <w:r>
        <w:rPr>
          <w:rStyle w:val="CharSectno"/>
        </w:rPr>
        <w:t>110</w:t>
      </w:r>
      <w:r>
        <w:rPr>
          <w:snapToGrid w:val="0"/>
        </w:rPr>
        <w:t>.</w:t>
      </w:r>
      <w:r>
        <w:rPr>
          <w:snapToGrid w:val="0"/>
        </w:rPr>
        <w:tab/>
      </w:r>
      <w:r>
        <w:rPr>
          <w:i/>
          <w:snapToGrid w:val="0"/>
        </w:rPr>
        <w:t>Public Service Act 1978</w:t>
      </w:r>
      <w:r>
        <w:rPr>
          <w:snapToGrid w:val="0"/>
        </w:rPr>
        <w:t xml:space="preserve"> repealed; transitional (Sch. 5)</w:t>
      </w:r>
      <w:bookmarkEnd w:id="314"/>
    </w:p>
    <w:p>
      <w:pPr>
        <w:pStyle w:val="Subsection"/>
        <w:spacing w:before="120"/>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spacing w:before="120"/>
        <w:rPr>
          <w:snapToGrid w:val="0"/>
        </w:rPr>
      </w:pPr>
      <w:r>
        <w:rPr>
          <w:snapToGrid w:val="0"/>
        </w:rPr>
        <w:tab/>
        <w:t>(2)</w:t>
      </w:r>
      <w:r>
        <w:rPr>
          <w:snapToGrid w:val="0"/>
        </w:rPr>
        <w:tab/>
        <w:t>The transitional provisions set out in Schedule 5 have effect.</w:t>
      </w:r>
    </w:p>
    <w:p>
      <w:pPr>
        <w:pStyle w:val="Heading5"/>
        <w:spacing w:before="180"/>
        <w:rPr>
          <w:snapToGrid w:val="0"/>
        </w:rPr>
      </w:pPr>
      <w:bookmarkStart w:id="315" w:name="_Toc20390162"/>
      <w:r>
        <w:rPr>
          <w:rStyle w:val="CharSectno"/>
        </w:rPr>
        <w:t>111</w:t>
      </w:r>
      <w:r>
        <w:rPr>
          <w:snapToGrid w:val="0"/>
        </w:rPr>
        <w:t>.</w:t>
      </w:r>
      <w:r>
        <w:rPr>
          <w:snapToGrid w:val="0"/>
        </w:rPr>
        <w:tab/>
        <w:t>Transitional provisions related to Part 4 (Sch. 6)</w:t>
      </w:r>
      <w:bookmarkEnd w:id="315"/>
    </w:p>
    <w:p>
      <w:pPr>
        <w:pStyle w:val="Subsection"/>
        <w:spacing w:before="120"/>
        <w:rPr>
          <w:snapToGrid w:val="0"/>
        </w:rPr>
      </w:pPr>
      <w:r>
        <w:rPr>
          <w:snapToGrid w:val="0"/>
        </w:rPr>
        <w:tab/>
      </w:r>
      <w:r>
        <w:rPr>
          <w:snapToGrid w:val="0"/>
        </w:rPr>
        <w:tab/>
        <w:t>The transitional provisions set out in Schedule 6 have effect.</w:t>
      </w:r>
    </w:p>
    <w:p>
      <w:pPr>
        <w:pStyle w:val="Heading5"/>
        <w:spacing w:before="180"/>
        <w:rPr>
          <w:snapToGrid w:val="0"/>
        </w:rPr>
      </w:pPr>
      <w:bookmarkStart w:id="316" w:name="_Toc20390163"/>
      <w:r>
        <w:rPr>
          <w:rStyle w:val="CharSectno"/>
        </w:rPr>
        <w:t>112</w:t>
      </w:r>
      <w:r>
        <w:rPr>
          <w:snapToGrid w:val="0"/>
        </w:rPr>
        <w:t>.</w:t>
      </w:r>
      <w:r>
        <w:rPr>
          <w:snapToGrid w:val="0"/>
        </w:rPr>
        <w:tab/>
        <w:t>Certain words etc. in written laws etc. taken to be amended</w:t>
      </w:r>
      <w:bookmarkEnd w:id="316"/>
    </w:p>
    <w:p>
      <w:pPr>
        <w:pStyle w:val="Subsection"/>
        <w:spacing w:before="120"/>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spacing w:before="120"/>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spacing w:before="80"/>
        <w:ind w:left="890" w:hanging="890"/>
      </w:pPr>
      <w:r>
        <w:tab/>
        <w:t>[Section 112 amended: No. 57 of 1997 s. 99(3).]</w:t>
      </w:r>
    </w:p>
    <w:p>
      <w:pPr>
        <w:pStyle w:val="Heading3"/>
        <w:keepLines/>
        <w:spacing w:before="200"/>
      </w:pPr>
      <w:bookmarkStart w:id="317" w:name="_Toc500423005"/>
      <w:bookmarkStart w:id="318" w:name="_Toc503259389"/>
      <w:bookmarkStart w:id="319" w:name="_Toc503265325"/>
      <w:bookmarkStart w:id="320" w:name="_Toc503880792"/>
      <w:bookmarkStart w:id="321" w:name="_Toc515436318"/>
      <w:bookmarkStart w:id="322" w:name="_Toc515437147"/>
      <w:bookmarkStart w:id="323" w:name="_Toc20390164"/>
      <w:r>
        <w:rPr>
          <w:rStyle w:val="CharDivNo"/>
        </w:rPr>
        <w:t>Division 2</w:t>
      </w:r>
      <w:r>
        <w:t> — </w:t>
      </w:r>
      <w:r>
        <w:rPr>
          <w:rStyle w:val="CharDivText"/>
          <w:i/>
          <w:iCs/>
        </w:rPr>
        <w:t>Public Sector Reform Act 2010</w:t>
      </w:r>
      <w:r>
        <w:rPr>
          <w:rStyle w:val="CharDivText"/>
        </w:rPr>
        <w:t xml:space="preserve"> Part 2 amendments: transitional provisions</w:t>
      </w:r>
      <w:bookmarkEnd w:id="317"/>
      <w:bookmarkEnd w:id="318"/>
      <w:bookmarkEnd w:id="319"/>
      <w:bookmarkEnd w:id="320"/>
      <w:bookmarkEnd w:id="321"/>
      <w:bookmarkEnd w:id="322"/>
      <w:bookmarkEnd w:id="323"/>
    </w:p>
    <w:p>
      <w:pPr>
        <w:pStyle w:val="Footnoteheading"/>
        <w:keepNext/>
        <w:keepLines/>
        <w:spacing w:before="80"/>
      </w:pPr>
      <w:r>
        <w:tab/>
        <w:t>[Heading inserted: No. 39 of 2010 s. 63.]</w:t>
      </w:r>
    </w:p>
    <w:p>
      <w:pPr>
        <w:pStyle w:val="Heading5"/>
        <w:spacing w:before="180"/>
      </w:pPr>
      <w:bookmarkStart w:id="324" w:name="_Toc20390165"/>
      <w:r>
        <w:rPr>
          <w:rStyle w:val="CharSectno"/>
        </w:rPr>
        <w:t>113</w:t>
      </w:r>
      <w:r>
        <w:t>.</w:t>
      </w:r>
      <w:r>
        <w:tab/>
        <w:t xml:space="preserve">Transitional provisions </w:t>
      </w:r>
      <w:r>
        <w:rPr>
          <w:snapToGrid w:val="0"/>
        </w:rPr>
        <w:t>(Sch. 7)</w:t>
      </w:r>
      <w:bookmarkEnd w:id="324"/>
    </w:p>
    <w:p>
      <w:pPr>
        <w:pStyle w:val="Subsection"/>
      </w:pPr>
      <w:r>
        <w:tab/>
      </w:r>
      <w:r>
        <w:tab/>
        <w:t>Schedule 7 sets out transitional provisions.</w:t>
      </w:r>
    </w:p>
    <w:p>
      <w:pPr>
        <w:pStyle w:val="Footnotesection"/>
        <w:spacing w:before="80"/>
        <w:ind w:left="890" w:hanging="890"/>
      </w:pPr>
      <w:r>
        <w:tab/>
        <w:t>[Section 113 inserted: No. 39 of 2010 s. 63.]</w:t>
      </w:r>
    </w:p>
    <w:p>
      <w:pPr>
        <w:pStyle w:val="Heading3"/>
      </w:pPr>
      <w:bookmarkStart w:id="325" w:name="_Toc500423007"/>
      <w:bookmarkStart w:id="326" w:name="_Toc503259391"/>
      <w:bookmarkStart w:id="327" w:name="_Toc503265327"/>
      <w:bookmarkStart w:id="328" w:name="_Toc503880794"/>
      <w:bookmarkStart w:id="329" w:name="_Toc515436320"/>
      <w:bookmarkStart w:id="330" w:name="_Toc515437149"/>
      <w:bookmarkStart w:id="331" w:name="_Toc20390166"/>
      <w:r>
        <w:rPr>
          <w:rStyle w:val="CharDivNo"/>
        </w:rPr>
        <w:t>Division 3</w:t>
      </w:r>
      <w:r>
        <w:t> — </w:t>
      </w:r>
      <w:r>
        <w:rPr>
          <w:rStyle w:val="CharDivText"/>
          <w:i/>
        </w:rPr>
        <w:t>Public Sector Reform Act 2010</w:t>
      </w:r>
      <w:r>
        <w:rPr>
          <w:rStyle w:val="CharDivText"/>
        </w:rPr>
        <w:t xml:space="preserve"> </w:t>
      </w:r>
      <w:r>
        <w:rPr>
          <w:rStyle w:val="CharDivText"/>
          <w:iCs/>
        </w:rPr>
        <w:t>Part 3 amendments: transitional provisions</w:t>
      </w:r>
      <w:bookmarkEnd w:id="325"/>
      <w:bookmarkEnd w:id="326"/>
      <w:bookmarkEnd w:id="327"/>
      <w:bookmarkEnd w:id="328"/>
      <w:bookmarkEnd w:id="329"/>
      <w:bookmarkEnd w:id="330"/>
      <w:bookmarkEnd w:id="331"/>
    </w:p>
    <w:p>
      <w:pPr>
        <w:pStyle w:val="Footnoteheading"/>
      </w:pPr>
      <w:r>
        <w:tab/>
        <w:t xml:space="preserve">[Heading inserted: No. 39 of 2010 s. 107.] </w:t>
      </w:r>
    </w:p>
    <w:p>
      <w:pPr>
        <w:pStyle w:val="Heading5"/>
      </w:pPr>
      <w:bookmarkStart w:id="332" w:name="_Toc20390167"/>
      <w:r>
        <w:rPr>
          <w:rStyle w:val="CharSectno"/>
        </w:rPr>
        <w:t>114</w:t>
      </w:r>
      <w:r>
        <w:t>.</w:t>
      </w:r>
      <w:r>
        <w:tab/>
        <w:t xml:space="preserve">Transitional provisions </w:t>
      </w:r>
      <w:r>
        <w:rPr>
          <w:snapToGrid w:val="0"/>
        </w:rPr>
        <w:t>(Sch. 8)</w:t>
      </w:r>
      <w:bookmarkEnd w:id="332"/>
    </w:p>
    <w:p>
      <w:pPr>
        <w:pStyle w:val="Subsection"/>
      </w:pPr>
      <w:r>
        <w:tab/>
      </w:r>
      <w:r>
        <w:tab/>
        <w:t>Schedule 8 sets out transitional provisions.</w:t>
      </w:r>
    </w:p>
    <w:p>
      <w:pPr>
        <w:pStyle w:val="Footnotesection"/>
      </w:pPr>
      <w:r>
        <w:tab/>
        <w:t>[Section 114 inserted: No. 39 of 2010 s. 107.]</w:t>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333" w:name="_Toc500423009"/>
      <w:bookmarkStart w:id="334" w:name="_Toc503259393"/>
      <w:bookmarkStart w:id="335" w:name="_Toc503265329"/>
      <w:bookmarkStart w:id="336" w:name="_Toc503880796"/>
      <w:bookmarkStart w:id="337" w:name="_Toc515436322"/>
      <w:bookmarkStart w:id="338" w:name="_Toc515437151"/>
      <w:bookmarkStart w:id="339" w:name="_Toc20390168"/>
      <w:r>
        <w:rPr>
          <w:rStyle w:val="CharSchNo"/>
        </w:rPr>
        <w:t>Schedule 1</w:t>
      </w:r>
      <w:r>
        <w:rPr>
          <w:rStyle w:val="CharSDivNo"/>
        </w:rPr>
        <w:t> </w:t>
      </w:r>
      <w:r>
        <w:t>—</w:t>
      </w:r>
      <w:r>
        <w:rPr>
          <w:rStyle w:val="CharSDivText"/>
        </w:rPr>
        <w:t> </w:t>
      </w:r>
      <w:r>
        <w:rPr>
          <w:rStyle w:val="CharSchText"/>
        </w:rPr>
        <w:t>Entities which are not organisations</w:t>
      </w:r>
      <w:bookmarkEnd w:id="333"/>
      <w:bookmarkEnd w:id="334"/>
      <w:bookmarkEnd w:id="335"/>
      <w:bookmarkEnd w:id="336"/>
      <w:bookmarkEnd w:id="337"/>
      <w:bookmarkEnd w:id="338"/>
      <w:bookmarkEnd w:id="339"/>
    </w:p>
    <w:p>
      <w:pPr>
        <w:pStyle w:val="yShoulderClause"/>
        <w:rPr>
          <w:snapToGrid w:val="0"/>
        </w:rPr>
      </w:pPr>
      <w:r>
        <w:rPr>
          <w:snapToGrid w:val="0"/>
        </w:rP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NAm"/>
              <w:jc w:val="center"/>
              <w:rPr>
                <w:b/>
                <w:bCs/>
              </w:rPr>
            </w:pPr>
            <w:r>
              <w:rPr>
                <w:b/>
                <w:bCs/>
              </w:rPr>
              <w:t>Column 1</w:t>
            </w:r>
            <w:r>
              <w:rPr>
                <w:b/>
                <w:bCs/>
              </w:rPr>
              <w:br/>
              <w:t>Item</w:t>
            </w:r>
          </w:p>
        </w:tc>
        <w:tc>
          <w:tcPr>
            <w:tcW w:w="5954" w:type="dxa"/>
          </w:tcPr>
          <w:p>
            <w:pPr>
              <w:pStyle w:val="yTableNAm"/>
              <w:jc w:val="center"/>
              <w:rPr>
                <w:b/>
                <w:bCs/>
              </w:rPr>
            </w:pPr>
            <w:r>
              <w:rPr>
                <w:b/>
                <w:bCs/>
              </w:rPr>
              <w:t>Column 2</w:t>
            </w:r>
            <w:r>
              <w:rPr>
                <w:b/>
                <w:bCs/>
              </w:rPr>
              <w:br/>
              <w:t>Entity</w:t>
            </w:r>
          </w:p>
        </w:tc>
      </w:tr>
      <w:tr>
        <w:trPr>
          <w:cantSplit/>
        </w:trPr>
        <w:tc>
          <w:tcPr>
            <w:tcW w:w="1134" w:type="dxa"/>
          </w:tcPr>
          <w:p>
            <w:pPr>
              <w:pStyle w:val="yTableNAm"/>
              <w:jc w:val="center"/>
            </w:pPr>
            <w:r>
              <w:t>1</w:t>
            </w:r>
          </w:p>
        </w:tc>
        <w:tc>
          <w:tcPr>
            <w:tcW w:w="5954" w:type="dxa"/>
          </w:tcPr>
          <w:p>
            <w:pPr>
              <w:pStyle w:val="yTableNAm"/>
            </w:pPr>
            <w:r>
              <w:t xml:space="preserve">The Governor’s Establishment referred to in the </w:t>
            </w:r>
            <w:r>
              <w:rPr>
                <w:i/>
              </w:rPr>
              <w:t>Governor’s Establishment Act 1992</w:t>
            </w:r>
            <w:r>
              <w:t xml:space="preserve"> </w:t>
            </w:r>
          </w:p>
        </w:tc>
      </w:tr>
      <w:tr>
        <w:trPr>
          <w:cantSplit/>
        </w:trPr>
        <w:tc>
          <w:tcPr>
            <w:tcW w:w="1134" w:type="dxa"/>
          </w:tcPr>
          <w:p>
            <w:pPr>
              <w:pStyle w:val="yTableNAm"/>
              <w:jc w:val="center"/>
            </w:pPr>
            <w:r>
              <w:t>2</w:t>
            </w:r>
          </w:p>
        </w:tc>
        <w:tc>
          <w:tcPr>
            <w:tcW w:w="5954" w:type="dxa"/>
          </w:tcPr>
          <w:p>
            <w:pPr>
              <w:pStyle w:val="yTableNAm"/>
            </w:pPr>
            <w:r>
              <w:t xml:space="preserve">A department of the staff of Parliament referred to in the </w:t>
            </w:r>
            <w:r>
              <w:rPr>
                <w:i/>
              </w:rPr>
              <w:t>Parliamentary and Electorate Staff (Employment) Act 1992</w:t>
            </w:r>
          </w:p>
        </w:tc>
      </w:tr>
      <w:tr>
        <w:trPr>
          <w:cantSplit/>
        </w:trPr>
        <w:tc>
          <w:tcPr>
            <w:tcW w:w="1134" w:type="dxa"/>
          </w:tcPr>
          <w:p>
            <w:pPr>
              <w:pStyle w:val="yTableNAm"/>
              <w:jc w:val="center"/>
            </w:pPr>
            <w:r>
              <w:t>3</w:t>
            </w:r>
          </w:p>
        </w:tc>
        <w:tc>
          <w:tcPr>
            <w:tcW w:w="5954" w:type="dxa"/>
          </w:tcPr>
          <w:p>
            <w:pPr>
              <w:pStyle w:val="yTableNAm"/>
            </w:pPr>
            <w:r>
              <w:t>The electorate office of a member of Parliament</w:t>
            </w:r>
          </w:p>
        </w:tc>
      </w:tr>
      <w:tr>
        <w:trPr>
          <w:cantSplit/>
        </w:trPr>
        <w:tc>
          <w:tcPr>
            <w:tcW w:w="1134" w:type="dxa"/>
          </w:tcPr>
          <w:p>
            <w:pPr>
              <w:pStyle w:val="yTableNAm"/>
              <w:jc w:val="center"/>
            </w:pPr>
            <w:r>
              <w:t>4</w:t>
            </w:r>
          </w:p>
        </w:tc>
        <w:tc>
          <w:tcPr>
            <w:tcW w:w="5954" w:type="dxa"/>
          </w:tcPr>
          <w:p>
            <w:pPr>
              <w:pStyle w:val="yTableNAm"/>
            </w:pPr>
            <w:r>
              <w:t>Any court or tribunal established or continued under a written law and any judge or officer exercising a judicial function as a member of that court or tribunal</w:t>
            </w:r>
          </w:p>
        </w:tc>
      </w:tr>
      <w:tr>
        <w:trPr>
          <w:cantSplit/>
        </w:trPr>
        <w:tc>
          <w:tcPr>
            <w:tcW w:w="1134" w:type="dxa"/>
          </w:tcPr>
          <w:p>
            <w:pPr>
              <w:pStyle w:val="yTableNAm"/>
              <w:jc w:val="center"/>
            </w:pPr>
            <w:r>
              <w:t>5</w:t>
            </w:r>
          </w:p>
        </w:tc>
        <w:tc>
          <w:tcPr>
            <w:tcW w:w="5954" w:type="dxa"/>
          </w:tcPr>
          <w:p>
            <w:pPr>
              <w:pStyle w:val="yTableNAm"/>
            </w:pPr>
            <w:r>
              <w:t xml:space="preserve">The Police Force within the meaning of the </w:t>
            </w:r>
            <w:r>
              <w:rPr>
                <w:i/>
              </w:rPr>
              <w:t>Police Act 1892</w:t>
            </w:r>
          </w:p>
        </w:tc>
      </w:tr>
      <w:tr>
        <w:trPr>
          <w:cantSplit/>
        </w:trPr>
        <w:tc>
          <w:tcPr>
            <w:tcW w:w="1134" w:type="dxa"/>
          </w:tcPr>
          <w:p>
            <w:pPr>
              <w:pStyle w:val="yTableNAm"/>
              <w:jc w:val="center"/>
            </w:pPr>
            <w:r>
              <w:t>6</w:t>
            </w:r>
          </w:p>
        </w:tc>
        <w:tc>
          <w:tcPr>
            <w:tcW w:w="5954" w:type="dxa"/>
          </w:tcPr>
          <w:p>
            <w:pPr>
              <w:pStyle w:val="yTableNAm"/>
            </w:pPr>
            <w:r>
              <w:t>Curtin University established under the </w:t>
            </w:r>
            <w:r>
              <w:rPr>
                <w:i/>
              </w:rPr>
              <w:t>Curtin University Act 1966</w:t>
            </w:r>
          </w:p>
        </w:tc>
      </w:tr>
      <w:tr>
        <w:trPr>
          <w:cantSplit/>
        </w:trPr>
        <w:tc>
          <w:tcPr>
            <w:tcW w:w="1134" w:type="dxa"/>
          </w:tcPr>
          <w:p>
            <w:pPr>
              <w:pStyle w:val="yTableNAm"/>
              <w:jc w:val="center"/>
            </w:pPr>
            <w:r>
              <w:t>7</w:t>
            </w:r>
          </w:p>
        </w:tc>
        <w:tc>
          <w:tcPr>
            <w:tcW w:w="5954" w:type="dxa"/>
          </w:tcPr>
          <w:p>
            <w:pPr>
              <w:pStyle w:val="yTableNAm"/>
            </w:pP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p>
        </w:tc>
      </w:tr>
      <w:tr>
        <w:trPr>
          <w:cantSplit/>
        </w:trPr>
        <w:tc>
          <w:tcPr>
            <w:tcW w:w="1134" w:type="dxa"/>
          </w:tcPr>
          <w:p>
            <w:pPr>
              <w:pStyle w:val="yTableNAm"/>
              <w:jc w:val="center"/>
            </w:pPr>
            <w:r>
              <w:t>8</w:t>
            </w:r>
          </w:p>
        </w:tc>
        <w:tc>
          <w:tcPr>
            <w:tcW w:w="5954" w:type="dxa"/>
          </w:tcPr>
          <w:p>
            <w:pPr>
              <w:pStyle w:val="yTableNAm"/>
            </w:pP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w:t>
              </w:r>
              <w:smartTag w:uri="urn:schemas-microsoft-com:office:smarttags" w:element="PlaceType">
                <w:r>
                  <w:rPr>
                    <w:i/>
                  </w:rPr>
                  <w:t>University</w:t>
                </w:r>
              </w:smartTag>
            </w:smartTag>
            <w:r>
              <w:rPr>
                <w:i/>
              </w:rPr>
              <w:t xml:space="preserve"> Act 1973</w:t>
            </w:r>
          </w:p>
        </w:tc>
      </w:tr>
      <w:tr>
        <w:trPr>
          <w:cantSplit/>
        </w:trPr>
        <w:tc>
          <w:tcPr>
            <w:tcW w:w="1134" w:type="dxa"/>
          </w:tcPr>
          <w:p>
            <w:pPr>
              <w:pStyle w:val="yTableNAm"/>
              <w:jc w:val="center"/>
            </w:pPr>
            <w:r>
              <w:t>9</w:t>
            </w:r>
          </w:p>
        </w:tc>
        <w:tc>
          <w:tcPr>
            <w:tcW w:w="5954" w:type="dxa"/>
          </w:tcPr>
          <w:p>
            <w:pPr>
              <w:pStyle w:val="yTableNAm"/>
            </w:pPr>
            <w:r>
              <w:t xml:space="preserve">The University of Notre Dame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Notre Dame Australia Act</w:t>
                </w:r>
              </w:smartTag>
            </w:smartTag>
            <w:r>
              <w:rPr>
                <w:i/>
              </w:rPr>
              <w:t> 1989</w:t>
            </w:r>
          </w:p>
        </w:tc>
      </w:tr>
      <w:tr>
        <w:trPr>
          <w:cantSplit/>
        </w:trPr>
        <w:tc>
          <w:tcPr>
            <w:tcW w:w="1134" w:type="dxa"/>
          </w:tcPr>
          <w:p>
            <w:pPr>
              <w:pStyle w:val="yTableNAm"/>
              <w:jc w:val="center"/>
            </w:pPr>
            <w:r>
              <w:t>10</w:t>
            </w:r>
          </w:p>
        </w:tc>
        <w:tc>
          <w:tcPr>
            <w:tcW w:w="5954" w:type="dxa"/>
          </w:tcPr>
          <w:p>
            <w:pPr>
              <w:pStyle w:val="yTableNAm"/>
            </w:pPr>
            <w:r>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established under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p>
        </w:tc>
      </w:tr>
      <w:tr>
        <w:trPr>
          <w:cantSplit/>
        </w:trPr>
        <w:tc>
          <w:tcPr>
            <w:tcW w:w="1134" w:type="dxa"/>
          </w:tcPr>
          <w:p>
            <w:pPr>
              <w:pStyle w:val="yTableNAm"/>
              <w:jc w:val="center"/>
            </w:pPr>
            <w:r>
              <w:t>11</w:t>
            </w:r>
          </w:p>
        </w:tc>
        <w:tc>
          <w:tcPr>
            <w:tcW w:w="5954" w:type="dxa"/>
          </w:tcPr>
          <w:p>
            <w:pPr>
              <w:pStyle w:val="yTableNAm"/>
            </w:pPr>
            <w:r>
              <w:t xml:space="preserve">Gold Corporation and Goldcorp </w:t>
            </w:r>
            <w:smartTag w:uri="urn:schemas-microsoft-com:office:smarttags" w:element="place">
              <w:smartTag w:uri="urn:schemas-microsoft-com:office:smarttags" w:element="country-region">
                <w:r>
                  <w:t>Australia</w:t>
                </w:r>
              </w:smartTag>
            </w:smartTag>
            <w:r>
              <w:t xml:space="preserve"> established under the </w:t>
            </w:r>
            <w:r>
              <w:rPr>
                <w:i/>
              </w:rPr>
              <w:t>Gold Corporation Act 1987</w:t>
            </w:r>
            <w:r>
              <w:t xml:space="preserve"> and the Mint within the meaning of that Act</w:t>
            </w:r>
          </w:p>
        </w:tc>
      </w:tr>
      <w:tr>
        <w:trPr>
          <w:cantSplit/>
        </w:trPr>
        <w:tc>
          <w:tcPr>
            <w:tcW w:w="1134" w:type="dxa"/>
          </w:tcPr>
          <w:p>
            <w:pPr>
              <w:pStyle w:val="yTableNAm"/>
              <w:jc w:val="center"/>
              <w:rPr>
                <w:i/>
              </w:rPr>
            </w:pPr>
            <w:r>
              <w:rPr>
                <w:i/>
              </w:rPr>
              <w:t>[12.</w:t>
            </w:r>
          </w:p>
        </w:tc>
        <w:tc>
          <w:tcPr>
            <w:tcW w:w="5954" w:type="dxa"/>
          </w:tcPr>
          <w:p>
            <w:pPr>
              <w:pStyle w:val="yTableNAm"/>
              <w:rPr>
                <w:i/>
              </w:rPr>
            </w:pPr>
            <w:r>
              <w:rPr>
                <w:i/>
              </w:rPr>
              <w:t>Deleted]</w:t>
            </w:r>
          </w:p>
        </w:tc>
      </w:tr>
      <w:tr>
        <w:trPr>
          <w:cantSplit/>
        </w:trPr>
        <w:tc>
          <w:tcPr>
            <w:tcW w:w="1134" w:type="dxa"/>
          </w:tcPr>
          <w:p>
            <w:pPr>
              <w:pStyle w:val="yTableNAm"/>
              <w:jc w:val="center"/>
            </w:pPr>
            <w:r>
              <w:t>13</w:t>
            </w:r>
          </w:p>
        </w:tc>
        <w:tc>
          <w:tcPr>
            <w:tcW w:w="5954" w:type="dxa"/>
          </w:tcPr>
          <w:p>
            <w:pPr>
              <w:pStyle w:val="yTableNAm"/>
              <w:rPr>
                <w:vertAlign w:val="superscript"/>
              </w:rPr>
            </w:pPr>
            <w:r>
              <w:t xml:space="preserve">The R &amp; I Bank of Western Australia Ltd within the meaning of the </w:t>
            </w:r>
            <w:r>
              <w:rPr>
                <w:i/>
              </w:rPr>
              <w:t>R &amp; I Holdings Act 1990</w:t>
            </w:r>
            <w:r>
              <w:rPr>
                <w:i/>
                <w:vertAlign w:val="superscript"/>
              </w:rPr>
              <w:t> </w:t>
            </w:r>
            <w:r>
              <w:rPr>
                <w:iCs/>
                <w:vertAlign w:val="superscript"/>
              </w:rPr>
              <w:t>4</w:t>
            </w:r>
          </w:p>
        </w:tc>
      </w:tr>
      <w:tr>
        <w:trPr>
          <w:cantSplit/>
        </w:trPr>
        <w:tc>
          <w:tcPr>
            <w:tcW w:w="1134" w:type="dxa"/>
          </w:tcPr>
          <w:p>
            <w:pPr>
              <w:pStyle w:val="yTableNAm"/>
              <w:jc w:val="center"/>
            </w:pPr>
            <w:r>
              <w:t>14</w:t>
            </w:r>
          </w:p>
        </w:tc>
        <w:tc>
          <w:tcPr>
            <w:tcW w:w="5954" w:type="dxa"/>
          </w:tcPr>
          <w:p>
            <w:pPr>
              <w:pStyle w:val="yTableNAm"/>
            </w:pPr>
            <w:r>
              <w:t xml:space="preserve">SGIO Insurance Limited established under the </w:t>
            </w:r>
            <w:r>
              <w:rPr>
                <w:i/>
              </w:rPr>
              <w:t>SGIO Privatisation Act 1992</w:t>
            </w:r>
          </w:p>
        </w:tc>
      </w:tr>
      <w:tr>
        <w:trPr>
          <w:cantSplit/>
        </w:trPr>
        <w:tc>
          <w:tcPr>
            <w:tcW w:w="1134" w:type="dxa"/>
          </w:tcPr>
          <w:p>
            <w:pPr>
              <w:pStyle w:val="yTableNAm"/>
              <w:jc w:val="center"/>
            </w:pPr>
            <w:r>
              <w:t>15</w:t>
            </w:r>
          </w:p>
        </w:tc>
        <w:tc>
          <w:tcPr>
            <w:tcW w:w="5954" w:type="dxa"/>
          </w:tcPr>
          <w:p>
            <w:pPr>
              <w:pStyle w:val="yTableNAm"/>
            </w:pPr>
            <w:r>
              <w:t>Any local government or regional local government or the council of a local government or regional local government</w:t>
            </w:r>
          </w:p>
        </w:tc>
      </w:tr>
      <w:tr>
        <w:trPr>
          <w:cantSplit/>
        </w:trPr>
        <w:tc>
          <w:tcPr>
            <w:tcW w:w="1134" w:type="dxa"/>
          </w:tcPr>
          <w:p>
            <w:pPr>
              <w:pStyle w:val="yTableNAm"/>
              <w:jc w:val="center"/>
            </w:pPr>
            <w:r>
              <w:t>15A</w:t>
            </w:r>
          </w:p>
        </w:tc>
        <w:tc>
          <w:tcPr>
            <w:tcW w:w="5954" w:type="dxa"/>
          </w:tcPr>
          <w:p>
            <w:pPr>
              <w:pStyle w:val="yTableNAm"/>
            </w:pPr>
            <w:r>
              <w:t>Any regional subsidiary or the governing body of a regional subsidiary</w:t>
            </w:r>
          </w:p>
        </w:tc>
      </w:tr>
      <w:tr>
        <w:trPr>
          <w:cantSplit/>
        </w:trPr>
        <w:tc>
          <w:tcPr>
            <w:tcW w:w="1134" w:type="dxa"/>
          </w:tcPr>
          <w:p>
            <w:pPr>
              <w:pStyle w:val="yTableNAm"/>
              <w:jc w:val="center"/>
            </w:pPr>
            <w:r>
              <w:t>16</w:t>
            </w:r>
          </w:p>
        </w:tc>
        <w:tc>
          <w:tcPr>
            <w:tcW w:w="5954" w:type="dxa"/>
          </w:tcPr>
          <w:p>
            <w:pPr>
              <w:pStyle w:val="yTableNAm"/>
            </w:pPr>
            <w:r>
              <w:t xml:space="preserve">Racing and Wagering Western Australia established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p>
        </w:tc>
      </w:tr>
      <w:tr>
        <w:trPr>
          <w:cantSplit/>
        </w:trPr>
        <w:tc>
          <w:tcPr>
            <w:tcW w:w="1134" w:type="dxa"/>
          </w:tcPr>
          <w:p>
            <w:pPr>
              <w:pStyle w:val="yTableNAm"/>
              <w:jc w:val="center"/>
            </w:pPr>
            <w:r>
              <w:t>16A</w:t>
            </w:r>
          </w:p>
        </w:tc>
        <w:tc>
          <w:tcPr>
            <w:tcW w:w="5954" w:type="dxa"/>
          </w:tcPr>
          <w:p>
            <w:pPr>
              <w:pStyle w:val="yTableNAm"/>
            </w:pPr>
            <w:r>
              <w:rPr>
                <w:snapToGrid w:val="0"/>
              </w:rPr>
              <w:t xml:space="preserve">Any port authority established under the </w:t>
            </w:r>
            <w:r>
              <w:rPr>
                <w:i/>
                <w:snapToGrid w:val="0"/>
              </w:rPr>
              <w:t>Port Authorities Act 1999</w:t>
            </w:r>
          </w:p>
        </w:tc>
      </w:tr>
      <w:tr>
        <w:trPr>
          <w:cantSplit/>
        </w:trPr>
        <w:tc>
          <w:tcPr>
            <w:tcW w:w="1134" w:type="dxa"/>
          </w:tcPr>
          <w:p>
            <w:pPr>
              <w:pStyle w:val="yTableNAm"/>
              <w:jc w:val="center"/>
            </w:pPr>
            <w:r>
              <w:t>17</w:t>
            </w:r>
          </w:p>
        </w:tc>
        <w:tc>
          <w:tcPr>
            <w:tcW w:w="5954" w:type="dxa"/>
          </w:tcPr>
          <w:p>
            <w:pPr>
              <w:pStyle w:val="yTableNAm"/>
              <w:rPr>
                <w:snapToGrid w:val="0"/>
              </w:rPr>
            </w:pPr>
            <w:r>
              <w:t>Western Australian Land Authority established by the</w:t>
            </w:r>
            <w:r>
              <w:rPr>
                <w:i/>
              </w:rPr>
              <w:t xml:space="preserv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Land</w:t>
                </w:r>
              </w:smartTag>
            </w:smartTag>
            <w:r>
              <w:rPr>
                <w:i/>
              </w:rPr>
              <w:t xml:space="preserve"> Authority Act 1992</w:t>
            </w:r>
          </w:p>
        </w:tc>
      </w:tr>
      <w:tr>
        <w:trPr>
          <w:cantSplit/>
        </w:trPr>
        <w:tc>
          <w:tcPr>
            <w:tcW w:w="1134" w:type="dxa"/>
          </w:tcPr>
          <w:p>
            <w:pPr>
              <w:pStyle w:val="yTableNAm"/>
              <w:jc w:val="center"/>
            </w:pPr>
            <w:r>
              <w:t>18</w:t>
            </w:r>
          </w:p>
        </w:tc>
        <w:tc>
          <w:tcPr>
            <w:tcW w:w="5954" w:type="dxa"/>
          </w:tcPr>
          <w:p>
            <w:pPr>
              <w:pStyle w:val="yTableNAm"/>
            </w:pPr>
            <w:r>
              <w:t xml:space="preserve">Western Australian Treasury Corporation established by the </w:t>
            </w:r>
            <w:r>
              <w:rPr>
                <w:i/>
              </w:rPr>
              <w:t>Western Australian Treasury Corporation Act 1986</w:t>
            </w:r>
          </w:p>
        </w:tc>
      </w:tr>
      <w:tr>
        <w:trPr>
          <w:cantSplit/>
        </w:trPr>
        <w:tc>
          <w:tcPr>
            <w:tcW w:w="1134" w:type="dxa"/>
          </w:tcPr>
          <w:p>
            <w:pPr>
              <w:pStyle w:val="yTableNAm"/>
              <w:jc w:val="center"/>
            </w:pPr>
            <w:r>
              <w:t>19</w:t>
            </w:r>
          </w:p>
        </w:tc>
        <w:tc>
          <w:tcPr>
            <w:tcW w:w="5954" w:type="dxa"/>
          </w:tcPr>
          <w:p>
            <w:pPr>
              <w:pStyle w:val="yTableNAm"/>
              <w:tabs>
                <w:tab w:val="clear" w:pos="567"/>
                <w:tab w:val="left" w:pos="293"/>
                <w:tab w:val="left" w:pos="853"/>
              </w:tabs>
            </w:pPr>
            <w:r>
              <w:t xml:space="preserve">A body established by or under the </w:t>
            </w:r>
            <w:r>
              <w:rPr>
                <w:i/>
                <w:iCs/>
              </w:rPr>
              <w:t>Water Corporations Act 1995</w:t>
            </w:r>
            <w:r>
              <w:t xml:space="preserve"> section 4, namely —</w:t>
            </w:r>
          </w:p>
          <w:p>
            <w:pPr>
              <w:pStyle w:val="yTableNAm"/>
              <w:tabs>
                <w:tab w:val="clear" w:pos="567"/>
                <w:tab w:val="left" w:pos="293"/>
                <w:tab w:val="left" w:pos="853"/>
              </w:tabs>
              <w:ind w:left="853" w:hanging="853"/>
            </w:pPr>
            <w:r>
              <w:tab/>
              <w:t>(i)</w:t>
            </w:r>
            <w:r>
              <w:tab/>
              <w:t>the Water Corporation; and</w:t>
            </w:r>
          </w:p>
        </w:tc>
      </w:tr>
      <w:tr>
        <w:trPr>
          <w:cantSplit/>
        </w:trPr>
        <w:tc>
          <w:tcPr>
            <w:tcW w:w="1134" w:type="dxa"/>
          </w:tcPr>
          <w:p>
            <w:pPr>
              <w:pStyle w:val="yTableNAm"/>
              <w:jc w:val="center"/>
            </w:pPr>
          </w:p>
        </w:tc>
        <w:tc>
          <w:tcPr>
            <w:tcW w:w="5954" w:type="dxa"/>
          </w:tcPr>
          <w:p>
            <w:pPr>
              <w:pStyle w:val="yTableNAm"/>
              <w:tabs>
                <w:tab w:val="clear" w:pos="567"/>
                <w:tab w:val="left" w:pos="293"/>
                <w:tab w:val="left" w:pos="853"/>
              </w:tabs>
              <w:ind w:left="853" w:hanging="853"/>
            </w:pPr>
            <w:r>
              <w:tab/>
              <w:t>(ii)</w:t>
            </w:r>
            <w:r>
              <w:tab/>
              <w:t>the Bunbury Water Corporation; and</w:t>
            </w:r>
          </w:p>
          <w:p>
            <w:pPr>
              <w:pStyle w:val="yTableNAm"/>
              <w:tabs>
                <w:tab w:val="clear" w:pos="567"/>
                <w:tab w:val="left" w:pos="293"/>
                <w:tab w:val="left" w:pos="853"/>
              </w:tabs>
              <w:ind w:left="853" w:hanging="853"/>
            </w:pPr>
            <w:r>
              <w:tab/>
              <w:t>(iii)</w:t>
            </w:r>
            <w:r>
              <w:tab/>
              <w:t>the Busselton Water Corporation; and</w:t>
            </w:r>
          </w:p>
          <w:p>
            <w:pPr>
              <w:pStyle w:val="yTableNAm"/>
              <w:tabs>
                <w:tab w:val="clear" w:pos="567"/>
                <w:tab w:val="left" w:pos="293"/>
                <w:tab w:val="left" w:pos="853"/>
              </w:tabs>
              <w:ind w:left="853" w:hanging="853"/>
            </w:pPr>
            <w:r>
              <w:tab/>
              <w:t>(iv)</w:t>
            </w:r>
            <w:r>
              <w:tab/>
              <w:t>a body established by the Governor.</w:t>
            </w:r>
          </w:p>
        </w:tc>
      </w:tr>
      <w:tr>
        <w:trPr>
          <w:cantSplit/>
        </w:trPr>
        <w:tc>
          <w:tcPr>
            <w:tcW w:w="1134" w:type="dxa"/>
          </w:tcPr>
          <w:p>
            <w:pPr>
              <w:pStyle w:val="yTableNAm"/>
              <w:jc w:val="center"/>
            </w:pPr>
            <w:r>
              <w:t>20</w:t>
            </w:r>
          </w:p>
        </w:tc>
        <w:tc>
          <w:tcPr>
            <w:tcW w:w="5954" w:type="dxa"/>
          </w:tcPr>
          <w:p>
            <w:pPr>
              <w:pStyle w:val="yTableNAm"/>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NAm"/>
              <w:jc w:val="center"/>
            </w:pPr>
            <w:r>
              <w:t>21</w:t>
            </w:r>
          </w:p>
        </w:tc>
        <w:tc>
          <w:tcPr>
            <w:tcW w:w="5954" w:type="dxa"/>
          </w:tcPr>
          <w:p>
            <w:pPr>
              <w:pStyle w:val="yTableNAm"/>
            </w:pPr>
            <w:r>
              <w:t xml:space="preserve">A body established by the </w:t>
            </w:r>
            <w:r>
              <w:rPr>
                <w:i/>
              </w:rPr>
              <w:t>Electricity Corporations Act 2005</w:t>
            </w:r>
            <w:r>
              <w:t xml:space="preserve"> section 4(1)</w:t>
            </w:r>
          </w:p>
        </w:tc>
      </w:tr>
    </w:tbl>
    <w:p>
      <w:pPr>
        <w:pStyle w:val="yFootnotesection"/>
        <w:keepLines w:val="0"/>
      </w:pPr>
      <w:r>
        <w:tab/>
        <w:t xml:space="preserve">[Schedule 1 amended: No. 73 of 1990 s. 22(3)(a)(iii); No. 89 of 1994 s. 109; No. 73 of 1995 s. 188; No. 14 of 1996 s. 4; No. 57 of 1997 s. 99(4); No. 5 of 1999 s. 23; No. 58 of 1999 s. 106; No. 24 of 2000 s. 14(13) and 34(2); No. 35 of 2003 s. 23 and 221(3); No. 67 of 2004 s. 45(2); No. 18 of 2005 s. 139; No. 25 of 2012 s. 224; No. 25 of 2013 s. 44; No. 26 of 2016 s. 87; No. 32 of 2016 s. 190; amended: Gazette 16 Sep 1994 p. 4803; 23 Jun 1995 p. 2508; 3 Nov 1995 p. 5204; 4 Jan 2005 p. 6; 29 May 2018 p. 1736.] </w:t>
      </w:r>
    </w:p>
    <w:p>
      <w:pPr>
        <w:pStyle w:val="yScheduleHeading"/>
        <w:outlineLvl w:val="0"/>
      </w:pPr>
      <w:bookmarkStart w:id="340" w:name="_Toc500423010"/>
      <w:bookmarkStart w:id="341" w:name="_Toc503259394"/>
      <w:bookmarkStart w:id="342" w:name="_Toc503265330"/>
      <w:bookmarkStart w:id="343" w:name="_Toc503880797"/>
      <w:bookmarkStart w:id="344" w:name="_Toc515436323"/>
      <w:bookmarkStart w:id="345" w:name="_Toc515437152"/>
      <w:bookmarkStart w:id="346" w:name="_Toc20390169"/>
      <w:r>
        <w:rPr>
          <w:rStyle w:val="CharSchNo"/>
        </w:rPr>
        <w:t>Schedule 2</w:t>
      </w:r>
      <w:r>
        <w:rPr>
          <w:rStyle w:val="CharSDivNo"/>
        </w:rPr>
        <w:t> </w:t>
      </w:r>
      <w:r>
        <w:t>—</w:t>
      </w:r>
      <w:r>
        <w:rPr>
          <w:rStyle w:val="CharSDivText"/>
        </w:rPr>
        <w:t> </w:t>
      </w:r>
      <w:r>
        <w:rPr>
          <w:rStyle w:val="CharSchText"/>
        </w:rPr>
        <w:t>Entities which are SES organisations</w:t>
      </w:r>
      <w:bookmarkEnd w:id="340"/>
      <w:bookmarkEnd w:id="341"/>
      <w:bookmarkEnd w:id="342"/>
      <w:bookmarkEnd w:id="343"/>
      <w:bookmarkEnd w:id="344"/>
      <w:bookmarkEnd w:id="345"/>
      <w:bookmarkEnd w:id="346"/>
    </w:p>
    <w:p>
      <w:pPr>
        <w:pStyle w:val="yShoulderClause"/>
      </w:pPr>
      <w:r>
        <w:t>[s. 3 and 108]</w:t>
      </w:r>
    </w:p>
    <w:p>
      <w:pPr>
        <w:pStyle w:val="yFootnoteheading"/>
      </w:pPr>
      <w:r>
        <w:tab/>
        <w:t>[Heading amended: No. 19 of 2010 s. 4.]</w:t>
      </w:r>
    </w:p>
    <w:tbl>
      <w:tblPr>
        <w:tblW w:w="0" w:type="auto"/>
        <w:tblInd w:w="57" w:type="dxa"/>
        <w:tblLayout w:type="fixed"/>
        <w:tblCellMar>
          <w:left w:w="57" w:type="dxa"/>
          <w:right w:w="57" w:type="dxa"/>
        </w:tblCellMar>
        <w:tblLook w:val="0000" w:firstRow="0" w:lastRow="0" w:firstColumn="0" w:lastColumn="0" w:noHBand="0" w:noVBand="0"/>
      </w:tblPr>
      <w:tblGrid>
        <w:gridCol w:w="1080"/>
        <w:gridCol w:w="6008"/>
      </w:tblGrid>
      <w:tr>
        <w:trPr>
          <w:cantSplit/>
          <w:tblHeader/>
        </w:trPr>
        <w:tc>
          <w:tcPr>
            <w:tcW w:w="1080" w:type="dxa"/>
          </w:tcPr>
          <w:p>
            <w:pPr>
              <w:pStyle w:val="yTableNAm"/>
              <w:spacing w:before="80"/>
              <w:jc w:val="center"/>
              <w:rPr>
                <w:b/>
                <w:bCs/>
              </w:rPr>
            </w:pPr>
            <w:r>
              <w:rPr>
                <w:b/>
                <w:bCs/>
              </w:rPr>
              <w:t>Column 1</w:t>
            </w:r>
          </w:p>
          <w:p>
            <w:pPr>
              <w:pStyle w:val="yTableNAm"/>
              <w:spacing w:before="60"/>
              <w:jc w:val="center"/>
              <w:rPr>
                <w:b/>
                <w:bCs/>
              </w:rPr>
            </w:pPr>
            <w:r>
              <w:rPr>
                <w:b/>
                <w:bCs/>
              </w:rPr>
              <w:t>Item</w:t>
            </w:r>
          </w:p>
        </w:tc>
        <w:tc>
          <w:tcPr>
            <w:tcW w:w="6008" w:type="dxa"/>
          </w:tcPr>
          <w:p>
            <w:pPr>
              <w:pStyle w:val="yTableNAm"/>
              <w:spacing w:before="80"/>
              <w:jc w:val="center"/>
              <w:rPr>
                <w:b/>
                <w:bCs/>
              </w:rPr>
            </w:pPr>
            <w:r>
              <w:rPr>
                <w:b/>
                <w:bCs/>
              </w:rPr>
              <w:t>Column 2</w:t>
            </w:r>
          </w:p>
          <w:p>
            <w:pPr>
              <w:pStyle w:val="yTableNAm"/>
              <w:spacing w:before="60"/>
              <w:jc w:val="center"/>
              <w:rPr>
                <w:b/>
                <w:bCs/>
              </w:rPr>
            </w:pPr>
            <w:r>
              <w:rPr>
                <w:b/>
                <w:bCs/>
              </w:rPr>
              <w:t>Entity</w:t>
            </w:r>
          </w:p>
        </w:tc>
      </w:tr>
      <w:tr>
        <w:trPr>
          <w:cantSplit/>
        </w:trPr>
        <w:tc>
          <w:tcPr>
            <w:tcW w:w="1080" w:type="dxa"/>
          </w:tcPr>
          <w:p>
            <w:pPr>
              <w:pStyle w:val="yTableNAm"/>
              <w:spacing w:before="100"/>
              <w:jc w:val="center"/>
            </w:pPr>
            <w:r>
              <w:rPr>
                <w:i/>
              </w:rPr>
              <w:t>[1, 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w:t>
            </w:r>
          </w:p>
        </w:tc>
        <w:tc>
          <w:tcPr>
            <w:tcW w:w="6008" w:type="dxa"/>
          </w:tcPr>
          <w:p>
            <w:pPr>
              <w:pStyle w:val="yTableNAm"/>
              <w:spacing w:before="100"/>
            </w:pPr>
            <w:r>
              <w:t xml:space="preserve">Botanic Gardens and Parks Authority, established under the </w:t>
            </w:r>
            <w:r>
              <w:rPr>
                <w:i/>
              </w:rPr>
              <w:t>Botanic Gardens and Parks Authority Act 1998</w:t>
            </w:r>
          </w:p>
        </w:tc>
      </w:tr>
      <w:tr>
        <w:trPr>
          <w:cantSplit/>
        </w:trPr>
        <w:tc>
          <w:tcPr>
            <w:tcW w:w="1080" w:type="dxa"/>
          </w:tcPr>
          <w:p>
            <w:pPr>
              <w:pStyle w:val="yTableNAm"/>
              <w:spacing w:before="100"/>
              <w:jc w:val="center"/>
              <w:rPr>
                <w:i/>
              </w:rPr>
            </w:pPr>
            <w:r>
              <w:rPr>
                <w:i/>
              </w:rPr>
              <w:t>[3A</w:t>
            </w:r>
            <w:r>
              <w:rPr>
                <w:i/>
              </w:rPr>
              <w:noBreakHyphen/>
              <w:t>3D</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3E</w:t>
            </w:r>
          </w:p>
        </w:tc>
        <w:tc>
          <w:tcPr>
            <w:tcW w:w="6008" w:type="dxa"/>
          </w:tcPr>
          <w:p>
            <w:pPr>
              <w:pStyle w:val="yTableNAm"/>
              <w:spacing w:before="100"/>
            </w:pPr>
            <w:r>
              <w:t xml:space="preserve">Chemistry Centre (WA), established by the </w:t>
            </w:r>
            <w:r>
              <w:rPr>
                <w:i/>
                <w:iCs/>
              </w:rPr>
              <w:t>Chemistry Centre (WA) Act 2007</w:t>
            </w:r>
          </w:p>
        </w:tc>
      </w:tr>
      <w:tr>
        <w:trPr>
          <w:cantSplit/>
        </w:trPr>
        <w:tc>
          <w:tcPr>
            <w:tcW w:w="1080" w:type="dxa"/>
          </w:tcPr>
          <w:p>
            <w:pPr>
              <w:pStyle w:val="yTableNAm"/>
              <w:spacing w:before="100"/>
              <w:jc w:val="center"/>
            </w:pPr>
            <w:r>
              <w:t>3F</w:t>
            </w:r>
          </w:p>
        </w:tc>
        <w:tc>
          <w:tcPr>
            <w:tcW w:w="6008" w:type="dxa"/>
          </w:tcPr>
          <w:p>
            <w:pPr>
              <w:pStyle w:val="yTableNAm"/>
              <w:spacing w:before="100"/>
            </w:pPr>
            <w:r>
              <w:t xml:space="preserve">Colleges established under the </w:t>
            </w:r>
            <w:r>
              <w:rPr>
                <w:i/>
                <w:iCs/>
              </w:rPr>
              <w:t>Vocational Education and Training Act 1996</w:t>
            </w:r>
            <w:r>
              <w:rPr>
                <w:iCs/>
              </w:rPr>
              <w:t xml:space="preserve"> section 35</w:t>
            </w:r>
          </w:p>
        </w:tc>
      </w:tr>
      <w:tr>
        <w:trPr>
          <w:cantSplit/>
        </w:trPr>
        <w:tc>
          <w:tcPr>
            <w:tcW w:w="1080" w:type="dxa"/>
          </w:tcPr>
          <w:p>
            <w:pPr>
              <w:pStyle w:val="yTableNAm"/>
              <w:spacing w:before="100"/>
              <w:jc w:val="center"/>
              <w:rPr>
                <w:i/>
              </w:rPr>
            </w:pPr>
            <w:r>
              <w:rPr>
                <w:i/>
              </w:rPr>
              <w:t>[4</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4A</w:t>
            </w:r>
          </w:p>
        </w:tc>
        <w:tc>
          <w:tcPr>
            <w:tcW w:w="6008" w:type="dxa"/>
          </w:tcPr>
          <w:p>
            <w:pPr>
              <w:pStyle w:val="yTableNAm"/>
              <w:spacing w:before="100"/>
            </w:pPr>
            <w:r>
              <w:t xml:space="preserve">Country Housing Authority, established under the </w:t>
            </w:r>
            <w:r>
              <w:rPr>
                <w:i/>
                <w:iCs/>
              </w:rPr>
              <w:t>Country Housing Act 1998</w:t>
            </w:r>
          </w:p>
        </w:tc>
      </w:tr>
      <w:tr>
        <w:trPr>
          <w:cantSplit/>
        </w:trPr>
        <w:tc>
          <w:tcPr>
            <w:tcW w:w="1080" w:type="dxa"/>
          </w:tcPr>
          <w:p>
            <w:pPr>
              <w:pStyle w:val="yTableNAm"/>
              <w:spacing w:before="100"/>
              <w:jc w:val="center"/>
            </w:pPr>
            <w:r>
              <w:t>5</w:t>
            </w:r>
          </w:p>
        </w:tc>
        <w:tc>
          <w:tcPr>
            <w:tcW w:w="6008" w:type="dxa"/>
          </w:tcPr>
          <w:p>
            <w:pPr>
              <w:pStyle w:val="yTableNAm"/>
              <w:spacing w:before="100"/>
              <w:rPr>
                <w:spacing w:val="-4"/>
              </w:rPr>
            </w:pPr>
            <w:r>
              <w:rPr>
                <w:spacing w:val="-4"/>
              </w:rPr>
              <w:t xml:space="preserve">Commissioner of Main Roads, appointed under the </w:t>
            </w:r>
            <w:r>
              <w:rPr>
                <w:i/>
                <w:spacing w:val="-4"/>
              </w:rPr>
              <w:t>Main Roads Act 1930</w:t>
            </w:r>
          </w:p>
        </w:tc>
      </w:tr>
      <w:tr>
        <w:trPr>
          <w:cantSplit/>
        </w:trPr>
        <w:tc>
          <w:tcPr>
            <w:tcW w:w="1080" w:type="dxa"/>
          </w:tcPr>
          <w:p>
            <w:pPr>
              <w:pStyle w:val="yTableNAm"/>
              <w:spacing w:before="100"/>
              <w:jc w:val="center"/>
              <w:rPr>
                <w:i/>
              </w:rPr>
            </w:pPr>
            <w:r>
              <w:rPr>
                <w:i/>
              </w:rPr>
              <w:t>[6, 7</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8</w:t>
            </w:r>
          </w:p>
        </w:tc>
        <w:tc>
          <w:tcPr>
            <w:tcW w:w="6008" w:type="dxa"/>
          </w:tcPr>
          <w:p>
            <w:pPr>
              <w:pStyle w:val="yTableNAm"/>
              <w:spacing w:before="100"/>
            </w:pPr>
            <w:r>
              <w:t xml:space="preserve">Disability Services Commission, continued under the </w:t>
            </w:r>
            <w:r>
              <w:rPr>
                <w:i/>
              </w:rPr>
              <w:t>Disability Services Act 1993</w:t>
            </w:r>
          </w:p>
        </w:tc>
      </w:tr>
      <w:tr>
        <w:trPr>
          <w:cantSplit/>
        </w:trPr>
        <w:tc>
          <w:tcPr>
            <w:tcW w:w="1080" w:type="dxa"/>
          </w:tcPr>
          <w:p>
            <w:pPr>
              <w:pStyle w:val="yTableNAm"/>
              <w:spacing w:before="100"/>
              <w:jc w:val="center"/>
              <w:rPr>
                <w:i/>
                <w:iCs/>
              </w:rPr>
            </w:pPr>
            <w:r>
              <w:rPr>
                <w:i/>
                <w:iCs/>
              </w:rPr>
              <w:t>[9, 10</w:t>
            </w:r>
          </w:p>
        </w:tc>
        <w:tc>
          <w:tcPr>
            <w:tcW w:w="6008" w:type="dxa"/>
          </w:tcPr>
          <w:p>
            <w:pPr>
              <w:pStyle w:val="yTableNAm"/>
              <w:spacing w:before="100"/>
              <w:rPr>
                <w:i/>
                <w:iCs/>
              </w:rPr>
            </w:pPr>
            <w:r>
              <w:rPr>
                <w:i/>
                <w:iCs/>
              </w:rPr>
              <w:t>deleted]</w:t>
            </w:r>
          </w:p>
        </w:tc>
      </w:tr>
      <w:tr>
        <w:trPr>
          <w:cantSplit/>
        </w:trPr>
        <w:tc>
          <w:tcPr>
            <w:tcW w:w="1080" w:type="dxa"/>
          </w:tcPr>
          <w:p>
            <w:pPr>
              <w:pStyle w:val="yTableNAm"/>
              <w:spacing w:before="100"/>
              <w:jc w:val="center"/>
            </w:pPr>
            <w:r>
              <w:t>10AA</w:t>
            </w:r>
          </w:p>
        </w:tc>
        <w:tc>
          <w:tcPr>
            <w:tcW w:w="6008" w:type="dxa"/>
          </w:tcPr>
          <w:p>
            <w:pPr>
              <w:pStyle w:val="yTableNAm"/>
              <w:spacing w:before="100"/>
            </w:pPr>
            <w:r>
              <w:t xml:space="preserve">Economic Regulation Authority, established under the </w:t>
            </w:r>
            <w:r>
              <w:rPr>
                <w:i/>
              </w:rPr>
              <w:t>Economic Regulation Authority Act 2003</w:t>
            </w:r>
          </w:p>
        </w:tc>
      </w:tr>
      <w:tr>
        <w:trPr>
          <w:cantSplit/>
        </w:trPr>
        <w:tc>
          <w:tcPr>
            <w:tcW w:w="1080" w:type="dxa"/>
          </w:tcPr>
          <w:p>
            <w:pPr>
              <w:pStyle w:val="yTableNAm"/>
              <w:spacing w:before="100"/>
              <w:jc w:val="center"/>
              <w:rPr>
                <w:i/>
              </w:rPr>
            </w:pPr>
            <w:r>
              <w:rPr>
                <w:i/>
              </w:rPr>
              <w:t>[10A</w:t>
            </w:r>
          </w:p>
        </w:tc>
        <w:tc>
          <w:tcPr>
            <w:tcW w:w="6008" w:type="dxa"/>
          </w:tcPr>
          <w:p>
            <w:pPr>
              <w:pStyle w:val="yTableNAm"/>
              <w:spacing w:before="100"/>
            </w:pPr>
            <w:r>
              <w:rPr>
                <w:i/>
              </w:rPr>
              <w:t>deleted]</w:t>
            </w:r>
          </w:p>
        </w:tc>
      </w:tr>
      <w:tr>
        <w:trPr>
          <w:cantSplit/>
        </w:trPr>
        <w:tc>
          <w:tcPr>
            <w:tcW w:w="1080" w:type="dxa"/>
          </w:tcPr>
          <w:p>
            <w:pPr>
              <w:pStyle w:val="yTableNAm"/>
              <w:spacing w:before="100"/>
              <w:jc w:val="center"/>
              <w:rPr>
                <w:i/>
              </w:rPr>
            </w:pPr>
            <w:r>
              <w:rPr>
                <w:i/>
              </w:rPr>
              <w:t>[11, 12</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13</w:t>
            </w:r>
          </w:p>
        </w:tc>
        <w:tc>
          <w:tcPr>
            <w:tcW w:w="6008" w:type="dxa"/>
          </w:tcPr>
          <w:p>
            <w:pPr>
              <w:pStyle w:val="yTableNAm"/>
              <w:spacing w:before="100"/>
            </w:pPr>
            <w:r>
              <w:t xml:space="preserve">Gascoyne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[14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15</w:t>
            </w:r>
          </w:p>
        </w:tc>
        <w:tc>
          <w:tcPr>
            <w:tcW w:w="6008" w:type="dxa"/>
          </w:tcPr>
          <w:p>
            <w:pPr>
              <w:pStyle w:val="yTableNAm"/>
              <w:spacing w:before="100"/>
            </w:pPr>
            <w:r>
              <w:t>Goldfields</w:t>
            </w:r>
            <w:r>
              <w:noBreakHyphen/>
              <w:t xml:space="preserve">Esperance Development Commission, established under the </w:t>
            </w:r>
            <w:r>
              <w:rPr>
                <w:i/>
              </w:rPr>
              <w:t>Regional Development Commissions Act 1993</w:t>
            </w:r>
          </w:p>
        </w:tc>
      </w:tr>
      <w:tr>
        <w:trPr>
          <w:cantSplit/>
        </w:trPr>
        <w:tc>
          <w:tcPr>
            <w:tcW w:w="1080" w:type="dxa"/>
          </w:tcPr>
          <w:p>
            <w:pPr>
              <w:pStyle w:val="yTableNAm"/>
              <w:spacing w:before="100"/>
              <w:jc w:val="center"/>
            </w:pPr>
            <w:r>
              <w:t>16</w:t>
            </w:r>
          </w:p>
        </w:tc>
        <w:tc>
          <w:tcPr>
            <w:tcW w:w="6008" w:type="dxa"/>
          </w:tcPr>
          <w:p>
            <w:pPr>
              <w:pStyle w:val="yTableNAm"/>
              <w:spacing w:before="100"/>
            </w:pPr>
            <w:r>
              <w:t xml:space="preserve">Government Employees Superannuation Board, under the </w:t>
            </w:r>
            <w:r>
              <w:rPr>
                <w:i/>
              </w:rPr>
              <w:t>State Superannuation Act 2000</w:t>
            </w:r>
          </w:p>
        </w:tc>
      </w:tr>
      <w:tr>
        <w:trPr>
          <w:cantSplit/>
        </w:trPr>
        <w:tc>
          <w:tcPr>
            <w:tcW w:w="1080" w:type="dxa"/>
          </w:tcPr>
          <w:p>
            <w:pPr>
              <w:pStyle w:val="yTableNAm"/>
              <w:spacing w:before="100"/>
              <w:jc w:val="center"/>
            </w:pPr>
            <w:r>
              <w:t>17</w:t>
            </w:r>
          </w:p>
        </w:tc>
        <w:tc>
          <w:tcPr>
            <w:tcW w:w="6008" w:type="dxa"/>
          </w:tcPr>
          <w:p>
            <w:pPr>
              <w:pStyle w:val="yTableNAm"/>
              <w:spacing w:before="100"/>
            </w:pPr>
            <w:r>
              <w:t xml:space="preserve">Great Southern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[18, 19</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19A</w:t>
            </w:r>
          </w:p>
        </w:tc>
        <w:tc>
          <w:tcPr>
            <w:tcW w:w="6008" w:type="dxa"/>
          </w:tcPr>
          <w:p>
            <w:pPr>
              <w:pStyle w:val="yTableNAm"/>
              <w:spacing w:before="100"/>
            </w:pPr>
            <w:r>
              <w:t xml:space="preserve">Insurance Commission of Western Australia, continued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p>
        </w:tc>
      </w:tr>
      <w:tr>
        <w:trPr>
          <w:cantSplit/>
        </w:trPr>
        <w:tc>
          <w:tcPr>
            <w:tcW w:w="1080" w:type="dxa"/>
          </w:tcPr>
          <w:p>
            <w:pPr>
              <w:pStyle w:val="yTableNAm"/>
              <w:spacing w:before="100"/>
              <w:jc w:val="center"/>
              <w:rPr>
                <w:i/>
              </w:rPr>
            </w:pPr>
            <w:r>
              <w:rPr>
                <w:i/>
              </w:rPr>
              <w:t>[20</w:t>
            </w:r>
            <w:r>
              <w:rPr>
                <w:i/>
              </w:rPr>
              <w:noBreakHyphen/>
              <w:t>22</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23</w:t>
            </w:r>
          </w:p>
        </w:tc>
        <w:tc>
          <w:tcPr>
            <w:tcW w:w="6008" w:type="dxa"/>
          </w:tcPr>
          <w:p>
            <w:pPr>
              <w:pStyle w:val="yTableNAm"/>
              <w:spacing w:before="100"/>
            </w:pPr>
            <w:r>
              <w:t xml:space="preserve">Kimberley Development Commission, established under the </w:t>
            </w:r>
            <w:r>
              <w:rPr>
                <w:i/>
              </w:rPr>
              <w:t>Regional Development Commissions Act 1993</w:t>
            </w:r>
          </w:p>
        </w:tc>
      </w:tr>
      <w:tr>
        <w:trPr>
          <w:cantSplit/>
        </w:trPr>
        <w:tc>
          <w:tcPr>
            <w:tcW w:w="1080" w:type="dxa"/>
          </w:tcPr>
          <w:p>
            <w:pPr>
              <w:pStyle w:val="yTableNAm"/>
              <w:spacing w:before="100"/>
              <w:jc w:val="center"/>
            </w:pPr>
            <w:r>
              <w:rPr>
                <w:i/>
              </w:rPr>
              <w:t>[24, 25</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26</w:t>
            </w:r>
          </w:p>
        </w:tc>
        <w:tc>
          <w:tcPr>
            <w:tcW w:w="6008" w:type="dxa"/>
          </w:tcPr>
          <w:p>
            <w:pPr>
              <w:pStyle w:val="yTableNAm"/>
              <w:spacing w:before="100"/>
            </w:pPr>
            <w:r>
              <w:t xml:space="preserve">Lotteries Commission, continued under the </w:t>
            </w:r>
            <w:r>
              <w:rPr>
                <w:i/>
              </w:rPr>
              <w:t>Lotteries Commission Act 1990</w:t>
            </w:r>
          </w:p>
        </w:tc>
      </w:tr>
      <w:tr>
        <w:trPr>
          <w:cantSplit/>
        </w:trPr>
        <w:tc>
          <w:tcPr>
            <w:tcW w:w="1080" w:type="dxa"/>
          </w:tcPr>
          <w:p>
            <w:pPr>
              <w:pStyle w:val="yTableNAm"/>
              <w:spacing w:before="100"/>
              <w:jc w:val="center"/>
            </w:pPr>
            <w:r>
              <w:t>27</w:t>
            </w:r>
          </w:p>
        </w:tc>
        <w:tc>
          <w:tcPr>
            <w:tcW w:w="6008" w:type="dxa"/>
          </w:tcPr>
          <w:p>
            <w:pPr>
              <w:pStyle w:val="yTableNAm"/>
              <w:spacing w:before="100"/>
              <w:rPr>
                <w:spacing w:val="-4"/>
              </w:rPr>
            </w:pPr>
            <w:r>
              <w:rPr>
                <w:spacing w:val="-4"/>
              </w:rPr>
              <w:t xml:space="preserve">Metropolitan Cemeteries Board, established under the </w:t>
            </w:r>
            <w:r>
              <w:rPr>
                <w:i/>
                <w:spacing w:val="-4"/>
              </w:rPr>
              <w:t>Cemeteries Act 1986</w:t>
            </w:r>
          </w:p>
        </w:tc>
      </w:tr>
      <w:tr>
        <w:trPr>
          <w:cantSplit/>
        </w:trPr>
        <w:tc>
          <w:tcPr>
            <w:tcW w:w="1080" w:type="dxa"/>
          </w:tcPr>
          <w:p>
            <w:pPr>
              <w:pStyle w:val="yTableNAm"/>
              <w:spacing w:before="100"/>
              <w:jc w:val="center"/>
            </w:pPr>
            <w:r>
              <w:t>28</w:t>
            </w:r>
          </w:p>
        </w:tc>
        <w:tc>
          <w:tcPr>
            <w:tcW w:w="6008" w:type="dxa"/>
          </w:tcPr>
          <w:p>
            <w:pPr>
              <w:pStyle w:val="yTableNAm"/>
              <w:spacing w:before="100"/>
              <w:rPr>
                <w:spacing w:val="-4"/>
              </w:rPr>
            </w:pPr>
            <w:r>
              <w:t>Metropolitan Redevelopment Authority</w:t>
            </w:r>
          </w:p>
        </w:tc>
      </w:tr>
      <w:tr>
        <w:trPr>
          <w:cantSplit/>
        </w:trPr>
        <w:tc>
          <w:tcPr>
            <w:tcW w:w="1080" w:type="dxa"/>
          </w:tcPr>
          <w:p>
            <w:pPr>
              <w:pStyle w:val="yTableNAm"/>
              <w:spacing w:before="100"/>
              <w:jc w:val="center"/>
            </w:pPr>
            <w:r>
              <w:t>29</w:t>
            </w:r>
          </w:p>
        </w:tc>
        <w:tc>
          <w:tcPr>
            <w:tcW w:w="6008" w:type="dxa"/>
          </w:tcPr>
          <w:p>
            <w:pPr>
              <w:pStyle w:val="yTableNAm"/>
              <w:spacing w:before="100"/>
            </w:pPr>
            <w:r>
              <w:t xml:space="preserve">Mid West Development Commission, established under the </w:t>
            </w:r>
            <w:r>
              <w:rPr>
                <w:i/>
              </w:rPr>
              <w:t>Regional Development Commissions Act 1993</w:t>
            </w:r>
          </w:p>
        </w:tc>
      </w:tr>
      <w:tr>
        <w:trPr>
          <w:cantSplit/>
        </w:trPr>
        <w:tc>
          <w:tcPr>
            <w:tcW w:w="1080" w:type="dxa"/>
          </w:tcPr>
          <w:p>
            <w:pPr>
              <w:pStyle w:val="yTableNAm"/>
              <w:spacing w:before="100"/>
              <w:jc w:val="center"/>
            </w:pPr>
            <w:r>
              <w:t>30</w:t>
            </w:r>
          </w:p>
        </w:tc>
        <w:tc>
          <w:tcPr>
            <w:tcW w:w="6008" w:type="dxa"/>
          </w:tcPr>
          <w:p>
            <w:pPr>
              <w:pStyle w:val="yTableNAm"/>
              <w:spacing w:before="100"/>
            </w:pPr>
            <w:r>
              <w:t xml:space="preserve">Minerals Research Institute of Western Australia, established under the </w:t>
            </w:r>
            <w:r>
              <w:rPr>
                <w:i/>
              </w:rPr>
              <w:t>Minerals Research Institute of Western Australia Act 2013</w:t>
            </w:r>
          </w:p>
        </w:tc>
      </w:tr>
      <w:tr>
        <w:trPr>
          <w:cantSplit/>
        </w:trPr>
        <w:tc>
          <w:tcPr>
            <w:tcW w:w="1080" w:type="dxa"/>
          </w:tcPr>
          <w:p>
            <w:pPr>
              <w:pStyle w:val="yTableNAm"/>
              <w:spacing w:before="100"/>
              <w:jc w:val="center"/>
              <w:rPr>
                <w:i/>
              </w:rPr>
            </w:pPr>
            <w:r>
              <w:rPr>
                <w:i/>
              </w:rPr>
              <w:t>[31</w:t>
            </w:r>
          </w:p>
        </w:tc>
        <w:tc>
          <w:tcPr>
            <w:tcW w:w="6008" w:type="dxa"/>
          </w:tcPr>
          <w:p>
            <w:pPr>
              <w:pStyle w:val="yTableNAm"/>
              <w:spacing w:before="100"/>
              <w:rPr>
                <w:i/>
              </w:rPr>
            </w:pPr>
            <w:r>
              <w:rPr>
                <w:i/>
              </w:rPr>
              <w:t>deleted]</w:t>
            </w:r>
          </w:p>
        </w:tc>
      </w:tr>
      <w:tr>
        <w:trPr>
          <w:cantSplit/>
        </w:trPr>
        <w:tc>
          <w:tcPr>
            <w:tcW w:w="1080" w:type="dxa"/>
          </w:tcPr>
          <w:p>
            <w:pPr>
              <w:pStyle w:val="yTableNAm"/>
              <w:spacing w:before="100"/>
              <w:jc w:val="center"/>
            </w:pPr>
            <w:r>
              <w:t>32</w:t>
            </w:r>
          </w:p>
        </w:tc>
        <w:tc>
          <w:tcPr>
            <w:tcW w:w="6008" w:type="dxa"/>
          </w:tcPr>
          <w:p>
            <w:pPr>
              <w:pStyle w:val="yTableNAm"/>
              <w:spacing w:before="100"/>
            </w:pPr>
            <w:r>
              <w:t xml:space="preserve">Peel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[33, 34</w:t>
            </w:r>
          </w:p>
        </w:tc>
        <w:tc>
          <w:tcPr>
            <w:tcW w:w="6008" w:type="dxa"/>
          </w:tcPr>
          <w:p>
            <w:pPr>
              <w:pStyle w:val="yTableNAm"/>
              <w:spacing w:before="100"/>
            </w:pPr>
            <w:r>
              <w:rPr>
                <w:i/>
              </w:rPr>
              <w:t>deleted]</w:t>
            </w:r>
          </w:p>
        </w:tc>
      </w:tr>
      <w:tr>
        <w:trPr>
          <w:cantSplit/>
        </w:trPr>
        <w:tc>
          <w:tcPr>
            <w:tcW w:w="1080" w:type="dxa"/>
          </w:tcPr>
          <w:p>
            <w:pPr>
              <w:pStyle w:val="yTableNAm"/>
              <w:spacing w:before="100"/>
              <w:jc w:val="center"/>
            </w:pPr>
            <w:r>
              <w:t>35</w:t>
            </w:r>
          </w:p>
        </w:tc>
        <w:tc>
          <w:tcPr>
            <w:tcW w:w="6008" w:type="dxa"/>
          </w:tcPr>
          <w:p>
            <w:pPr>
              <w:pStyle w:val="yTableNAm"/>
              <w:spacing w:before="100"/>
            </w:pPr>
            <w:r>
              <w:t xml:space="preserve">Perth Theatre Trust, established under the </w:t>
            </w:r>
            <w:r>
              <w:rPr>
                <w:i/>
              </w:rPr>
              <w:t>Perth Theatre Trust Act 1979</w:t>
            </w:r>
          </w:p>
        </w:tc>
      </w:tr>
      <w:tr>
        <w:trPr>
          <w:cantSplit/>
        </w:trPr>
        <w:tc>
          <w:tcPr>
            <w:tcW w:w="1080" w:type="dxa"/>
          </w:tcPr>
          <w:p>
            <w:pPr>
              <w:pStyle w:val="yTableNAm"/>
              <w:spacing w:before="100"/>
              <w:jc w:val="center"/>
            </w:pPr>
            <w:r>
              <w:t>36</w:t>
            </w:r>
          </w:p>
        </w:tc>
        <w:tc>
          <w:tcPr>
            <w:tcW w:w="6008" w:type="dxa"/>
          </w:tcPr>
          <w:p>
            <w:pPr>
              <w:pStyle w:val="yTableNAm"/>
              <w:spacing w:before="100"/>
            </w:pPr>
            <w:r>
              <w:t xml:space="preserve">Pilbara Development Commission, established under the </w:t>
            </w:r>
            <w:r>
              <w:rPr>
                <w:i/>
              </w:rPr>
              <w:t>Regional Development Commissions Act 1993</w:t>
            </w:r>
          </w:p>
        </w:tc>
      </w:tr>
      <w:tr>
        <w:trPr>
          <w:cantSplit/>
        </w:trPr>
        <w:tc>
          <w:tcPr>
            <w:tcW w:w="1080" w:type="dxa"/>
          </w:tcPr>
          <w:p>
            <w:pPr>
              <w:pStyle w:val="yTableNAm"/>
              <w:spacing w:before="100"/>
              <w:jc w:val="center"/>
              <w:rPr>
                <w:i/>
              </w:rPr>
            </w:pPr>
            <w:r>
              <w:rPr>
                <w:i/>
              </w:rPr>
              <w:t>[37, 37A</w:t>
            </w:r>
          </w:p>
        </w:tc>
        <w:tc>
          <w:tcPr>
            <w:tcW w:w="6008" w:type="dxa"/>
          </w:tcPr>
          <w:p>
            <w:pPr>
              <w:pStyle w:val="yTableNAm"/>
              <w:spacing w:before="100"/>
              <w:rPr>
                <w:i/>
                <w:iCs/>
              </w:rPr>
            </w:pPr>
            <w:r>
              <w:rPr>
                <w:i/>
                <w:iCs/>
              </w:rPr>
              <w:t>deleted]</w:t>
            </w:r>
          </w:p>
        </w:tc>
      </w:tr>
      <w:tr>
        <w:trPr>
          <w:cantSplit/>
        </w:trPr>
        <w:tc>
          <w:tcPr>
            <w:tcW w:w="1080" w:type="dxa"/>
          </w:tcPr>
          <w:p>
            <w:pPr>
              <w:pStyle w:val="yTableNAm"/>
              <w:jc w:val="center"/>
            </w:pPr>
            <w:r>
              <w:t>37B</w:t>
            </w:r>
          </w:p>
        </w:tc>
        <w:tc>
          <w:tcPr>
            <w:tcW w:w="6008" w:type="dxa"/>
          </w:tcPr>
          <w:p>
            <w:pPr>
              <w:pStyle w:val="yTableNAm"/>
            </w:pPr>
            <w:r>
              <w:t xml:space="preserve">Professional Standards Council established under the </w:t>
            </w:r>
            <w:r>
              <w:rPr>
                <w:i/>
              </w:rPr>
              <w:t>Professional Standards Act 1997</w:t>
            </w:r>
          </w:p>
        </w:tc>
      </w:tr>
      <w:tr>
        <w:trPr>
          <w:cantSplit/>
        </w:trPr>
        <w:tc>
          <w:tcPr>
            <w:tcW w:w="1080" w:type="dxa"/>
          </w:tcPr>
          <w:p>
            <w:pPr>
              <w:pStyle w:val="yTableNAm"/>
              <w:jc w:val="center"/>
            </w:pPr>
            <w:r>
              <w:t>38</w:t>
            </w:r>
          </w:p>
        </w:tc>
        <w:tc>
          <w:tcPr>
            <w:tcW w:w="6008" w:type="dxa"/>
          </w:tcPr>
          <w:p>
            <w:pPr>
              <w:pStyle w:val="yTableNAm"/>
              <w:rPr>
                <w:i/>
              </w:rPr>
            </w:pPr>
            <w:r>
              <w:t>Public Transport Authority of Western Australia, established by the</w:t>
            </w:r>
            <w:r>
              <w:rPr>
                <w:i/>
              </w:rPr>
              <w:t xml:space="preserve"> Public Transport Authority Act 2003</w:t>
            </w:r>
          </w:p>
        </w:tc>
      </w:tr>
      <w:tr>
        <w:trPr>
          <w:cantSplit/>
        </w:trPr>
        <w:tc>
          <w:tcPr>
            <w:tcW w:w="1080" w:type="dxa"/>
          </w:tcPr>
          <w:p>
            <w:pPr>
              <w:pStyle w:val="yTableNAm"/>
              <w:jc w:val="center"/>
            </w:pPr>
            <w:r>
              <w:t>39</w:t>
            </w:r>
          </w:p>
        </w:tc>
        <w:tc>
          <w:tcPr>
            <w:tcW w:w="6008" w:type="dxa"/>
          </w:tcPr>
          <w:p>
            <w:pPr>
              <w:pStyle w:val="yTableNAm"/>
            </w:pPr>
            <w:r>
              <w:t xml:space="preserve">Rottnest Island Authority, established under 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r>
      <w:tr>
        <w:trPr>
          <w:cantSplit/>
        </w:trPr>
        <w:tc>
          <w:tcPr>
            <w:tcW w:w="1080" w:type="dxa"/>
          </w:tcPr>
          <w:p>
            <w:pPr>
              <w:pStyle w:val="yTableNAm"/>
              <w:jc w:val="center"/>
              <w:rPr>
                <w:i/>
              </w:rPr>
            </w:pPr>
            <w:r>
              <w:rPr>
                <w:i/>
              </w:rPr>
              <w:t>[40</w:t>
            </w:r>
          </w:p>
        </w:tc>
        <w:tc>
          <w:tcPr>
            <w:tcW w:w="6008" w:type="dxa"/>
          </w:tcPr>
          <w:p>
            <w:pPr>
              <w:pStyle w:val="yTableNAm"/>
            </w:pPr>
            <w:r>
              <w:rPr>
                <w:i/>
              </w:rPr>
              <w:t>deleted]</w:t>
            </w:r>
          </w:p>
        </w:tc>
      </w:tr>
      <w:tr>
        <w:trPr>
          <w:cantSplit/>
        </w:trPr>
        <w:tc>
          <w:tcPr>
            <w:tcW w:w="1080" w:type="dxa"/>
          </w:tcPr>
          <w:p>
            <w:pPr>
              <w:pStyle w:val="yTableNAm"/>
              <w:jc w:val="center"/>
            </w:pPr>
            <w:r>
              <w:t>41</w:t>
            </w:r>
          </w:p>
        </w:tc>
        <w:tc>
          <w:tcPr>
            <w:tcW w:w="6008" w:type="dxa"/>
          </w:tcPr>
          <w:p>
            <w:pPr>
              <w:pStyle w:val="yTableNAm"/>
            </w:pPr>
            <w:r>
              <w:t xml:space="preserve">Rural Business Development Corporation, preserved and continued by the </w:t>
            </w:r>
            <w:r>
              <w:rPr>
                <w:i/>
              </w:rPr>
              <w:t>Rural Business Development Corporation Act 2000</w:t>
            </w:r>
          </w:p>
        </w:tc>
      </w:tr>
      <w:tr>
        <w:trPr>
          <w:cantSplit/>
        </w:trPr>
        <w:tc>
          <w:tcPr>
            <w:tcW w:w="1080" w:type="dxa"/>
          </w:tcPr>
          <w:p>
            <w:pPr>
              <w:pStyle w:val="yTableNAm"/>
              <w:jc w:val="center"/>
            </w:pPr>
            <w:r>
              <w:t>42</w:t>
            </w:r>
          </w:p>
        </w:tc>
        <w:tc>
          <w:tcPr>
            <w:tcW w:w="6008" w:type="dxa"/>
          </w:tcPr>
          <w:p>
            <w:pPr>
              <w:pStyle w:val="yTableNAm"/>
            </w:pPr>
            <w:r>
              <w:t xml:space="preserve">School Curriculum and Standards Authority established under the </w:t>
            </w:r>
            <w:r>
              <w:rPr>
                <w:i/>
                <w:iCs/>
              </w:rPr>
              <w:t>School Curriculum and Standards Authority Act 1997</w:t>
            </w:r>
          </w:p>
        </w:tc>
      </w:tr>
      <w:tr>
        <w:trPr>
          <w:cantSplit/>
        </w:trPr>
        <w:tc>
          <w:tcPr>
            <w:tcW w:w="1080" w:type="dxa"/>
          </w:tcPr>
          <w:p>
            <w:pPr>
              <w:pStyle w:val="yTableNAm"/>
              <w:jc w:val="center"/>
              <w:rPr>
                <w:i/>
              </w:rPr>
            </w:pPr>
            <w:r>
              <w:rPr>
                <w:i/>
              </w:rPr>
              <w:t>[43</w:t>
            </w:r>
          </w:p>
        </w:tc>
        <w:tc>
          <w:tcPr>
            <w:tcW w:w="6008" w:type="dxa"/>
          </w:tcPr>
          <w:p>
            <w:pPr>
              <w:pStyle w:val="yTableNAm"/>
              <w:rPr>
                <w:i/>
              </w:rPr>
            </w:pPr>
            <w:r>
              <w:rPr>
                <w:i/>
              </w:rPr>
              <w:t>deleted]</w:t>
            </w:r>
          </w:p>
        </w:tc>
      </w:tr>
      <w:tr>
        <w:trPr>
          <w:cantSplit/>
        </w:trPr>
        <w:tc>
          <w:tcPr>
            <w:tcW w:w="1080" w:type="dxa"/>
          </w:tcPr>
          <w:p>
            <w:pPr>
              <w:pStyle w:val="yTableNAm"/>
              <w:jc w:val="center"/>
            </w:pPr>
            <w:r>
              <w:t>44</w:t>
            </w:r>
          </w:p>
        </w:tc>
        <w:tc>
          <w:tcPr>
            <w:tcW w:w="6008" w:type="dxa"/>
          </w:tcPr>
          <w:p>
            <w:pPr>
              <w:pStyle w:val="yTableNAm"/>
            </w:pPr>
            <w:r>
              <w:t xml:space="preserve">Small Business Development Corporation, established under the </w:t>
            </w:r>
            <w:r>
              <w:rPr>
                <w:i/>
              </w:rPr>
              <w:t>Small Business Development Corporation Act 1983</w:t>
            </w:r>
          </w:p>
        </w:tc>
      </w:tr>
      <w:tr>
        <w:trPr>
          <w:cantSplit/>
        </w:trPr>
        <w:tc>
          <w:tcPr>
            <w:tcW w:w="1080" w:type="dxa"/>
          </w:tcPr>
          <w:p>
            <w:pPr>
              <w:pStyle w:val="yTableNAm"/>
              <w:jc w:val="center"/>
            </w:pPr>
            <w:r>
              <w:t>45</w:t>
            </w:r>
          </w:p>
        </w:tc>
        <w:tc>
          <w:tcPr>
            <w:tcW w:w="6008" w:type="dxa"/>
          </w:tcPr>
          <w:p>
            <w:pPr>
              <w:pStyle w:val="yTableNAm"/>
            </w:pPr>
            <w:r>
              <w:t xml:space="preserve">South West Development Commission, established under the </w:t>
            </w:r>
            <w:r>
              <w:rPr>
                <w:i/>
              </w:rPr>
              <w:t>Regional Development Commissions Act 1993</w:t>
            </w:r>
          </w:p>
        </w:tc>
      </w:tr>
      <w:tr>
        <w:trPr>
          <w:cantSplit/>
        </w:trPr>
        <w:tc>
          <w:tcPr>
            <w:tcW w:w="1080" w:type="dxa"/>
          </w:tcPr>
          <w:p>
            <w:pPr>
              <w:pStyle w:val="yTableNAm"/>
              <w:jc w:val="center"/>
              <w:rPr>
                <w:i/>
              </w:rPr>
            </w:pPr>
            <w:r>
              <w:rPr>
                <w:i/>
              </w:rPr>
              <w:t>[46</w:t>
            </w:r>
          </w:p>
        </w:tc>
        <w:tc>
          <w:tcPr>
            <w:tcW w:w="6008" w:type="dxa"/>
          </w:tcPr>
          <w:p>
            <w:pPr>
              <w:pStyle w:val="yTableNAm"/>
            </w:pPr>
            <w:r>
              <w:rPr>
                <w:i/>
              </w:rPr>
              <w:t>deleted]</w:t>
            </w:r>
          </w:p>
        </w:tc>
      </w:tr>
      <w:tr>
        <w:trPr>
          <w:cantSplit/>
        </w:trPr>
        <w:tc>
          <w:tcPr>
            <w:tcW w:w="1080" w:type="dxa"/>
          </w:tcPr>
          <w:p>
            <w:pPr>
              <w:pStyle w:val="yTableNAm"/>
              <w:jc w:val="center"/>
            </w:pPr>
            <w:r>
              <w:t>47</w:t>
            </w:r>
          </w:p>
        </w:tc>
        <w:tc>
          <w:tcPr>
            <w:tcW w:w="6008" w:type="dxa"/>
          </w:tcPr>
          <w:p>
            <w:pPr>
              <w:pStyle w:val="yTableNAm"/>
            </w:pPr>
            <w:r>
              <w:t xml:space="preserve">Housing Authority, provided for under the </w:t>
            </w:r>
            <w:r>
              <w:rPr>
                <w:i/>
                <w:iCs/>
              </w:rPr>
              <w:t>Housing Act 1980</w:t>
            </w:r>
          </w:p>
        </w:tc>
      </w:tr>
      <w:tr>
        <w:trPr>
          <w:cantSplit/>
        </w:trPr>
        <w:tc>
          <w:tcPr>
            <w:tcW w:w="1080" w:type="dxa"/>
          </w:tcPr>
          <w:p>
            <w:pPr>
              <w:pStyle w:val="yTableNAm"/>
              <w:jc w:val="center"/>
            </w:pPr>
            <w:r>
              <w:t>47A</w:t>
            </w:r>
          </w:p>
        </w:tc>
        <w:tc>
          <w:tcPr>
            <w:tcW w:w="6008" w:type="dxa"/>
          </w:tcPr>
          <w:p>
            <w:pPr>
              <w:pStyle w:val="yTableNAm"/>
            </w:pPr>
            <w:r>
              <w:t xml:space="preserve">State Supply Commission established under the </w:t>
            </w:r>
            <w:r>
              <w:rPr>
                <w:i/>
              </w:rPr>
              <w:t>State Supply Commission Act 1991</w:t>
            </w:r>
          </w:p>
        </w:tc>
      </w:tr>
      <w:tr>
        <w:trPr>
          <w:cantSplit/>
        </w:trPr>
        <w:tc>
          <w:tcPr>
            <w:tcW w:w="7088" w:type="dxa"/>
            <w:gridSpan w:val="2"/>
          </w:tcPr>
          <w:p>
            <w:pPr>
              <w:pStyle w:val="yTableNAm"/>
            </w:pPr>
            <w:r>
              <w:rPr>
                <w:i/>
              </w:rPr>
              <w:t xml:space="preserve">    [47B, 47C  and 48 deleted]</w:t>
            </w:r>
          </w:p>
        </w:tc>
      </w:tr>
      <w:tr>
        <w:trPr>
          <w:cantSplit/>
        </w:trPr>
        <w:tc>
          <w:tcPr>
            <w:tcW w:w="1080" w:type="dxa"/>
          </w:tcPr>
          <w:p>
            <w:pPr>
              <w:pStyle w:val="yTableNAm"/>
              <w:jc w:val="center"/>
            </w:pPr>
            <w:r>
              <w:t>49</w:t>
            </w:r>
          </w:p>
        </w:tc>
        <w:tc>
          <w:tcPr>
            <w:tcW w:w="6008" w:type="dxa"/>
          </w:tcPr>
          <w:p>
            <w:pPr>
              <w:pStyle w:val="yTableNAm"/>
            </w:pPr>
            <w:r>
              <w:t xml:space="preserve">The Board of the Art Gallery of Western Australia, referred to in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p>
        </w:tc>
      </w:tr>
      <w:tr>
        <w:trPr>
          <w:cantSplit/>
        </w:trPr>
        <w:tc>
          <w:tcPr>
            <w:tcW w:w="1080" w:type="dxa"/>
          </w:tcPr>
          <w:p>
            <w:pPr>
              <w:pStyle w:val="yTableNAm"/>
              <w:jc w:val="center"/>
            </w:pPr>
            <w:r>
              <w:t>50</w:t>
            </w:r>
          </w:p>
        </w:tc>
        <w:tc>
          <w:tcPr>
            <w:tcW w:w="6008" w:type="dxa"/>
          </w:tcPr>
          <w:p>
            <w:pPr>
              <w:pStyle w:val="yTableNAm"/>
            </w:pPr>
            <w:r>
              <w:t xml:space="preserve">The Library Board of Western Australia, constituted under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p>
        </w:tc>
      </w:tr>
      <w:tr>
        <w:trPr>
          <w:cantSplit/>
        </w:trPr>
        <w:tc>
          <w:tcPr>
            <w:tcW w:w="1080" w:type="dxa"/>
          </w:tcPr>
          <w:p>
            <w:pPr>
              <w:pStyle w:val="yTableNAm"/>
              <w:jc w:val="center"/>
              <w:rPr>
                <w:i/>
              </w:rPr>
            </w:pPr>
            <w:r>
              <w:rPr>
                <w:i/>
              </w:rPr>
              <w:t>[51</w:t>
            </w:r>
            <w:r>
              <w:rPr>
                <w:i/>
              </w:rPr>
              <w:noBreakHyphen/>
              <w:t>53</w:t>
            </w:r>
          </w:p>
        </w:tc>
        <w:tc>
          <w:tcPr>
            <w:tcW w:w="6008" w:type="dxa"/>
          </w:tcPr>
          <w:p>
            <w:pPr>
              <w:pStyle w:val="yTableNAm"/>
              <w:rPr>
                <w:i/>
              </w:rPr>
            </w:pPr>
            <w:r>
              <w:rPr>
                <w:i/>
              </w:rPr>
              <w:t>deleted]</w:t>
            </w:r>
          </w:p>
        </w:tc>
      </w:tr>
      <w:tr>
        <w:trPr>
          <w:cantSplit/>
        </w:trPr>
        <w:tc>
          <w:tcPr>
            <w:tcW w:w="1080" w:type="dxa"/>
          </w:tcPr>
          <w:p>
            <w:pPr>
              <w:pStyle w:val="yTableNAm"/>
              <w:jc w:val="center"/>
            </w:pPr>
            <w:r>
              <w:t>54</w:t>
            </w:r>
          </w:p>
        </w:tc>
        <w:tc>
          <w:tcPr>
            <w:tcW w:w="6008" w:type="dxa"/>
          </w:tcPr>
          <w:p>
            <w:pPr>
              <w:pStyle w:val="yTableNAm"/>
            </w:pPr>
            <w:r>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p>
        </w:tc>
      </w:tr>
      <w:tr>
        <w:trPr>
          <w:cantSplit/>
        </w:trPr>
        <w:tc>
          <w:tcPr>
            <w:tcW w:w="1080" w:type="dxa"/>
          </w:tcPr>
          <w:p>
            <w:pPr>
              <w:pStyle w:val="yTableNAm"/>
              <w:jc w:val="center"/>
              <w:rPr>
                <w:i/>
              </w:rPr>
            </w:pPr>
            <w:r>
              <w:rPr>
                <w:i/>
              </w:rPr>
              <w:t>[55</w:t>
            </w:r>
            <w:r>
              <w:rPr>
                <w:i/>
              </w:rPr>
              <w:noBreakHyphen/>
              <w:t>58</w:t>
            </w:r>
          </w:p>
        </w:tc>
        <w:tc>
          <w:tcPr>
            <w:tcW w:w="6008" w:type="dxa"/>
          </w:tcPr>
          <w:p>
            <w:pPr>
              <w:pStyle w:val="yTableNAm"/>
              <w:rPr>
                <w:i/>
              </w:rPr>
            </w:pPr>
            <w:r>
              <w:rPr>
                <w:i/>
              </w:rPr>
              <w:t>deleted]</w:t>
            </w:r>
          </w:p>
        </w:tc>
      </w:tr>
      <w:tr>
        <w:trPr>
          <w:cantSplit/>
        </w:trPr>
        <w:tc>
          <w:tcPr>
            <w:tcW w:w="1080" w:type="dxa"/>
          </w:tcPr>
          <w:p>
            <w:pPr>
              <w:pStyle w:val="yTableNAm"/>
              <w:jc w:val="center"/>
            </w:pPr>
            <w:r>
              <w:t>59A.</w:t>
            </w:r>
          </w:p>
        </w:tc>
        <w:tc>
          <w:tcPr>
            <w:tcW w:w="6008" w:type="dxa"/>
          </w:tcPr>
          <w:p>
            <w:pPr>
              <w:pStyle w:val="yTableNAm"/>
            </w:pPr>
            <w:r>
              <w:t xml:space="preserve">Western Australian Health Promotion Foundation, under the </w:t>
            </w:r>
            <w:r>
              <w:rPr>
                <w:i/>
              </w:rPr>
              <w:t>Western Australian Health Promotion Foundation Act 2016</w:t>
            </w:r>
          </w:p>
        </w:tc>
      </w:tr>
      <w:tr>
        <w:trPr>
          <w:cantSplit/>
        </w:trPr>
        <w:tc>
          <w:tcPr>
            <w:tcW w:w="1080" w:type="dxa"/>
          </w:tcPr>
          <w:p>
            <w:pPr>
              <w:pStyle w:val="yTableNAm"/>
              <w:jc w:val="center"/>
            </w:pPr>
            <w:r>
              <w:t>59</w:t>
            </w:r>
          </w:p>
        </w:tc>
        <w:tc>
          <w:tcPr>
            <w:tcW w:w="6008" w:type="dxa"/>
          </w:tcPr>
          <w:p>
            <w:pPr>
              <w:pStyle w:val="yTableNAm"/>
              <w:rPr>
                <w:i/>
              </w:rPr>
            </w:pPr>
            <w:r>
              <w:t xml:space="preserve">Western Australian Land Information Authority, established by the </w:t>
            </w:r>
            <w:r>
              <w:rPr>
                <w:i/>
              </w:rPr>
              <w:t>Land Information Authority Act 2006</w:t>
            </w:r>
          </w:p>
        </w:tc>
      </w:tr>
      <w:tr>
        <w:trPr>
          <w:cantSplit/>
        </w:trPr>
        <w:tc>
          <w:tcPr>
            <w:tcW w:w="1080" w:type="dxa"/>
          </w:tcPr>
          <w:p>
            <w:pPr>
              <w:pStyle w:val="yTableNAm"/>
              <w:jc w:val="center"/>
              <w:rPr>
                <w:i/>
              </w:rPr>
            </w:pPr>
            <w:r>
              <w:rPr>
                <w:i/>
              </w:rPr>
              <w:t>[60</w:t>
            </w:r>
            <w:r>
              <w:rPr>
                <w:i/>
              </w:rPr>
              <w:noBreakHyphen/>
              <w:t>62</w:t>
            </w:r>
          </w:p>
        </w:tc>
        <w:tc>
          <w:tcPr>
            <w:tcW w:w="6008" w:type="dxa"/>
          </w:tcPr>
          <w:p>
            <w:pPr>
              <w:pStyle w:val="yTableNAm"/>
              <w:rPr>
                <w:i/>
              </w:rPr>
            </w:pPr>
            <w:r>
              <w:rPr>
                <w:i/>
              </w:rPr>
              <w:t>deleted]</w:t>
            </w:r>
          </w:p>
        </w:tc>
      </w:tr>
      <w:tr>
        <w:trPr>
          <w:cantSplit/>
        </w:trPr>
        <w:tc>
          <w:tcPr>
            <w:tcW w:w="1080" w:type="dxa"/>
          </w:tcPr>
          <w:p>
            <w:pPr>
              <w:pStyle w:val="yTableNAm"/>
              <w:jc w:val="center"/>
            </w:pPr>
            <w:r>
              <w:t>63</w:t>
            </w:r>
          </w:p>
        </w:tc>
        <w:tc>
          <w:tcPr>
            <w:tcW w:w="6008" w:type="dxa"/>
          </w:tcPr>
          <w:p>
            <w:pPr>
              <w:pStyle w:val="yTableNAm"/>
            </w:pPr>
            <w:r>
              <w:t xml:space="preserve">Western Australian Tourism Commission, established under the </w:t>
            </w:r>
            <w:r>
              <w:rPr>
                <w:i/>
              </w:rPr>
              <w:t>Western Australian Tourism Commission Act 1983</w:t>
            </w:r>
          </w:p>
        </w:tc>
      </w:tr>
      <w:tr>
        <w:trPr>
          <w:cantSplit/>
        </w:trPr>
        <w:tc>
          <w:tcPr>
            <w:tcW w:w="1080" w:type="dxa"/>
          </w:tcPr>
          <w:p>
            <w:pPr>
              <w:pStyle w:val="yTableNAm"/>
              <w:jc w:val="center"/>
            </w:pPr>
            <w:r>
              <w:t>64</w:t>
            </w:r>
          </w:p>
        </w:tc>
        <w:tc>
          <w:tcPr>
            <w:tcW w:w="6008" w:type="dxa"/>
          </w:tcPr>
          <w:p>
            <w:pPr>
              <w:pStyle w:val="yTableNAm"/>
            </w:pPr>
            <w:r>
              <w:t xml:space="preserve">Wheatbelt Development Commission, established under the </w:t>
            </w:r>
            <w:r>
              <w:rPr>
                <w:i/>
              </w:rPr>
              <w:t>Regional Development Commissions Act 1993</w:t>
            </w:r>
          </w:p>
        </w:tc>
      </w:tr>
      <w:tr>
        <w:trPr>
          <w:cantSplit/>
        </w:trPr>
        <w:tc>
          <w:tcPr>
            <w:tcW w:w="1080" w:type="dxa"/>
          </w:tcPr>
          <w:p>
            <w:pPr>
              <w:pStyle w:val="yTableNAm"/>
              <w:jc w:val="center"/>
            </w:pPr>
            <w:r>
              <w:t>65</w:t>
            </w:r>
          </w:p>
        </w:tc>
        <w:tc>
          <w:tcPr>
            <w:tcW w:w="6008" w:type="dxa"/>
          </w:tcPr>
          <w:p>
            <w:pPr>
              <w:pStyle w:val="yTableNAm"/>
            </w:pPr>
            <w:r>
              <w:t xml:space="preserve">WorkCover Western Australia Authority referred to in the </w:t>
            </w:r>
            <w:r>
              <w:rPr>
                <w:i/>
                <w:iCs/>
              </w:rPr>
              <w:t>Workers’ Compensation and Injury Management Act 1981</w:t>
            </w:r>
            <w:r>
              <w:t xml:space="preserve"> section 94</w:t>
            </w:r>
          </w:p>
        </w:tc>
      </w:tr>
      <w:tr>
        <w:trPr>
          <w:cantSplit/>
        </w:trPr>
        <w:tc>
          <w:tcPr>
            <w:tcW w:w="1080" w:type="dxa"/>
          </w:tcPr>
          <w:p>
            <w:pPr>
              <w:pStyle w:val="yTableNAm"/>
              <w:jc w:val="center"/>
            </w:pPr>
            <w:r>
              <w:t>66</w:t>
            </w:r>
          </w:p>
        </w:tc>
        <w:tc>
          <w:tcPr>
            <w:tcW w:w="6008" w:type="dxa"/>
          </w:tcPr>
          <w:p>
            <w:pPr>
              <w:pStyle w:val="yTableNAm"/>
            </w:pPr>
            <w:r>
              <w:t xml:space="preserve">Zoological Parks Authority, established under the </w:t>
            </w:r>
            <w:r>
              <w:rPr>
                <w:i/>
              </w:rPr>
              <w:t>Zoological Parks Authority Act 2001</w:t>
            </w:r>
            <w:r>
              <w:t>.</w:t>
            </w:r>
          </w:p>
        </w:tc>
      </w:tr>
    </w:tbl>
    <w:p>
      <w:pPr>
        <w:pStyle w:val="yFootnotesection"/>
        <w:keepLines w:val="0"/>
      </w:pPr>
      <w:r>
        <w:tab/>
        <w:t xml:space="preserve">[Schedule 2 amended: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Sch. 2 cl. 52; No. 42 of 2004 s. 168; No. 67 of 2004 s. 45(3); No. 28 of 2006 s. 398; No. 60 of 2006 s. 187; No. 10 of 2007 s. 43; No. 24 of 2007 s. 39; No. 38 of 2007 s. 197; </w:t>
      </w:r>
      <w:r>
        <w:rPr>
          <w:spacing w:val="-4"/>
        </w:rPr>
        <w:t>No. 45 of 2011 s. 1</w:t>
      </w:r>
      <w:r>
        <w:t>42; No. 37 of 2011 s. 57; No. 22 of 2012 s. 133; No. 23 of 2013 s. 78; No. 3 of 2015 s. 17; No. 3 of 2016 s. 53; No. 41 of 2016 s. 23; amended: Gazette 9 Dec 1994 p. 6716; 23 Dec 1994 p. 7122; 7 Feb 1995 p. 423; 30 May 1995 p. 2148</w:t>
      </w:r>
      <w:r>
        <w:noBreakHyphen/>
        <w:t>9; 20 Aug 1996 p. 4068; 28 Feb 1997 p. 1334; 24 Mar 1998 p. 1620</w:t>
      </w:r>
      <w:r>
        <w:noBreakHyphen/>
        <w:t>1; 17 Jul 1998 p. 3798; 24 Nov 1998 p. 6326; 14 May 1999 p. 1933; 24 Sep 1999 p. 4668; 11 Feb 2000 p. 504; 9 May 2000 p. 2236; 11 Aug 2000 p. 4697; 15 Sep 2000 p. 5388; 19 Dec 2000 p. 7298; 29 Dec 2000 p. 7987; 9 Feb 2001 p. 775; 26 Nov 2004 p. 5315</w:t>
      </w:r>
      <w:r>
        <w:noBreakHyphen/>
        <w:t xml:space="preserve">16; 9 Jun 2009 p. 1926; 18 Jun 2010 p. 2697.] </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outlineLvl w:val="0"/>
      </w:pPr>
      <w:bookmarkStart w:id="348" w:name="_Toc500423011"/>
      <w:bookmarkStart w:id="349" w:name="_Toc503259395"/>
      <w:bookmarkStart w:id="350" w:name="_Toc503265331"/>
      <w:bookmarkStart w:id="351" w:name="_Toc503880798"/>
      <w:bookmarkStart w:id="352" w:name="_Toc515436324"/>
      <w:bookmarkStart w:id="353" w:name="_Toc515437153"/>
      <w:bookmarkStart w:id="354" w:name="_Toc20390170"/>
      <w:r>
        <w:rPr>
          <w:rStyle w:val="CharSchNo"/>
        </w:rPr>
        <w:t>Schedule 3</w:t>
      </w:r>
      <w:r>
        <w:rPr>
          <w:rStyle w:val="CharSDivNo"/>
        </w:rPr>
        <w:t> </w:t>
      </w:r>
      <w:r>
        <w:t>—</w:t>
      </w:r>
      <w:r>
        <w:rPr>
          <w:rStyle w:val="CharSDivText"/>
        </w:rPr>
        <w:t> </w:t>
      </w:r>
      <w:r>
        <w:rPr>
          <w:rStyle w:val="CharSchText"/>
        </w:rPr>
        <w:t>Provisions applicable to and in relation to special inquirers</w:t>
      </w:r>
      <w:bookmarkEnd w:id="348"/>
      <w:bookmarkEnd w:id="349"/>
      <w:bookmarkEnd w:id="350"/>
      <w:bookmarkEnd w:id="351"/>
      <w:bookmarkEnd w:id="352"/>
      <w:bookmarkEnd w:id="353"/>
      <w:bookmarkEnd w:id="354"/>
    </w:p>
    <w:p>
      <w:pPr>
        <w:pStyle w:val="yShoulderClause"/>
        <w:rPr>
          <w:snapToGrid w:val="0"/>
        </w:rPr>
      </w:pPr>
      <w:r>
        <w:t xml:space="preserve">[s. 24I(2), </w:t>
      </w:r>
      <w:r>
        <w:rPr>
          <w:snapToGrid w:val="0"/>
        </w:rPr>
        <w:t>24(1) and 87(1)]</w:t>
      </w:r>
    </w:p>
    <w:p>
      <w:pPr>
        <w:pStyle w:val="yFootnoteheading"/>
      </w:pPr>
      <w:r>
        <w:tab/>
        <w:t>[Heading amended: No. 19 of 2010 s. 4; No. 39 of 2010 s. 69.]</w:t>
      </w:r>
    </w:p>
    <w:p>
      <w:pPr>
        <w:pStyle w:val="yHeading5"/>
      </w:pPr>
      <w:bookmarkStart w:id="355" w:name="_Toc20390171"/>
      <w:r>
        <w:rPr>
          <w:rStyle w:val="CharSClsNo"/>
        </w:rPr>
        <w:t>1</w:t>
      </w:r>
      <w:r>
        <w:t xml:space="preserve">. </w:t>
      </w:r>
      <w:r>
        <w:tab/>
        <w:t>Power to summon witnesses and documents</w:t>
      </w:r>
      <w:bookmarkEnd w:id="355"/>
      <w:r>
        <w:t xml:space="preserve"> </w:t>
      </w:r>
    </w:p>
    <w:p>
      <w:pPr>
        <w:pStyle w:val="ySubsection"/>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rPr>
          <w:snapToGrid w:val="0"/>
        </w:rPr>
      </w:pPr>
      <w:bookmarkStart w:id="356" w:name="_Toc20390172"/>
      <w:r>
        <w:rPr>
          <w:rStyle w:val="CharSClsNo"/>
        </w:rPr>
        <w:t>2</w:t>
      </w:r>
      <w:r>
        <w:rPr>
          <w:snapToGrid w:val="0"/>
        </w:rPr>
        <w:t xml:space="preserve">. </w:t>
      </w:r>
      <w:r>
        <w:rPr>
          <w:snapToGrid w:val="0"/>
        </w:rPr>
        <w:tab/>
        <w:t>Duty of witnesses to continue in attendance</w:t>
      </w:r>
      <w:bookmarkEnd w:id="356"/>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rPr>
          <w:snapToGrid w:val="0"/>
        </w:rPr>
      </w:pPr>
      <w:bookmarkStart w:id="357" w:name="_Toc20390173"/>
      <w:r>
        <w:rPr>
          <w:rStyle w:val="CharSClsNo"/>
        </w:rPr>
        <w:t>3</w:t>
      </w:r>
      <w:r>
        <w:rPr>
          <w:snapToGrid w:val="0"/>
        </w:rPr>
        <w:t xml:space="preserve">. </w:t>
      </w:r>
      <w:r>
        <w:rPr>
          <w:snapToGrid w:val="0"/>
        </w:rPr>
        <w:tab/>
      </w:r>
      <w:r>
        <w:t>Power</w:t>
      </w:r>
      <w:r>
        <w:rPr>
          <w:snapToGrid w:val="0"/>
        </w:rPr>
        <w:t xml:space="preserve"> to examine on oath or affirmation</w:t>
      </w:r>
      <w:bookmarkEnd w:id="357"/>
      <w:r>
        <w:rPr>
          <w:snapToGrid w:val="0"/>
        </w:rPr>
        <w:t xml:space="preserve"> </w:t>
      </w:r>
    </w:p>
    <w:p>
      <w:pPr>
        <w:pStyle w:val="ySubsection"/>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rPr>
          <w:snapToGrid w:val="0"/>
        </w:rPr>
      </w:pPr>
      <w:r>
        <w:rPr>
          <w:snapToGrid w:val="0"/>
        </w:rPr>
        <w:tab/>
      </w:r>
      <w:r>
        <w:rPr>
          <w:snapToGrid w:val="0"/>
        </w:rPr>
        <w:tab/>
        <w:t>when required to do so by a special inquirer commits an offence and is liable to a penalty of $10 000.</w:t>
      </w:r>
    </w:p>
    <w:p>
      <w:pPr>
        <w:pStyle w:val="ySubsection"/>
        <w:rPr>
          <w:snapToGrid w:val="0"/>
        </w:rPr>
      </w:pPr>
      <w:r>
        <w:rPr>
          <w:snapToGrid w:val="0"/>
        </w:rPr>
        <w:tab/>
        <w:t>(5)</w:t>
      </w:r>
      <w:r>
        <w:rPr>
          <w:snapToGrid w:val="0"/>
        </w:rPr>
        <w:tab/>
        <w:t>In subclause (4), subject to subclause (6) — </w:t>
      </w:r>
    </w:p>
    <w:p>
      <w:pPr>
        <w:pStyle w:val="yDefstart"/>
      </w:pPr>
      <w:r>
        <w:rPr>
          <w:b/>
        </w:rPr>
        <w:tab/>
      </w:r>
      <w:r>
        <w:rPr>
          <w:rStyle w:val="CharDefText"/>
        </w:rPr>
        <w:t>reasonable excuse</w:t>
      </w:r>
      <w:r>
        <w:t xml:space="preserve"> means, in respect of a refusal or failure, such excuse as would excuse a refusal or failure of a similar nature by a witness, or person summoned as a witness, before the Supreme Court.</w:t>
      </w:r>
    </w:p>
    <w:p>
      <w:pPr>
        <w:pStyle w:val="ySubsection"/>
        <w:spacing w:before="120"/>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Footnotesection"/>
      </w:pPr>
      <w:r>
        <w:tab/>
        <w:t>[Clause 3 amended: No. 35 of 2014 s. 37(4).]</w:t>
      </w:r>
    </w:p>
    <w:p>
      <w:pPr>
        <w:pStyle w:val="yHeading5"/>
        <w:rPr>
          <w:snapToGrid w:val="0"/>
        </w:rPr>
      </w:pPr>
      <w:bookmarkStart w:id="358" w:name="_Toc20390174"/>
      <w:r>
        <w:rPr>
          <w:rStyle w:val="CharSClsNo"/>
        </w:rPr>
        <w:t>4</w:t>
      </w:r>
      <w:r>
        <w:rPr>
          <w:snapToGrid w:val="0"/>
        </w:rPr>
        <w:t xml:space="preserve">. </w:t>
      </w:r>
      <w:r>
        <w:rPr>
          <w:snapToGrid w:val="0"/>
        </w:rPr>
        <w:tab/>
      </w:r>
      <w:r>
        <w:t>Penalties</w:t>
      </w:r>
      <w:r>
        <w:rPr>
          <w:snapToGrid w:val="0"/>
        </w:rPr>
        <w:t xml:space="preserve"> for non</w:t>
      </w:r>
      <w:r>
        <w:rPr>
          <w:snapToGrid w:val="0"/>
        </w:rPr>
        <w:noBreakHyphen/>
        <w:t>attendance, non</w:t>
      </w:r>
      <w:r>
        <w:rPr>
          <w:snapToGrid w:val="0"/>
        </w:rPr>
        <w:noBreakHyphen/>
        <w:t>production of documents etc.</w:t>
      </w:r>
      <w:bookmarkEnd w:id="358"/>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 xml:space="preserve">commits an offence and is liable to a penalty of </w:t>
      </w:r>
      <w:r>
        <w:t>$10 000.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r>
      <w:r>
        <w:rPr>
          <w:rStyle w:val="CharDefText"/>
        </w:rPr>
        <w:t>reasonable excuse</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No. 84 of 2004 s. 82; No. 35 of 2014 s. 37(5).]</w:t>
      </w:r>
    </w:p>
    <w:p>
      <w:pPr>
        <w:pStyle w:val="yHeading5"/>
        <w:rPr>
          <w:snapToGrid w:val="0"/>
        </w:rPr>
      </w:pPr>
      <w:bookmarkStart w:id="359" w:name="_Toc20390175"/>
      <w:r>
        <w:rPr>
          <w:rStyle w:val="CharSClsNo"/>
        </w:rPr>
        <w:t>5</w:t>
      </w:r>
      <w:r>
        <w:rPr>
          <w:snapToGrid w:val="0"/>
        </w:rPr>
        <w:t xml:space="preserve">. </w:t>
      </w:r>
      <w:r>
        <w:rPr>
          <w:snapToGrid w:val="0"/>
        </w:rPr>
        <w:tab/>
      </w:r>
      <w:r>
        <w:t>Hindering</w:t>
      </w:r>
      <w:r>
        <w:rPr>
          <w:snapToGrid w:val="0"/>
        </w:rPr>
        <w:t xml:space="preserve"> or misleading special inquirers</w:t>
      </w:r>
      <w:bookmarkEnd w:id="359"/>
      <w:r>
        <w:rPr>
          <w:snapToGrid w:val="0"/>
        </w:rPr>
        <w:t xml:space="preserve"> </w:t>
      </w:r>
    </w:p>
    <w:p>
      <w:pPr>
        <w:pStyle w:val="ySubsection"/>
        <w:rPr>
          <w:snapToGrid w:val="0"/>
        </w:rPr>
      </w:pPr>
      <w:r>
        <w:rPr>
          <w:snapToGrid w:val="0"/>
        </w:rPr>
        <w:tab/>
        <w:t>(1)</w:t>
      </w:r>
      <w:r>
        <w:rPr>
          <w:snapToGrid w:val="0"/>
        </w:rPr>
        <w:tab/>
        <w:t xml:space="preserve">A person who hinders or obstructs a special inquirer in the exercise of any power conferred on him or her by this Act commits an offence and is liable to a penalty of </w:t>
      </w:r>
      <w:r>
        <w:t>$10 000.</w:t>
      </w:r>
    </w:p>
    <w:p>
      <w:pPr>
        <w:pStyle w:val="ySubsection"/>
        <w:rPr>
          <w:snapToGrid w:val="0"/>
        </w:rPr>
      </w:pPr>
      <w:r>
        <w:rPr>
          <w:snapToGrid w:val="0"/>
        </w:rPr>
        <w:tab/>
        <w:t>(2)</w:t>
      </w:r>
      <w:r>
        <w:rPr>
          <w:snapToGrid w:val="0"/>
        </w:rPr>
        <w:tab/>
        <w:t xml:space="preserve">A person who makes a statement or gives an answer which the person knows to be false or misleading in a material particular to a special inquirer acting in the exercise of any power conferred on him or her by this Act commits an offence and is liable to a penalty of </w:t>
      </w:r>
      <w:r>
        <w:t>$10 000.</w:t>
      </w:r>
    </w:p>
    <w:p>
      <w:pPr>
        <w:pStyle w:val="yFootnotesection"/>
      </w:pPr>
      <w:r>
        <w:tab/>
        <w:t>[Clause 5 amended: No. 35 of 2014 s. 37(6).]</w:t>
      </w:r>
    </w:p>
    <w:p>
      <w:pPr>
        <w:pStyle w:val="yHeading5"/>
        <w:rPr>
          <w:snapToGrid w:val="0"/>
        </w:rPr>
      </w:pPr>
      <w:bookmarkStart w:id="360" w:name="_Toc20390176"/>
      <w:r>
        <w:rPr>
          <w:rStyle w:val="CharSClsNo"/>
        </w:rPr>
        <w:t>6</w:t>
      </w:r>
      <w:r>
        <w:rPr>
          <w:snapToGrid w:val="0"/>
        </w:rPr>
        <w:t xml:space="preserve">. </w:t>
      </w:r>
      <w:r>
        <w:rPr>
          <w:snapToGrid w:val="0"/>
        </w:rPr>
        <w:tab/>
      </w:r>
      <w:r>
        <w:t>Protection</w:t>
      </w:r>
      <w:r>
        <w:rPr>
          <w:snapToGrid w:val="0"/>
        </w:rPr>
        <w:t xml:space="preserve"> to special inquirers and witnesses</w:t>
      </w:r>
      <w:bookmarkEnd w:id="360"/>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pPr>
      <w:bookmarkStart w:id="361" w:name="_Toc500423018"/>
      <w:bookmarkStart w:id="362" w:name="_Toc503259402"/>
      <w:bookmarkStart w:id="363" w:name="_Toc503265338"/>
      <w:bookmarkStart w:id="364" w:name="_Toc503880805"/>
      <w:bookmarkStart w:id="365" w:name="_Toc515436331"/>
      <w:bookmarkStart w:id="366" w:name="_Toc515437160"/>
      <w:bookmarkStart w:id="367" w:name="_Toc20390177"/>
      <w:r>
        <w:rPr>
          <w:rStyle w:val="CharSchNo"/>
        </w:rPr>
        <w:t>Schedule 4</w:t>
      </w:r>
      <w:r>
        <w:rPr>
          <w:rStyle w:val="CharSDivNo"/>
        </w:rPr>
        <w:t> </w:t>
      </w:r>
      <w:r>
        <w:t>—</w:t>
      </w:r>
      <w:r>
        <w:rPr>
          <w:rStyle w:val="CharSDivText"/>
        </w:rPr>
        <w:t> </w:t>
      </w:r>
      <w:r>
        <w:rPr>
          <w:rStyle w:val="CharSchText"/>
        </w:rPr>
        <w:t>Form of declaration</w:t>
      </w:r>
      <w:bookmarkEnd w:id="361"/>
      <w:bookmarkEnd w:id="362"/>
      <w:bookmarkEnd w:id="363"/>
      <w:bookmarkEnd w:id="364"/>
      <w:bookmarkEnd w:id="365"/>
      <w:bookmarkEnd w:id="366"/>
      <w:bookmarkEnd w:id="367"/>
    </w:p>
    <w:p>
      <w:pPr>
        <w:pStyle w:val="yShoulderClause"/>
      </w:pPr>
      <w:r>
        <w:t>[s. 17(4)]</w:t>
      </w:r>
    </w:p>
    <w:p>
      <w:pPr>
        <w:pStyle w:val="yFootnoteheading"/>
      </w:pPr>
      <w:r>
        <w:tab/>
        <w:t>[Heading inserted: No. 39 of 2010 s. 64.]</w:t>
      </w:r>
    </w:p>
    <w:p>
      <w:pPr>
        <w:pStyle w:val="ySubsection"/>
      </w:pPr>
      <w:r>
        <w:tab/>
      </w:r>
      <w:r>
        <w:tab/>
        <w:t>I, .................................................................................., sincerely promise and declare that, according to the best of my skill and ability, I will faithfully, impartially and truly execute the office and perform the functions of Public Sector Commissioner according to law.</w:t>
      </w:r>
    </w:p>
    <w:p>
      <w:pPr>
        <w:pStyle w:val="ySubsection"/>
      </w:pPr>
    </w:p>
    <w:p>
      <w:pPr>
        <w:pStyle w:val="ySubsection"/>
      </w:pPr>
      <w:r>
        <w:tab/>
      </w:r>
      <w:r>
        <w:tab/>
        <w:t>.........................................</w:t>
      </w:r>
      <w:r>
        <w:tab/>
      </w:r>
      <w:r>
        <w:tab/>
      </w:r>
      <w:r>
        <w:tab/>
        <w:t>.........................</w:t>
      </w:r>
    </w:p>
    <w:p>
      <w:pPr>
        <w:pStyle w:val="ySubsection"/>
      </w:pPr>
      <w:r>
        <w:tab/>
      </w:r>
      <w:r>
        <w:tab/>
        <w:t>(Signature of declarant)</w:t>
      </w:r>
      <w:r>
        <w:tab/>
      </w:r>
      <w:r>
        <w:tab/>
      </w:r>
      <w:r>
        <w:tab/>
      </w:r>
      <w:r>
        <w:tab/>
        <w:t>(Date)</w:t>
      </w:r>
    </w:p>
    <w:p>
      <w:pPr>
        <w:pStyle w:val="yFootnotesection"/>
      </w:pPr>
      <w:r>
        <w:tab/>
        <w:t>[Schedule 4 inserted: No. 39 of 2010 s. 64.]</w:t>
      </w:r>
    </w:p>
    <w:p>
      <w:pPr>
        <w:rPr>
          <w:sz w:val="22"/>
        </w:r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outlineLvl w:val="0"/>
      </w:pPr>
      <w:bookmarkStart w:id="368" w:name="_Toc500423019"/>
      <w:bookmarkStart w:id="369" w:name="_Toc503259403"/>
      <w:bookmarkStart w:id="370" w:name="_Toc503265339"/>
      <w:bookmarkStart w:id="371" w:name="_Toc503880806"/>
      <w:bookmarkStart w:id="372" w:name="_Toc515436332"/>
      <w:bookmarkStart w:id="373" w:name="_Toc515437161"/>
      <w:bookmarkStart w:id="374" w:name="_Toc20390178"/>
      <w:r>
        <w:rPr>
          <w:rStyle w:val="CharSchNo"/>
        </w:rPr>
        <w:t>Schedule 5</w:t>
      </w:r>
      <w:r>
        <w:rPr>
          <w:rStyle w:val="CharSDivNo"/>
        </w:rPr>
        <w:t> </w:t>
      </w:r>
      <w:r>
        <w:t>—</w:t>
      </w:r>
      <w:r>
        <w:rPr>
          <w:rStyle w:val="CharSDivText"/>
        </w:rPr>
        <w:t> </w:t>
      </w:r>
      <w:r>
        <w:rPr>
          <w:rStyle w:val="CharSchText"/>
        </w:rPr>
        <w:t>General transitional provisions</w:t>
      </w:r>
      <w:bookmarkEnd w:id="368"/>
      <w:bookmarkEnd w:id="369"/>
      <w:bookmarkEnd w:id="370"/>
      <w:bookmarkEnd w:id="371"/>
      <w:bookmarkEnd w:id="372"/>
      <w:bookmarkEnd w:id="373"/>
      <w:bookmarkEnd w:id="374"/>
    </w:p>
    <w:p>
      <w:pPr>
        <w:pStyle w:val="yShoulderClause"/>
        <w:rPr>
          <w:snapToGrid w:val="0"/>
        </w:rPr>
      </w:pPr>
      <w:r>
        <w:rPr>
          <w:snapToGrid w:val="0"/>
        </w:rPr>
        <w:t>[s. 108 and 110(2)]</w:t>
      </w:r>
    </w:p>
    <w:p>
      <w:pPr>
        <w:pStyle w:val="yFootnoteheading"/>
        <w:spacing w:before="80"/>
      </w:pPr>
      <w:r>
        <w:tab/>
        <w:t>[Heading amended: No. 19 of 2010 s. 4.]</w:t>
      </w:r>
    </w:p>
    <w:p>
      <w:pPr>
        <w:pStyle w:val="yHeading5"/>
        <w:spacing w:before="180"/>
        <w:rPr>
          <w:snapToGrid w:val="0"/>
        </w:rPr>
      </w:pPr>
      <w:bookmarkStart w:id="375" w:name="_Toc20390179"/>
      <w:r>
        <w:rPr>
          <w:rStyle w:val="CharSClsNo"/>
        </w:rPr>
        <w:t>1</w:t>
      </w:r>
      <w:r>
        <w:rPr>
          <w:snapToGrid w:val="0"/>
        </w:rPr>
        <w:t xml:space="preserve">. </w:t>
      </w:r>
      <w:r>
        <w:rPr>
          <w:snapToGrid w:val="0"/>
        </w:rPr>
        <w:tab/>
        <w:t>Interpretation</w:t>
      </w:r>
      <w:bookmarkEnd w:id="375"/>
    </w:p>
    <w:p>
      <w:pPr>
        <w:pStyle w:val="ySubsection"/>
        <w:spacing w:before="12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120"/>
        <w:rPr>
          <w:snapToGrid w:val="0"/>
        </w:rPr>
      </w:pPr>
      <w:r>
        <w:rPr>
          <w:snapToGrid w:val="0"/>
        </w:rPr>
        <w:tab/>
      </w:r>
      <w:r>
        <w:rPr>
          <w:snapToGrid w:val="0"/>
        </w:rPr>
        <w:tab/>
        <w:t>within the meaning of the repealed Act.</w:t>
      </w:r>
    </w:p>
    <w:p>
      <w:pPr>
        <w:pStyle w:val="yHeading5"/>
        <w:spacing w:before="180"/>
        <w:rPr>
          <w:snapToGrid w:val="0"/>
        </w:rPr>
      </w:pPr>
      <w:bookmarkStart w:id="376" w:name="_Toc20390180"/>
      <w:r>
        <w:rPr>
          <w:rStyle w:val="CharSClsNo"/>
        </w:rPr>
        <w:t>2</w:t>
      </w:r>
      <w:r>
        <w:rPr>
          <w:snapToGrid w:val="0"/>
        </w:rPr>
        <w:t xml:space="preserve">. </w:t>
      </w:r>
      <w:r>
        <w:rPr>
          <w:snapToGrid w:val="0"/>
        </w:rPr>
        <w:tab/>
        <w:t xml:space="preserve">Public </w:t>
      </w:r>
      <w:r>
        <w:t>service</w:t>
      </w:r>
      <w:r>
        <w:rPr>
          <w:snapToGrid w:val="0"/>
        </w:rPr>
        <w:t xml:space="preserve"> notices under repealed Act, effect of</w:t>
      </w:r>
      <w:bookmarkEnd w:id="376"/>
    </w:p>
    <w:p>
      <w:pPr>
        <w:pStyle w:val="ySubsection"/>
        <w:spacing w:before="120"/>
        <w:rPr>
          <w:snapToGrid w:val="0"/>
        </w:rPr>
      </w:pPr>
      <w:r>
        <w:rPr>
          <w:snapToGrid w:val="0"/>
        </w:rPr>
        <w:tab/>
        <w:t>(1)</w:t>
      </w:r>
      <w:r>
        <w:rPr>
          <w:snapToGrid w:val="0"/>
        </w:rPr>
        <w:tab/>
      </w:r>
      <w:r>
        <w:t>Subject to Schedule 7 clause 4(6), any</w:t>
      </w:r>
      <w:r>
        <w:rPr>
          <w:snapToGrid w:val="0"/>
        </w:rPr>
        <w:t xml:space="preserve">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12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Footnotesection"/>
        <w:spacing w:before="80"/>
      </w:pPr>
      <w:r>
        <w:tab/>
        <w:t>[Clause 2 amended: No. 39 of 2010 s. 65(1).]</w:t>
      </w:r>
    </w:p>
    <w:p>
      <w:pPr>
        <w:pStyle w:val="yHeading5"/>
        <w:spacing w:before="180"/>
        <w:rPr>
          <w:snapToGrid w:val="0"/>
        </w:rPr>
      </w:pPr>
      <w:bookmarkStart w:id="377" w:name="_Toc20390181"/>
      <w:r>
        <w:rPr>
          <w:rStyle w:val="CharSClsNo"/>
        </w:rPr>
        <w:t>3</w:t>
      </w:r>
      <w:r>
        <w:rPr>
          <w:snapToGrid w:val="0"/>
        </w:rPr>
        <w:t xml:space="preserve">. </w:t>
      </w:r>
      <w:r>
        <w:rPr>
          <w:snapToGrid w:val="0"/>
        </w:rPr>
        <w:tab/>
        <w:t xml:space="preserve">Public </w:t>
      </w:r>
      <w:r>
        <w:t>Service</w:t>
      </w:r>
      <w:r>
        <w:rPr>
          <w:snapToGrid w:val="0"/>
        </w:rPr>
        <w:t xml:space="preserve"> Commissioner and Assistant Public Service Commissioner, entitlements</w:t>
      </w:r>
      <w:bookmarkEnd w:id="377"/>
    </w:p>
    <w:p>
      <w:pPr>
        <w:pStyle w:val="ySubsection"/>
        <w:spacing w:before="12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12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378" w:name="_Toc20390182"/>
      <w:r>
        <w:rPr>
          <w:rStyle w:val="CharSClsNo"/>
        </w:rPr>
        <w:t>4</w:t>
      </w:r>
      <w:r>
        <w:rPr>
          <w:snapToGrid w:val="0"/>
        </w:rPr>
        <w:t xml:space="preserve">. </w:t>
      </w:r>
      <w:r>
        <w:rPr>
          <w:snapToGrid w:val="0"/>
        </w:rPr>
        <w:tab/>
      </w:r>
      <w:r>
        <w:t>General</w:t>
      </w:r>
      <w:r>
        <w:rPr>
          <w:snapToGrid w:val="0"/>
        </w:rPr>
        <w:t xml:space="preserve"> savings</w:t>
      </w:r>
      <w:bookmarkEnd w:id="378"/>
      <w:r>
        <w:rPr>
          <w:snapToGrid w:val="0"/>
        </w:rPr>
        <w:t xml:space="preserve"> </w:t>
      </w:r>
    </w:p>
    <w:p>
      <w:pPr>
        <w:pStyle w:val="ySubsection"/>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 and</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 and</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379" w:name="_Toc20390183"/>
      <w:r>
        <w:rPr>
          <w:rStyle w:val="CharSClsNo"/>
        </w:rPr>
        <w:t>5</w:t>
      </w:r>
      <w:r>
        <w:rPr>
          <w:snapToGrid w:val="0"/>
        </w:rPr>
        <w:t xml:space="preserve">. </w:t>
      </w:r>
      <w:r>
        <w:rPr>
          <w:snapToGrid w:val="0"/>
        </w:rPr>
        <w:tab/>
      </w:r>
      <w:r>
        <w:t>Administrative</w:t>
      </w:r>
      <w:r>
        <w:rPr>
          <w:snapToGrid w:val="0"/>
        </w:rPr>
        <w:t xml:space="preserve"> instructions under repealed Act s. 19, effect of</w:t>
      </w:r>
      <w:bookmarkEnd w:id="379"/>
    </w:p>
    <w:p>
      <w:pPr>
        <w:pStyle w:val="ySubsection"/>
        <w:spacing w:before="200"/>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pPr>
      <w:r>
        <w:tab/>
        <w:t>(a)</w:t>
      </w:r>
      <w:r>
        <w:tab/>
        <w:t>a Commissioner’s instruction; or</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regulations made under section 108.</w:t>
      </w:r>
    </w:p>
    <w:p>
      <w:pPr>
        <w:pStyle w:val="ySubsection"/>
        <w:spacing w:before="200"/>
        <w:rPr>
          <w:snapToGrid w:val="0"/>
        </w:rPr>
      </w:pPr>
      <w:r>
        <w:rPr>
          <w:snapToGrid w:val="0"/>
        </w:rPr>
        <w:tab/>
        <w:t>(2)</w:t>
      </w:r>
      <w:r>
        <w:rPr>
          <w:snapToGrid w:val="0"/>
        </w:rPr>
        <w:tab/>
        <w:t>The repeal under subclause (1) of any administrative instructions shall be accompanied on the day of that repeal by a notification of that repeal made by the</w:t>
      </w:r>
      <w:r>
        <w:t xml:space="preserve"> Commissioner in a notice published as a public sector notice in accordance with the Commissioner’s instructions.</w:t>
      </w:r>
    </w:p>
    <w:p>
      <w:pPr>
        <w:pStyle w:val="yFootnotesection"/>
      </w:pPr>
      <w:r>
        <w:tab/>
        <w:t>[Clause 5 amended: No. 39 of 2010 s. 65(2) and (3).]</w:t>
      </w:r>
    </w:p>
    <w:p>
      <w:pPr>
        <w:pStyle w:val="yHeading5"/>
        <w:rPr>
          <w:snapToGrid w:val="0"/>
        </w:rPr>
      </w:pPr>
      <w:bookmarkStart w:id="380" w:name="_Toc20390184"/>
      <w:r>
        <w:rPr>
          <w:rStyle w:val="CharSClsNo"/>
        </w:rPr>
        <w:t>6</w:t>
      </w:r>
      <w:r>
        <w:rPr>
          <w:snapToGrid w:val="0"/>
        </w:rPr>
        <w:t xml:space="preserve">. </w:t>
      </w:r>
      <w:r>
        <w:rPr>
          <w:snapToGrid w:val="0"/>
        </w:rPr>
        <w:tab/>
      </w:r>
      <w:r>
        <w:t>Departments</w:t>
      </w:r>
      <w:r>
        <w:rPr>
          <w:snapToGrid w:val="0"/>
        </w:rPr>
        <w:t xml:space="preserve"> and sub</w:t>
      </w:r>
      <w:r>
        <w:rPr>
          <w:snapToGrid w:val="0"/>
        </w:rPr>
        <w:noBreakHyphen/>
        <w:t>departments under repealed Act</w:t>
      </w:r>
      <w:bookmarkEnd w:id="380"/>
    </w:p>
    <w:p>
      <w:pPr>
        <w:pStyle w:val="ySubsection"/>
        <w:spacing w:before="200"/>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spacing w:before="200"/>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381" w:name="_Toc20390185"/>
      <w:r>
        <w:rPr>
          <w:rStyle w:val="CharSClsNo"/>
        </w:rPr>
        <w:t>7</w:t>
      </w:r>
      <w:r>
        <w:rPr>
          <w:snapToGrid w:val="0"/>
        </w:rPr>
        <w:t xml:space="preserve">. </w:t>
      </w:r>
      <w:r>
        <w:rPr>
          <w:snapToGrid w:val="0"/>
        </w:rPr>
        <w:tab/>
      </w:r>
      <w:r>
        <w:t>Absorbed</w:t>
      </w:r>
      <w:r>
        <w:rPr>
          <w:snapToGrid w:val="0"/>
        </w:rPr>
        <w:t xml:space="preserve"> personnel (repealed Act s. 25)</w:t>
      </w:r>
      <w:bookmarkEnd w:id="381"/>
    </w:p>
    <w:p>
      <w:pPr>
        <w:pStyle w:val="ySubsection"/>
        <w:spacing w:before="200"/>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spacing w:before="120"/>
        <w:rPr>
          <w:snapToGrid w:val="0"/>
        </w:rPr>
      </w:pPr>
      <w:r>
        <w:rPr>
          <w:snapToGrid w:val="0"/>
        </w:rPr>
        <w:tab/>
      </w:r>
      <w:r>
        <w:rPr>
          <w:snapToGrid w:val="0"/>
        </w:rPr>
        <w:tab/>
        <w:t>of this Act applies.</w:t>
      </w:r>
    </w:p>
    <w:p>
      <w:pPr>
        <w:pStyle w:val="ySubsection"/>
        <w:keepNext/>
        <w:keepLines/>
        <w:spacing w:before="120"/>
        <w:rPr>
          <w:snapToGrid w:val="0"/>
        </w:rPr>
      </w:pPr>
      <w:r>
        <w:rPr>
          <w:snapToGrid w:val="0"/>
          <w:spacing w:val="-4"/>
        </w:rPr>
        <w:tab/>
        <w:t>(2)</w:t>
      </w:r>
      <w:r>
        <w:rPr>
          <w:snapToGrid w:val="0"/>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382" w:name="_Toc20390186"/>
      <w:r>
        <w:rPr>
          <w:rStyle w:val="CharSClsNo"/>
        </w:rPr>
        <w:t>8</w:t>
      </w:r>
      <w:r>
        <w:rPr>
          <w:snapToGrid w:val="0"/>
        </w:rPr>
        <w:t xml:space="preserve">. </w:t>
      </w:r>
      <w:r>
        <w:rPr>
          <w:snapToGrid w:val="0"/>
        </w:rPr>
        <w:tab/>
      </w:r>
      <w:r>
        <w:t>Proceedings under repealed Act s. 26</w:t>
      </w:r>
      <w:bookmarkEnd w:id="382"/>
    </w:p>
    <w:p>
      <w:pPr>
        <w:pStyle w:val="ySubsection"/>
        <w:keepNext/>
        <w:spacing w:before="120"/>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383" w:name="_Toc20390187"/>
      <w:r>
        <w:rPr>
          <w:rStyle w:val="CharSClsNo"/>
        </w:rPr>
        <w:t>9</w:t>
      </w:r>
      <w:r>
        <w:rPr>
          <w:snapToGrid w:val="0"/>
        </w:rPr>
        <w:t xml:space="preserve">. </w:t>
      </w:r>
      <w:r>
        <w:rPr>
          <w:snapToGrid w:val="0"/>
        </w:rPr>
        <w:tab/>
        <w:t>A</w:t>
      </w:r>
      <w:r>
        <w:t>ppointments</w:t>
      </w:r>
      <w:r>
        <w:rPr>
          <w:snapToGrid w:val="0"/>
        </w:rPr>
        <w:t xml:space="preserve"> etc. under repealed Act s. 30</w:t>
      </w:r>
      <w:bookmarkEnd w:id="383"/>
    </w:p>
    <w:p>
      <w:pPr>
        <w:pStyle w:val="ySubsection"/>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spacing w:before="60"/>
        <w:rPr>
          <w:snapToGrid w:val="0"/>
        </w:rPr>
      </w:pPr>
      <w:r>
        <w:rPr>
          <w:snapToGrid w:val="0"/>
        </w:rPr>
        <w:tab/>
        <w:t>(a)</w:t>
      </w:r>
      <w:r>
        <w:rPr>
          <w:snapToGrid w:val="0"/>
        </w:rPr>
        <w:tab/>
        <w:t>in the case of the appointment of an officer — </w:t>
      </w:r>
    </w:p>
    <w:p>
      <w:pPr>
        <w:pStyle w:val="yIndenti0"/>
        <w:spacing w:before="6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384" w:name="_Toc20390188"/>
      <w:r>
        <w:rPr>
          <w:rStyle w:val="CharSClsNo"/>
        </w:rPr>
        <w:t>10</w:t>
      </w:r>
      <w:r>
        <w:rPr>
          <w:snapToGrid w:val="0"/>
        </w:rPr>
        <w:t xml:space="preserve">. </w:t>
      </w:r>
      <w:r>
        <w:rPr>
          <w:snapToGrid w:val="0"/>
        </w:rPr>
        <w:tab/>
        <w:t>A</w:t>
      </w:r>
      <w:r>
        <w:t>ppointments</w:t>
      </w:r>
      <w:r>
        <w:rPr>
          <w:snapToGrid w:val="0"/>
        </w:rPr>
        <w:t xml:space="preserve"> under repealed Act s. 30A</w:t>
      </w:r>
      <w:bookmarkEnd w:id="384"/>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spacing w:before="180"/>
      </w:pPr>
      <w:r>
        <w:t>[</w:t>
      </w:r>
      <w:r>
        <w:rPr>
          <w:b/>
        </w:rPr>
        <w:t>11.</w:t>
      </w:r>
      <w:r>
        <w:tab/>
        <w:t>Deleted: No. 1 of 1995 s. 35.]</w:t>
      </w:r>
    </w:p>
    <w:p>
      <w:pPr>
        <w:pStyle w:val="yHeading5"/>
        <w:rPr>
          <w:snapToGrid w:val="0"/>
        </w:rPr>
      </w:pPr>
      <w:bookmarkStart w:id="385" w:name="_Toc20390189"/>
      <w:r>
        <w:rPr>
          <w:rStyle w:val="CharSClsNo"/>
        </w:rPr>
        <w:t>12</w:t>
      </w:r>
      <w:r>
        <w:rPr>
          <w:snapToGrid w:val="0"/>
        </w:rPr>
        <w:t xml:space="preserve">. </w:t>
      </w:r>
      <w:r>
        <w:rPr>
          <w:snapToGrid w:val="0"/>
        </w:rPr>
        <w:tab/>
      </w:r>
      <w:r>
        <w:t>Temporary</w:t>
      </w:r>
      <w:r>
        <w:rPr>
          <w:snapToGrid w:val="0"/>
        </w:rPr>
        <w:t xml:space="preserve"> officers; applications under repealed Act s. 32</w:t>
      </w:r>
      <w:bookmarkEnd w:id="385"/>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386" w:name="_Toc20390190"/>
      <w:r>
        <w:rPr>
          <w:rStyle w:val="CharSClsNo"/>
        </w:rPr>
        <w:t>13</w:t>
      </w:r>
      <w:r>
        <w:rPr>
          <w:snapToGrid w:val="0"/>
        </w:rPr>
        <w:t xml:space="preserve">. </w:t>
      </w:r>
      <w:r>
        <w:rPr>
          <w:snapToGrid w:val="0"/>
        </w:rPr>
        <w:tab/>
        <w:t xml:space="preserve">Senior </w:t>
      </w:r>
      <w:r>
        <w:t>Executive</w:t>
      </w:r>
      <w:r>
        <w:rPr>
          <w:snapToGrid w:val="0"/>
        </w:rPr>
        <w:t xml:space="preserve"> Service (repealed Act s. 35)</w:t>
      </w:r>
      <w:bookmarkEnd w:id="386"/>
    </w:p>
    <w:p>
      <w:pPr>
        <w:pStyle w:val="ySubsection"/>
        <w:spacing w:before="18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8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8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8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80"/>
        <w:rPr>
          <w:snapToGrid w:val="0"/>
        </w:rPr>
      </w:pPr>
      <w:r>
        <w:rPr>
          <w:snapToGrid w:val="0"/>
        </w:rPr>
        <w:tab/>
        <w:t>(4)</w:t>
      </w:r>
      <w:r>
        <w:rPr>
          <w:snapToGrid w:val="0"/>
        </w:rPr>
        <w:tab/>
        <w:t xml:space="preserve">A person who becomes by virtue of subclause (3) an executive officer retains, despite any provision of this Act but subject to Part 6 and regulations referred to in </w:t>
      </w:r>
      <w:r>
        <w:rPr>
          <w:szCs w:val="22"/>
        </w:rPr>
        <w:t xml:space="preserve">sections 94 and 95A, </w:t>
      </w:r>
      <w:r>
        <w:rPr>
          <w:snapToGrid w:val="0"/>
        </w:rPr>
        <w:t>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rPr>
          <w:snapToGrid w:val="0"/>
        </w:rPr>
      </w:pPr>
      <w:r>
        <w:rPr>
          <w:snapToGrid w:val="0"/>
        </w:rPr>
        <w:tab/>
      </w:r>
      <w:r>
        <w:rPr>
          <w:snapToGrid w:val="0"/>
        </w:rPr>
        <w:tab/>
        <w:t>and enters into a contract of employment under Division 2 of Part 3.</w:t>
      </w:r>
    </w:p>
    <w:p>
      <w:pPr>
        <w:pStyle w:val="ySubsection"/>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 or</w:t>
      </w:r>
    </w:p>
    <w:p>
      <w:pPr>
        <w:pStyle w:val="yIndenta"/>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keepNext/>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spacing w:before="180"/>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spacing w:before="180"/>
        <w:rPr>
          <w:snapToGrid w:val="0"/>
        </w:rPr>
      </w:pPr>
      <w:r>
        <w:rPr>
          <w:snapToGrid w:val="0"/>
        </w:rPr>
        <w:tab/>
        <w:t>(14c)</w:t>
      </w:r>
      <w:r>
        <w:rPr>
          <w:snapToGrid w:val="0"/>
        </w:rPr>
        <w:tab/>
        <w:t>Subclause (5) applies to a person who is appointed under a process referred to in subclause (14a).</w:t>
      </w:r>
    </w:p>
    <w:p>
      <w:pPr>
        <w:pStyle w:val="ySubsection"/>
        <w:spacing w:before="180"/>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spacing w:before="180"/>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spacing w:before="180"/>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spacing w:before="180"/>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keepNext/>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Footnotesection"/>
      </w:pPr>
      <w:r>
        <w:tab/>
        <w:t>[Clause 13 amended: Gazette 16 Sep 1994 p. 4804; 2 May 1995 p. 1691; 27 Sep 1996 p. 4827; 19 Nov 1999 p. 5795; No. 8 of 2014 s. 17.]</w:t>
      </w:r>
    </w:p>
    <w:p>
      <w:pPr>
        <w:pStyle w:val="yHeading5"/>
        <w:rPr>
          <w:snapToGrid w:val="0"/>
        </w:rPr>
      </w:pPr>
      <w:bookmarkStart w:id="387" w:name="_Toc20390191"/>
      <w:r>
        <w:rPr>
          <w:rStyle w:val="CharSClsNo"/>
        </w:rPr>
        <w:t>14</w:t>
      </w:r>
      <w:r>
        <w:rPr>
          <w:snapToGrid w:val="0"/>
        </w:rPr>
        <w:t xml:space="preserve">. </w:t>
      </w:r>
      <w:r>
        <w:rPr>
          <w:snapToGrid w:val="0"/>
        </w:rPr>
        <w:tab/>
        <w:t>Senior officers (repealed Act s. 39)</w:t>
      </w:r>
      <w:bookmarkEnd w:id="387"/>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388" w:name="_Toc20390192"/>
      <w:r>
        <w:rPr>
          <w:rStyle w:val="CharSClsNo"/>
        </w:rPr>
        <w:t>15</w:t>
      </w:r>
      <w:r>
        <w:rPr>
          <w:snapToGrid w:val="0"/>
        </w:rPr>
        <w:t xml:space="preserve">. </w:t>
      </w:r>
      <w:r>
        <w:rPr>
          <w:snapToGrid w:val="0"/>
        </w:rPr>
        <w:tab/>
      </w:r>
      <w:r>
        <w:t>Proceedings</w:t>
      </w:r>
      <w:r>
        <w:rPr>
          <w:snapToGrid w:val="0"/>
        </w:rPr>
        <w:t xml:space="preserve"> on charges (repealed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IV)</w:t>
      </w:r>
      <w:bookmarkEnd w:id="388"/>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Footnotesection"/>
      </w:pPr>
      <w:r>
        <w:tab/>
        <w:t>[Clause 15 amended: Gazette 16 Sep 1994 p. 4804; 9 Dec 1994 p. 6715.]</w:t>
      </w:r>
    </w:p>
    <w:p>
      <w:pPr>
        <w:pStyle w:val="yHeading5"/>
        <w:rPr>
          <w:snapToGrid w:val="0"/>
        </w:rPr>
      </w:pPr>
      <w:bookmarkStart w:id="389" w:name="_Toc20390193"/>
      <w:r>
        <w:rPr>
          <w:rStyle w:val="CharSClsNo"/>
        </w:rPr>
        <w:t>16</w:t>
      </w:r>
      <w:r>
        <w:rPr>
          <w:snapToGrid w:val="0"/>
        </w:rPr>
        <w:t xml:space="preserve">. </w:t>
      </w:r>
      <w:r>
        <w:rPr>
          <w:snapToGrid w:val="0"/>
        </w:rPr>
        <w:tab/>
      </w:r>
      <w:r>
        <w:t>Long</w:t>
      </w:r>
      <w:r>
        <w:rPr>
          <w:snapToGrid w:val="0"/>
        </w:rPr>
        <w:t xml:space="preserve"> service leave and recreation leave</w:t>
      </w:r>
      <w:bookmarkEnd w:id="389"/>
      <w:r>
        <w:rPr>
          <w:snapToGrid w:val="0"/>
        </w:rPr>
        <w:t xml:space="preserve"> </w:t>
      </w:r>
    </w:p>
    <w:p>
      <w:pPr>
        <w:pStyle w:val="ySubsection"/>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rPr>
          <w:snapToGrid w:val="0"/>
        </w:rPr>
      </w:pPr>
      <w:bookmarkStart w:id="390" w:name="_Toc20390194"/>
      <w:r>
        <w:rPr>
          <w:rStyle w:val="CharSClsNo"/>
        </w:rPr>
        <w:t>17</w:t>
      </w:r>
      <w:r>
        <w:rPr>
          <w:snapToGrid w:val="0"/>
        </w:rPr>
        <w:t xml:space="preserve">. </w:t>
      </w:r>
      <w:r>
        <w:rPr>
          <w:snapToGrid w:val="0"/>
        </w:rPr>
        <w:tab/>
        <w:t xml:space="preserve">Intergovernmental </w:t>
      </w:r>
      <w:r>
        <w:t>arrangements</w:t>
      </w:r>
      <w:r>
        <w:rPr>
          <w:snapToGrid w:val="0"/>
        </w:rPr>
        <w:t xml:space="preserve"> (repealed Act s. 59A)</w:t>
      </w:r>
      <w:bookmarkEnd w:id="390"/>
    </w:p>
    <w:p>
      <w:pPr>
        <w:pStyle w:val="ySubsection"/>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rPr>
          <w:snapToGrid w:val="0"/>
        </w:rPr>
      </w:pPr>
      <w:bookmarkStart w:id="391" w:name="_Toc20390195"/>
      <w:r>
        <w:rPr>
          <w:rStyle w:val="CharSClsNo"/>
        </w:rPr>
        <w:t>18</w:t>
      </w:r>
      <w:r>
        <w:rPr>
          <w:snapToGrid w:val="0"/>
        </w:rPr>
        <w:t xml:space="preserve">. </w:t>
      </w:r>
      <w:r>
        <w:rPr>
          <w:snapToGrid w:val="0"/>
        </w:rPr>
        <w:tab/>
      </w:r>
      <w:r>
        <w:t>Regulations</w:t>
      </w:r>
      <w:bookmarkEnd w:id="391"/>
      <w:r>
        <w:rPr>
          <w:snapToGrid w:val="0"/>
        </w:rPr>
        <w:t xml:space="preserve"> </w:t>
      </w:r>
    </w:p>
    <w:p>
      <w:pPr>
        <w:pStyle w:val="ySubsection"/>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rPr>
          <w:snapToGrid w:val="0"/>
        </w:rPr>
      </w:pPr>
      <w:bookmarkStart w:id="392" w:name="_Toc20390196"/>
      <w:r>
        <w:rPr>
          <w:rStyle w:val="CharSClsNo"/>
        </w:rPr>
        <w:t>19</w:t>
      </w:r>
      <w:r>
        <w:rPr>
          <w:snapToGrid w:val="0"/>
        </w:rPr>
        <w:t xml:space="preserve">. </w:t>
      </w:r>
      <w:r>
        <w:rPr>
          <w:snapToGrid w:val="0"/>
        </w:rPr>
        <w:tab/>
      </w:r>
      <w:r>
        <w:t>Employment</w:t>
      </w:r>
      <w:r>
        <w:rPr>
          <w:snapToGrid w:val="0"/>
        </w:rPr>
        <w:t xml:space="preserve"> of public service officers other than executive officers</w:t>
      </w:r>
      <w:bookmarkEnd w:id="392"/>
      <w:r>
        <w:rPr>
          <w:snapToGrid w:val="0"/>
        </w:rPr>
        <w:t xml:space="preserve"> </w:t>
      </w:r>
    </w:p>
    <w:p>
      <w:pPr>
        <w:pStyle w:val="ySubsection"/>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393" w:name="_Toc20390197"/>
      <w:r>
        <w:rPr>
          <w:rStyle w:val="CharSClsNo"/>
        </w:rPr>
        <w:t>20</w:t>
      </w:r>
      <w:r>
        <w:rPr>
          <w:snapToGrid w:val="0"/>
        </w:rPr>
        <w:t xml:space="preserve">. </w:t>
      </w:r>
      <w:r>
        <w:rPr>
          <w:snapToGrid w:val="0"/>
        </w:rPr>
        <w:tab/>
        <w:t xml:space="preserve">Public Service </w:t>
      </w:r>
      <w:r>
        <w:t>Award</w:t>
      </w:r>
      <w:r>
        <w:rPr>
          <w:snapToGrid w:val="0"/>
        </w:rPr>
        <w:t xml:space="preserve"> 1992, interpretation of</w:t>
      </w:r>
      <w:bookmarkEnd w:id="393"/>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394" w:name="_Toc20390198"/>
      <w:r>
        <w:rPr>
          <w:rStyle w:val="CharSClsNo"/>
        </w:rPr>
        <w:t>21</w:t>
      </w:r>
      <w:r>
        <w:rPr>
          <w:snapToGrid w:val="0"/>
        </w:rPr>
        <w:t xml:space="preserve">. </w:t>
      </w:r>
      <w:r>
        <w:rPr>
          <w:snapToGrid w:val="0"/>
        </w:rPr>
        <w:tab/>
      </w:r>
      <w:r>
        <w:rPr>
          <w:i/>
          <w:snapToGrid w:val="0"/>
        </w:rPr>
        <w:t>Interpretation Act 1984</w:t>
      </w:r>
      <w:r>
        <w:rPr>
          <w:snapToGrid w:val="0"/>
        </w:rPr>
        <w:t xml:space="preserve"> not affected</w:t>
      </w:r>
      <w:bookmarkEnd w:id="394"/>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outlineLvl w:val="0"/>
      </w:pPr>
      <w:bookmarkStart w:id="395" w:name="_Toc500423040"/>
      <w:bookmarkStart w:id="396" w:name="_Toc503259424"/>
      <w:bookmarkStart w:id="397" w:name="_Toc503265360"/>
      <w:bookmarkStart w:id="398" w:name="_Toc503880827"/>
      <w:bookmarkStart w:id="399" w:name="_Toc515436353"/>
      <w:bookmarkStart w:id="400" w:name="_Toc515437182"/>
      <w:bookmarkStart w:id="401" w:name="_Toc20390199"/>
      <w:r>
        <w:rPr>
          <w:rStyle w:val="CharSchNo"/>
        </w:rPr>
        <w:t>Schedule 6</w:t>
      </w:r>
      <w:r>
        <w:t> — </w:t>
      </w:r>
      <w:r>
        <w:rPr>
          <w:rStyle w:val="CharSchText"/>
        </w:rPr>
        <w:t>Transitional provisions relating to ministerial staff</w:t>
      </w:r>
      <w:bookmarkEnd w:id="395"/>
      <w:bookmarkEnd w:id="396"/>
      <w:bookmarkEnd w:id="397"/>
      <w:bookmarkEnd w:id="398"/>
      <w:bookmarkEnd w:id="399"/>
      <w:bookmarkEnd w:id="400"/>
      <w:bookmarkEnd w:id="401"/>
    </w:p>
    <w:p>
      <w:pPr>
        <w:pStyle w:val="yShoulderClause"/>
        <w:rPr>
          <w:snapToGrid w:val="0"/>
        </w:rPr>
      </w:pPr>
      <w:r>
        <w:rPr>
          <w:snapToGrid w:val="0"/>
        </w:rPr>
        <w:t>[s. 108 and 111]</w:t>
      </w:r>
    </w:p>
    <w:p>
      <w:pPr>
        <w:pStyle w:val="yFootnoteheading"/>
      </w:pPr>
      <w:r>
        <w:tab/>
        <w:t>[Heading amended: No. 19 of 2010 s. 4.]</w:t>
      </w:r>
    </w:p>
    <w:p>
      <w:pPr>
        <w:pStyle w:val="yHeading5"/>
        <w:spacing w:before="180"/>
        <w:rPr>
          <w:snapToGrid w:val="0"/>
        </w:rPr>
      </w:pPr>
      <w:bookmarkStart w:id="402" w:name="_Toc20390200"/>
      <w:r>
        <w:rPr>
          <w:rStyle w:val="CharSClsNo"/>
        </w:rPr>
        <w:t>1</w:t>
      </w:r>
      <w:r>
        <w:rPr>
          <w:snapToGrid w:val="0"/>
        </w:rPr>
        <w:t xml:space="preserve">. </w:t>
      </w:r>
      <w:r>
        <w:rPr>
          <w:snapToGrid w:val="0"/>
        </w:rPr>
        <w:tab/>
      </w:r>
      <w:r>
        <w:t>Ministerial</w:t>
      </w:r>
      <w:r>
        <w:rPr>
          <w:snapToGrid w:val="0"/>
        </w:rPr>
        <w:t xml:space="preserve"> staff</w:t>
      </w:r>
      <w:bookmarkEnd w:id="402"/>
      <w:r>
        <w:rPr>
          <w:snapToGrid w:val="0"/>
        </w:rPr>
        <w:t xml:space="preserve"> </w:t>
      </w:r>
    </w:p>
    <w:p>
      <w:pPr>
        <w:pStyle w:val="ySubsection"/>
        <w:spacing w:before="120"/>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spacing w:before="120"/>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 and</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Footnotesection"/>
      </w:pPr>
      <w:r>
        <w:tab/>
        <w:t>[Clause 1 amended: Gazette 5 Jul 1996 p. 3252.]</w:t>
      </w:r>
    </w:p>
    <w:p>
      <w:pPr>
        <w:pStyle w:val="yHeading5"/>
        <w:rPr>
          <w:snapToGrid w:val="0"/>
        </w:rPr>
      </w:pPr>
      <w:bookmarkStart w:id="403" w:name="_Toc20390201"/>
      <w:r>
        <w:rPr>
          <w:rStyle w:val="CharSClsNo"/>
        </w:rPr>
        <w:t>2</w:t>
      </w:r>
      <w:r>
        <w:rPr>
          <w:snapToGrid w:val="0"/>
        </w:rPr>
        <w:t xml:space="preserve">. </w:t>
      </w:r>
      <w:r>
        <w:rPr>
          <w:snapToGrid w:val="0"/>
        </w:rPr>
        <w:tab/>
      </w:r>
      <w:r>
        <w:t>Remuneration</w:t>
      </w:r>
      <w:r>
        <w:rPr>
          <w:snapToGrid w:val="0"/>
        </w:rPr>
        <w:t xml:space="preserve"> and terms and conditions of ministerial staff</w:t>
      </w:r>
      <w:bookmarkEnd w:id="403"/>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Footnotesection"/>
      </w:pPr>
      <w:r>
        <w:tab/>
        <w:t>[Clause 2 amended: No. 57 of 1997 s. 99(5); amended: Gazette 5 Jul 1996 p. 3252.]</w:t>
      </w:r>
    </w:p>
    <w:p>
      <w:pPr>
        <w:pStyle w:val="yHeading5"/>
        <w:rPr>
          <w:snapToGrid w:val="0"/>
        </w:rPr>
      </w:pPr>
      <w:bookmarkStart w:id="404" w:name="_Toc20390202"/>
      <w:r>
        <w:rPr>
          <w:rStyle w:val="CharSClsNo"/>
        </w:rPr>
        <w:t>3</w:t>
      </w:r>
      <w:r>
        <w:rPr>
          <w:snapToGrid w:val="0"/>
        </w:rPr>
        <w:t xml:space="preserve">. </w:t>
      </w:r>
      <w:r>
        <w:rPr>
          <w:snapToGrid w:val="0"/>
        </w:rPr>
        <w:tab/>
        <w:t xml:space="preserve">Restriction on subsequent employment in departments or </w:t>
      </w:r>
      <w:r>
        <w:t>organisations</w:t>
      </w:r>
      <w:bookmarkEnd w:id="404"/>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Footnotesection"/>
      </w:pPr>
      <w:r>
        <w:tab/>
        <w:t>[Clause 3 amended: Gazette 5 Jul 1996 p. 3252.]</w:t>
      </w:r>
    </w:p>
    <w:p>
      <w:pPr>
        <w:pStyle w:val="yHeading5"/>
        <w:rPr>
          <w:snapToGrid w:val="0"/>
        </w:rPr>
      </w:pPr>
      <w:bookmarkStart w:id="405" w:name="_Toc20390203"/>
      <w:r>
        <w:rPr>
          <w:rStyle w:val="CharSClsNo"/>
        </w:rPr>
        <w:t>4</w:t>
      </w:r>
      <w:r>
        <w:rPr>
          <w:snapToGrid w:val="0"/>
        </w:rPr>
        <w:t xml:space="preserve">. </w:t>
      </w:r>
      <w:r>
        <w:rPr>
          <w:snapToGrid w:val="0"/>
        </w:rPr>
        <w:tab/>
      </w:r>
      <w:r>
        <w:rPr>
          <w:i/>
          <w:snapToGrid w:val="0"/>
        </w:rPr>
        <w:t>Interpretation Act 1984</w:t>
      </w:r>
      <w:r>
        <w:rPr>
          <w:snapToGrid w:val="0"/>
        </w:rPr>
        <w:t xml:space="preserve"> not affected</w:t>
      </w:r>
      <w:bookmarkEnd w:id="405"/>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ScheduleHeading"/>
      </w:pPr>
      <w:bookmarkStart w:id="406" w:name="_Toc500423045"/>
      <w:bookmarkStart w:id="407" w:name="_Toc503259429"/>
      <w:bookmarkStart w:id="408" w:name="_Toc503265365"/>
      <w:bookmarkStart w:id="409" w:name="_Toc503880832"/>
      <w:bookmarkStart w:id="410" w:name="_Toc515436358"/>
      <w:bookmarkStart w:id="411" w:name="_Toc515437187"/>
      <w:bookmarkStart w:id="412" w:name="_Toc20390204"/>
      <w:r>
        <w:rPr>
          <w:rStyle w:val="CharSchNo"/>
        </w:rPr>
        <w:t>Schedule 7</w:t>
      </w:r>
      <w:r>
        <w:rPr>
          <w:rStyle w:val="CharSDivNo"/>
        </w:rPr>
        <w:t> </w:t>
      </w:r>
      <w:r>
        <w:t>—</w:t>
      </w:r>
      <w:r>
        <w:rPr>
          <w:rStyle w:val="CharSDivText"/>
        </w:rPr>
        <w:t> </w:t>
      </w:r>
      <w:r>
        <w:rPr>
          <w:rStyle w:val="CharSchText"/>
          <w:i/>
          <w:iCs/>
        </w:rPr>
        <w:t>Public Sector Reform Act 2010</w:t>
      </w:r>
      <w:r>
        <w:rPr>
          <w:rStyle w:val="CharSchText"/>
        </w:rPr>
        <w:t xml:space="preserve"> Part 2 amendments: transitional provisions</w:t>
      </w:r>
      <w:bookmarkEnd w:id="406"/>
      <w:bookmarkEnd w:id="407"/>
      <w:bookmarkEnd w:id="408"/>
      <w:bookmarkEnd w:id="409"/>
      <w:bookmarkEnd w:id="410"/>
      <w:bookmarkEnd w:id="411"/>
      <w:bookmarkEnd w:id="412"/>
    </w:p>
    <w:p>
      <w:pPr>
        <w:pStyle w:val="yShoulderClause"/>
      </w:pPr>
      <w:r>
        <w:t>[s. 113]</w:t>
      </w:r>
    </w:p>
    <w:p>
      <w:pPr>
        <w:pStyle w:val="yFootnoteheading"/>
      </w:pPr>
      <w:r>
        <w:tab/>
        <w:t>[Heading inserted: No. 39 of 2010 s. 66.]</w:t>
      </w:r>
    </w:p>
    <w:p>
      <w:pPr>
        <w:pStyle w:val="yHeading5"/>
      </w:pPr>
      <w:bookmarkStart w:id="413" w:name="_Toc20390205"/>
      <w:r>
        <w:rPr>
          <w:rStyle w:val="CharSClsNo"/>
        </w:rPr>
        <w:t>1</w:t>
      </w:r>
      <w:r>
        <w:t>.</w:t>
      </w:r>
      <w:r>
        <w:rPr>
          <w:b w:val="0"/>
        </w:rPr>
        <w:tab/>
      </w:r>
      <w:r>
        <w:t>Terms used</w:t>
      </w:r>
      <w:bookmarkEnd w:id="413"/>
    </w:p>
    <w:p>
      <w:pPr>
        <w:pStyle w:val="ySubsection"/>
      </w:pPr>
      <w:r>
        <w:tab/>
      </w:r>
      <w:r>
        <w:tab/>
        <w:t>In this Schedule —</w:t>
      </w:r>
    </w:p>
    <w:p>
      <w:pPr>
        <w:pStyle w:val="yDefstart"/>
      </w:pPr>
      <w:r>
        <w:tab/>
      </w:r>
      <w:r>
        <w:rPr>
          <w:rStyle w:val="CharDefText"/>
        </w:rPr>
        <w:t>amended Act</w:t>
      </w:r>
      <w:r>
        <w:t xml:space="preserve"> means this Act as amended by the </w:t>
      </w:r>
      <w:r>
        <w:rPr>
          <w:i/>
          <w:iCs/>
        </w:rPr>
        <w:t>Public Sector Reform Act 2010</w:t>
      </w:r>
      <w:r>
        <w:t>;</w:t>
      </w:r>
    </w:p>
    <w:p>
      <w:pPr>
        <w:pStyle w:val="yDefstart"/>
      </w:pPr>
      <w:r>
        <w:tab/>
      </w:r>
      <w:r>
        <w:rPr>
          <w:rStyle w:val="CharDefText"/>
        </w:rPr>
        <w:t>commencement day</w:t>
      </w:r>
      <w:r>
        <w:t xml:space="preserve"> means the day on which the </w:t>
      </w:r>
      <w:r>
        <w:rPr>
          <w:i/>
          <w:iCs/>
        </w:rPr>
        <w:t>Public Sector Reform Act 2010</w:t>
      </w:r>
      <w:r>
        <w:t xml:space="preserve"> section 13 comes into operation;</w:t>
      </w:r>
    </w:p>
    <w:p>
      <w:pPr>
        <w:pStyle w:val="yDefstart"/>
      </w:pPr>
      <w:r>
        <w:tab/>
      </w:r>
      <w:r>
        <w:rPr>
          <w:rStyle w:val="CharDefText"/>
        </w:rPr>
        <w:t>former Commissioner</w:t>
      </w:r>
      <w:r>
        <w:t xml:space="preserve"> means the person holding the office of Commissioner for Public Sector Standards under this Act immediately before the commencement day.</w:t>
      </w:r>
    </w:p>
    <w:p>
      <w:pPr>
        <w:pStyle w:val="yFootnotesection"/>
      </w:pPr>
      <w:r>
        <w:tab/>
        <w:t>[Clause 1 inserted: No. 39 of 2010 s. 66.]</w:t>
      </w:r>
    </w:p>
    <w:p>
      <w:pPr>
        <w:pStyle w:val="yHeading5"/>
      </w:pPr>
      <w:bookmarkStart w:id="414" w:name="_Toc20390206"/>
      <w:r>
        <w:rPr>
          <w:rStyle w:val="CharSClsNo"/>
        </w:rPr>
        <w:t>2</w:t>
      </w:r>
      <w:r>
        <w:t>.</w:t>
      </w:r>
      <w:r>
        <w:rPr>
          <w:b w:val="0"/>
        </w:rPr>
        <w:tab/>
      </w:r>
      <w:r>
        <w:t>Incumbent CEO remains in office as Public Sector Commissioner</w:t>
      </w:r>
      <w:bookmarkEnd w:id="414"/>
    </w:p>
    <w:p>
      <w:pPr>
        <w:pStyle w:val="ySubsection"/>
      </w:pPr>
      <w:r>
        <w:tab/>
        <w:t>(1)</w:t>
      </w:r>
      <w:r>
        <w:tab/>
        <w:t xml:space="preserve">In this clause — </w:t>
      </w:r>
    </w:p>
    <w:p>
      <w:pPr>
        <w:pStyle w:val="yDefstart"/>
      </w:pPr>
      <w:r>
        <w:tab/>
      </w:r>
      <w:r>
        <w:rPr>
          <w:rStyle w:val="CharDefText"/>
        </w:rPr>
        <w:t>former office</w:t>
      </w:r>
      <w:r>
        <w:t xml:space="preserve"> means the office of chief executive officer of the department principally assisting in the administration of Part 3 immediately before the commencement day.</w:t>
      </w:r>
    </w:p>
    <w:p>
      <w:pPr>
        <w:pStyle w:val="ySubsection"/>
      </w:pPr>
      <w:r>
        <w:tab/>
        <w:t>(2)</w:t>
      </w:r>
      <w:r>
        <w:tab/>
        <w:t>Despite section 17, if a person held the former office immediately before the commencement day (other than in an acting capacity), that person is to hold office as Commissioner subject to Part 3A Division 1 for a term of 5 years beginning on the commencement day as if appointed under section 17, and is eligible to be reappointed to that office.</w:t>
      </w:r>
    </w:p>
    <w:p>
      <w:pPr>
        <w:pStyle w:val="yFootnotesection"/>
      </w:pPr>
      <w:r>
        <w:tab/>
        <w:t>[Clause 2 inserted: No. 39 of 2010 s. 66.]</w:t>
      </w:r>
    </w:p>
    <w:p>
      <w:pPr>
        <w:pStyle w:val="yHeading5"/>
      </w:pPr>
      <w:bookmarkStart w:id="415" w:name="_Toc20390207"/>
      <w:r>
        <w:rPr>
          <w:rStyle w:val="CharSClsNo"/>
        </w:rPr>
        <w:t>3</w:t>
      </w:r>
      <w:r>
        <w:t>.</w:t>
      </w:r>
      <w:r>
        <w:rPr>
          <w:b w:val="0"/>
        </w:rPr>
        <w:tab/>
      </w:r>
      <w:r>
        <w:t>Commissioner for Public Sector Standards, entitlement of</w:t>
      </w:r>
      <w:bookmarkEnd w:id="415"/>
    </w:p>
    <w:p>
      <w:pPr>
        <w:pStyle w:val="ySubsection"/>
      </w:pPr>
      <w:r>
        <w:tab/>
        <w:t>(1)</w:t>
      </w:r>
      <w:r>
        <w:tab/>
        <w:t>The former Commissioner is entitled to be employed in the Public Service at the same level of classification as the former Commissioner held immediately before the commencement day until the end of the period for which the former Commissioner was last appointed under this Act to hold office.</w:t>
      </w:r>
    </w:p>
    <w:p>
      <w:pPr>
        <w:pStyle w:val="ySubsection"/>
      </w:pPr>
      <w:r>
        <w:tab/>
        <w:t>(2)</w:t>
      </w:r>
      <w:r>
        <w:tab/>
        <w:t>The former Commissioner retains existing and accruing entitlements in respect of leave of absence as if service in the Public Service were a continuation of service in the office of the Commissioner of Public Sector Standards.</w:t>
      </w:r>
    </w:p>
    <w:p>
      <w:pPr>
        <w:pStyle w:val="ySubsection"/>
      </w:pPr>
      <w:r>
        <w:tab/>
        <w:t>(3)</w:t>
      </w:r>
      <w:r>
        <w:tab/>
        <w:t>If a person is acting in the office of the Commissioner of Public Sector Standards under section 28 immediately before the commencement day, section 20 as in force before the commencement day continues to apply to that person.</w:t>
      </w:r>
    </w:p>
    <w:p>
      <w:pPr>
        <w:pStyle w:val="yFootnotesection"/>
      </w:pPr>
      <w:r>
        <w:tab/>
        <w:t>[Clause 3 inserted: No. 39 of 2010 s. 66.]</w:t>
      </w:r>
    </w:p>
    <w:p>
      <w:pPr>
        <w:pStyle w:val="yHeading5"/>
      </w:pPr>
      <w:bookmarkStart w:id="416" w:name="_Toc20390208"/>
      <w:r>
        <w:rPr>
          <w:rStyle w:val="CharSClsNo"/>
        </w:rPr>
        <w:t>4</w:t>
      </w:r>
      <w:r>
        <w:t>.</w:t>
      </w:r>
      <w:r>
        <w:rPr>
          <w:b w:val="0"/>
        </w:rPr>
        <w:tab/>
      </w:r>
      <w:r>
        <w:t>Approved procedures and other instruments</w:t>
      </w:r>
      <w:bookmarkEnd w:id="416"/>
    </w:p>
    <w:p>
      <w:pPr>
        <w:pStyle w:val="ySubsection"/>
      </w:pPr>
      <w:r>
        <w:tab/>
        <w:t>(1)</w:t>
      </w:r>
      <w:r>
        <w:tab/>
        <w:t>Any procedure or classification system approved under section 3(2) as in force before the commencement day and of effect immediately before that day is to be taken to be, with any necessary modifications, a Commissioner’s instruction.</w:t>
      </w:r>
    </w:p>
    <w:p>
      <w:pPr>
        <w:pStyle w:val="ySubsection"/>
      </w:pPr>
      <w:r>
        <w:tab/>
        <w:t>(2)</w:t>
      </w:r>
      <w:r>
        <w:tab/>
        <w:t>Any public sector standard or code of ethics established by the former Commissioner under this Act and of effect immediately before the commencement day is to be taken to be, with any necessary modifications, a public sector standard or code of ethics for the purposes of the amended Act.</w:t>
      </w:r>
    </w:p>
    <w:p>
      <w:pPr>
        <w:pStyle w:val="ySubsection"/>
      </w:pPr>
      <w:r>
        <w:tab/>
        <w:t>(3)</w:t>
      </w:r>
      <w:r>
        <w:tab/>
        <w:t>Any order published under section 25(1)(a) as in force before the commencement day and of effect immediately before that day is to be taken to be, with any necessary modifications, an order published under section 21(9A) of the amended Act.</w:t>
      </w:r>
    </w:p>
    <w:p>
      <w:pPr>
        <w:pStyle w:val="ySubsection"/>
      </w:pPr>
      <w:r>
        <w:tab/>
        <w:t>(4)</w:t>
      </w:r>
      <w:r>
        <w:tab/>
        <w:t>Any guidelines issued by the former Commissioner for the purposes of section 31 as in force before the commencement day and of effect immediately before that day are to be taken to be, with any necessary modifications, Commissioner’s instructions.</w:t>
      </w:r>
    </w:p>
    <w:p>
      <w:pPr>
        <w:pStyle w:val="ySubsection"/>
      </w:pPr>
      <w:r>
        <w:tab/>
        <w:t>(5)</w:t>
      </w:r>
      <w:r>
        <w:tab/>
        <w:t>Any direction given under section 42(2) as in force before the commencement day and of effect immediately before that day is to be taken to be, with any necessary modifications, a Commissioner’s instruction.</w:t>
      </w:r>
    </w:p>
    <w:p>
      <w:pPr>
        <w:pStyle w:val="ySubsection"/>
      </w:pPr>
      <w:r>
        <w:tab/>
        <w:t>(6)</w:t>
      </w:r>
      <w:r>
        <w:tab/>
        <w:t>Any public service notice of effect immediately before the commencement day is to be taken to be a public sector notice.</w:t>
      </w:r>
    </w:p>
    <w:p>
      <w:pPr>
        <w:pStyle w:val="ySubsection"/>
      </w:pPr>
      <w:r>
        <w:tab/>
        <w:t>(7)</w:t>
      </w:r>
      <w:r>
        <w:tab/>
        <w:t>Any approval given by the Minister under section 93(1) as in force before the commencement day and of effect immediately before that day continues to be of effect as if it were an approval given by the Commissioner.</w:t>
      </w:r>
    </w:p>
    <w:p>
      <w:pPr>
        <w:pStyle w:val="yFootnotesection"/>
      </w:pPr>
      <w:r>
        <w:tab/>
        <w:t>[Clause 4 inserted: No. 39 of 2010 s. 66.]</w:t>
      </w:r>
    </w:p>
    <w:p>
      <w:pPr>
        <w:pStyle w:val="yHeading5"/>
      </w:pPr>
      <w:bookmarkStart w:id="417" w:name="_Toc20390209"/>
      <w:r>
        <w:rPr>
          <w:rStyle w:val="CharSClsNo"/>
        </w:rPr>
        <w:t>5</w:t>
      </w:r>
      <w:r>
        <w:t>.</w:t>
      </w:r>
      <w:r>
        <w:rPr>
          <w:b w:val="0"/>
        </w:rPr>
        <w:tab/>
      </w:r>
      <w:r>
        <w:t>Reviews, special inquiries and investigations</w:t>
      </w:r>
      <w:bookmarkEnd w:id="417"/>
    </w:p>
    <w:p>
      <w:pPr>
        <w:pStyle w:val="ySubsection"/>
      </w:pPr>
      <w:r>
        <w:tab/>
        <w:t>(1)</w:t>
      </w:r>
      <w:r>
        <w:tab/>
        <w:t xml:space="preserve">If immediately before the commencement day — </w:t>
      </w:r>
    </w:p>
    <w:p>
      <w:pPr>
        <w:pStyle w:val="yIndenta"/>
      </w:pPr>
      <w:r>
        <w:tab/>
        <w:t>(a)</w:t>
      </w:r>
      <w:r>
        <w:tab/>
        <w:t>a review was being carried out under an arrangement by the Minister under section 10 as in force immediately before the commencement day; and</w:t>
      </w:r>
    </w:p>
    <w:p>
      <w:pPr>
        <w:pStyle w:val="yIndenta"/>
      </w:pPr>
      <w:r>
        <w:tab/>
        <w:t>(b)</w:t>
      </w:r>
      <w:r>
        <w:tab/>
        <w:t>any employee had been authorised by the Minister to perform functions for the purpose of the review,</w:t>
      </w:r>
    </w:p>
    <w:p>
      <w:pPr>
        <w:pStyle w:val="ySubsection"/>
      </w:pPr>
      <w:r>
        <w:tab/>
      </w:r>
      <w:r>
        <w:tab/>
        <w:t>the review is to be continued as if it were a review the Minister had directed the Commissioner to conduct under section 24B of the amended Act and the employee had been authorised for the purpose of that review by the Commissioner.</w:t>
      </w:r>
    </w:p>
    <w:p>
      <w:pPr>
        <w:pStyle w:val="ySubsection"/>
      </w:pPr>
      <w:r>
        <w:tab/>
        <w:t>(2)</w:t>
      </w:r>
      <w:r>
        <w:tab/>
        <w:t>If immediately before the commencement day, a special inquirer was carrying out a special inquiry under this Act, the special inquirer is to continue to carry out the inquiry as if the special inquirer were appointed under section 24H of the amended Act to carry out the special inquiry.</w:t>
      </w:r>
    </w:p>
    <w:p>
      <w:pPr>
        <w:pStyle w:val="ySubsection"/>
      </w:pPr>
      <w:r>
        <w:tab/>
        <w:t>(3)</w:t>
      </w:r>
      <w:r>
        <w:tab/>
        <w:t xml:space="preserve">If immediately before the commencement day — </w:t>
      </w:r>
    </w:p>
    <w:p>
      <w:pPr>
        <w:pStyle w:val="yIndenta"/>
      </w:pPr>
      <w:r>
        <w:tab/>
        <w:t>(a)</w:t>
      </w:r>
      <w:r>
        <w:tab/>
        <w:t>an investigation was being carried out under section 24 as in force immediately before the commencement day;</w:t>
      </w:r>
    </w:p>
    <w:p>
      <w:pPr>
        <w:pStyle w:val="yIndenta"/>
      </w:pPr>
      <w:r>
        <w:tab/>
        <w:t>(b)</w:t>
      </w:r>
      <w:r>
        <w:tab/>
        <w:t>any person had been authorised to perform functions for the purpose of the investigation,</w:t>
      </w:r>
    </w:p>
    <w:p>
      <w:pPr>
        <w:pStyle w:val="ySubsection"/>
      </w:pPr>
      <w:r>
        <w:tab/>
      </w:r>
      <w:r>
        <w:tab/>
        <w:t>the investigation is to be continued as if it were an investigation the Commissioner had commenced under section 24 of the amended Act and the person had been authorised for the purpose of that investigation by the Commissioner.</w:t>
      </w:r>
    </w:p>
    <w:p>
      <w:pPr>
        <w:pStyle w:val="yFootnotesection"/>
      </w:pPr>
      <w:r>
        <w:tab/>
        <w:t>[Clause 5 inserted: No. 39 of 2010 s. 66.]</w:t>
      </w:r>
    </w:p>
    <w:p>
      <w:pPr>
        <w:pStyle w:val="yHeading5"/>
        <w:keepLines w:val="0"/>
      </w:pPr>
      <w:bookmarkStart w:id="418" w:name="_Toc20390210"/>
      <w:r>
        <w:rPr>
          <w:rStyle w:val="CharSClsNo"/>
        </w:rPr>
        <w:t>6</w:t>
      </w:r>
      <w:r>
        <w:t>.</w:t>
      </w:r>
      <w:r>
        <w:rPr>
          <w:b w:val="0"/>
        </w:rPr>
        <w:tab/>
      </w:r>
      <w:r>
        <w:t>Special offices</w:t>
      </w:r>
      <w:bookmarkEnd w:id="418"/>
    </w:p>
    <w:p>
      <w:pPr>
        <w:pStyle w:val="ySubsection"/>
      </w:pPr>
      <w:r>
        <w:tab/>
      </w:r>
      <w:r>
        <w:tab/>
        <w:t>A special office created under section 36 as in force before the commencement day for the purposes of section 75(1) as in force before that day and in existence immediately before that day continues in existence after that day as if it were created by the chief executive officer of the department assisting in the administration of Part 4.</w:t>
      </w:r>
    </w:p>
    <w:p>
      <w:pPr>
        <w:pStyle w:val="yFootnotesection"/>
      </w:pPr>
      <w:r>
        <w:tab/>
        <w:t>[Clause 6 inserted: No. 39 of 2010 s. 66.]</w:t>
      </w:r>
    </w:p>
    <w:p>
      <w:pPr>
        <w:pStyle w:val="yHeading5"/>
      </w:pPr>
      <w:bookmarkStart w:id="419" w:name="_Toc20390211"/>
      <w:r>
        <w:rPr>
          <w:rStyle w:val="CharSClsNo"/>
        </w:rPr>
        <w:t>7</w:t>
      </w:r>
      <w:r>
        <w:t>.</w:t>
      </w:r>
      <w:r>
        <w:rPr>
          <w:b w:val="0"/>
        </w:rPr>
        <w:tab/>
      </w:r>
      <w:r>
        <w:t>Provisions affecting employment of CEOs</w:t>
      </w:r>
      <w:bookmarkEnd w:id="419"/>
    </w:p>
    <w:p>
      <w:pPr>
        <w:pStyle w:val="ySubsection"/>
      </w:pPr>
      <w:r>
        <w:tab/>
        <w:t>(1)</w:t>
      </w:r>
      <w:r>
        <w:tab/>
        <w:t xml:space="preserve">If — </w:t>
      </w:r>
    </w:p>
    <w:p>
      <w:pPr>
        <w:pStyle w:val="yIndenta"/>
      </w:pPr>
      <w:r>
        <w:tab/>
        <w:t>(a)</w:t>
      </w:r>
      <w:r>
        <w:tab/>
        <w:t>before the commencement day the Minister requested the former Commissioner to act under section 45 as in force before the commencement day to fill a vacancy or impending vacancy in the office of a chief executive officer; and</w:t>
      </w:r>
    </w:p>
    <w:p>
      <w:pPr>
        <w:pStyle w:val="yIndenta"/>
      </w:pPr>
      <w:r>
        <w:tab/>
        <w:t>(b)</w:t>
      </w:r>
      <w:r>
        <w:tab/>
        <w:t>the vacancy or impending vacancy is not filled before the commencement day,</w:t>
      </w:r>
    </w:p>
    <w:p>
      <w:pPr>
        <w:pStyle w:val="ySubsection"/>
      </w:pPr>
      <w:r>
        <w:tab/>
      </w:r>
      <w:r>
        <w:tab/>
        <w:t>any actions taken by the former Commissioner under that section are to be taken to have been taken by the Commissioner, and the Commissioner may continue to act under section 45 of the amended Act to fill the vacancy.</w:t>
      </w:r>
    </w:p>
    <w:p>
      <w:pPr>
        <w:pStyle w:val="ySubsection"/>
      </w:pPr>
      <w:r>
        <w:tab/>
        <w:t>(2)</w:t>
      </w:r>
      <w:r>
        <w:tab/>
        <w:t xml:space="preserve">If — </w:t>
      </w:r>
    </w:p>
    <w:p>
      <w:pPr>
        <w:pStyle w:val="yIndenta"/>
      </w:pPr>
      <w:r>
        <w:tab/>
        <w:t>(a)</w:t>
      </w:r>
      <w:r>
        <w:tab/>
        <w:t>before the commencement day the Minister acted on a matter under section 48 for the purposes of section 46(1) or 49 (as those sections were in force immediately before the commencement day); and</w:t>
      </w:r>
    </w:p>
    <w:p>
      <w:pPr>
        <w:pStyle w:val="yIndenta"/>
      </w:pPr>
      <w:r>
        <w:tab/>
        <w:t>(b)</w:t>
      </w:r>
      <w:r>
        <w:tab/>
        <w:t>on the commencement day further action remains to be taken under section 46 or 49 in relation to that matter,</w:t>
      </w:r>
    </w:p>
    <w:p>
      <w:pPr>
        <w:pStyle w:val="ySubsection"/>
      </w:pPr>
      <w:r>
        <w:tab/>
      </w:r>
      <w:r>
        <w:tab/>
        <w:t>the Commissioner may continue to act under section 46 or 49 of the amended Act as the case requires.</w:t>
      </w:r>
    </w:p>
    <w:p>
      <w:pPr>
        <w:pStyle w:val="ySubsection"/>
      </w:pPr>
      <w:r>
        <w:tab/>
        <w:t>(3)</w:t>
      </w:r>
      <w:r>
        <w:tab/>
        <w:t>Any performance agreement of effect immediately before the commencement day continues to be of effect under section 47 of the amended Act.</w:t>
      </w:r>
    </w:p>
    <w:p>
      <w:pPr>
        <w:pStyle w:val="ySubsection"/>
        <w:keepNext/>
      </w:pPr>
      <w:r>
        <w:tab/>
        <w:t>(4)</w:t>
      </w:r>
      <w:r>
        <w:tab/>
        <w:t xml:space="preserve">If — </w:t>
      </w:r>
    </w:p>
    <w:p>
      <w:pPr>
        <w:pStyle w:val="yIndenta"/>
      </w:pPr>
      <w:r>
        <w:tab/>
        <w:t>(a)</w:t>
      </w:r>
      <w:r>
        <w:tab/>
        <w:t>before the commencement day the Minister took action under section 50(2) for the purpose of making a recommendation under section 50(1) (as those provisions were in force before the commencement day); and</w:t>
      </w:r>
    </w:p>
    <w:p>
      <w:pPr>
        <w:pStyle w:val="yIndenta"/>
      </w:pPr>
      <w:r>
        <w:tab/>
        <w:t>(b)</w:t>
      </w:r>
      <w:r>
        <w:tab/>
        <w:t>the recommendation has not been made before the commencement day,</w:t>
      </w:r>
    </w:p>
    <w:p>
      <w:pPr>
        <w:pStyle w:val="ySubsection"/>
        <w:spacing w:before="120"/>
      </w:pPr>
      <w:r>
        <w:tab/>
      </w:r>
      <w:r>
        <w:tab/>
        <w:t>the action referred to in paragraph (a) is to be taken to have been taken by the Commissioner, and the Commissioner may continue to act under section 50 of the amended Act in relation to the recommendation.</w:t>
      </w:r>
    </w:p>
    <w:p>
      <w:pPr>
        <w:pStyle w:val="ySubsection"/>
        <w:spacing w:before="120"/>
      </w:pPr>
      <w:r>
        <w:tab/>
        <w:t>(5)</w:t>
      </w:r>
      <w:r>
        <w:tab/>
        <w:t xml:space="preserve">If — </w:t>
      </w:r>
    </w:p>
    <w:p>
      <w:pPr>
        <w:pStyle w:val="yIndenta"/>
      </w:pPr>
      <w:r>
        <w:tab/>
        <w:t>(a)</w:t>
      </w:r>
      <w:r>
        <w:tab/>
        <w:t>before the commencement day the Minister took action under section 51(3) for the purpose of giving a direction under section 51(1) (as those provisions were in force before the commencement day); and</w:t>
      </w:r>
    </w:p>
    <w:p>
      <w:pPr>
        <w:pStyle w:val="yIndenta"/>
      </w:pPr>
      <w:r>
        <w:tab/>
        <w:t>(b)</w:t>
      </w:r>
      <w:r>
        <w:tab/>
        <w:t>the Minister has not given the direction before the commencement day,</w:t>
      </w:r>
    </w:p>
    <w:p>
      <w:pPr>
        <w:pStyle w:val="ySubsection"/>
      </w:pPr>
      <w:r>
        <w:tab/>
      </w:r>
      <w:r>
        <w:tab/>
        <w:t>the Commissioner may give the direction under section 51(1) of the amended Act as if the action referred to in paragraph (a) had been taken by the Commissioner.</w:t>
      </w:r>
    </w:p>
    <w:p>
      <w:pPr>
        <w:pStyle w:val="ySubsection"/>
      </w:pPr>
      <w:r>
        <w:tab/>
        <w:t>(6)</w:t>
      </w:r>
      <w:r>
        <w:tab/>
        <w:t>A direction given under section 51(1) as in force before the commencement day and of effect before the commencement day is to be taken to have been given under section 51 of the amended Act by the Commissioner.</w:t>
      </w:r>
    </w:p>
    <w:p>
      <w:pPr>
        <w:pStyle w:val="ySubsection"/>
        <w:spacing w:before="120"/>
      </w:pPr>
      <w:r>
        <w:tab/>
        <w:t>(7)</w:t>
      </w:r>
      <w:r>
        <w:tab/>
        <w:t>On the commencement day the Commissioner is substituted for the Minister as a party to the contract of employment of each chief executive officer.</w:t>
      </w:r>
    </w:p>
    <w:p>
      <w:pPr>
        <w:pStyle w:val="yFootnotesection"/>
      </w:pPr>
      <w:r>
        <w:tab/>
        <w:t>[Clause 7 inserted: No. 39 of 2010 s. 66.]</w:t>
      </w:r>
    </w:p>
    <w:p>
      <w:pPr>
        <w:pStyle w:val="yHeading5"/>
        <w:spacing w:before="180"/>
      </w:pPr>
      <w:bookmarkStart w:id="420" w:name="_Toc20390212"/>
      <w:r>
        <w:rPr>
          <w:rStyle w:val="CharSClsNo"/>
        </w:rPr>
        <w:t>8</w:t>
      </w:r>
      <w:r>
        <w:t>.</w:t>
      </w:r>
      <w:r>
        <w:rPr>
          <w:b w:val="0"/>
        </w:rPr>
        <w:tab/>
      </w:r>
      <w:r>
        <w:t>Continuing effect of things done under s. 97</w:t>
      </w:r>
      <w:bookmarkEnd w:id="420"/>
    </w:p>
    <w:p>
      <w:pPr>
        <w:pStyle w:val="ySubsection"/>
        <w:spacing w:before="120"/>
      </w:pPr>
      <w:r>
        <w:tab/>
      </w:r>
      <w:r>
        <w:tab/>
        <w:t>A thing done or omitted to be done by the former Commissioner under section 97 as in force before the commencement day has the same effect after that day as if it had been done or omitted under section 97 of the amended Act.</w:t>
      </w:r>
    </w:p>
    <w:p>
      <w:pPr>
        <w:pStyle w:val="yFootnotesection"/>
        <w:spacing w:before="80"/>
      </w:pPr>
      <w:r>
        <w:tab/>
        <w:t>[Clause 8 inserted: No. 39 of 2010 s. 66.]</w:t>
      </w:r>
    </w:p>
    <w:p>
      <w:pPr>
        <w:pStyle w:val="yHeading5"/>
      </w:pPr>
      <w:bookmarkStart w:id="421" w:name="_Toc20390213"/>
      <w:r>
        <w:rPr>
          <w:rStyle w:val="CharSClsNo"/>
        </w:rPr>
        <w:t>9</w:t>
      </w:r>
      <w:r>
        <w:t>.</w:t>
      </w:r>
      <w:r>
        <w:rPr>
          <w:b w:val="0"/>
        </w:rPr>
        <w:tab/>
      </w:r>
      <w:r>
        <w:t>Directions under s. 107</w:t>
      </w:r>
      <w:bookmarkEnd w:id="421"/>
    </w:p>
    <w:p>
      <w:pPr>
        <w:pStyle w:val="ySubsection"/>
      </w:pPr>
      <w:r>
        <w:tab/>
      </w:r>
      <w:r>
        <w:tab/>
        <w:t>A direction given under section 107(1) as in force before the commencement day and of effect on that day is to be taken to be a direction of the Commissioner.</w:t>
      </w:r>
    </w:p>
    <w:p>
      <w:pPr>
        <w:pStyle w:val="yFootnotesection"/>
      </w:pPr>
      <w:r>
        <w:tab/>
        <w:t>[Clause 9 inserted: No. 39 of 2010 s. 66.]</w:t>
      </w:r>
    </w:p>
    <w:p>
      <w:pPr>
        <w:pStyle w:val="yHeading5"/>
      </w:pPr>
      <w:bookmarkStart w:id="422" w:name="_Toc20390214"/>
      <w:r>
        <w:rPr>
          <w:rStyle w:val="CharSClsNo"/>
        </w:rPr>
        <w:t>10</w:t>
      </w:r>
      <w:r>
        <w:t>.</w:t>
      </w:r>
      <w:r>
        <w:tab/>
        <w:t>General savings as to acts of Commissioner</w:t>
      </w:r>
      <w:bookmarkEnd w:id="422"/>
    </w:p>
    <w:p>
      <w:pPr>
        <w:pStyle w:val="ySubsection"/>
      </w:pPr>
      <w:r>
        <w:tab/>
        <w:t>(1)</w:t>
      </w:r>
      <w:r>
        <w:tab/>
        <w:t>A thing done or omitted to be done by, to or in relation to the former Commissioner before the commencement day, whether under this Act or any other written law, has the same effect after the commencement day, to the extent that it has any force or significance after that day, as if it had been done or omitted by, to or in relation to the Commissioner.</w:t>
      </w:r>
    </w:p>
    <w:p>
      <w:pPr>
        <w:pStyle w:val="ySubsection"/>
      </w:pPr>
      <w:r>
        <w:tab/>
        <w:t>(2)</w:t>
      </w:r>
      <w:r>
        <w:tab/>
        <w:t>Subclause (1) does not apply if a contrary intention appears or the context otherwise requires.</w:t>
      </w:r>
    </w:p>
    <w:p>
      <w:pPr>
        <w:pStyle w:val="yFootnotesection"/>
      </w:pPr>
      <w:r>
        <w:tab/>
        <w:t>[Clause 10 inserted: No. 39 of 2010 s. 66.]</w:t>
      </w:r>
    </w:p>
    <w:p>
      <w:pPr>
        <w:pStyle w:val="yHeading5"/>
      </w:pPr>
      <w:bookmarkStart w:id="423" w:name="_Toc20390215"/>
      <w:r>
        <w:rPr>
          <w:rStyle w:val="CharSClsNo"/>
        </w:rPr>
        <w:t>11</w:t>
      </w:r>
      <w:r>
        <w:t>.</w:t>
      </w:r>
      <w:r>
        <w:rPr>
          <w:b w:val="0"/>
        </w:rPr>
        <w:tab/>
      </w:r>
      <w:r>
        <w:t>Power to amend subsidiary legislation</w:t>
      </w:r>
      <w:bookmarkEnd w:id="423"/>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2.</w:t>
      </w:r>
    </w:p>
    <w:p>
      <w:pPr>
        <w:pStyle w:val="ySubsection"/>
      </w:pPr>
      <w:r>
        <w:tab/>
        <w:t>(3)</w:t>
      </w:r>
      <w:r>
        <w:tab/>
        <w:t>Nothing in this clause prevents subsidiary legislation from being amended in accordance with the Act under which it was made.</w:t>
      </w:r>
    </w:p>
    <w:p>
      <w:pPr>
        <w:pStyle w:val="yFootnotesection"/>
      </w:pPr>
      <w:r>
        <w:tab/>
        <w:t>[Clause 11 inserted: No. 39 of 2010 s. 66.]</w:t>
      </w:r>
    </w:p>
    <w:p>
      <w:pPr>
        <w:pStyle w:val="yHeading5"/>
      </w:pPr>
      <w:bookmarkStart w:id="424" w:name="_Toc20390216"/>
      <w:r>
        <w:rPr>
          <w:rStyle w:val="CharSClsNo"/>
        </w:rPr>
        <w:t>12</w:t>
      </w:r>
      <w:r>
        <w:t>.</w:t>
      </w:r>
      <w:r>
        <w:rPr>
          <w:b w:val="0"/>
        </w:rPr>
        <w:tab/>
      </w:r>
      <w:r>
        <w:t>Transitional regulations</w:t>
      </w:r>
      <w:bookmarkEnd w:id="424"/>
    </w:p>
    <w:p>
      <w:pPr>
        <w:pStyle w:val="ySubsection"/>
      </w:pPr>
      <w:r>
        <w:tab/>
        <w:t>(1)</w:t>
      </w:r>
      <w:r>
        <w:tab/>
        <w:t>If there is no sufficient provision in this Schedule for dealing with a transitional matter, regulations may prescribe all matters that are required or necessary or convenient to be prescribed for dealing with the matter.</w:t>
      </w:r>
    </w:p>
    <w:p>
      <w:pPr>
        <w:pStyle w:val="ySubsection"/>
        <w:keepNext/>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2.</w:t>
      </w:r>
    </w:p>
    <w:p>
      <w:pPr>
        <w:pStyle w:val="ySubsection"/>
      </w:pPr>
      <w:r>
        <w:tab/>
        <w:t>(3)</w:t>
      </w:r>
      <w:r>
        <w:tab/>
        <w:t xml:space="preserve">Regulations made under subclause (1) may provide that specified provisions of this Act as in force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12 inserted: No. 39 of 2010 s. 66.]</w:t>
      </w:r>
    </w:p>
    <w:p>
      <w:pPr>
        <w:pStyle w:val="yHeading5"/>
      </w:pPr>
      <w:bookmarkStart w:id="425" w:name="_Toc20390217"/>
      <w:r>
        <w:rPr>
          <w:rStyle w:val="CharSClsNo"/>
        </w:rPr>
        <w:t>13</w:t>
      </w:r>
      <w:r>
        <w:t>.</w:t>
      </w:r>
      <w:r>
        <w:rPr>
          <w:b w:val="0"/>
        </w:rPr>
        <w:tab/>
      </w:r>
      <w:r>
        <w:rPr>
          <w:i/>
          <w:iCs/>
        </w:rPr>
        <w:t>Interpretation Act 1984</w:t>
      </w:r>
      <w:r>
        <w:t xml:space="preserve"> not affected</w:t>
      </w:r>
      <w:bookmarkEnd w:id="425"/>
    </w:p>
    <w:p>
      <w:pPr>
        <w:pStyle w:val="ySubsection"/>
      </w:pPr>
      <w:r>
        <w:tab/>
      </w:r>
      <w:r>
        <w:tab/>
        <w:t xml:space="preserve">The provisions of this Schedule are additional to and do not prejudice or affect the application of the </w:t>
      </w:r>
      <w:r>
        <w:rPr>
          <w:i/>
          <w:iCs/>
        </w:rPr>
        <w:t xml:space="preserve">Interpretation Act 1984 </w:t>
      </w:r>
      <w:r>
        <w:t>Part V.</w:t>
      </w:r>
    </w:p>
    <w:p>
      <w:pPr>
        <w:pStyle w:val="yFootnotesection"/>
      </w:pPr>
      <w:r>
        <w:tab/>
        <w:t>[Clause 13 inserted: No. 39 of 2010 s. 66.]</w:t>
      </w:r>
    </w:p>
    <w:p>
      <w:pPr>
        <w:pStyle w:val="yScheduleHeading"/>
      </w:pPr>
      <w:bookmarkStart w:id="426" w:name="_Toc500423059"/>
      <w:bookmarkStart w:id="427" w:name="_Toc503259443"/>
      <w:bookmarkStart w:id="428" w:name="_Toc503265379"/>
      <w:bookmarkStart w:id="429" w:name="_Toc503880846"/>
      <w:bookmarkStart w:id="430" w:name="_Toc515436372"/>
      <w:bookmarkStart w:id="431" w:name="_Toc515437201"/>
      <w:bookmarkStart w:id="432" w:name="_Toc20390218"/>
      <w:r>
        <w:rPr>
          <w:rStyle w:val="CharSchNo"/>
        </w:rPr>
        <w:t>Schedule 8</w:t>
      </w:r>
      <w:r>
        <w:t> — </w:t>
      </w:r>
      <w:r>
        <w:rPr>
          <w:rStyle w:val="CharSchText"/>
          <w:i/>
        </w:rPr>
        <w:t>Public Sector Reform Act 2010</w:t>
      </w:r>
      <w:r>
        <w:rPr>
          <w:rStyle w:val="CharSchText"/>
        </w:rPr>
        <w:t xml:space="preserve"> </w:t>
      </w:r>
      <w:r>
        <w:rPr>
          <w:rStyle w:val="CharSchText"/>
          <w:iCs/>
        </w:rPr>
        <w:t>Part 3 amendments: transitional provisions</w:t>
      </w:r>
      <w:bookmarkEnd w:id="426"/>
      <w:bookmarkEnd w:id="427"/>
      <w:bookmarkEnd w:id="428"/>
      <w:bookmarkEnd w:id="429"/>
      <w:bookmarkEnd w:id="430"/>
      <w:bookmarkEnd w:id="431"/>
      <w:bookmarkEnd w:id="432"/>
    </w:p>
    <w:p>
      <w:pPr>
        <w:pStyle w:val="yShoulderClause"/>
      </w:pPr>
      <w:r>
        <w:t>[s. 114]</w:t>
      </w:r>
    </w:p>
    <w:p>
      <w:pPr>
        <w:pStyle w:val="Footnoteheading"/>
      </w:pPr>
      <w:r>
        <w:tab/>
        <w:t xml:space="preserve">[Heading inserted: No. 39 of 2010 s. 108.] </w:t>
      </w:r>
    </w:p>
    <w:p>
      <w:pPr>
        <w:pStyle w:val="yHeading5"/>
      </w:pPr>
      <w:bookmarkStart w:id="433" w:name="_Toc20390219"/>
      <w:r>
        <w:rPr>
          <w:rStyle w:val="CharSClsNo"/>
        </w:rPr>
        <w:t>1</w:t>
      </w:r>
      <w:r>
        <w:t>.</w:t>
      </w:r>
      <w:r>
        <w:rPr>
          <w:b w:val="0"/>
        </w:rPr>
        <w:tab/>
      </w:r>
      <w:r>
        <w:t>Term used: commencement day</w:t>
      </w:r>
      <w:bookmarkEnd w:id="433"/>
    </w:p>
    <w:p>
      <w:pPr>
        <w:pStyle w:val="ySubsection"/>
      </w:pPr>
      <w:r>
        <w:tab/>
      </w:r>
      <w:r>
        <w:tab/>
        <w:t xml:space="preserve">In this Schedule — </w:t>
      </w:r>
    </w:p>
    <w:p>
      <w:pPr>
        <w:pStyle w:val="yDefstart"/>
      </w:pPr>
      <w:r>
        <w:tab/>
      </w:r>
      <w:r>
        <w:rPr>
          <w:rStyle w:val="CharDefText"/>
        </w:rPr>
        <w:t>commencement day</w:t>
      </w:r>
      <w:r>
        <w:t xml:space="preserve"> means the day on which the </w:t>
      </w:r>
      <w:r>
        <w:rPr>
          <w:i/>
          <w:iCs/>
        </w:rPr>
        <w:t>Public Sector Reform Act 2010</w:t>
      </w:r>
      <w:r>
        <w:t xml:space="preserve"> section 97 comes into operation.</w:t>
      </w:r>
    </w:p>
    <w:p>
      <w:pPr>
        <w:pStyle w:val="yFootnotesection"/>
      </w:pPr>
      <w:r>
        <w:tab/>
        <w:t>[Clause 1 inserted: No. 39 of 2010 s. 108.]</w:t>
      </w:r>
    </w:p>
    <w:p>
      <w:pPr>
        <w:pStyle w:val="yHeading5"/>
      </w:pPr>
      <w:bookmarkStart w:id="434" w:name="_Toc20390220"/>
      <w:r>
        <w:rPr>
          <w:rStyle w:val="CharSClsNo"/>
        </w:rPr>
        <w:t>2</w:t>
      </w:r>
      <w:r>
        <w:t>.</w:t>
      </w:r>
      <w:r>
        <w:rPr>
          <w:b w:val="0"/>
        </w:rPr>
        <w:tab/>
      </w:r>
      <w:r>
        <w:t>Disciplinary proceedings under Part 5 Div. 3</w:t>
      </w:r>
      <w:bookmarkEnd w:id="434"/>
    </w:p>
    <w:p>
      <w:pPr>
        <w:pStyle w:val="ySubsection"/>
      </w:pPr>
      <w:r>
        <w:tab/>
        <w:t>(1)</w:t>
      </w:r>
      <w:r>
        <w:tab/>
        <w:t xml:space="preserve">If a proceeding (including an investigation, disciplinary inquiry or special disciplinary inquiry) commenced under Part 5 Division 3 before the commencement day has not been finalised under that Division before that day, Part 5 Division 3 as in force immediately before that day continues to apply to and in relation to that proceeding as if the </w:t>
      </w:r>
      <w:r>
        <w:rPr>
          <w:i/>
          <w:iCs/>
        </w:rPr>
        <w:t>Public Sector Reform Act 2010</w:t>
      </w:r>
      <w:r>
        <w:t xml:space="preserve"> Part 3 had not been enacted until the proceeding is finalised. </w:t>
      </w:r>
    </w:p>
    <w:p>
      <w:pPr>
        <w:pStyle w:val="ySubsection"/>
      </w:pPr>
      <w:r>
        <w:tab/>
        <w:t>(2)</w:t>
      </w:r>
      <w:r>
        <w:tab/>
        <w:t>Section 78 as in force immediately before the commencement day continues to apply to a decision made in a proceeding referred to in subclause (1).</w:t>
      </w:r>
    </w:p>
    <w:p>
      <w:pPr>
        <w:pStyle w:val="ySubsection"/>
      </w:pPr>
      <w:r>
        <w:tab/>
        <w:t>(3)</w:t>
      </w:r>
      <w:r>
        <w:tab/>
        <w:t xml:space="preserve">Except as provided in subclauses (1) and (2), Part 5 as amended by the </w:t>
      </w:r>
      <w:r>
        <w:rPr>
          <w:i/>
          <w:iCs/>
        </w:rPr>
        <w:t>Public Sector Reform Act 2010</w:t>
      </w:r>
      <w:r>
        <w:t xml:space="preserve"> Part 3 applies in relation to any act, omission or conduct that occurred before or after the commencement day.</w:t>
      </w:r>
    </w:p>
    <w:p>
      <w:pPr>
        <w:pStyle w:val="yFootnotesection"/>
      </w:pPr>
      <w:r>
        <w:tab/>
        <w:t>[Clause 2 inserted: No. 39 of 2010 s. 108.]</w:t>
      </w:r>
    </w:p>
    <w:p>
      <w:pPr>
        <w:pStyle w:val="yHeading5"/>
      </w:pPr>
      <w:bookmarkStart w:id="435" w:name="_Toc20390221"/>
      <w:r>
        <w:rPr>
          <w:rStyle w:val="CharSClsNo"/>
        </w:rPr>
        <w:t>3</w:t>
      </w:r>
      <w:r>
        <w:t>.</w:t>
      </w:r>
      <w:r>
        <w:rPr>
          <w:b w:val="0"/>
        </w:rPr>
        <w:tab/>
      </w:r>
      <w:r>
        <w:t>Suspensions under s. 82</w:t>
      </w:r>
      <w:bookmarkEnd w:id="435"/>
    </w:p>
    <w:p>
      <w:pPr>
        <w:pStyle w:val="ySubsection"/>
      </w:pPr>
      <w:r>
        <w:tab/>
        <w:t>(1)</w:t>
      </w:r>
      <w:r>
        <w:tab/>
        <w:t xml:space="preserve">A suspension that is of effect under section 82 immediately before the commencement day continues to be of effect for the remainder of the period for which it would, but for the </w:t>
      </w:r>
      <w:r>
        <w:rPr>
          <w:i/>
          <w:iCs/>
        </w:rPr>
        <w:t xml:space="preserve">Public Sector Reform Act 2010 </w:t>
      </w:r>
      <w:r>
        <w:t>Part 3, have been of effect.</w:t>
      </w:r>
    </w:p>
    <w:p>
      <w:pPr>
        <w:pStyle w:val="ySubsection"/>
      </w:pPr>
      <w:r>
        <w:tab/>
        <w:t>(2)</w:t>
      </w:r>
      <w:r>
        <w:tab/>
        <w:t>Section 82 as in force immediately before the commencement day continues to apply to a suspension referred to in subclause (1).</w:t>
      </w:r>
    </w:p>
    <w:p>
      <w:pPr>
        <w:pStyle w:val="yFootnotesection"/>
      </w:pPr>
      <w:r>
        <w:tab/>
        <w:t>[Clause 3 inserted: No. 39 of 2010 s. 108.]</w:t>
      </w:r>
    </w:p>
    <w:p>
      <w:pPr>
        <w:pStyle w:val="yHeading5"/>
      </w:pPr>
      <w:bookmarkStart w:id="436" w:name="_Toc20390222"/>
      <w:r>
        <w:rPr>
          <w:rStyle w:val="CharSClsNo"/>
        </w:rPr>
        <w:t>4</w:t>
      </w:r>
      <w:r>
        <w:t>.</w:t>
      </w:r>
      <w:r>
        <w:rPr>
          <w:b w:val="0"/>
        </w:rPr>
        <w:tab/>
      </w:r>
      <w:r>
        <w:t>Appeals under s. 78</w:t>
      </w:r>
      <w:bookmarkEnd w:id="436"/>
    </w:p>
    <w:p>
      <w:pPr>
        <w:pStyle w:val="ySubsection"/>
      </w:pPr>
      <w:r>
        <w:tab/>
      </w:r>
      <w:r>
        <w:tab/>
        <w:t>An appeal pending under section 78 immediately before the commencement day is to be dealt with under that section as in force before the commencement day.</w:t>
      </w:r>
    </w:p>
    <w:p>
      <w:pPr>
        <w:pStyle w:val="yFootnotesection"/>
      </w:pPr>
      <w:r>
        <w:tab/>
        <w:t>[Clause 4 inserted: No. 39 of 2010 s. 108.]</w:t>
      </w:r>
    </w:p>
    <w:p>
      <w:pPr>
        <w:pStyle w:val="yHeading5"/>
      </w:pPr>
      <w:bookmarkStart w:id="437" w:name="_Toc20390223"/>
      <w:r>
        <w:rPr>
          <w:rStyle w:val="CharSClsNo"/>
        </w:rPr>
        <w:t>5</w:t>
      </w:r>
      <w:r>
        <w:t>.</w:t>
      </w:r>
      <w:r>
        <w:rPr>
          <w:b w:val="0"/>
        </w:rPr>
        <w:tab/>
      </w:r>
      <w:r>
        <w:t>Power to amend subsidiary legislation</w:t>
      </w:r>
      <w:bookmarkEnd w:id="437"/>
    </w:p>
    <w:p>
      <w:pPr>
        <w:pStyle w:val="ySubsection"/>
      </w:pPr>
      <w:r>
        <w:tab/>
        <w:t>(1)</w:t>
      </w:r>
      <w:r>
        <w:tab/>
        <w:t>The Governor, on the recommendation of the Minister, may make regulations amending subsidiary legislation made under any Act.</w:t>
      </w:r>
    </w:p>
    <w:p>
      <w:pPr>
        <w:pStyle w:val="ySubsection"/>
      </w:pPr>
      <w:r>
        <w:tab/>
        <w:t>(2)</w:t>
      </w:r>
      <w:r>
        <w:tab/>
        <w:t xml:space="preserve">The Minister may make a recommendation under subclause (1) only if the Minister considers that each amendment proposed to be made by the regulations is necessary or desirable as a consequence of the enactment of the </w:t>
      </w:r>
      <w:r>
        <w:rPr>
          <w:i/>
          <w:iCs/>
        </w:rPr>
        <w:t xml:space="preserve">Public Sector Reform Act 2010 </w:t>
      </w:r>
      <w:r>
        <w:t>Part 3.</w:t>
      </w:r>
    </w:p>
    <w:p>
      <w:pPr>
        <w:pStyle w:val="ySubsection"/>
      </w:pPr>
      <w:r>
        <w:tab/>
        <w:t>(3)</w:t>
      </w:r>
      <w:r>
        <w:tab/>
        <w:t>Nothing in this clause prevents subsidiary legislation from being amended in accordance with the Act under which it was made.</w:t>
      </w:r>
    </w:p>
    <w:p>
      <w:pPr>
        <w:pStyle w:val="yFootnotesection"/>
      </w:pPr>
      <w:r>
        <w:tab/>
        <w:t>[Clause 5 inserted: No. 39 of 2010 s. 108.]</w:t>
      </w:r>
    </w:p>
    <w:p>
      <w:pPr>
        <w:pStyle w:val="yHeading5"/>
      </w:pPr>
      <w:bookmarkStart w:id="438" w:name="_Toc20390224"/>
      <w:r>
        <w:rPr>
          <w:rStyle w:val="CharSClsNo"/>
        </w:rPr>
        <w:t>6</w:t>
      </w:r>
      <w:r>
        <w:t>.</w:t>
      </w:r>
      <w:r>
        <w:rPr>
          <w:b w:val="0"/>
        </w:rPr>
        <w:tab/>
      </w:r>
      <w:r>
        <w:t>Transitional regulations</w:t>
      </w:r>
      <w:bookmarkEnd w:id="438"/>
    </w:p>
    <w:p>
      <w:pPr>
        <w:pStyle w:val="ySubsection"/>
      </w:pPr>
      <w:r>
        <w:tab/>
        <w:t>(1)</w:t>
      </w:r>
      <w:r>
        <w:tab/>
        <w:t>If there is no sufficient provision in this Schedule for dealing with a transitional matter, the regulations may prescribe all matters that are required or necessary or convenient to be prescribed for dealing with the matter.</w:t>
      </w:r>
    </w:p>
    <w:p>
      <w:pPr>
        <w:pStyle w:val="ySubsection"/>
      </w:pPr>
      <w:r>
        <w:tab/>
        <w:t>(2)</w:t>
      </w:r>
      <w:r>
        <w:tab/>
        <w:t xml:space="preserve">In subclause (1) — </w:t>
      </w:r>
    </w:p>
    <w:p>
      <w:pPr>
        <w:pStyle w:val="yDefstart"/>
      </w:pPr>
      <w:r>
        <w:tab/>
      </w:r>
      <w:r>
        <w:rPr>
          <w:rStyle w:val="CharDefText"/>
        </w:rPr>
        <w:t>transitional matter</w:t>
      </w:r>
      <w:r>
        <w:t xml:space="preserve"> means a matter that needs to be dealt with for the purpose of effecting the transition from an Act (including this Act) as enacted immediately before the commencement day to the Act as amended by the </w:t>
      </w:r>
      <w:r>
        <w:rPr>
          <w:i/>
          <w:iCs/>
        </w:rPr>
        <w:t>Public Sector Reform Act 2010</w:t>
      </w:r>
      <w:r>
        <w:t xml:space="preserve"> Part 3.</w:t>
      </w:r>
    </w:p>
    <w:p>
      <w:pPr>
        <w:pStyle w:val="ySubsection"/>
      </w:pPr>
      <w:r>
        <w:tab/>
        <w:t>(3)</w:t>
      </w:r>
      <w:r>
        <w:tab/>
        <w:t xml:space="preserve">Regulations made under subclause (1) may provide that specified provisions of this Act as in force on or after the commencement of the </w:t>
      </w:r>
      <w:r>
        <w:rPr>
          <w:i/>
          <w:iCs/>
        </w:rPr>
        <w:t>Public Sector Reform Act 2010</w:t>
      </w:r>
      <w:r>
        <w:t xml:space="preserve">, or of subsidiary legislation made under this Act, or of an Act amended by the </w:t>
      </w:r>
      <w:r>
        <w:rPr>
          <w:i/>
          <w:iCs/>
        </w:rPr>
        <w:t>Public Sector Reform Act 2010</w:t>
      </w:r>
      <w:r>
        <w:t xml:space="preserve"> — </w:t>
      </w:r>
    </w:p>
    <w:p>
      <w:pPr>
        <w:pStyle w:val="yIndenta"/>
      </w:pPr>
      <w:r>
        <w:tab/>
        <w:t>(a)</w:t>
      </w:r>
      <w:r>
        <w:tab/>
        <w:t>do not apply; or</w:t>
      </w:r>
    </w:p>
    <w:p>
      <w:pPr>
        <w:pStyle w:val="yIndenta"/>
      </w:pPr>
      <w:r>
        <w:tab/>
        <w:t>(b)</w:t>
      </w:r>
      <w:r>
        <w:tab/>
        <w:t>apply with specified modifications,</w:t>
      </w:r>
    </w:p>
    <w:p>
      <w:pPr>
        <w:pStyle w:val="ySubsection"/>
      </w:pPr>
      <w:r>
        <w:tab/>
      </w:r>
      <w:r>
        <w:tab/>
        <w:t>to or in relation to any matter.</w:t>
      </w:r>
    </w:p>
    <w:p>
      <w:pPr>
        <w:pStyle w:val="ySubsection"/>
      </w:pPr>
      <w:r>
        <w:tab/>
        <w:t>(4)</w:t>
      </w:r>
      <w:r>
        <w:tab/>
        <w:t xml:space="preserve">If regulations under subclause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ySubsection"/>
      </w:pPr>
      <w:r>
        <w:tab/>
        <w:t>(5)</w:t>
      </w:r>
      <w:r>
        <w:tab/>
        <w:t xml:space="preserve">In subclauses (3) and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to — </w:t>
      </w:r>
    </w:p>
    <w:p>
      <w:pPr>
        <w:pStyle w:val="yIndenta"/>
      </w:pPr>
      <w:r>
        <w:tab/>
        <w:t>(a)</w:t>
      </w:r>
      <w:r>
        <w:tab/>
        <w:t>affect in a manner prejudicial to any person (other than the State or an authority of the State), the rights of that person existing before the day of publication of those regulations; or</w:t>
      </w:r>
    </w:p>
    <w:p>
      <w:pPr>
        <w:pStyle w:val="yIndenta"/>
      </w:pPr>
      <w:r>
        <w:tab/>
        <w:t>(b)</w:t>
      </w:r>
      <w:r>
        <w:tab/>
        <w:t>impose liabilities on any person (other than the State or an authority of the State) in respect of anything done or omitted to be done before the day of publication of those regulations.</w:t>
      </w:r>
    </w:p>
    <w:p>
      <w:pPr>
        <w:pStyle w:val="yFootnotesection"/>
      </w:pPr>
      <w:r>
        <w:tab/>
        <w:t>[Clause 6 inserted: No. 39 of 2010 s. 108.]</w:t>
      </w:r>
    </w:p>
    <w:p>
      <w:pPr>
        <w:pStyle w:val="yHeading5"/>
      </w:pPr>
      <w:bookmarkStart w:id="439" w:name="_Toc20390225"/>
      <w:r>
        <w:rPr>
          <w:rStyle w:val="CharSClsNo"/>
        </w:rPr>
        <w:t>7</w:t>
      </w:r>
      <w:r>
        <w:t>.</w:t>
      </w:r>
      <w:r>
        <w:rPr>
          <w:b w:val="0"/>
        </w:rPr>
        <w:tab/>
      </w:r>
      <w:r>
        <w:rPr>
          <w:i/>
          <w:iCs/>
        </w:rPr>
        <w:t>Interpretation Act 1984</w:t>
      </w:r>
      <w:r>
        <w:t xml:space="preserve"> not affected</w:t>
      </w:r>
      <w:bookmarkEnd w:id="439"/>
    </w:p>
    <w:p>
      <w:pPr>
        <w:pStyle w:val="ySubsection"/>
      </w:pPr>
      <w:r>
        <w:tab/>
      </w:r>
      <w:r>
        <w:tab/>
        <w:t xml:space="preserve">Unless the contrary intention appears in this Schedule, the provisions of this Schedule are additional to and do not prejudice or affect the application of the </w:t>
      </w:r>
      <w:r>
        <w:rPr>
          <w:i/>
          <w:iCs/>
        </w:rPr>
        <w:t xml:space="preserve">Interpretation Act 1984 </w:t>
      </w:r>
      <w:r>
        <w:t>Part V.</w:t>
      </w:r>
    </w:p>
    <w:p>
      <w:pPr>
        <w:pStyle w:val="yFootnotesection"/>
      </w:pPr>
      <w:r>
        <w:tab/>
        <w:t>[Clause 7 inserted: No. 39 of 2010 s. 108.]</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440" w:name="_Toc500423067"/>
      <w:bookmarkStart w:id="441" w:name="_Toc503259451"/>
      <w:bookmarkStart w:id="442" w:name="_Toc503265387"/>
      <w:bookmarkStart w:id="443" w:name="_Toc503880854"/>
      <w:bookmarkStart w:id="444" w:name="_Toc515436380"/>
      <w:bookmarkStart w:id="445" w:name="_Toc515437209"/>
      <w:bookmarkStart w:id="446" w:name="_Toc20390226"/>
      <w:r>
        <w:t>Notes</w:t>
      </w:r>
      <w:bookmarkEnd w:id="440"/>
      <w:bookmarkEnd w:id="441"/>
      <w:bookmarkEnd w:id="442"/>
      <w:bookmarkEnd w:id="443"/>
      <w:bookmarkEnd w:id="444"/>
      <w:bookmarkEnd w:id="445"/>
      <w:bookmarkEnd w:id="446"/>
    </w:p>
    <w:p>
      <w:pPr>
        <w:pStyle w:val="nSubsection"/>
      </w:pPr>
      <w:r>
        <w:rPr>
          <w:vertAlign w:val="superscript"/>
        </w:rPr>
        <w:t>1</w:t>
      </w:r>
      <w:r>
        <w:tab/>
        <w:t xml:space="preserve">This is a compilation of the </w:t>
      </w:r>
      <w:r>
        <w:rPr>
          <w:i/>
          <w:noProof/>
        </w:rPr>
        <w:t>Public Sector Management Act 1994</w:t>
      </w:r>
      <w:r>
        <w:t xml:space="preserve"> and includes the amendments made by the other written laws referred to in the following table</w:t>
      </w:r>
      <w:r>
        <w:rPr>
          <w:vertAlign w:val="superscript"/>
        </w:rPr>
        <w:t> 1a, 5, 6</w:t>
      </w:r>
      <w:r>
        <w:t>.  The table also contains information about any reprint.</w:t>
      </w:r>
    </w:p>
    <w:p>
      <w:pPr>
        <w:pStyle w:val="nHeading3"/>
        <w:rPr>
          <w:snapToGrid w:val="0"/>
        </w:rPr>
      </w:pPr>
      <w:bookmarkStart w:id="447" w:name="_Toc20390227"/>
      <w:r>
        <w:rPr>
          <w:snapToGrid w:val="0"/>
        </w:rPr>
        <w:t>Compilation table</w:t>
      </w:r>
      <w:bookmarkEnd w:id="447"/>
    </w:p>
    <w:tbl>
      <w:tblPr>
        <w:tblW w:w="7087" w:type="dxa"/>
        <w:tblInd w:w="56" w:type="dxa"/>
        <w:tblLayout w:type="fixed"/>
        <w:tblCellMar>
          <w:left w:w="56" w:type="dxa"/>
          <w:right w:w="56" w:type="dxa"/>
        </w:tblCellMar>
        <w:tblLook w:val="0000" w:firstRow="0" w:lastRow="0" w:firstColumn="0" w:lastColumn="0" w:noHBand="0" w:noVBand="0"/>
      </w:tblPr>
      <w:tblGrid>
        <w:gridCol w:w="6"/>
        <w:gridCol w:w="2266"/>
        <w:gridCol w:w="1133"/>
        <w:gridCol w:w="1133"/>
        <w:gridCol w:w="2549"/>
      </w:tblGrid>
      <w:tr>
        <w:trPr>
          <w:gridBefore w:val="1"/>
          <w:wBefore w:w="6" w:type="dxa"/>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3"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6" w:type="dxa"/>
          </w:tcPr>
          <w:p>
            <w:pPr>
              <w:pStyle w:val="nTable"/>
              <w:spacing w:after="40"/>
            </w:pPr>
            <w:r>
              <w:rPr>
                <w:i/>
              </w:rPr>
              <w:t>Public Sector Management Act 1994</w:t>
            </w:r>
          </w:p>
        </w:tc>
        <w:tc>
          <w:tcPr>
            <w:tcW w:w="1133" w:type="dxa"/>
          </w:tcPr>
          <w:p>
            <w:pPr>
              <w:pStyle w:val="nTable"/>
              <w:spacing w:after="40"/>
            </w:pPr>
            <w:r>
              <w:t>31 of 1994</w:t>
            </w:r>
          </w:p>
        </w:tc>
        <w:tc>
          <w:tcPr>
            <w:tcW w:w="1133" w:type="dxa"/>
          </w:tcPr>
          <w:p>
            <w:pPr>
              <w:pStyle w:val="nTable"/>
              <w:spacing w:after="40"/>
            </w:pPr>
            <w:r>
              <w:t>8 Jul 1994</w:t>
            </w:r>
          </w:p>
        </w:tc>
        <w:tc>
          <w:tcPr>
            <w:tcW w:w="2549" w:type="dxa"/>
          </w:tcPr>
          <w:p>
            <w:pPr>
              <w:pStyle w:val="nTable"/>
              <w:spacing w:after="40"/>
            </w:pPr>
            <w:r>
              <w:t>s. 1 and 2: 8 Jul 1994;</w:t>
            </w:r>
            <w:r>
              <w:br/>
              <w:t xml:space="preserve">s. 3, 16, 19, 20, 26, 28 and Sch. 4: 20 Aug 1994 (see s. 2 and </w:t>
            </w:r>
            <w:r>
              <w:rPr>
                <w:i/>
              </w:rPr>
              <w:t>Gazette</w:t>
            </w:r>
            <w:r>
              <w:t xml:space="preserve"> 19 Aug 1994 p. 4155); </w:t>
            </w:r>
            <w:r>
              <w:br/>
              <w:t>s. 4</w:t>
            </w:r>
            <w:r>
              <w:noBreakHyphen/>
              <w:t>6, Pt. 2 Div. 1, 2 and 4, s. 17, 18, 21</w:t>
            </w:r>
            <w:r>
              <w:noBreakHyphen/>
              <w:t>25 and 27, Pt. 3</w:t>
            </w:r>
            <w:r>
              <w:noBreakHyphen/>
              <w:t>6, 8, and 9 and Sch. 1</w:t>
            </w:r>
            <w:r>
              <w:noBreakHyphen/>
              <w:t xml:space="preserve">3, 5 and 6: 1 Oct 1994 (see s. 2 and </w:t>
            </w:r>
            <w:r>
              <w:rPr>
                <w:i/>
              </w:rPr>
              <w:t>Gazette</w:t>
            </w:r>
            <w:r>
              <w:t xml:space="preserve"> 30 Sep 1994 p. 4948); </w:t>
            </w:r>
            <w:r>
              <w:br/>
              <w:t xml:space="preserve">Pt. 7: 1 Jan 1996 (see s. 2 and </w:t>
            </w:r>
            <w:r>
              <w:rPr>
                <w:i/>
              </w:rPr>
              <w:t>Gazette</w:t>
            </w:r>
            <w:r>
              <w:t xml:space="preserve"> 24 Nov 1995 p. 5389)</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 xml:space="preserve">Public Sector Management (General) Regulations 1994 </w:t>
            </w:r>
            <w:r>
              <w:t xml:space="preserve">r. 27 published in </w:t>
            </w:r>
            <w:r>
              <w:rPr>
                <w:i/>
              </w:rPr>
              <w:t xml:space="preserve">Gazette </w:t>
            </w:r>
            <w:r>
              <w:t>16 Sep 1994 p. 4803</w:t>
            </w:r>
          </w:p>
        </w:tc>
        <w:tc>
          <w:tcPr>
            <w:tcW w:w="2549" w:type="dxa"/>
            <w:tcBorders>
              <w:top w:val="nil"/>
            </w:tcBorders>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1994</w:t>
            </w:r>
            <w:r>
              <w:t xml:space="preserve"> published in </w:t>
            </w:r>
            <w:r>
              <w:rPr>
                <w:i/>
              </w:rPr>
              <w:t xml:space="preserve">Gazette </w:t>
            </w:r>
            <w:r>
              <w:t>16 Sep 1994 p. 4804</w:t>
            </w:r>
          </w:p>
        </w:tc>
        <w:tc>
          <w:tcPr>
            <w:tcW w:w="2549" w:type="dxa"/>
          </w:tcPr>
          <w:p>
            <w:pPr>
              <w:pStyle w:val="nTable"/>
              <w:spacing w:after="40"/>
            </w:pPr>
            <w:r>
              <w:t xml:space="preserve">1 Oct 1994 (see r. 2 and </w:t>
            </w:r>
            <w:r>
              <w:rPr>
                <w:i/>
              </w:rPr>
              <w:t>Gazette</w:t>
            </w:r>
            <w:r>
              <w:t xml:space="preserve"> 30 Sep 1994 p. 4948)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(No. 2) 1994</w:t>
            </w:r>
            <w:r>
              <w:t xml:space="preserve"> published in </w:t>
            </w:r>
            <w:r>
              <w:rPr>
                <w:i/>
              </w:rPr>
              <w:t xml:space="preserve">Gazette </w:t>
            </w:r>
            <w:r>
              <w:t>9 Dec 1994 p. 6715</w:t>
            </w:r>
          </w:p>
        </w:tc>
        <w:tc>
          <w:tcPr>
            <w:tcW w:w="2549" w:type="dxa"/>
          </w:tcPr>
          <w:p>
            <w:pPr>
              <w:pStyle w:val="nTable"/>
              <w:spacing w:after="40"/>
            </w:pPr>
            <w:r>
              <w:t>9 Dec 1994</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1994</w:t>
            </w:r>
            <w:r>
              <w:t xml:space="preserve"> published in </w:t>
            </w:r>
            <w:r>
              <w:rPr>
                <w:i/>
              </w:rPr>
              <w:t xml:space="preserve">Gazette </w:t>
            </w:r>
            <w:r>
              <w:t>9 Dec 1994 p. 6716</w:t>
            </w:r>
          </w:p>
        </w:tc>
        <w:tc>
          <w:tcPr>
            <w:tcW w:w="2549" w:type="dxa"/>
          </w:tcPr>
          <w:p>
            <w:pPr>
              <w:pStyle w:val="nTable"/>
              <w:spacing w:after="40"/>
            </w:pPr>
            <w:r>
              <w:t>9 Dec 1994</w:t>
            </w:r>
          </w:p>
        </w:tc>
      </w:tr>
      <w:tr>
        <w:trPr>
          <w:gridBefore w:val="1"/>
          <w:wBefore w:w="6" w:type="dxa"/>
          <w:cantSplit/>
        </w:trPr>
        <w:tc>
          <w:tcPr>
            <w:tcW w:w="2266" w:type="dxa"/>
          </w:tcPr>
          <w:p>
            <w:pPr>
              <w:pStyle w:val="nTable"/>
              <w:spacing w:after="40"/>
            </w:pPr>
            <w:r>
              <w:rPr>
                <w:i/>
              </w:rPr>
              <w:t xml:space="preserve">Energy Corporations (Transitional and Consequential Provisions) Act 1994 </w:t>
            </w:r>
            <w:r>
              <w:t>s. 109</w:t>
            </w:r>
          </w:p>
        </w:tc>
        <w:tc>
          <w:tcPr>
            <w:tcW w:w="1133" w:type="dxa"/>
          </w:tcPr>
          <w:p>
            <w:pPr>
              <w:pStyle w:val="nTable"/>
              <w:spacing w:after="40"/>
            </w:pPr>
            <w:r>
              <w:t>89 of 1994</w:t>
            </w:r>
          </w:p>
        </w:tc>
        <w:tc>
          <w:tcPr>
            <w:tcW w:w="1133" w:type="dxa"/>
          </w:tcPr>
          <w:p>
            <w:pPr>
              <w:pStyle w:val="nTable"/>
              <w:spacing w:after="40"/>
            </w:pPr>
            <w:r>
              <w:t>15 Dec 1994</w:t>
            </w:r>
          </w:p>
        </w:tc>
        <w:tc>
          <w:tcPr>
            <w:tcW w:w="2549" w:type="dxa"/>
          </w:tcPr>
          <w:p>
            <w:pPr>
              <w:pStyle w:val="nTable"/>
              <w:spacing w:after="40"/>
            </w:pPr>
            <w:r>
              <w:t xml:space="preserve">1 Jan 1995 (see s. 2(2) and </w:t>
            </w:r>
            <w:r>
              <w:rPr>
                <w:i/>
              </w:rPr>
              <w:t>Gazette</w:t>
            </w:r>
            <w:r>
              <w:t xml:space="preserve"> 23 Dec 1994 p. 7069)</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(No. 2) 1994</w:t>
            </w:r>
            <w:r>
              <w:t xml:space="preserve"> published in </w:t>
            </w:r>
            <w:r>
              <w:rPr>
                <w:i/>
              </w:rPr>
              <w:t xml:space="preserve">Gazette </w:t>
            </w:r>
            <w:r>
              <w:t>23 Dec 1994 p. 7122</w:t>
            </w:r>
          </w:p>
        </w:tc>
        <w:tc>
          <w:tcPr>
            <w:tcW w:w="2549" w:type="dxa"/>
            <w:tcBorders>
              <w:top w:val="nil"/>
              <w:bottom w:val="nil"/>
            </w:tcBorders>
          </w:tcPr>
          <w:p>
            <w:pPr>
              <w:pStyle w:val="nTable"/>
              <w:spacing w:after="40"/>
            </w:pPr>
            <w:r>
              <w:t>23 Dec 1994</w:t>
            </w:r>
          </w:p>
        </w:tc>
      </w:tr>
      <w:tr>
        <w:trPr>
          <w:gridBefore w:val="1"/>
          <w:wBefore w:w="6" w:type="dxa"/>
          <w:cantSplit/>
        </w:trPr>
        <w:tc>
          <w:tcPr>
            <w:tcW w:w="2266" w:type="dxa"/>
          </w:tcPr>
          <w:p>
            <w:pPr>
              <w:pStyle w:val="nTable"/>
              <w:spacing w:after="40"/>
            </w:pPr>
            <w:r>
              <w:rPr>
                <w:i/>
              </w:rPr>
              <w:t xml:space="preserve">State Supply Commission Amendment Act (No. 2) 1994 </w:t>
            </w:r>
            <w:r>
              <w:t>s. 16</w:t>
            </w:r>
          </w:p>
        </w:tc>
        <w:tc>
          <w:tcPr>
            <w:tcW w:w="1133" w:type="dxa"/>
          </w:tcPr>
          <w:p>
            <w:pPr>
              <w:pStyle w:val="nTable"/>
              <w:spacing w:after="40"/>
            </w:pPr>
            <w:r>
              <w:t>97 of 1994</w:t>
            </w:r>
          </w:p>
        </w:tc>
        <w:tc>
          <w:tcPr>
            <w:tcW w:w="1133" w:type="dxa"/>
          </w:tcPr>
          <w:p>
            <w:pPr>
              <w:pStyle w:val="nTable"/>
              <w:spacing w:after="40"/>
            </w:pPr>
            <w:r>
              <w:t>30 Dec 1994</w:t>
            </w:r>
          </w:p>
        </w:tc>
        <w:tc>
          <w:tcPr>
            <w:tcW w:w="2549" w:type="dxa"/>
          </w:tcPr>
          <w:p>
            <w:pPr>
              <w:pStyle w:val="nTable"/>
              <w:spacing w:after="40"/>
            </w:pPr>
            <w:r>
              <w:t xml:space="preserve">18 Mar 1995 (see s. 2(2) and </w:t>
            </w:r>
            <w:r>
              <w:rPr>
                <w:i/>
              </w:rPr>
              <w:t>Gazette</w:t>
            </w:r>
            <w:r>
              <w:t xml:space="preserve"> 17 Mar 1995 p. 1011)</w:t>
            </w:r>
          </w:p>
        </w:tc>
      </w:tr>
      <w:tr>
        <w:trPr>
          <w:gridBefore w:val="1"/>
          <w:wBefore w:w="6" w:type="dxa"/>
          <w:cantSplit/>
        </w:trPr>
        <w:tc>
          <w:tcPr>
            <w:tcW w:w="2266" w:type="dxa"/>
          </w:tcPr>
          <w:p>
            <w:pPr>
              <w:pStyle w:val="nTable"/>
              <w:spacing w:after="40"/>
            </w:pPr>
            <w:r>
              <w:rPr>
                <w:i/>
              </w:rPr>
              <w:t xml:space="preserve">Hospitals Amendment Act 1994 </w:t>
            </w:r>
            <w:r>
              <w:t xml:space="preserve">s. 18 </w:t>
            </w:r>
          </w:p>
        </w:tc>
        <w:tc>
          <w:tcPr>
            <w:tcW w:w="1133" w:type="dxa"/>
          </w:tcPr>
          <w:p>
            <w:pPr>
              <w:pStyle w:val="nTable"/>
              <w:spacing w:after="40"/>
            </w:pPr>
            <w:r>
              <w:t>103 of 1994</w:t>
            </w:r>
          </w:p>
        </w:tc>
        <w:tc>
          <w:tcPr>
            <w:tcW w:w="1133" w:type="dxa"/>
          </w:tcPr>
          <w:p>
            <w:pPr>
              <w:pStyle w:val="nTable"/>
              <w:spacing w:after="40"/>
            </w:pPr>
            <w:r>
              <w:t>11 Jan 1995</w:t>
            </w:r>
          </w:p>
        </w:tc>
        <w:tc>
          <w:tcPr>
            <w:tcW w:w="2549" w:type="dxa"/>
          </w:tcPr>
          <w:p>
            <w:pPr>
              <w:pStyle w:val="nTable"/>
              <w:spacing w:after="40"/>
            </w:pPr>
            <w:r>
              <w:t xml:space="preserve">3 Feb 1995 (see s. 2 and </w:t>
            </w:r>
            <w:r>
              <w:rPr>
                <w:i/>
              </w:rPr>
              <w:t>Gazette</w:t>
            </w:r>
            <w:r>
              <w:t xml:space="preserve"> 3 Feb 1995 p. 333)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1995</w:t>
            </w:r>
            <w:r>
              <w:t xml:space="preserve"> published in </w:t>
            </w:r>
            <w:r>
              <w:rPr>
                <w:i/>
              </w:rPr>
              <w:t xml:space="preserve">Gazette </w:t>
            </w:r>
            <w:r>
              <w:t>7 Feb 1995 p. 423</w:t>
            </w:r>
          </w:p>
        </w:tc>
        <w:tc>
          <w:tcPr>
            <w:tcW w:w="2549" w:type="dxa"/>
            <w:tcBorders>
              <w:top w:val="nil"/>
              <w:bottom w:val="nil"/>
            </w:tcBorders>
          </w:tcPr>
          <w:p>
            <w:pPr>
              <w:pStyle w:val="nTable"/>
              <w:spacing w:after="40"/>
            </w:pPr>
            <w:r>
              <w:t>7 Feb 1995</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Public Sector Management (Transitional) Regulations 1995</w:t>
            </w:r>
            <w:r>
              <w:t xml:space="preserve"> published in </w:t>
            </w:r>
            <w:r>
              <w:rPr>
                <w:i/>
              </w:rPr>
              <w:t xml:space="preserve">Gazette </w:t>
            </w:r>
            <w:r>
              <w:t>2 May 1995 p. 1690</w:t>
            </w:r>
            <w:r>
              <w:noBreakHyphen/>
              <w:t>1</w:t>
            </w:r>
          </w:p>
        </w:tc>
        <w:tc>
          <w:tcPr>
            <w:tcW w:w="2549" w:type="dxa"/>
            <w:tcBorders>
              <w:top w:val="nil"/>
            </w:tcBorders>
          </w:tcPr>
          <w:p>
            <w:pPr>
              <w:pStyle w:val="nTable"/>
              <w:spacing w:after="40"/>
            </w:pPr>
            <w:r>
              <w:t>2 May 1995</w:t>
            </w:r>
          </w:p>
        </w:tc>
      </w:tr>
      <w:tr>
        <w:trPr>
          <w:gridBefore w:val="1"/>
          <w:wBefore w:w="6" w:type="dxa"/>
          <w:cantSplit/>
        </w:trPr>
        <w:tc>
          <w:tcPr>
            <w:tcW w:w="2266" w:type="dxa"/>
          </w:tcPr>
          <w:p>
            <w:pPr>
              <w:pStyle w:val="nTable"/>
              <w:spacing w:after="40"/>
            </w:pPr>
            <w:r>
              <w:rPr>
                <w:i/>
              </w:rPr>
              <w:t xml:space="preserve">Industrial Legislation Amendment Act 1995 </w:t>
            </w:r>
            <w:r>
              <w:t>s. 35</w:t>
            </w:r>
          </w:p>
        </w:tc>
        <w:tc>
          <w:tcPr>
            <w:tcW w:w="1133" w:type="dxa"/>
          </w:tcPr>
          <w:p>
            <w:pPr>
              <w:pStyle w:val="nTable"/>
              <w:spacing w:after="40"/>
            </w:pPr>
            <w:r>
              <w:t>1 of 1995</w:t>
            </w:r>
          </w:p>
        </w:tc>
        <w:tc>
          <w:tcPr>
            <w:tcW w:w="1133" w:type="dxa"/>
          </w:tcPr>
          <w:p>
            <w:pPr>
              <w:pStyle w:val="nTable"/>
              <w:spacing w:after="40"/>
            </w:pPr>
            <w:r>
              <w:t>9 May 1995</w:t>
            </w:r>
          </w:p>
        </w:tc>
        <w:tc>
          <w:tcPr>
            <w:tcW w:w="2549" w:type="dxa"/>
          </w:tcPr>
          <w:p>
            <w:pPr>
              <w:pStyle w:val="nTable"/>
              <w:spacing w:after="40"/>
            </w:pPr>
            <w:r>
              <w:t xml:space="preserve">1 Jan 1996 (see s. 2(2) and </w:t>
            </w:r>
            <w:r>
              <w:rPr>
                <w:i/>
              </w:rPr>
              <w:t>Gazette</w:t>
            </w:r>
            <w:r>
              <w:t xml:space="preserve"> 24 Nov 1995 p. 5389)</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16 May 1995 </w:t>
            </w:r>
            <w:r>
              <w:t xml:space="preserve">(includes amendments listed above except those in the </w:t>
            </w:r>
            <w:r>
              <w:rPr>
                <w:i/>
              </w:rPr>
              <w:t>Public Sector Management Act 1994</w:t>
            </w:r>
            <w:r>
              <w:t xml:space="preserve"> Pt. 7 and the </w:t>
            </w:r>
            <w:r>
              <w:rPr>
                <w:i/>
              </w:rPr>
              <w:t>Industrial Legislation Amendment Act 1995</w:t>
            </w:r>
            <w:r>
              <w:t>)</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1995</w:t>
            </w:r>
            <w:r>
              <w:t xml:space="preserve"> published in </w:t>
            </w:r>
            <w:r>
              <w:rPr>
                <w:i/>
              </w:rPr>
              <w:t xml:space="preserve">Gazette </w:t>
            </w:r>
            <w:r>
              <w:t>30 May 1995 p. 2148</w:t>
            </w:r>
            <w:r>
              <w:noBreakHyphen/>
              <w:t>9</w:t>
            </w:r>
          </w:p>
        </w:tc>
        <w:tc>
          <w:tcPr>
            <w:tcW w:w="2549" w:type="dxa"/>
          </w:tcPr>
          <w:p>
            <w:pPr>
              <w:pStyle w:val="nTable"/>
              <w:spacing w:after="40"/>
            </w:pPr>
            <w:r>
              <w:t>30 May 1995</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(Entities which are not Organizations) Regulations 1995</w:t>
            </w:r>
            <w:r>
              <w:t xml:space="preserve"> published in </w:t>
            </w:r>
            <w:r>
              <w:rPr>
                <w:i/>
              </w:rPr>
              <w:t xml:space="preserve">Gazette </w:t>
            </w:r>
            <w:r>
              <w:t>23 Jun 1995 p. 2507</w:t>
            </w:r>
            <w:r>
              <w:noBreakHyphen/>
              <w:t>8</w:t>
            </w:r>
          </w:p>
        </w:tc>
        <w:tc>
          <w:tcPr>
            <w:tcW w:w="2549" w:type="dxa"/>
          </w:tcPr>
          <w:p>
            <w:pPr>
              <w:pStyle w:val="nTable"/>
              <w:spacing w:after="40"/>
            </w:pPr>
            <w:r>
              <w:t>23 Jun 1995</w:t>
            </w:r>
          </w:p>
        </w:tc>
      </w:tr>
      <w:tr>
        <w:trPr>
          <w:gridBefore w:val="1"/>
          <w:wBefore w:w="6" w:type="dxa"/>
          <w:cantSplit/>
        </w:trPr>
        <w:tc>
          <w:tcPr>
            <w:tcW w:w="2266" w:type="dxa"/>
          </w:tcPr>
          <w:p>
            <w:pPr>
              <w:pStyle w:val="nTable"/>
              <w:spacing w:after="40"/>
            </w:pPr>
            <w:r>
              <w:rPr>
                <w:i/>
              </w:rPr>
              <w:t xml:space="preserve">Occupational Safety and Health Legislation Amendment Act 1995 </w:t>
            </w:r>
            <w:r>
              <w:t>s. 48</w:t>
            </w:r>
          </w:p>
        </w:tc>
        <w:tc>
          <w:tcPr>
            <w:tcW w:w="1133" w:type="dxa"/>
          </w:tcPr>
          <w:p>
            <w:pPr>
              <w:pStyle w:val="nTable"/>
              <w:spacing w:after="40"/>
            </w:pPr>
            <w:r>
              <w:t>30 of 1995</w:t>
            </w:r>
          </w:p>
        </w:tc>
        <w:tc>
          <w:tcPr>
            <w:tcW w:w="1133" w:type="dxa"/>
          </w:tcPr>
          <w:p>
            <w:pPr>
              <w:pStyle w:val="nTable"/>
              <w:spacing w:after="40"/>
            </w:pPr>
            <w:r>
              <w:t>11 Sep 1995</w:t>
            </w:r>
          </w:p>
        </w:tc>
        <w:tc>
          <w:tcPr>
            <w:tcW w:w="2549" w:type="dxa"/>
          </w:tcPr>
          <w:p>
            <w:pPr>
              <w:pStyle w:val="nTable"/>
              <w:spacing w:after="40"/>
            </w:pPr>
            <w:r>
              <w:t xml:space="preserve">1 Oct 1995 (see s. 2 and </w:t>
            </w:r>
            <w:r>
              <w:rPr>
                <w:i/>
              </w:rPr>
              <w:t>Gazette</w:t>
            </w:r>
            <w:r>
              <w:t xml:space="preserve"> 15 Sep 1995 p. 4301)</w:t>
            </w:r>
          </w:p>
        </w:tc>
      </w:tr>
      <w:tr>
        <w:tblPrEx>
          <w:tblBorders>
            <w:top w:val="single" w:sz="4" w:space="0" w:color="auto"/>
            <w:bottom w:val="single" w:sz="4" w:space="0" w:color="auto"/>
          </w:tblBorders>
        </w:tblPrEx>
        <w:trPr>
          <w:gridBefore w:val="1"/>
          <w:wBefore w:w="6" w:type="dxa"/>
          <w:cantSplit/>
        </w:trPr>
        <w:tc>
          <w:tcPr>
            <w:tcW w:w="4532" w:type="dxa"/>
            <w:gridSpan w:val="3"/>
            <w:tcBorders>
              <w:bottom w:val="nil"/>
            </w:tcBorders>
          </w:tcPr>
          <w:p>
            <w:pPr>
              <w:pStyle w:val="nTable"/>
              <w:spacing w:after="40"/>
            </w:pPr>
            <w:r>
              <w:rPr>
                <w:i/>
              </w:rPr>
              <w:t>Public Sector Management (Entities which are not Organizations) Regulations (No. 2) 1995</w:t>
            </w:r>
            <w:r>
              <w:t xml:space="preserve"> published in </w:t>
            </w:r>
            <w:r>
              <w:rPr>
                <w:i/>
              </w:rPr>
              <w:t xml:space="preserve">Gazette </w:t>
            </w:r>
            <w:r>
              <w:t>3 Nov 1995 p. 5204</w:t>
            </w:r>
          </w:p>
        </w:tc>
        <w:tc>
          <w:tcPr>
            <w:tcW w:w="2549" w:type="dxa"/>
            <w:tcBorders>
              <w:bottom w:val="nil"/>
            </w:tcBorders>
          </w:tcPr>
          <w:p>
            <w:pPr>
              <w:pStyle w:val="nTable"/>
              <w:spacing w:after="40"/>
            </w:pPr>
            <w:r>
              <w:t>3 Nov 1995</w:t>
            </w:r>
          </w:p>
        </w:tc>
      </w:tr>
      <w:tr>
        <w:trPr>
          <w:gridBefore w:val="1"/>
          <w:wBefore w:w="6" w:type="dxa"/>
          <w:cantSplit/>
        </w:trPr>
        <w:tc>
          <w:tcPr>
            <w:tcW w:w="2266" w:type="dxa"/>
          </w:tcPr>
          <w:p>
            <w:pPr>
              <w:pStyle w:val="nTable"/>
              <w:spacing w:after="40"/>
            </w:pPr>
            <w:r>
              <w:rPr>
                <w:i/>
              </w:rPr>
              <w:t xml:space="preserve">Water Agencies Restructure (Transitional and Consequential Provisions) Act 1995 </w:t>
            </w:r>
            <w:r>
              <w:t>s. 188</w:t>
            </w:r>
          </w:p>
        </w:tc>
        <w:tc>
          <w:tcPr>
            <w:tcW w:w="1133" w:type="dxa"/>
          </w:tcPr>
          <w:p>
            <w:pPr>
              <w:pStyle w:val="nTable"/>
              <w:spacing w:after="40"/>
            </w:pPr>
            <w:r>
              <w:t>73 of 1995</w:t>
            </w:r>
          </w:p>
        </w:tc>
        <w:tc>
          <w:tcPr>
            <w:tcW w:w="1133" w:type="dxa"/>
          </w:tcPr>
          <w:p>
            <w:pPr>
              <w:pStyle w:val="nTable"/>
              <w:spacing w:after="40"/>
            </w:pPr>
            <w:r>
              <w:t>27 Dec 1995</w:t>
            </w:r>
          </w:p>
        </w:tc>
        <w:tc>
          <w:tcPr>
            <w:tcW w:w="2549" w:type="dxa"/>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2266" w:type="dxa"/>
          </w:tcPr>
          <w:p>
            <w:pPr>
              <w:pStyle w:val="nTable"/>
              <w:spacing w:after="40"/>
            </w:pPr>
            <w:r>
              <w:rPr>
                <w:i/>
              </w:rPr>
              <w:t xml:space="preserve">Local Government (Consequential Amendments) Act 1996 </w:t>
            </w:r>
            <w:r>
              <w:t>s. 4</w:t>
            </w:r>
          </w:p>
        </w:tc>
        <w:tc>
          <w:tcPr>
            <w:tcW w:w="1133" w:type="dxa"/>
          </w:tcPr>
          <w:p>
            <w:pPr>
              <w:pStyle w:val="nTable"/>
              <w:spacing w:after="40"/>
            </w:pPr>
            <w:r>
              <w:t>14 of 1996</w:t>
            </w:r>
          </w:p>
        </w:tc>
        <w:tc>
          <w:tcPr>
            <w:tcW w:w="1133" w:type="dxa"/>
          </w:tcPr>
          <w:p>
            <w:pPr>
              <w:pStyle w:val="nTable"/>
              <w:spacing w:after="40"/>
            </w:pPr>
            <w:r>
              <w:t>28 Jun 1996</w:t>
            </w:r>
          </w:p>
        </w:tc>
        <w:tc>
          <w:tcPr>
            <w:tcW w:w="2549" w:type="dxa"/>
          </w:tcPr>
          <w:p>
            <w:pPr>
              <w:pStyle w:val="nTable"/>
              <w:spacing w:after="40"/>
            </w:pPr>
            <w:r>
              <w:t>1 Jul 1996 (see s. 2)</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(Schedule 6) Regulations 1996</w:t>
            </w:r>
            <w:r>
              <w:t xml:space="preserve"> published in </w:t>
            </w:r>
            <w:r>
              <w:rPr>
                <w:i/>
              </w:rPr>
              <w:t xml:space="preserve">Gazette </w:t>
            </w:r>
            <w:r>
              <w:t>5 Jul 1996 p. 3251</w:t>
            </w:r>
            <w:r>
              <w:noBreakHyphen/>
              <w:t>2</w:t>
            </w:r>
          </w:p>
        </w:tc>
        <w:tc>
          <w:tcPr>
            <w:tcW w:w="2549" w:type="dxa"/>
            <w:tcBorders>
              <w:top w:val="nil"/>
              <w:bottom w:val="nil"/>
            </w:tcBorders>
          </w:tcPr>
          <w:p>
            <w:pPr>
              <w:pStyle w:val="nTable"/>
              <w:spacing w:after="40"/>
            </w:pPr>
            <w:r>
              <w:t xml:space="preserve">1 Oct 1994 (see r. 2 and </w:t>
            </w:r>
            <w:r>
              <w:rPr>
                <w:i/>
              </w:rPr>
              <w:t>Gazette</w:t>
            </w:r>
            <w:r>
              <w:t xml:space="preserve"> 30 Sep 1994 p. 4948)</w:t>
            </w:r>
          </w:p>
        </w:tc>
      </w:tr>
      <w:tr>
        <w:trPr>
          <w:gridBefore w:val="1"/>
          <w:wBefore w:w="6" w:type="dxa"/>
          <w:cantSplit/>
        </w:trPr>
        <w:tc>
          <w:tcPr>
            <w:tcW w:w="4532" w:type="dxa"/>
            <w:gridSpan w:val="3"/>
          </w:tcPr>
          <w:p>
            <w:pPr>
              <w:pStyle w:val="nTable"/>
              <w:spacing w:after="40"/>
              <w:rPr>
                <w:i/>
              </w:rPr>
            </w:pPr>
            <w:r>
              <w:rPr>
                <w:i/>
              </w:rPr>
              <w:t xml:space="preserve">Public Sector Management (SES Organizations) Regulations 1996 </w:t>
            </w:r>
            <w:r>
              <w:t>published in</w:t>
            </w:r>
            <w:r>
              <w:rPr>
                <w:i/>
              </w:rPr>
              <w:t xml:space="preserve"> Gazette </w:t>
            </w:r>
            <w:r>
              <w:t>20 Aug 1996 p. 4068</w:t>
            </w:r>
          </w:p>
        </w:tc>
        <w:tc>
          <w:tcPr>
            <w:tcW w:w="2549" w:type="dxa"/>
          </w:tcPr>
          <w:p>
            <w:pPr>
              <w:pStyle w:val="nTable"/>
              <w:spacing w:after="40"/>
            </w:pPr>
            <w:r>
              <w:t>20 Aug 1996</w:t>
            </w:r>
          </w:p>
        </w:tc>
      </w:tr>
      <w:tr>
        <w:trPr>
          <w:gridBefore w:val="1"/>
          <w:wBefore w:w="6" w:type="dxa"/>
          <w:cantSplit/>
        </w:trPr>
        <w:tc>
          <w:tcPr>
            <w:tcW w:w="4532" w:type="dxa"/>
            <w:gridSpan w:val="3"/>
          </w:tcPr>
          <w:p>
            <w:pPr>
              <w:pStyle w:val="nTable"/>
              <w:spacing w:after="40"/>
              <w:rPr>
                <w:i/>
              </w:rPr>
            </w:pPr>
            <w:r>
              <w:rPr>
                <w:i/>
              </w:rPr>
              <w:t>Public Sector Management (Transitional) Regulations 1996</w:t>
            </w:r>
            <w:r>
              <w:t xml:space="preserve"> published in</w:t>
            </w:r>
            <w:r>
              <w:rPr>
                <w:i/>
              </w:rPr>
              <w:t xml:space="preserve"> Gazette </w:t>
            </w:r>
            <w:r>
              <w:t>27 Sep 1996 p. 4827</w:t>
            </w:r>
          </w:p>
        </w:tc>
        <w:tc>
          <w:tcPr>
            <w:tcW w:w="2549" w:type="dxa"/>
          </w:tcPr>
          <w:p>
            <w:pPr>
              <w:pStyle w:val="nTable"/>
              <w:spacing w:after="40"/>
            </w:pPr>
            <w:r>
              <w:t>27 Sep 1996</w:t>
            </w:r>
          </w:p>
        </w:tc>
      </w:tr>
      <w:tr>
        <w:trPr>
          <w:gridBefore w:val="1"/>
          <w:wBefore w:w="6" w:type="dxa"/>
          <w:cantSplit/>
        </w:trPr>
        <w:tc>
          <w:tcPr>
            <w:tcW w:w="2266" w:type="dxa"/>
          </w:tcPr>
          <w:p>
            <w:pPr>
              <w:pStyle w:val="nTable"/>
              <w:spacing w:after="40"/>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Amendment Act 1996 </w:t>
            </w:r>
            <w:r>
              <w:t>s. 29</w:t>
            </w:r>
          </w:p>
        </w:tc>
        <w:tc>
          <w:tcPr>
            <w:tcW w:w="1133" w:type="dxa"/>
          </w:tcPr>
          <w:p>
            <w:pPr>
              <w:pStyle w:val="nTable"/>
              <w:spacing w:after="40"/>
            </w:pPr>
            <w:r>
              <w:t>35 of 1996</w:t>
            </w:r>
          </w:p>
        </w:tc>
        <w:tc>
          <w:tcPr>
            <w:tcW w:w="1133" w:type="dxa"/>
          </w:tcPr>
          <w:p>
            <w:pPr>
              <w:pStyle w:val="nTable"/>
              <w:spacing w:after="40"/>
            </w:pPr>
            <w:r>
              <w:t>27 Sep 1996</w:t>
            </w:r>
          </w:p>
        </w:tc>
        <w:tc>
          <w:tcPr>
            <w:tcW w:w="2549" w:type="dxa"/>
          </w:tcPr>
          <w:p>
            <w:pPr>
              <w:pStyle w:val="nTable"/>
              <w:spacing w:after="40"/>
            </w:pPr>
            <w:r>
              <w:t xml:space="preserve">13 Nov 1996 (see s. 2(2) and </w:t>
            </w:r>
            <w:r>
              <w:rPr>
                <w:i/>
              </w:rPr>
              <w:t>Gazette</w:t>
            </w:r>
            <w:r>
              <w:t xml:space="preserve"> 12 Nov 1996 p. 6301)</w:t>
            </w:r>
          </w:p>
        </w:tc>
      </w:tr>
      <w:tr>
        <w:trPr>
          <w:gridBefore w:val="1"/>
          <w:wBefore w:w="6" w:type="dxa"/>
          <w:cantSplit/>
        </w:trPr>
        <w:tc>
          <w:tcPr>
            <w:tcW w:w="2266" w:type="dxa"/>
          </w:tcPr>
          <w:p>
            <w:pPr>
              <w:pStyle w:val="nTable"/>
              <w:spacing w:after="40"/>
            </w:pPr>
            <w:r>
              <w:rPr>
                <w:i/>
              </w:rPr>
              <w:t xml:space="preserve">Vocational Education and Training Act 1996 </w:t>
            </w:r>
            <w:r>
              <w:t>s. 71(1)</w:t>
            </w:r>
          </w:p>
        </w:tc>
        <w:tc>
          <w:tcPr>
            <w:tcW w:w="1133" w:type="dxa"/>
          </w:tcPr>
          <w:p>
            <w:pPr>
              <w:pStyle w:val="nTable"/>
              <w:spacing w:after="40"/>
            </w:pPr>
            <w:r>
              <w:t>42 of 1996</w:t>
            </w:r>
          </w:p>
        </w:tc>
        <w:tc>
          <w:tcPr>
            <w:tcW w:w="1133" w:type="dxa"/>
          </w:tcPr>
          <w:p>
            <w:pPr>
              <w:pStyle w:val="nTable"/>
              <w:spacing w:after="40"/>
            </w:pPr>
            <w:r>
              <w:t>16 Oct 1996</w:t>
            </w:r>
          </w:p>
        </w:tc>
        <w:tc>
          <w:tcPr>
            <w:tcW w:w="2549" w:type="dxa"/>
          </w:tcPr>
          <w:p>
            <w:pPr>
              <w:pStyle w:val="nTable"/>
              <w:spacing w:after="40"/>
            </w:pPr>
            <w:r>
              <w:t>1 Jan 1997 (see s. 2 and </w:t>
            </w:r>
            <w:r>
              <w:rPr>
                <w:i/>
              </w:rPr>
              <w:t>Gazette</w:t>
            </w:r>
            <w:r>
              <w:t xml:space="preserve"> 12 Nov 1996 p. 6301)</w:t>
            </w:r>
          </w:p>
        </w:tc>
      </w:tr>
      <w:tr>
        <w:trPr>
          <w:gridBefore w:val="1"/>
          <w:wBefore w:w="6" w:type="dxa"/>
          <w:cantSplit/>
        </w:trPr>
        <w:tc>
          <w:tcPr>
            <w:tcW w:w="2266" w:type="dxa"/>
          </w:tcPr>
          <w:p>
            <w:pPr>
              <w:pStyle w:val="nTable"/>
              <w:spacing w:after="40"/>
            </w:pPr>
            <w:r>
              <w:rPr>
                <w:i/>
              </w:rPr>
              <w:t xml:space="preserve">Acts Amendment (ICWA) Act 1996 </w:t>
            </w:r>
            <w:r>
              <w:t>s. 38</w:t>
            </w:r>
          </w:p>
        </w:tc>
        <w:tc>
          <w:tcPr>
            <w:tcW w:w="1133" w:type="dxa"/>
          </w:tcPr>
          <w:p>
            <w:pPr>
              <w:pStyle w:val="nTable"/>
              <w:spacing w:after="40"/>
            </w:pPr>
            <w:r>
              <w:t>45 of 1996</w:t>
            </w:r>
          </w:p>
        </w:tc>
        <w:tc>
          <w:tcPr>
            <w:tcW w:w="1133" w:type="dxa"/>
          </w:tcPr>
          <w:p>
            <w:pPr>
              <w:pStyle w:val="nTable"/>
              <w:spacing w:after="40"/>
            </w:pPr>
            <w:r>
              <w:t>25 Oct 1996</w:t>
            </w:r>
          </w:p>
        </w:tc>
        <w:tc>
          <w:tcPr>
            <w:tcW w:w="2549" w:type="dxa"/>
          </w:tcPr>
          <w:p>
            <w:pPr>
              <w:pStyle w:val="nTable"/>
              <w:spacing w:after="40"/>
            </w:pPr>
            <w:r>
              <w:t xml:space="preserve">1 Oct 1997 (see s. 2 and </w:t>
            </w:r>
            <w:r>
              <w:rPr>
                <w:i/>
              </w:rPr>
              <w:t>Gazette</w:t>
            </w:r>
            <w:r>
              <w:t xml:space="preserve"> 23 Sep 1997 p. 5357)</w:t>
            </w:r>
          </w:p>
        </w:tc>
      </w:tr>
      <w:tr>
        <w:trPr>
          <w:gridBefore w:val="1"/>
          <w:wBefore w:w="6" w:type="dxa"/>
          <w:cantSplit/>
        </w:trPr>
        <w:tc>
          <w:tcPr>
            <w:tcW w:w="2266" w:type="dxa"/>
          </w:tcPr>
          <w:p>
            <w:pPr>
              <w:pStyle w:val="nTable"/>
              <w:spacing w:after="40"/>
            </w:pPr>
            <w:r>
              <w:rPr>
                <w:i/>
              </w:rPr>
              <w:t xml:space="preserve">Financial Legislation Amendment Act 1996 </w:t>
            </w:r>
            <w:r>
              <w:t>s. 58</w:t>
            </w:r>
          </w:p>
        </w:tc>
        <w:tc>
          <w:tcPr>
            <w:tcW w:w="1133" w:type="dxa"/>
          </w:tcPr>
          <w:p>
            <w:pPr>
              <w:pStyle w:val="nTable"/>
              <w:spacing w:after="40"/>
            </w:pPr>
            <w:r>
              <w:t>49 of 1996</w:t>
            </w:r>
          </w:p>
        </w:tc>
        <w:tc>
          <w:tcPr>
            <w:tcW w:w="1133" w:type="dxa"/>
          </w:tcPr>
          <w:p>
            <w:pPr>
              <w:pStyle w:val="nTable"/>
              <w:spacing w:after="40"/>
            </w:pPr>
            <w:r>
              <w:t>25 Oct 1996</w:t>
            </w:r>
          </w:p>
        </w:tc>
        <w:tc>
          <w:tcPr>
            <w:tcW w:w="2549" w:type="dxa"/>
          </w:tcPr>
          <w:p>
            <w:pPr>
              <w:pStyle w:val="nTable"/>
              <w:spacing w:after="40"/>
            </w:pPr>
            <w:r>
              <w:t>25 Oct 1996 (see s. 2(1))</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tcBorders>
          </w:tcPr>
          <w:p>
            <w:pPr>
              <w:pStyle w:val="nTable"/>
              <w:spacing w:after="40"/>
            </w:pPr>
            <w:r>
              <w:rPr>
                <w:i/>
              </w:rPr>
              <w:t>Public Sector Management (SES Organizations) Regulations 1997</w:t>
            </w:r>
            <w:r>
              <w:t xml:space="preserve"> published in </w:t>
            </w:r>
            <w:r>
              <w:rPr>
                <w:i/>
              </w:rPr>
              <w:t xml:space="preserve">Gazette </w:t>
            </w:r>
            <w:r>
              <w:t>28 Feb 1997 p. 1334</w:t>
            </w:r>
          </w:p>
        </w:tc>
        <w:tc>
          <w:tcPr>
            <w:tcW w:w="2549" w:type="dxa"/>
            <w:tcBorders>
              <w:top w:val="nil"/>
            </w:tcBorders>
          </w:tcPr>
          <w:p>
            <w:pPr>
              <w:pStyle w:val="nTable"/>
              <w:spacing w:after="40"/>
            </w:pPr>
            <w:r>
              <w:t>28 Feb 1997</w:t>
            </w:r>
          </w:p>
        </w:tc>
      </w:tr>
      <w:tr>
        <w:trPr>
          <w:gridBefore w:val="1"/>
          <w:wBefore w:w="6" w:type="dxa"/>
          <w:cantSplit/>
        </w:trPr>
        <w:tc>
          <w:tcPr>
            <w:tcW w:w="2266" w:type="dxa"/>
          </w:tcPr>
          <w:p>
            <w:pPr>
              <w:pStyle w:val="nTable"/>
              <w:spacing w:after="40"/>
            </w:pPr>
            <w:r>
              <w:rPr>
                <w:i/>
              </w:rPr>
              <w:t>Curriculum Council Act 1997</w:t>
            </w:r>
            <w:r>
              <w:t xml:space="preserve"> s. 35</w:t>
            </w:r>
          </w:p>
        </w:tc>
        <w:tc>
          <w:tcPr>
            <w:tcW w:w="1133" w:type="dxa"/>
          </w:tcPr>
          <w:p>
            <w:pPr>
              <w:pStyle w:val="nTable"/>
              <w:spacing w:after="40"/>
            </w:pPr>
            <w:r>
              <w:t>17 of 1997</w:t>
            </w:r>
          </w:p>
        </w:tc>
        <w:tc>
          <w:tcPr>
            <w:tcW w:w="1133" w:type="dxa"/>
          </w:tcPr>
          <w:p>
            <w:pPr>
              <w:pStyle w:val="nTable"/>
              <w:spacing w:after="40"/>
            </w:pPr>
            <w:r>
              <w:t>8 Jul 1997</w:t>
            </w:r>
          </w:p>
        </w:tc>
        <w:tc>
          <w:tcPr>
            <w:tcW w:w="2549" w:type="dxa"/>
          </w:tcPr>
          <w:p>
            <w:pPr>
              <w:pStyle w:val="nTable"/>
              <w:spacing w:after="40"/>
            </w:pPr>
            <w:r>
              <w:t xml:space="preserve">1 Aug 1997 (see s. 2 and </w:t>
            </w:r>
            <w:r>
              <w:rPr>
                <w:i/>
              </w:rPr>
              <w:t>Gazette</w:t>
            </w:r>
            <w:r>
              <w:t xml:space="preserve"> 25 Jul 1997 p. 3907)</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3 Sep 1997 </w:t>
            </w:r>
            <w:r>
              <w:t xml:space="preserve">(includes amendments listed above except those in the </w:t>
            </w:r>
            <w:r>
              <w:rPr>
                <w:i/>
              </w:rPr>
              <w:t>Acts Amendment (ICWA) Act 1996</w:t>
            </w:r>
            <w:r>
              <w:t>)</w:t>
            </w:r>
          </w:p>
        </w:tc>
      </w:tr>
      <w:tr>
        <w:trPr>
          <w:gridBefore w:val="1"/>
          <w:wBefore w:w="6" w:type="dxa"/>
          <w:cantSplit/>
        </w:trPr>
        <w:tc>
          <w:tcPr>
            <w:tcW w:w="2266" w:type="dxa"/>
          </w:tcPr>
          <w:p>
            <w:pPr>
              <w:pStyle w:val="nTable"/>
              <w:spacing w:after="40"/>
            </w:pPr>
            <w:r>
              <w:rPr>
                <w:i/>
              </w:rPr>
              <w:t xml:space="preserve">Professional Standards Act 1997 </w:t>
            </w:r>
            <w:r>
              <w:t>s. 58</w:t>
            </w:r>
          </w:p>
        </w:tc>
        <w:tc>
          <w:tcPr>
            <w:tcW w:w="1133" w:type="dxa"/>
          </w:tcPr>
          <w:p>
            <w:pPr>
              <w:pStyle w:val="nTable"/>
              <w:spacing w:after="40"/>
            </w:pPr>
            <w:r>
              <w:t>22 of 1997</w:t>
            </w:r>
          </w:p>
        </w:tc>
        <w:tc>
          <w:tcPr>
            <w:tcW w:w="1133" w:type="dxa"/>
          </w:tcPr>
          <w:p>
            <w:pPr>
              <w:pStyle w:val="nTable"/>
              <w:spacing w:after="40"/>
            </w:pPr>
            <w:r>
              <w:t>18 Sep 1997</w:t>
            </w:r>
          </w:p>
        </w:tc>
        <w:tc>
          <w:tcPr>
            <w:tcW w:w="2549" w:type="dxa"/>
          </w:tcPr>
          <w:p>
            <w:pPr>
              <w:pStyle w:val="nTable"/>
              <w:spacing w:after="40"/>
            </w:pPr>
            <w:r>
              <w:t xml:space="preserve">18 Apr 1998 (see s. 2 and </w:t>
            </w:r>
            <w:r>
              <w:rPr>
                <w:i/>
              </w:rPr>
              <w:t>Gazette</w:t>
            </w:r>
            <w:r>
              <w:t xml:space="preserve"> 17 Apr 1998 p. 2045)</w:t>
            </w:r>
          </w:p>
        </w:tc>
      </w:tr>
      <w:tr>
        <w:trPr>
          <w:gridBefore w:val="1"/>
          <w:wBefore w:w="6" w:type="dxa"/>
          <w:cantSplit/>
        </w:trPr>
        <w:tc>
          <w:tcPr>
            <w:tcW w:w="2266" w:type="dxa"/>
          </w:tcPr>
          <w:p>
            <w:pPr>
              <w:pStyle w:val="nTable"/>
              <w:spacing w:after="40"/>
            </w:pPr>
            <w:r>
              <w:rPr>
                <w:i/>
              </w:rPr>
              <w:t xml:space="preserve">Statutes (Repeals and Minor Amendments) Act 1997 </w:t>
            </w:r>
            <w:r>
              <w:t>s. 99</w:t>
            </w:r>
          </w:p>
        </w:tc>
        <w:tc>
          <w:tcPr>
            <w:tcW w:w="1133" w:type="dxa"/>
          </w:tcPr>
          <w:p>
            <w:pPr>
              <w:pStyle w:val="nTable"/>
              <w:spacing w:after="40"/>
            </w:pPr>
            <w:r>
              <w:t>57 of 1997</w:t>
            </w:r>
          </w:p>
        </w:tc>
        <w:tc>
          <w:tcPr>
            <w:tcW w:w="1133" w:type="dxa"/>
          </w:tcPr>
          <w:p>
            <w:pPr>
              <w:pStyle w:val="nTable"/>
              <w:spacing w:after="40"/>
            </w:pPr>
            <w:r>
              <w:t>15 Dec 1997</w:t>
            </w:r>
          </w:p>
        </w:tc>
        <w:tc>
          <w:tcPr>
            <w:tcW w:w="2549" w:type="dxa"/>
          </w:tcPr>
          <w:p>
            <w:pPr>
              <w:pStyle w:val="nTable"/>
              <w:spacing w:after="40"/>
            </w:pPr>
            <w:r>
              <w:t>15 Dec 1997 (see s. 2(1))</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1998</w:t>
            </w:r>
            <w:r>
              <w:t xml:space="preserve"> published in </w:t>
            </w:r>
            <w:r>
              <w:rPr>
                <w:i/>
              </w:rPr>
              <w:t xml:space="preserve">Gazette </w:t>
            </w:r>
            <w:r>
              <w:t>24 Mar 1998 p. 1620</w:t>
            </w:r>
            <w:r>
              <w:noBreakHyphen/>
              <w:t>1</w:t>
            </w:r>
          </w:p>
        </w:tc>
        <w:tc>
          <w:tcPr>
            <w:tcW w:w="2549" w:type="dxa"/>
          </w:tcPr>
          <w:p>
            <w:pPr>
              <w:pStyle w:val="nTable"/>
              <w:spacing w:after="40"/>
            </w:pPr>
            <w:r>
              <w:t>24 Mar 1998</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1998</w:t>
            </w:r>
            <w:r>
              <w:t xml:space="preserve"> published in </w:t>
            </w:r>
            <w:r>
              <w:rPr>
                <w:i/>
              </w:rPr>
              <w:t xml:space="preserve">Gazette </w:t>
            </w:r>
            <w:r>
              <w:t>17 Jul 1998 p. 3798</w:t>
            </w:r>
          </w:p>
        </w:tc>
        <w:tc>
          <w:tcPr>
            <w:tcW w:w="2549" w:type="dxa"/>
          </w:tcPr>
          <w:p>
            <w:pPr>
              <w:pStyle w:val="nTable"/>
              <w:spacing w:after="40"/>
            </w:pPr>
            <w:r>
              <w:t>17 Jul 1998</w:t>
            </w:r>
          </w:p>
        </w:tc>
      </w:tr>
      <w:tr>
        <w:trPr>
          <w:gridBefore w:val="1"/>
          <w:wBefore w:w="6" w:type="dxa"/>
          <w:cantSplit/>
        </w:trPr>
        <w:tc>
          <w:tcPr>
            <w:tcW w:w="2266" w:type="dxa"/>
          </w:tcPr>
          <w:p>
            <w:pPr>
              <w:pStyle w:val="nTable"/>
              <w:spacing w:after="40"/>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 </w:t>
            </w:r>
            <w:r>
              <w:t>s. 38</w:t>
            </w:r>
          </w:p>
        </w:tc>
        <w:tc>
          <w:tcPr>
            <w:tcW w:w="1133" w:type="dxa"/>
          </w:tcPr>
          <w:p>
            <w:pPr>
              <w:pStyle w:val="nTable"/>
              <w:spacing w:after="40"/>
            </w:pPr>
            <w:r>
              <w:t>42 of 1998</w:t>
            </w:r>
          </w:p>
        </w:tc>
        <w:tc>
          <w:tcPr>
            <w:tcW w:w="1133" w:type="dxa"/>
          </w:tcPr>
          <w:p>
            <w:pPr>
              <w:pStyle w:val="nTable"/>
              <w:spacing w:after="40"/>
            </w:pPr>
            <w:r>
              <w:t>4 Nov 1998</w:t>
            </w:r>
          </w:p>
        </w:tc>
        <w:tc>
          <w:tcPr>
            <w:tcW w:w="2549" w:type="dxa"/>
          </w:tcPr>
          <w:p>
            <w:pPr>
              <w:pStyle w:val="nTable"/>
              <w:spacing w:after="40"/>
            </w:pPr>
            <w:r>
              <w:t xml:space="preserve">1 Jan 1999 (see s. 2 and </w:t>
            </w:r>
            <w:r>
              <w:rPr>
                <w:i/>
              </w:rPr>
              <w:t>Gazette</w:t>
            </w:r>
            <w:r>
              <w:t xml:space="preserve"> 22 Dec 1998 p. 6833)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Organizations) Regulations (No. 3) 1998</w:t>
            </w:r>
            <w:r>
              <w:t xml:space="preserve"> published in </w:t>
            </w:r>
            <w:r>
              <w:rPr>
                <w:i/>
              </w:rPr>
              <w:t xml:space="preserve">Gazette </w:t>
            </w:r>
            <w:r>
              <w:t>24 Nov 1998 p. 6326</w:t>
            </w:r>
          </w:p>
        </w:tc>
        <w:tc>
          <w:tcPr>
            <w:tcW w:w="2549" w:type="dxa"/>
            <w:tcBorders>
              <w:top w:val="nil"/>
              <w:bottom w:val="nil"/>
            </w:tcBorders>
          </w:tcPr>
          <w:p>
            <w:pPr>
              <w:pStyle w:val="nTable"/>
              <w:spacing w:after="40"/>
            </w:pPr>
            <w:r>
              <w:t>24 Nov 1998</w:t>
            </w:r>
          </w:p>
        </w:tc>
      </w:tr>
      <w:tr>
        <w:trPr>
          <w:gridBefore w:val="1"/>
          <w:wBefore w:w="6" w:type="dxa"/>
          <w:cantSplit/>
        </w:trPr>
        <w:tc>
          <w:tcPr>
            <w:tcW w:w="2266" w:type="dxa"/>
          </w:tcPr>
          <w:p>
            <w:pPr>
              <w:pStyle w:val="nTable"/>
              <w:spacing w:after="40"/>
            </w:pPr>
            <w:r>
              <w:rPr>
                <w:i/>
              </w:rPr>
              <w:t xml:space="preserve">Botanic Gardens and Parks Authority Act 1998 </w:t>
            </w:r>
            <w:r>
              <w:t>s. 56</w:t>
            </w:r>
          </w:p>
        </w:tc>
        <w:tc>
          <w:tcPr>
            <w:tcW w:w="1133" w:type="dxa"/>
          </w:tcPr>
          <w:p>
            <w:pPr>
              <w:pStyle w:val="nTable"/>
              <w:spacing w:after="40"/>
            </w:pPr>
            <w:r>
              <w:t>53 of 1998</w:t>
            </w:r>
          </w:p>
        </w:tc>
        <w:tc>
          <w:tcPr>
            <w:tcW w:w="1133" w:type="dxa"/>
          </w:tcPr>
          <w:p>
            <w:pPr>
              <w:pStyle w:val="nTable"/>
              <w:spacing w:after="40"/>
            </w:pPr>
            <w:r>
              <w:t>7 Dec 1998</w:t>
            </w:r>
          </w:p>
        </w:tc>
        <w:tc>
          <w:tcPr>
            <w:tcW w:w="2549" w:type="dxa"/>
          </w:tcPr>
          <w:p>
            <w:pPr>
              <w:pStyle w:val="nTable"/>
              <w:spacing w:after="40"/>
            </w:pPr>
            <w:r>
              <w:t xml:space="preserve">1 Jul 1999 (see s. 2 and </w:t>
            </w:r>
            <w:r>
              <w:rPr>
                <w:i/>
              </w:rPr>
              <w:t>Gazette</w:t>
            </w:r>
            <w:r>
              <w:t xml:space="preserve"> 30 Jun 1999 p. 2879)</w:t>
            </w:r>
          </w:p>
        </w:tc>
      </w:tr>
      <w:tr>
        <w:trPr>
          <w:gridBefore w:val="1"/>
          <w:wBefore w:w="6" w:type="dxa"/>
          <w:cantSplit/>
        </w:trPr>
        <w:tc>
          <w:tcPr>
            <w:tcW w:w="7081" w:type="dxa"/>
            <w:gridSpan w:val="4"/>
          </w:tcPr>
          <w:p>
            <w:pPr>
              <w:pStyle w:val="nTable"/>
              <w:spacing w:after="40"/>
              <w:rPr>
                <w:b/>
              </w:rPr>
            </w:pPr>
            <w:r>
              <w:rPr>
                <w:b/>
              </w:rPr>
              <w:t xml:space="preserve">Reprint of the </w:t>
            </w:r>
            <w:r>
              <w:rPr>
                <w:b/>
                <w:i/>
              </w:rPr>
              <w:t>Public Sector Management Act 1994</w:t>
            </w:r>
            <w:r>
              <w:rPr>
                <w:b/>
              </w:rPr>
              <w:t xml:space="preserve"> as at 26 Mar 1999 </w:t>
            </w:r>
            <w:r>
              <w:t xml:space="preserve">(includes amendments listed above except those in the </w:t>
            </w:r>
            <w:r>
              <w:rPr>
                <w:i/>
              </w:rPr>
              <w:t>Botanic Gardens and Parks Authority Act 1998</w:t>
            </w:r>
            <w:r>
              <w:t>)</w:t>
            </w:r>
          </w:p>
        </w:tc>
      </w:tr>
      <w:tr>
        <w:trPr>
          <w:gridBefore w:val="1"/>
          <w:wBefore w:w="6" w:type="dxa"/>
          <w:cantSplit/>
        </w:trPr>
        <w:tc>
          <w:tcPr>
            <w:tcW w:w="2266" w:type="dxa"/>
          </w:tcPr>
          <w:p>
            <w:pPr>
              <w:pStyle w:val="nTable"/>
              <w:spacing w:after="40"/>
            </w:pPr>
            <w:r>
              <w:rPr>
                <w:i/>
              </w:rPr>
              <w:t xml:space="preserve">Port Authorities (Consequential Provisions) Act 1999 </w:t>
            </w:r>
            <w:r>
              <w:t>s. 21 and 23</w:t>
            </w:r>
          </w:p>
        </w:tc>
        <w:tc>
          <w:tcPr>
            <w:tcW w:w="1133" w:type="dxa"/>
          </w:tcPr>
          <w:p>
            <w:pPr>
              <w:pStyle w:val="nTable"/>
              <w:spacing w:after="40"/>
            </w:pPr>
            <w:r>
              <w:t>5 of 1999</w:t>
            </w:r>
          </w:p>
        </w:tc>
        <w:tc>
          <w:tcPr>
            <w:tcW w:w="1133" w:type="dxa"/>
          </w:tcPr>
          <w:p>
            <w:pPr>
              <w:pStyle w:val="nTable"/>
              <w:spacing w:after="40"/>
            </w:pPr>
            <w:r>
              <w:t>13 Apr 1999</w:t>
            </w:r>
          </w:p>
        </w:tc>
        <w:tc>
          <w:tcPr>
            <w:tcW w:w="2549" w:type="dxa"/>
          </w:tcPr>
          <w:p>
            <w:pPr>
              <w:pStyle w:val="nTable"/>
              <w:spacing w:after="40"/>
            </w:pPr>
            <w:r>
              <w:t xml:space="preserve">14 Aug 1999 (see s. 2 and </w:t>
            </w:r>
            <w:r>
              <w:rPr>
                <w:i/>
              </w:rPr>
              <w:t>Gazette</w:t>
            </w:r>
            <w:r>
              <w:t xml:space="preserve"> 13 Aug 1999 p. 3823)</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1999</w:t>
            </w:r>
            <w:r>
              <w:t xml:space="preserve"> published in </w:t>
            </w:r>
            <w:r>
              <w:rPr>
                <w:i/>
              </w:rPr>
              <w:t xml:space="preserve">Gazette </w:t>
            </w:r>
            <w:r>
              <w:t>14 May 1999 p. 1933</w:t>
            </w:r>
          </w:p>
        </w:tc>
        <w:tc>
          <w:tcPr>
            <w:tcW w:w="2549" w:type="dxa"/>
          </w:tcPr>
          <w:p>
            <w:pPr>
              <w:pStyle w:val="nTable"/>
              <w:spacing w:after="40"/>
            </w:pPr>
            <w:r>
              <w:t>14 May 1999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1999</w:t>
            </w:r>
            <w:r>
              <w:t xml:space="preserve"> published in </w:t>
            </w:r>
            <w:r>
              <w:rPr>
                <w:i/>
              </w:rPr>
              <w:t xml:space="preserve">Gazette </w:t>
            </w:r>
            <w:r>
              <w:t>2 Jul 1999 p. 2920</w:t>
            </w:r>
            <w:r>
              <w:noBreakHyphen/>
              <w:t>1</w:t>
            </w:r>
          </w:p>
        </w:tc>
        <w:tc>
          <w:tcPr>
            <w:tcW w:w="2549" w:type="dxa"/>
          </w:tcPr>
          <w:p>
            <w:pPr>
              <w:pStyle w:val="nTable"/>
              <w:spacing w:after="40"/>
            </w:pPr>
            <w:r>
              <w:t>2 Jul 1999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3) 1999</w:t>
            </w:r>
            <w:r>
              <w:t xml:space="preserve"> published in </w:t>
            </w:r>
            <w:r>
              <w:rPr>
                <w:i/>
              </w:rPr>
              <w:t xml:space="preserve">Gazette </w:t>
            </w:r>
            <w:r>
              <w:t>24 Sep 1999 p. 4667</w:t>
            </w:r>
            <w:r>
              <w:noBreakHyphen/>
              <w:t>8</w:t>
            </w:r>
          </w:p>
        </w:tc>
        <w:tc>
          <w:tcPr>
            <w:tcW w:w="2549" w:type="dxa"/>
          </w:tcPr>
          <w:p>
            <w:pPr>
              <w:pStyle w:val="nTable"/>
              <w:spacing w:after="40"/>
            </w:pPr>
            <w:r>
              <w:t>24 Sep 1999</w:t>
            </w:r>
          </w:p>
        </w:tc>
      </w:tr>
      <w:tr>
        <w:trPr>
          <w:gridBefore w:val="1"/>
          <w:wBefore w:w="6" w:type="dxa"/>
          <w:cantSplit/>
        </w:trPr>
        <w:tc>
          <w:tcPr>
            <w:tcW w:w="2266" w:type="dxa"/>
          </w:tcPr>
          <w:p>
            <w:pPr>
              <w:pStyle w:val="nTable"/>
              <w:spacing w:after="40"/>
            </w:pPr>
            <w:r>
              <w:rPr>
                <w:i/>
              </w:rPr>
              <w:t>Midland Redevelopment Act 1999</w:t>
            </w:r>
            <w:r>
              <w:t xml:space="preserve"> s. 75</w:t>
            </w:r>
          </w:p>
        </w:tc>
        <w:tc>
          <w:tcPr>
            <w:tcW w:w="1133" w:type="dxa"/>
          </w:tcPr>
          <w:p>
            <w:pPr>
              <w:pStyle w:val="nTable"/>
              <w:spacing w:after="40"/>
            </w:pPr>
            <w:r>
              <w:t>38 of 1999</w:t>
            </w:r>
          </w:p>
        </w:tc>
        <w:tc>
          <w:tcPr>
            <w:tcW w:w="1133" w:type="dxa"/>
          </w:tcPr>
          <w:p>
            <w:pPr>
              <w:pStyle w:val="nTable"/>
              <w:spacing w:after="40"/>
            </w:pPr>
            <w:r>
              <w:t>11 Nov 1999</w:t>
            </w:r>
          </w:p>
        </w:tc>
        <w:tc>
          <w:tcPr>
            <w:tcW w:w="2549" w:type="dxa"/>
          </w:tcPr>
          <w:p>
            <w:pPr>
              <w:pStyle w:val="nTable"/>
              <w:spacing w:after="40"/>
            </w:pPr>
            <w:r>
              <w:t xml:space="preserve">1 Jan 2000 (see s. 2 and </w:t>
            </w:r>
            <w:r>
              <w:rPr>
                <w:i/>
              </w:rPr>
              <w:t>Gazette</w:t>
            </w:r>
            <w:r>
              <w:t xml:space="preserve"> 31 Dec 1999 p. 7059)</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(Transitional) Regulations 1999</w:t>
            </w:r>
            <w:r>
              <w:t xml:space="preserve"> published in </w:t>
            </w:r>
            <w:r>
              <w:rPr>
                <w:i/>
              </w:rPr>
              <w:t xml:space="preserve">Gazette </w:t>
            </w:r>
            <w:r>
              <w:t>19 Nov 1999 p. 5794</w:t>
            </w:r>
            <w:r>
              <w:noBreakHyphen/>
              <w:t>5</w:t>
            </w:r>
          </w:p>
        </w:tc>
        <w:tc>
          <w:tcPr>
            <w:tcW w:w="2549" w:type="dxa"/>
          </w:tcPr>
          <w:p>
            <w:pPr>
              <w:pStyle w:val="nTable"/>
              <w:spacing w:after="40"/>
            </w:pPr>
            <w:r>
              <w:t>19 Nov 1999</w:t>
            </w:r>
          </w:p>
        </w:tc>
      </w:tr>
      <w:tr>
        <w:trPr>
          <w:gridBefore w:val="1"/>
          <w:wBefore w:w="6" w:type="dxa"/>
          <w:cantSplit/>
        </w:trPr>
        <w:tc>
          <w:tcPr>
            <w:tcW w:w="2266" w:type="dxa"/>
          </w:tcPr>
          <w:p>
            <w:pPr>
              <w:pStyle w:val="nTable"/>
              <w:spacing w:after="40"/>
            </w:pPr>
            <w:r>
              <w:rPr>
                <w:i/>
              </w:rPr>
              <w:t xml:space="preserve">Gas Corporation (Business Disposal) Act 1999 </w:t>
            </w:r>
            <w:r>
              <w:t>s. 106</w:t>
            </w:r>
          </w:p>
        </w:tc>
        <w:tc>
          <w:tcPr>
            <w:tcW w:w="1133" w:type="dxa"/>
          </w:tcPr>
          <w:p>
            <w:pPr>
              <w:pStyle w:val="nTable"/>
              <w:spacing w:after="40"/>
            </w:pPr>
            <w:r>
              <w:t>58 of 1999</w:t>
            </w:r>
          </w:p>
        </w:tc>
        <w:tc>
          <w:tcPr>
            <w:tcW w:w="1133" w:type="dxa"/>
          </w:tcPr>
          <w:p>
            <w:pPr>
              <w:pStyle w:val="nTable"/>
              <w:spacing w:after="40"/>
            </w:pPr>
            <w:r>
              <w:t>24 Dec 1999</w:t>
            </w:r>
          </w:p>
        </w:tc>
        <w:tc>
          <w:tcPr>
            <w:tcW w:w="2549" w:type="dxa"/>
          </w:tcPr>
          <w:p>
            <w:pPr>
              <w:pStyle w:val="nTable"/>
              <w:spacing w:after="40"/>
            </w:pPr>
            <w:r>
              <w:t xml:space="preserve">16 Dec 2000 (see s. 2(5) and </w:t>
            </w:r>
            <w:r>
              <w:rPr>
                <w:i/>
              </w:rPr>
              <w:t>Gazette</w:t>
            </w:r>
            <w:r>
              <w:t xml:space="preserve"> 15 Dec 2000 p. 7201)</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2000</w:t>
            </w:r>
            <w:r>
              <w:t xml:space="preserve"> published in </w:t>
            </w:r>
            <w:r>
              <w:rPr>
                <w:i/>
              </w:rPr>
              <w:t xml:space="preserve">Gazette </w:t>
            </w:r>
            <w:r>
              <w:t>11 Feb 2000 p. 504</w:t>
            </w:r>
          </w:p>
        </w:tc>
        <w:tc>
          <w:tcPr>
            <w:tcW w:w="2549" w:type="dxa"/>
          </w:tcPr>
          <w:p>
            <w:pPr>
              <w:pStyle w:val="nTable"/>
              <w:spacing w:after="40"/>
            </w:pPr>
            <w:r>
              <w:t>11 Feb 2000</w:t>
            </w:r>
          </w:p>
        </w:tc>
      </w:tr>
      <w:tr>
        <w:tblPrEx>
          <w:tblBorders>
            <w:top w:val="single" w:sz="4" w:space="0" w:color="auto"/>
            <w:bottom w:val="single" w:sz="4" w:space="0" w:color="auto"/>
          </w:tblBorders>
        </w:tblPrEx>
        <w:trPr>
          <w:gridBefore w:val="1"/>
          <w:wBefore w:w="6" w:type="dxa"/>
          <w:cantSplit/>
        </w:trPr>
        <w:tc>
          <w:tcPr>
            <w:tcW w:w="4532" w:type="dxa"/>
            <w:gridSpan w:val="3"/>
          </w:tcPr>
          <w:p>
            <w:pPr>
              <w:pStyle w:val="nTable"/>
              <w:spacing w:after="40"/>
            </w:pPr>
            <w:r>
              <w:rPr>
                <w:i/>
              </w:rPr>
              <w:t>Public Sector Management (SES Organizations) Regulations (No. 2) 2000</w:t>
            </w:r>
            <w:r>
              <w:t xml:space="preserve"> published in </w:t>
            </w:r>
            <w:r>
              <w:rPr>
                <w:i/>
              </w:rPr>
              <w:t xml:space="preserve">Gazette </w:t>
            </w:r>
            <w:r>
              <w:t>9 May 2000 p. 2236</w:t>
            </w:r>
          </w:p>
        </w:tc>
        <w:tc>
          <w:tcPr>
            <w:tcW w:w="2549" w:type="dxa"/>
          </w:tcPr>
          <w:p>
            <w:pPr>
              <w:pStyle w:val="nTable"/>
              <w:spacing w:after="40"/>
            </w:pPr>
            <w:r>
              <w:t>9 May 2000</w:t>
            </w:r>
          </w:p>
        </w:tc>
      </w:tr>
      <w:tr>
        <w:trPr>
          <w:gridBefore w:val="1"/>
          <w:wBefore w:w="6" w:type="dxa"/>
          <w:cantSplit/>
        </w:trPr>
        <w:tc>
          <w:tcPr>
            <w:tcW w:w="7081" w:type="dxa"/>
            <w:gridSpan w:val="4"/>
          </w:tcPr>
          <w:p>
            <w:pPr>
              <w:pStyle w:val="nTable"/>
              <w:spacing w:after="40"/>
            </w:pPr>
            <w:r>
              <w:rPr>
                <w:b/>
              </w:rPr>
              <w:t xml:space="preserve">Reprint of the </w:t>
            </w:r>
            <w:r>
              <w:rPr>
                <w:b/>
                <w:i/>
              </w:rPr>
              <w:t>Public Sector Management Act 1994</w:t>
            </w:r>
            <w:r>
              <w:rPr>
                <w:b/>
              </w:rPr>
              <w:t xml:space="preserve"> as at 9 Jun 2000 </w:t>
            </w:r>
            <w:r>
              <w:t xml:space="preserve">(includes amendments listed above except those in the </w:t>
            </w:r>
            <w:r>
              <w:rPr>
                <w:i/>
              </w:rPr>
              <w:t>Gas Corporation (Business Disposal) Act 1999</w:t>
            </w:r>
            <w:r>
              <w:t>)</w:t>
            </w:r>
          </w:p>
        </w:tc>
      </w:tr>
      <w:tr>
        <w:trPr>
          <w:gridBefore w:val="1"/>
          <w:wBefore w:w="6" w:type="dxa"/>
          <w:cantSplit/>
        </w:trPr>
        <w:tc>
          <w:tcPr>
            <w:tcW w:w="2266" w:type="dxa"/>
          </w:tcPr>
          <w:p>
            <w:pPr>
              <w:pStyle w:val="nTable"/>
              <w:spacing w:after="40"/>
            </w:pPr>
            <w:r>
              <w:rPr>
                <w:i/>
              </w:rPr>
              <w:t>Statutes (Repeals and Minor Amendments) Act 2000</w:t>
            </w:r>
            <w:r>
              <w:t xml:space="preserve"> s. 14(13) and 34</w:t>
            </w:r>
          </w:p>
        </w:tc>
        <w:tc>
          <w:tcPr>
            <w:tcW w:w="1133" w:type="dxa"/>
          </w:tcPr>
          <w:p>
            <w:pPr>
              <w:pStyle w:val="nTable"/>
              <w:spacing w:after="40"/>
            </w:pPr>
            <w:r>
              <w:t>24 of 2000</w:t>
            </w:r>
          </w:p>
        </w:tc>
        <w:tc>
          <w:tcPr>
            <w:tcW w:w="1133" w:type="dxa"/>
          </w:tcPr>
          <w:p>
            <w:pPr>
              <w:pStyle w:val="nTable"/>
              <w:spacing w:after="40"/>
            </w:pPr>
            <w:r>
              <w:t>4 Jul 2000</w:t>
            </w:r>
          </w:p>
        </w:tc>
        <w:tc>
          <w:tcPr>
            <w:tcW w:w="2549" w:type="dxa"/>
          </w:tcPr>
          <w:p>
            <w:pPr>
              <w:pStyle w:val="nTable"/>
              <w:spacing w:after="40"/>
            </w:pPr>
            <w:r>
              <w:t>4 Jul 2000 (see s. 2)</w:t>
            </w:r>
          </w:p>
        </w:tc>
      </w:tr>
      <w:tr>
        <w:trPr>
          <w:gridBefore w:val="1"/>
          <w:wBefore w:w="6" w:type="dxa"/>
          <w:cantSplit/>
        </w:trPr>
        <w:tc>
          <w:tcPr>
            <w:tcW w:w="2266" w:type="dxa"/>
          </w:tcPr>
          <w:p>
            <w:pPr>
              <w:pStyle w:val="nTable"/>
              <w:spacing w:after="40"/>
            </w:pPr>
            <w:r>
              <w:rPr>
                <w:i/>
              </w:rPr>
              <w:t>Dairy Industry and Herd Improvement Legislation Repeal Act 2000</w:t>
            </w:r>
            <w:r>
              <w:t xml:space="preserve"> s. 20 and 34</w:t>
            </w:r>
          </w:p>
        </w:tc>
        <w:tc>
          <w:tcPr>
            <w:tcW w:w="1133" w:type="dxa"/>
          </w:tcPr>
          <w:p>
            <w:pPr>
              <w:pStyle w:val="nTable"/>
              <w:spacing w:after="40"/>
            </w:pPr>
            <w:r>
              <w:t>25 of 2000</w:t>
            </w:r>
          </w:p>
        </w:tc>
        <w:tc>
          <w:tcPr>
            <w:tcW w:w="1133" w:type="dxa"/>
          </w:tcPr>
          <w:p>
            <w:pPr>
              <w:pStyle w:val="nTable"/>
              <w:spacing w:after="40"/>
            </w:pPr>
            <w:r>
              <w:t>5 Jul 2000</w:t>
            </w:r>
          </w:p>
        </w:tc>
        <w:tc>
          <w:tcPr>
            <w:tcW w:w="2549" w:type="dxa"/>
          </w:tcPr>
          <w:p>
            <w:pPr>
              <w:pStyle w:val="nTable"/>
              <w:spacing w:after="40"/>
            </w:pPr>
            <w:r>
              <w:t>s. 20: 14 Jul 2000</w:t>
            </w:r>
            <w:r>
              <w:rPr>
                <w:b/>
              </w:rPr>
              <w:t xml:space="preserve"> </w:t>
            </w:r>
            <w:r>
              <w:t xml:space="preserve">(see s. 2(2) and </w:t>
            </w:r>
            <w:r>
              <w:rPr>
                <w:i/>
              </w:rPr>
              <w:t>Gazette</w:t>
            </w:r>
            <w:r>
              <w:t xml:space="preserve"> 14 Jul 2000 p. 3841); </w:t>
            </w:r>
            <w:r>
              <w:br/>
              <w:t xml:space="preserve">s. 34: 1 Aug 2000 (see s. 2(3) and </w:t>
            </w:r>
            <w:r>
              <w:rPr>
                <w:i/>
              </w:rPr>
              <w:t>Gazette</w:t>
            </w:r>
            <w:r>
              <w:t xml:space="preserve"> 14 Jul 2000 p. 3841)</w:t>
            </w:r>
          </w:p>
        </w:tc>
      </w:tr>
      <w:tr>
        <w:tblPrEx>
          <w:tblBorders>
            <w:top w:val="single" w:sz="4" w:space="0" w:color="auto"/>
            <w:bottom w:val="single" w:sz="4" w:space="0" w:color="auto"/>
          </w:tblBorders>
        </w:tblPrEx>
        <w:trPr>
          <w:gridBefore w:val="1"/>
          <w:wBefore w:w="6" w:type="dxa"/>
          <w:cantSplit/>
        </w:trPr>
        <w:tc>
          <w:tcPr>
            <w:tcW w:w="4532" w:type="dxa"/>
            <w:gridSpan w:val="3"/>
            <w:tcBorders>
              <w:bottom w:val="nil"/>
            </w:tcBorders>
          </w:tcPr>
          <w:p>
            <w:pPr>
              <w:pStyle w:val="nTable"/>
              <w:spacing w:after="40"/>
            </w:pPr>
            <w:r>
              <w:rPr>
                <w:i/>
              </w:rPr>
              <w:t>Public Sector Management (SES Organisations) Regulations (No. 3) 2000</w:t>
            </w:r>
            <w:r>
              <w:t xml:space="preserve"> published in </w:t>
            </w:r>
            <w:r>
              <w:rPr>
                <w:i/>
              </w:rPr>
              <w:t xml:space="preserve">Gazette </w:t>
            </w:r>
            <w:r>
              <w:t>11 Aug 2000 p. 4697</w:t>
            </w:r>
          </w:p>
        </w:tc>
        <w:tc>
          <w:tcPr>
            <w:tcW w:w="2549" w:type="dxa"/>
            <w:tcBorders>
              <w:bottom w:val="nil"/>
            </w:tcBorders>
          </w:tcPr>
          <w:p>
            <w:pPr>
              <w:pStyle w:val="nTable"/>
              <w:spacing w:after="40"/>
            </w:pPr>
            <w:r>
              <w:t>11 Aug 2000</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4) 2000</w:t>
            </w:r>
            <w:r>
              <w:t xml:space="preserve"> published in </w:t>
            </w:r>
            <w:r>
              <w:rPr>
                <w:i/>
              </w:rPr>
              <w:t xml:space="preserve">Gazette </w:t>
            </w:r>
            <w:r>
              <w:t>15 Sep 2000 p. 5388</w:t>
            </w:r>
            <w:r>
              <w:noBreakHyphen/>
              <w:t>9</w:t>
            </w:r>
          </w:p>
        </w:tc>
        <w:tc>
          <w:tcPr>
            <w:tcW w:w="2549" w:type="dxa"/>
            <w:tcBorders>
              <w:top w:val="nil"/>
              <w:bottom w:val="nil"/>
            </w:tcBorders>
          </w:tcPr>
          <w:p>
            <w:pPr>
              <w:pStyle w:val="nTable"/>
              <w:spacing w:after="40"/>
            </w:pPr>
            <w:r>
              <w:t>15 Sep 2000</w:t>
            </w:r>
          </w:p>
        </w:tc>
      </w:tr>
      <w:tr>
        <w:trPr>
          <w:gridBefore w:val="1"/>
          <w:wBefore w:w="6" w:type="dxa"/>
          <w:cantSplit/>
        </w:trPr>
        <w:tc>
          <w:tcPr>
            <w:tcW w:w="2266" w:type="dxa"/>
          </w:tcPr>
          <w:p>
            <w:pPr>
              <w:pStyle w:val="nTable"/>
              <w:spacing w:after="40"/>
            </w:pPr>
            <w:r>
              <w:rPr>
                <w:i/>
              </w:rPr>
              <w:t xml:space="preserve">Electoral Amendment Act 2000 </w:t>
            </w:r>
            <w:r>
              <w:t>s. 24</w:t>
            </w:r>
          </w:p>
        </w:tc>
        <w:tc>
          <w:tcPr>
            <w:tcW w:w="1133" w:type="dxa"/>
          </w:tcPr>
          <w:p>
            <w:pPr>
              <w:pStyle w:val="nTable"/>
              <w:spacing w:after="40"/>
            </w:pPr>
            <w:r>
              <w:t>36 of 2000</w:t>
            </w:r>
          </w:p>
        </w:tc>
        <w:tc>
          <w:tcPr>
            <w:tcW w:w="1133" w:type="dxa"/>
          </w:tcPr>
          <w:p>
            <w:pPr>
              <w:pStyle w:val="nTable"/>
              <w:spacing w:after="40"/>
            </w:pPr>
            <w:r>
              <w:t>10 Oct 2000</w:t>
            </w:r>
          </w:p>
        </w:tc>
        <w:tc>
          <w:tcPr>
            <w:tcW w:w="2549" w:type="dxa"/>
          </w:tcPr>
          <w:p>
            <w:pPr>
              <w:pStyle w:val="nTable"/>
              <w:spacing w:after="40"/>
            </w:pPr>
            <w:r>
              <w:t xml:space="preserve">21 Oct 2000 (see s. 2 and </w:t>
            </w:r>
            <w:r>
              <w:rPr>
                <w:i/>
              </w:rPr>
              <w:t>Gazette</w:t>
            </w:r>
            <w:r>
              <w:t xml:space="preserve"> 20 Oct 2000 p. 5899)</w:t>
            </w:r>
          </w:p>
        </w:tc>
      </w:tr>
      <w:tr>
        <w:trPr>
          <w:gridBefore w:val="1"/>
          <w:wBefore w:w="6" w:type="dxa"/>
          <w:cantSplit/>
        </w:trPr>
        <w:tc>
          <w:tcPr>
            <w:tcW w:w="2266" w:type="dxa"/>
          </w:tcPr>
          <w:p>
            <w:pPr>
              <w:pStyle w:val="nTable"/>
              <w:spacing w:after="40"/>
            </w:pPr>
            <w:r>
              <w:rPr>
                <w:i/>
              </w:rPr>
              <w:t xml:space="preserve">State Superannuation (Transitional and Consequential Provisions) Act 2000 </w:t>
            </w:r>
            <w:r>
              <w:t>s. 59(b)</w:t>
            </w:r>
          </w:p>
        </w:tc>
        <w:tc>
          <w:tcPr>
            <w:tcW w:w="1133" w:type="dxa"/>
          </w:tcPr>
          <w:p>
            <w:pPr>
              <w:pStyle w:val="nTable"/>
              <w:spacing w:after="40"/>
            </w:pPr>
            <w:r>
              <w:t>43 of 2000</w:t>
            </w:r>
          </w:p>
        </w:tc>
        <w:tc>
          <w:tcPr>
            <w:tcW w:w="1133" w:type="dxa"/>
          </w:tcPr>
          <w:p>
            <w:pPr>
              <w:pStyle w:val="nTable"/>
              <w:spacing w:after="40"/>
            </w:pPr>
            <w:r>
              <w:t>2 Nov 2000</w:t>
            </w:r>
          </w:p>
        </w:tc>
        <w:tc>
          <w:tcPr>
            <w:tcW w:w="2549" w:type="dxa"/>
          </w:tcPr>
          <w:p>
            <w:pPr>
              <w:pStyle w:val="nTable"/>
              <w:spacing w:after="40"/>
            </w:pPr>
            <w:r>
              <w:t xml:space="preserve">17 Feb 2001 (see s. 2(1) and </w:t>
            </w:r>
            <w:r>
              <w:rPr>
                <w:i/>
              </w:rPr>
              <w:t>Gazette</w:t>
            </w:r>
            <w:r>
              <w:t xml:space="preserve"> 16 Feb 2001 p. 903)</w:t>
            </w:r>
          </w:p>
        </w:tc>
      </w:tr>
      <w:tr>
        <w:trPr>
          <w:gridBefore w:val="1"/>
          <w:wBefore w:w="6" w:type="dxa"/>
          <w:cantSplit/>
        </w:trPr>
        <w:tc>
          <w:tcPr>
            <w:tcW w:w="2266" w:type="dxa"/>
          </w:tcPr>
          <w:p>
            <w:pPr>
              <w:pStyle w:val="nTable"/>
              <w:spacing w:after="40"/>
            </w:pPr>
            <w:r>
              <w:rPr>
                <w:i/>
              </w:rPr>
              <w:t xml:space="preserve">State Records (Consequential Provisions) Act 2000 </w:t>
            </w:r>
            <w:r>
              <w:t>Pt. 8</w:t>
            </w:r>
          </w:p>
        </w:tc>
        <w:tc>
          <w:tcPr>
            <w:tcW w:w="1133" w:type="dxa"/>
          </w:tcPr>
          <w:p>
            <w:pPr>
              <w:pStyle w:val="nTable"/>
              <w:spacing w:after="40"/>
            </w:pPr>
            <w:r>
              <w:t>53 of 2000</w:t>
            </w:r>
          </w:p>
        </w:tc>
        <w:tc>
          <w:tcPr>
            <w:tcW w:w="1133" w:type="dxa"/>
          </w:tcPr>
          <w:p>
            <w:pPr>
              <w:pStyle w:val="nTable"/>
              <w:spacing w:after="40"/>
            </w:pPr>
            <w:r>
              <w:t>28 Nov 2000</w:t>
            </w:r>
          </w:p>
        </w:tc>
        <w:tc>
          <w:tcPr>
            <w:tcW w:w="2549" w:type="dxa"/>
          </w:tcPr>
          <w:p>
            <w:pPr>
              <w:pStyle w:val="nTable"/>
              <w:spacing w:after="40"/>
            </w:pPr>
            <w:r>
              <w:t xml:space="preserve">1 Dec 2001 (see s. 2 and </w:t>
            </w:r>
            <w:r>
              <w:rPr>
                <w:i/>
              </w:rPr>
              <w:t>Gazette</w:t>
            </w:r>
            <w:r>
              <w:t xml:space="preserve"> 30 Nov 2001 p. 6067)</w:t>
            </w:r>
          </w:p>
        </w:tc>
      </w:tr>
      <w:tr>
        <w:trPr>
          <w:gridBefore w:val="1"/>
          <w:wBefore w:w="6" w:type="dxa"/>
          <w:cantSplit/>
        </w:trPr>
        <w:tc>
          <w:tcPr>
            <w:tcW w:w="2266" w:type="dxa"/>
          </w:tcPr>
          <w:p>
            <w:pPr>
              <w:pStyle w:val="nTable"/>
              <w:spacing w:after="40"/>
            </w:pPr>
            <w:r>
              <w:rPr>
                <w:i/>
              </w:rPr>
              <w:t xml:space="preserve">Rural Business Development Corporation Act 2000 </w:t>
            </w:r>
            <w:r>
              <w:t>s. 44</w:t>
            </w:r>
          </w:p>
        </w:tc>
        <w:tc>
          <w:tcPr>
            <w:tcW w:w="1133" w:type="dxa"/>
          </w:tcPr>
          <w:p>
            <w:pPr>
              <w:pStyle w:val="nTable"/>
              <w:spacing w:after="40"/>
            </w:pPr>
            <w:r>
              <w:t>72 of 2000</w:t>
            </w:r>
          </w:p>
        </w:tc>
        <w:tc>
          <w:tcPr>
            <w:tcW w:w="1133" w:type="dxa"/>
          </w:tcPr>
          <w:p>
            <w:pPr>
              <w:pStyle w:val="nTable"/>
              <w:spacing w:after="40"/>
            </w:pPr>
            <w:r>
              <w:t>6 Dec 2000</w:t>
            </w:r>
          </w:p>
        </w:tc>
        <w:tc>
          <w:tcPr>
            <w:tcW w:w="2549" w:type="dxa"/>
          </w:tcPr>
          <w:p>
            <w:pPr>
              <w:pStyle w:val="nTable"/>
              <w:spacing w:after="40"/>
            </w:pPr>
            <w:r>
              <w:t xml:space="preserve">20 Dec 2000 (see s. 2 and </w:t>
            </w:r>
            <w:r>
              <w:rPr>
                <w:i/>
              </w:rPr>
              <w:t>Gazette</w:t>
            </w:r>
            <w:r>
              <w:t xml:space="preserve"> 19 Dec 2000 p. 7273)</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5) 2000</w:t>
            </w:r>
            <w:r>
              <w:t xml:space="preserve"> published in </w:t>
            </w:r>
            <w:r>
              <w:rPr>
                <w:i/>
              </w:rPr>
              <w:t xml:space="preserve">Gazette </w:t>
            </w:r>
            <w:r>
              <w:t>19 Dec 2000 p. 7298</w:t>
            </w:r>
            <w:r>
              <w:noBreakHyphen/>
              <w:t>9</w:t>
            </w:r>
          </w:p>
        </w:tc>
        <w:tc>
          <w:tcPr>
            <w:tcW w:w="2549" w:type="dxa"/>
            <w:tcBorders>
              <w:top w:val="nil"/>
              <w:bottom w:val="nil"/>
            </w:tcBorders>
          </w:tcPr>
          <w:p>
            <w:pPr>
              <w:pStyle w:val="nTable"/>
              <w:spacing w:after="40"/>
            </w:pPr>
            <w:r>
              <w:t>19 Dec 2000</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(No. 6) 2000</w:t>
            </w:r>
            <w:r>
              <w:t xml:space="preserve"> published in </w:t>
            </w:r>
            <w:r>
              <w:rPr>
                <w:i/>
              </w:rPr>
              <w:t xml:space="preserve">Gazette </w:t>
            </w:r>
            <w:r>
              <w:t>29 Dec 2000 p. 7985</w:t>
            </w:r>
          </w:p>
        </w:tc>
        <w:tc>
          <w:tcPr>
            <w:tcW w:w="2549" w:type="dxa"/>
            <w:tcBorders>
              <w:top w:val="nil"/>
              <w:bottom w:val="nil"/>
            </w:tcBorders>
          </w:tcPr>
          <w:p>
            <w:pPr>
              <w:pStyle w:val="nTable"/>
              <w:spacing w:after="40"/>
            </w:pPr>
            <w:r>
              <w:t>1 Jan 2001 (see r. 2)</w:t>
            </w:r>
          </w:p>
        </w:tc>
      </w:tr>
      <w:tr>
        <w:tblPrEx>
          <w:tblBorders>
            <w:top w:val="single" w:sz="4" w:space="0" w:color="auto"/>
            <w:bottom w:val="single" w:sz="4" w:space="0" w:color="auto"/>
          </w:tblBorders>
        </w:tblPrEx>
        <w:trPr>
          <w:gridBefore w:val="1"/>
          <w:wBefore w:w="6" w:type="dxa"/>
          <w:cantSplit/>
        </w:trPr>
        <w:tc>
          <w:tcPr>
            <w:tcW w:w="4532" w:type="dxa"/>
            <w:gridSpan w:val="3"/>
            <w:tcBorders>
              <w:top w:val="nil"/>
              <w:bottom w:val="nil"/>
            </w:tcBorders>
          </w:tcPr>
          <w:p>
            <w:pPr>
              <w:pStyle w:val="nTable"/>
              <w:spacing w:after="40"/>
            </w:pPr>
            <w:r>
              <w:rPr>
                <w:i/>
              </w:rPr>
              <w:t>Public Sector Management (SES Organisations) Regulations 2001</w:t>
            </w:r>
            <w:r>
              <w:t xml:space="preserve"> published in </w:t>
            </w:r>
            <w:r>
              <w:rPr>
                <w:i/>
              </w:rPr>
              <w:t xml:space="preserve">Gazette </w:t>
            </w:r>
            <w:r>
              <w:t>9 Feb 2001 p. 775</w:t>
            </w:r>
          </w:p>
        </w:tc>
        <w:tc>
          <w:tcPr>
            <w:tcW w:w="2549" w:type="dxa"/>
            <w:tcBorders>
              <w:top w:val="nil"/>
              <w:bottom w:val="nil"/>
            </w:tcBorders>
          </w:tcPr>
          <w:p>
            <w:pPr>
              <w:pStyle w:val="nTable"/>
              <w:spacing w:after="40"/>
            </w:pPr>
            <w:r>
              <w:t>9 Feb 2001</w:t>
            </w:r>
          </w:p>
        </w:tc>
      </w:tr>
      <w:tr>
        <w:trPr>
          <w:gridBefore w:val="1"/>
          <w:wBefore w:w="6" w:type="dxa"/>
          <w:cantSplit/>
        </w:trPr>
        <w:tc>
          <w:tcPr>
            <w:tcW w:w="7081" w:type="dxa"/>
            <w:gridSpan w:val="4"/>
          </w:tcPr>
          <w:p>
            <w:pPr>
              <w:pStyle w:val="nTable"/>
              <w:spacing w:after="40"/>
            </w:pPr>
            <w:r>
              <w:rPr>
                <w:b/>
              </w:rPr>
              <w:t xml:space="preserve">Reprint of the </w:t>
            </w:r>
            <w:r>
              <w:rPr>
                <w:b/>
                <w:i/>
              </w:rPr>
              <w:t>Public Sector Management Act 1994</w:t>
            </w:r>
            <w:r>
              <w:rPr>
                <w:b/>
              </w:rPr>
              <w:t xml:space="preserve"> as at 9 Feb 2001 </w:t>
            </w:r>
            <w:r>
              <w:t xml:space="preserve">(includes amendments listed above except those in the </w:t>
            </w:r>
            <w:r>
              <w:rPr>
                <w:i/>
              </w:rPr>
              <w:t>State Superannuation (Transitional and Consequential Provisions) Act 2000</w:t>
            </w:r>
            <w:r>
              <w:t xml:space="preserve"> and the</w:t>
            </w:r>
            <w:r>
              <w:rPr>
                <w:i/>
              </w:rPr>
              <w:t xml:space="preserve"> State Records (Consequential Provisions) Act 2000</w:t>
            </w:r>
            <w:r>
              <w:t>)</w:t>
            </w:r>
          </w:p>
        </w:tc>
      </w:tr>
      <w:tr>
        <w:trPr>
          <w:gridBefore w:val="1"/>
          <w:wBefore w:w="6" w:type="dxa"/>
          <w:cantSplit/>
        </w:trPr>
        <w:tc>
          <w:tcPr>
            <w:tcW w:w="2266" w:type="dxa"/>
          </w:tcPr>
          <w:p>
            <w:pPr>
              <w:pStyle w:val="nTable"/>
              <w:spacing w:after="40"/>
            </w:pPr>
            <w:r>
              <w:rPr>
                <w:i/>
              </w:rPr>
              <w:t xml:space="preserve">Zoological Parks Authority Act 2001 </w:t>
            </w:r>
            <w:r>
              <w:t>s. 47</w:t>
            </w:r>
          </w:p>
        </w:tc>
        <w:tc>
          <w:tcPr>
            <w:tcW w:w="1133" w:type="dxa"/>
          </w:tcPr>
          <w:p>
            <w:pPr>
              <w:pStyle w:val="nTable"/>
              <w:spacing w:after="40"/>
            </w:pPr>
            <w:r>
              <w:t>24 of 2001</w:t>
            </w:r>
          </w:p>
        </w:tc>
        <w:tc>
          <w:tcPr>
            <w:tcW w:w="1133" w:type="dxa"/>
          </w:tcPr>
          <w:p>
            <w:pPr>
              <w:pStyle w:val="nTable"/>
              <w:spacing w:after="40"/>
            </w:pPr>
            <w:r>
              <w:t>26 Nov 2001</w:t>
            </w:r>
          </w:p>
        </w:tc>
        <w:tc>
          <w:tcPr>
            <w:tcW w:w="2549" w:type="dxa"/>
          </w:tcPr>
          <w:p>
            <w:pPr>
              <w:pStyle w:val="nTable"/>
              <w:spacing w:after="40"/>
              <w:rPr>
                <w:b/>
              </w:rPr>
            </w:pPr>
            <w:r>
              <w:t xml:space="preserve">22 May 2002 (see s. 2 and </w:t>
            </w:r>
            <w:r>
              <w:rPr>
                <w:i/>
              </w:rPr>
              <w:t>Gazette</w:t>
            </w:r>
            <w:r>
              <w:t xml:space="preserve"> 10 May 2002 p. 2445)</w:t>
            </w:r>
          </w:p>
        </w:tc>
      </w:tr>
      <w:tr>
        <w:trPr>
          <w:gridBefore w:val="1"/>
          <w:wBefore w:w="6" w:type="dxa"/>
          <w:cantSplit/>
        </w:trPr>
        <w:tc>
          <w:tcPr>
            <w:tcW w:w="2266" w:type="dxa"/>
          </w:tcPr>
          <w:p>
            <w:pPr>
              <w:pStyle w:val="nTable"/>
              <w:spacing w:after="40"/>
            </w:pPr>
            <w:r>
              <w:rPr>
                <w:i/>
              </w:rPr>
              <w:t>Labour Relations Reform Act 2002</w:t>
            </w:r>
            <w:r>
              <w:t xml:space="preserve"> s. 25</w:t>
            </w:r>
          </w:p>
        </w:tc>
        <w:tc>
          <w:tcPr>
            <w:tcW w:w="1133" w:type="dxa"/>
          </w:tcPr>
          <w:p>
            <w:pPr>
              <w:pStyle w:val="nTable"/>
              <w:spacing w:after="40"/>
            </w:pPr>
            <w:r>
              <w:t>20 of 2002</w:t>
            </w:r>
          </w:p>
        </w:tc>
        <w:tc>
          <w:tcPr>
            <w:tcW w:w="1133" w:type="dxa"/>
          </w:tcPr>
          <w:p>
            <w:pPr>
              <w:pStyle w:val="nTable"/>
              <w:spacing w:after="40"/>
            </w:pPr>
            <w:r>
              <w:t>8 Jul 2002</w:t>
            </w:r>
          </w:p>
        </w:tc>
        <w:tc>
          <w:tcPr>
            <w:tcW w:w="2549" w:type="dxa"/>
          </w:tcPr>
          <w:p>
            <w:pPr>
              <w:pStyle w:val="nTable"/>
              <w:spacing w:after="40"/>
              <w:rPr>
                <w:b/>
              </w:rPr>
            </w:pPr>
            <w:r>
              <w:t xml:space="preserve">15 Sep 2002 (see s. 2(1) and </w:t>
            </w:r>
            <w:r>
              <w:rPr>
                <w:i/>
              </w:rPr>
              <w:t>Gazette</w:t>
            </w:r>
            <w:r>
              <w:t xml:space="preserve"> 6 Sep 2002 p. 4487)</w:t>
            </w:r>
          </w:p>
        </w:tc>
      </w:tr>
      <w:tr>
        <w:trPr>
          <w:gridBefore w:val="1"/>
          <w:wBefore w:w="6" w:type="dxa"/>
          <w:cantSplit/>
        </w:trPr>
        <w:tc>
          <w:tcPr>
            <w:tcW w:w="2266" w:type="dxa"/>
          </w:tcPr>
          <w:p>
            <w:pPr>
              <w:pStyle w:val="nTable"/>
              <w:spacing w:after="40"/>
            </w:pPr>
            <w:r>
              <w:rPr>
                <w:i/>
              </w:rPr>
              <w:t>Public Interest Disclosure Act 2003</w:t>
            </w:r>
            <w:r>
              <w:t xml:space="preserve"> s. 28</w:t>
            </w:r>
          </w:p>
        </w:tc>
        <w:tc>
          <w:tcPr>
            <w:tcW w:w="1133" w:type="dxa"/>
          </w:tcPr>
          <w:p>
            <w:pPr>
              <w:pStyle w:val="nTable"/>
              <w:spacing w:after="40"/>
            </w:pPr>
            <w:r>
              <w:t>29 of 2003</w:t>
            </w:r>
          </w:p>
        </w:tc>
        <w:tc>
          <w:tcPr>
            <w:tcW w:w="1133" w:type="dxa"/>
          </w:tcPr>
          <w:p>
            <w:pPr>
              <w:pStyle w:val="nTable"/>
              <w:spacing w:after="40"/>
            </w:pPr>
            <w:r>
              <w:t>22 May 2003</w:t>
            </w:r>
          </w:p>
        </w:tc>
        <w:tc>
          <w:tcPr>
            <w:tcW w:w="2549" w:type="dxa"/>
          </w:tcPr>
          <w:p>
            <w:pPr>
              <w:pStyle w:val="nTable"/>
              <w:spacing w:after="40"/>
            </w:pPr>
            <w:r>
              <w:t xml:space="preserve">1 Jul 2003 (see s. 2 and </w:t>
            </w:r>
            <w:r>
              <w:rPr>
                <w:i/>
              </w:rPr>
              <w:t xml:space="preserve">Gazette </w:t>
            </w:r>
            <w:r>
              <w:t>27 Jun 2003 p. 2383)</w:t>
            </w:r>
          </w:p>
        </w:tc>
      </w:tr>
      <w:tr>
        <w:trPr>
          <w:gridBefore w:val="1"/>
          <w:wBefore w:w="6" w:type="dxa"/>
          <w:cantSplit/>
        </w:trPr>
        <w:tc>
          <w:tcPr>
            <w:tcW w:w="2266" w:type="dxa"/>
          </w:tcPr>
          <w:p>
            <w:pPr>
              <w:pStyle w:val="nTable"/>
              <w:spacing w:after="40"/>
            </w:pPr>
            <w:r>
              <w:rPr>
                <w:i/>
              </w:rPr>
              <w:t>Public Transport Authority Act 2003</w:t>
            </w:r>
            <w:r>
              <w:t xml:space="preserve"> s. 207</w:t>
            </w:r>
          </w:p>
        </w:tc>
        <w:tc>
          <w:tcPr>
            <w:tcW w:w="1133" w:type="dxa"/>
          </w:tcPr>
          <w:p>
            <w:pPr>
              <w:pStyle w:val="nTable"/>
              <w:spacing w:after="40"/>
            </w:pPr>
            <w:r>
              <w:t>31 of 2003</w:t>
            </w:r>
          </w:p>
        </w:tc>
        <w:tc>
          <w:tcPr>
            <w:tcW w:w="1133" w:type="dxa"/>
          </w:tcPr>
          <w:p>
            <w:pPr>
              <w:pStyle w:val="nTable"/>
              <w:spacing w:after="40"/>
            </w:pPr>
            <w:r>
              <w:t>26 May 2003</w:t>
            </w:r>
          </w:p>
        </w:tc>
        <w:tc>
          <w:tcPr>
            <w:tcW w:w="2549" w:type="dxa"/>
          </w:tcPr>
          <w:p>
            <w:pPr>
              <w:pStyle w:val="nTable"/>
              <w:spacing w:after="40"/>
            </w:pPr>
            <w:r>
              <w:t xml:space="preserve">1 Jul 2003 (see s. 2(1) and </w:t>
            </w:r>
            <w:r>
              <w:rPr>
                <w:i/>
              </w:rPr>
              <w:t xml:space="preserve">Gazette </w:t>
            </w:r>
            <w:r>
              <w:t>27 Jun 2003 p. 2384)</w:t>
            </w:r>
          </w:p>
        </w:tc>
      </w:tr>
      <w:tr>
        <w:trPr>
          <w:gridBefore w:val="1"/>
          <w:wBefore w:w="6" w:type="dxa"/>
          <w:cantSplit/>
        </w:trPr>
        <w:tc>
          <w:tcPr>
            <w:tcW w:w="2266" w:type="dxa"/>
          </w:tcPr>
          <w:p>
            <w:pPr>
              <w:pStyle w:val="nTable"/>
              <w:spacing w:after="40"/>
            </w:pPr>
            <w:r>
              <w:rPr>
                <w:i/>
              </w:rPr>
              <w:t>Racing and Gambling Legislation Amendment and Repeal Act 2003</w:t>
            </w:r>
            <w:r>
              <w:t xml:space="preserve"> s. 23 and 221(3)</w:t>
            </w:r>
          </w:p>
        </w:tc>
        <w:tc>
          <w:tcPr>
            <w:tcW w:w="1133" w:type="dxa"/>
          </w:tcPr>
          <w:p>
            <w:pPr>
              <w:pStyle w:val="nTable"/>
              <w:spacing w:after="40"/>
            </w:pPr>
            <w:r>
              <w:t>35 of 2003</w:t>
            </w:r>
          </w:p>
        </w:tc>
        <w:tc>
          <w:tcPr>
            <w:tcW w:w="1133" w:type="dxa"/>
          </w:tcPr>
          <w:p>
            <w:pPr>
              <w:pStyle w:val="nTable"/>
              <w:spacing w:after="40"/>
            </w:pPr>
            <w:r>
              <w:t>26 Jun 2003</w:t>
            </w:r>
          </w:p>
        </w:tc>
        <w:tc>
          <w:tcPr>
            <w:tcW w:w="2549" w:type="dxa"/>
          </w:tcPr>
          <w:p>
            <w:pPr>
              <w:pStyle w:val="nTable"/>
              <w:spacing w:after="40"/>
            </w:pPr>
            <w:r>
              <w:t xml:space="preserve">1 Aug 2003 (see s. 2 and </w:t>
            </w:r>
            <w:r>
              <w:rPr>
                <w:i/>
              </w:rPr>
              <w:t>Gazette</w:t>
            </w:r>
            <w:r>
              <w:t xml:space="preserve"> 29 Jul 2003 p. 3259)</w:t>
            </w:r>
          </w:p>
        </w:tc>
      </w:tr>
      <w:tr>
        <w:trPr>
          <w:gridBefore w:val="1"/>
          <w:wBefore w:w="6" w:type="dxa"/>
          <w:cantSplit/>
        </w:trPr>
        <w:tc>
          <w:tcPr>
            <w:tcW w:w="4532" w:type="dxa"/>
            <w:gridSpan w:val="3"/>
          </w:tcPr>
          <w:p>
            <w:pPr>
              <w:pStyle w:val="nTable"/>
              <w:spacing w:after="40"/>
            </w:pPr>
            <w:r>
              <w:rPr>
                <w:i/>
              </w:rPr>
              <w:t>Labour Relations Reform (Consequential Amendments) Regulations 2003</w:t>
            </w:r>
            <w:r>
              <w:t xml:space="preserve"> r. 14 published in </w:t>
            </w:r>
            <w:r>
              <w:rPr>
                <w:i/>
              </w:rPr>
              <w:t xml:space="preserve">Gazette </w:t>
            </w:r>
            <w:r>
              <w:t>15 Aug 2003 p. 3685</w:t>
            </w:r>
            <w:r>
              <w:noBreakHyphen/>
              <w:t>92</w:t>
            </w:r>
          </w:p>
        </w:tc>
        <w:tc>
          <w:tcPr>
            <w:tcW w:w="2549" w:type="dxa"/>
          </w:tcPr>
          <w:p>
            <w:pPr>
              <w:pStyle w:val="nTable"/>
              <w:spacing w:after="40" w:line="190" w:lineRule="exact"/>
            </w:pPr>
            <w:r>
              <w:t>15 Sep 2003 (see r. 2)</w:t>
            </w:r>
          </w:p>
        </w:tc>
      </w:tr>
      <w:tr>
        <w:trPr>
          <w:gridBefore w:val="1"/>
          <w:wBefore w:w="6" w:type="dxa"/>
          <w:cantSplit/>
        </w:trPr>
        <w:tc>
          <w:tcPr>
            <w:tcW w:w="2266" w:type="dxa"/>
          </w:tcPr>
          <w:p>
            <w:pPr>
              <w:pStyle w:val="nTable"/>
              <w:spacing w:after="40"/>
            </w:pPr>
            <w:r>
              <w:rPr>
                <w:i/>
              </w:rPr>
              <w:t>Economic Regulation Authority Act 2003</w:t>
            </w:r>
            <w:r>
              <w:t xml:space="preserve"> Sch. 2 Div. 11</w:t>
            </w:r>
          </w:p>
        </w:tc>
        <w:tc>
          <w:tcPr>
            <w:tcW w:w="1133" w:type="dxa"/>
          </w:tcPr>
          <w:p>
            <w:pPr>
              <w:pStyle w:val="nTable"/>
              <w:spacing w:after="40"/>
            </w:pPr>
            <w:r>
              <w:t>67 of 2003</w:t>
            </w:r>
          </w:p>
        </w:tc>
        <w:tc>
          <w:tcPr>
            <w:tcW w:w="1133" w:type="dxa"/>
          </w:tcPr>
          <w:p>
            <w:pPr>
              <w:pStyle w:val="nTable"/>
              <w:spacing w:after="40"/>
            </w:pPr>
            <w:r>
              <w:t>5 Dec 2003</w:t>
            </w:r>
          </w:p>
        </w:tc>
        <w:tc>
          <w:tcPr>
            <w:tcW w:w="2549" w:type="dxa"/>
          </w:tcPr>
          <w:p>
            <w:pPr>
              <w:pStyle w:val="nTable"/>
              <w:spacing w:after="40"/>
              <w:rPr>
                <w:b/>
              </w:rPr>
            </w:pPr>
            <w:r>
              <w:t xml:space="preserve">1 Jan 2004 (see s. 2(1) and </w:t>
            </w:r>
            <w:r>
              <w:rPr>
                <w:i/>
              </w:rPr>
              <w:t>Gazette</w:t>
            </w:r>
            <w:r>
              <w:t xml:space="preserve"> 30 Dec 2003 p. 5723)</w:t>
            </w:r>
          </w:p>
        </w:tc>
      </w:tr>
      <w:tr>
        <w:trPr>
          <w:gridBefore w:val="1"/>
          <w:wBefore w:w="6" w:type="dxa"/>
          <w:cantSplit/>
        </w:trPr>
        <w:tc>
          <w:tcPr>
            <w:tcW w:w="2266" w:type="dxa"/>
          </w:tcPr>
          <w:p>
            <w:pPr>
              <w:pStyle w:val="nTable"/>
              <w:spacing w:after="40"/>
            </w:pPr>
            <w:r>
              <w:rPr>
                <w:i/>
              </w:rPr>
              <w:t>Statutes (Repeals and Minor Amendments) Act 2003</w:t>
            </w:r>
            <w:r>
              <w:t xml:space="preserve"> s. 97</w:t>
            </w:r>
          </w:p>
        </w:tc>
        <w:tc>
          <w:tcPr>
            <w:tcW w:w="1133" w:type="dxa"/>
          </w:tcPr>
          <w:p>
            <w:pPr>
              <w:pStyle w:val="nTable"/>
              <w:spacing w:after="40"/>
            </w:pPr>
            <w:r>
              <w:t>74 of 2003</w:t>
            </w:r>
          </w:p>
        </w:tc>
        <w:tc>
          <w:tcPr>
            <w:tcW w:w="1133" w:type="dxa"/>
          </w:tcPr>
          <w:p>
            <w:pPr>
              <w:pStyle w:val="nTable"/>
              <w:spacing w:after="40"/>
            </w:pPr>
            <w:r>
              <w:t>15 Dec 2003</w:t>
            </w:r>
          </w:p>
        </w:tc>
        <w:tc>
          <w:tcPr>
            <w:tcW w:w="2549" w:type="dxa"/>
          </w:tcPr>
          <w:p>
            <w:pPr>
              <w:pStyle w:val="nTable"/>
              <w:spacing w:after="40"/>
            </w:pPr>
            <w:r>
              <w:t>15 Dec 2003 (see s. 2)</w:t>
            </w:r>
          </w:p>
        </w:tc>
      </w:tr>
      <w:tr>
        <w:trPr>
          <w:gridBefore w:val="1"/>
          <w:wBefore w:w="6" w:type="dxa"/>
          <w:cantSplit/>
        </w:trPr>
        <w:tc>
          <w:tcPr>
            <w:tcW w:w="7081" w:type="dxa"/>
            <w:gridSpan w:val="4"/>
          </w:tcPr>
          <w:p>
            <w:pPr>
              <w:pStyle w:val="nTable"/>
              <w:spacing w:after="40"/>
            </w:pPr>
            <w:r>
              <w:rPr>
                <w:b/>
              </w:rPr>
              <w:t xml:space="preserve">Reprint 6: The </w:t>
            </w:r>
            <w:r>
              <w:rPr>
                <w:b/>
                <w:i/>
              </w:rPr>
              <w:t>Public Sector Management Act 1994</w:t>
            </w:r>
            <w:r>
              <w:rPr>
                <w:b/>
              </w:rPr>
              <w:t xml:space="preserve"> as at 14 May 2004 </w:t>
            </w:r>
            <w:r>
              <w:t>(includes amendments listed above)</w:t>
            </w:r>
          </w:p>
        </w:tc>
      </w:tr>
      <w:tr>
        <w:trPr>
          <w:gridBefore w:val="1"/>
          <w:wBefore w:w="6" w:type="dxa"/>
          <w:cantSplit/>
        </w:trPr>
        <w:tc>
          <w:tcPr>
            <w:tcW w:w="2266" w:type="dxa"/>
          </w:tcPr>
          <w:p>
            <w:pPr>
              <w:pStyle w:val="nTable"/>
              <w:spacing w:after="40"/>
              <w:ind w:right="113"/>
              <w:rPr>
                <w:i/>
              </w:rPr>
            </w:pPr>
            <w:r>
              <w:rPr>
                <w:i/>
                <w:iCs/>
                <w:snapToGrid w:val="0"/>
              </w:rPr>
              <w:t>Workers’ Compensation Reform Act 2004</w:t>
            </w:r>
            <w:r>
              <w:rPr>
                <w:snapToGrid w:val="0"/>
              </w:rPr>
              <w:t xml:space="preserve"> s. 168</w:t>
            </w:r>
          </w:p>
        </w:tc>
        <w:tc>
          <w:tcPr>
            <w:tcW w:w="1133" w:type="dxa"/>
          </w:tcPr>
          <w:p>
            <w:pPr>
              <w:pStyle w:val="nTable"/>
              <w:spacing w:after="40"/>
            </w:pPr>
            <w:r>
              <w:rPr>
                <w:snapToGrid w:val="0"/>
              </w:rPr>
              <w:t>42 of 2004</w:t>
            </w:r>
          </w:p>
        </w:tc>
        <w:tc>
          <w:tcPr>
            <w:tcW w:w="1133" w:type="dxa"/>
          </w:tcPr>
          <w:p>
            <w:pPr>
              <w:pStyle w:val="nTable"/>
              <w:spacing w:after="40"/>
            </w:pPr>
            <w:r>
              <w:t>9 Nov 2004</w:t>
            </w:r>
          </w:p>
        </w:tc>
        <w:tc>
          <w:tcPr>
            <w:tcW w:w="2549" w:type="dxa"/>
          </w:tcPr>
          <w:p>
            <w:pPr>
              <w:pStyle w:val="nTable"/>
              <w:spacing w:after="40"/>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rPr>
          <w:gridBefore w:val="1"/>
          <w:wBefore w:w="6" w:type="dxa"/>
          <w:cantSplit/>
        </w:trPr>
        <w:tc>
          <w:tcPr>
            <w:tcW w:w="4532" w:type="dxa"/>
            <w:gridSpan w:val="3"/>
          </w:tcPr>
          <w:p>
            <w:pPr>
              <w:pStyle w:val="nTable"/>
              <w:spacing w:after="40"/>
              <w:rPr>
                <w:i/>
                <w:iCs/>
              </w:rPr>
            </w:pPr>
            <w:r>
              <w:rPr>
                <w:i/>
                <w:iCs/>
              </w:rPr>
              <w:t>Public Sector Management (SES Organisations) Regulations 2004</w:t>
            </w:r>
            <w:r>
              <w:t xml:space="preserve"> published in </w:t>
            </w:r>
            <w:r>
              <w:rPr>
                <w:i/>
                <w:iCs/>
              </w:rPr>
              <w:t xml:space="preserve">Gazette </w:t>
            </w:r>
            <w:r>
              <w:t>26 Nov 2004 p. 5315</w:t>
            </w:r>
            <w:r>
              <w:noBreakHyphen/>
              <w:t>16</w:t>
            </w:r>
          </w:p>
        </w:tc>
        <w:tc>
          <w:tcPr>
            <w:tcW w:w="2549" w:type="dxa"/>
          </w:tcPr>
          <w:p>
            <w:pPr>
              <w:pStyle w:val="nTable"/>
              <w:spacing w:after="40"/>
            </w:pPr>
            <w:r>
              <w:t>26 Nov 2004</w:t>
            </w:r>
          </w:p>
        </w:tc>
      </w:tr>
      <w:tr>
        <w:trPr>
          <w:gridBefore w:val="1"/>
          <w:wBefore w:w="6" w:type="dxa"/>
          <w:cantSplit/>
        </w:trPr>
        <w:tc>
          <w:tcPr>
            <w:tcW w:w="2266" w:type="dxa"/>
          </w:tcPr>
          <w:p>
            <w:pPr>
              <w:pStyle w:val="nTable"/>
              <w:spacing w:after="40"/>
            </w:pPr>
            <w:smartTag w:uri="urn:schemas-microsoft-com:office:smarttags" w:element="place">
              <w:smartTag w:uri="urn:schemas-microsoft-com:office:smarttags" w:element="PlaceName">
                <w:r>
                  <w:rPr>
                    <w:i/>
                    <w:iCs/>
                  </w:rPr>
                  <w:t>Western</w:t>
                </w:r>
              </w:smartTag>
              <w:r>
                <w:rPr>
                  <w:i/>
                  <w:iCs/>
                </w:rPr>
                <w:t xml:space="preserve"> </w:t>
              </w:r>
              <w:smartTag w:uri="urn:schemas-microsoft-com:office:smarttags" w:element="PlaceName">
                <w:r>
                  <w:rPr>
                    <w:i/>
                    <w:iCs/>
                  </w:rPr>
                  <w:t>Australian</w:t>
                </w:r>
              </w:smartTag>
              <w:r>
                <w:rPr>
                  <w:i/>
                  <w:iCs/>
                </w:rPr>
                <w:t xml:space="preserve"> </w:t>
              </w:r>
              <w:smartTag w:uri="urn:schemas-microsoft-com:office:smarttags" w:element="PlaceType">
                <w:r>
                  <w:rPr>
                    <w:i/>
                    <w:iCs/>
                  </w:rPr>
                  <w:t>Land</w:t>
                </w:r>
              </w:smartTag>
            </w:smartTag>
            <w:r>
              <w:rPr>
                <w:i/>
                <w:iCs/>
              </w:rPr>
              <w:t xml:space="preserve"> Authority Amendment Act 2004</w:t>
            </w:r>
            <w:r>
              <w:t xml:space="preserve"> s. 45</w:t>
            </w:r>
          </w:p>
        </w:tc>
        <w:tc>
          <w:tcPr>
            <w:tcW w:w="1133" w:type="dxa"/>
          </w:tcPr>
          <w:p>
            <w:pPr>
              <w:pStyle w:val="nTable"/>
              <w:spacing w:after="40"/>
            </w:pPr>
            <w:r>
              <w:t>67 of 2004</w:t>
            </w:r>
          </w:p>
        </w:tc>
        <w:tc>
          <w:tcPr>
            <w:tcW w:w="1133" w:type="dxa"/>
          </w:tcPr>
          <w:p>
            <w:pPr>
              <w:pStyle w:val="nTable"/>
              <w:spacing w:after="40"/>
            </w:pPr>
            <w:r>
              <w:t>8 Dec 2004</w:t>
            </w:r>
          </w:p>
        </w:tc>
        <w:tc>
          <w:tcPr>
            <w:tcW w:w="2549" w:type="dxa"/>
          </w:tcPr>
          <w:p>
            <w:pPr>
              <w:pStyle w:val="nTable"/>
              <w:spacing w:after="40"/>
            </w:pPr>
            <w:r>
              <w:t xml:space="preserve">25 Dec 2004 (see s. 2 and </w:t>
            </w:r>
            <w:r>
              <w:rPr>
                <w:i/>
                <w:iCs/>
              </w:rPr>
              <w:t>Gazette</w:t>
            </w:r>
            <w:r>
              <w:t xml:space="preserve"> 24 Dec 2004 p. 6247)</w:t>
            </w:r>
          </w:p>
        </w:tc>
      </w:tr>
      <w:tr>
        <w:trPr>
          <w:gridBefore w:val="1"/>
          <w:wBefore w:w="6" w:type="dxa"/>
          <w:cantSplit/>
        </w:trPr>
        <w:tc>
          <w:tcPr>
            <w:tcW w:w="2266" w:type="dxa"/>
          </w:tcPr>
          <w:p>
            <w:pPr>
              <w:pStyle w:val="nTable"/>
              <w:spacing w:after="40"/>
              <w:ind w:right="113"/>
              <w:rPr>
                <w:i/>
                <w:iCs/>
                <w:snapToGrid w:val="0"/>
              </w:rPr>
            </w:pPr>
            <w:r>
              <w:rPr>
                <w:i/>
                <w:iCs/>
                <w:snapToGrid w:val="0"/>
              </w:rPr>
              <w:t>Criminal Procedure and Appeals (Consequential and Other Provisions) Act 2004</w:t>
            </w:r>
            <w:r>
              <w:rPr>
                <w:snapToGrid w:val="0"/>
              </w:rPr>
              <w:t xml:space="preserve"> s. 82</w:t>
            </w:r>
          </w:p>
        </w:tc>
        <w:tc>
          <w:tcPr>
            <w:tcW w:w="1133" w:type="dxa"/>
          </w:tcPr>
          <w:p>
            <w:pPr>
              <w:pStyle w:val="nTable"/>
              <w:spacing w:after="40"/>
              <w:rPr>
                <w:snapToGrid w:val="0"/>
              </w:rPr>
            </w:pPr>
            <w:r>
              <w:rPr>
                <w:snapToGrid w:val="0"/>
              </w:rPr>
              <w:t>84 of 2004</w:t>
            </w:r>
          </w:p>
        </w:tc>
        <w:tc>
          <w:tcPr>
            <w:tcW w:w="1133" w:type="dxa"/>
          </w:tcPr>
          <w:p>
            <w:pPr>
              <w:pStyle w:val="nTable"/>
              <w:spacing w:after="40"/>
            </w:pPr>
            <w:r>
              <w:t>16 Dec 2004</w:t>
            </w:r>
          </w:p>
        </w:tc>
        <w:tc>
          <w:tcPr>
            <w:tcW w:w="2549" w:type="dxa"/>
          </w:tcPr>
          <w:p>
            <w:pPr>
              <w:pStyle w:val="nTable"/>
              <w:spacing w:after="40"/>
              <w:rPr>
                <w:iCs/>
                <w:snapToGrid w:val="0"/>
                <w:spacing w:val="-2"/>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6" w:type="dxa"/>
          <w:cantSplit/>
        </w:trPr>
        <w:tc>
          <w:tcPr>
            <w:tcW w:w="4532" w:type="dxa"/>
            <w:gridSpan w:val="3"/>
          </w:tcPr>
          <w:p>
            <w:pPr>
              <w:pStyle w:val="nTable"/>
              <w:spacing w:after="40"/>
            </w:pPr>
            <w:r>
              <w:rPr>
                <w:i/>
                <w:iCs/>
              </w:rPr>
              <w:t>Public Sector Management (Entities which are not Organisations) Regulations 2004</w:t>
            </w:r>
            <w:r>
              <w:t xml:space="preserve"> published in </w:t>
            </w:r>
            <w:r>
              <w:rPr>
                <w:i/>
                <w:iCs/>
              </w:rPr>
              <w:t>Gazette</w:t>
            </w:r>
            <w:r>
              <w:t xml:space="preserve"> 4 Jan 2005 p. 5</w:t>
            </w:r>
            <w:r>
              <w:noBreakHyphen/>
              <w:t>6</w:t>
            </w:r>
          </w:p>
        </w:tc>
        <w:tc>
          <w:tcPr>
            <w:tcW w:w="2549" w:type="dxa"/>
          </w:tcPr>
          <w:p>
            <w:pPr>
              <w:pStyle w:val="nTable"/>
              <w:spacing w:after="40"/>
              <w:rPr>
                <w:iCs/>
                <w:snapToGrid w:val="0"/>
                <w:spacing w:val="-2"/>
              </w:rPr>
            </w:pPr>
            <w:r>
              <w:rPr>
                <w:iCs/>
                <w:snapToGrid w:val="0"/>
                <w:spacing w:val="-2"/>
              </w:rPr>
              <w:t>4 Jan 2005</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snapToGrid w:val="0"/>
              </w:rPr>
            </w:pPr>
            <w:r>
              <w:rPr>
                <w:i/>
                <w:iCs/>
                <w:snapToGrid w:val="0"/>
              </w:rPr>
              <w:t>Financial Administration Legislation Amendment Act 2005</w:t>
            </w:r>
            <w:r>
              <w:rPr>
                <w:snapToGrid w:val="0"/>
              </w:rPr>
              <w:t xml:space="preserve"> s. 43</w:t>
            </w:r>
          </w:p>
        </w:tc>
        <w:tc>
          <w:tcPr>
            <w:tcW w:w="1133" w:type="dxa"/>
            <w:tcBorders>
              <w:top w:val="nil"/>
              <w:bottom w:val="nil"/>
            </w:tcBorders>
          </w:tcPr>
          <w:p>
            <w:pPr>
              <w:pStyle w:val="nTable"/>
              <w:spacing w:after="40"/>
              <w:rPr>
                <w:snapToGrid w:val="0"/>
              </w:rPr>
            </w:pPr>
            <w:r>
              <w:rPr>
                <w:snapToGrid w:val="0"/>
              </w:rPr>
              <w:t>5 of 2005</w:t>
            </w:r>
          </w:p>
        </w:tc>
        <w:tc>
          <w:tcPr>
            <w:tcW w:w="1133" w:type="dxa"/>
            <w:tcBorders>
              <w:top w:val="nil"/>
              <w:bottom w:val="nil"/>
            </w:tcBorders>
          </w:tcPr>
          <w:p>
            <w:pPr>
              <w:pStyle w:val="nTable"/>
              <w:spacing w:after="40"/>
              <w:rPr>
                <w:snapToGrid w:val="0"/>
              </w:rPr>
            </w:pPr>
            <w:r>
              <w:t>27 Jun 2005</w:t>
            </w:r>
          </w:p>
        </w:tc>
        <w:tc>
          <w:tcPr>
            <w:tcW w:w="2549" w:type="dxa"/>
            <w:tcBorders>
              <w:top w:val="nil"/>
              <w:bottom w:val="nil"/>
            </w:tcBorders>
          </w:tcPr>
          <w:p>
            <w:pPr>
              <w:pStyle w:val="nTable"/>
              <w:spacing w:after="40"/>
              <w:rPr>
                <w:snapToGrid w:val="0"/>
              </w:rPr>
            </w:pPr>
            <w:r>
              <w:rPr>
                <w:snapToGrid w:val="0"/>
              </w:rPr>
              <w:t xml:space="preserve">1 Jan 2006 (see s. 2 and </w:t>
            </w:r>
            <w:r>
              <w:rPr>
                <w:i/>
                <w:iCs/>
                <w:snapToGrid w:val="0"/>
              </w:rPr>
              <w:t xml:space="preserve">Gazette </w:t>
            </w:r>
            <w:r>
              <w:rPr>
                <w:snapToGrid w:val="0"/>
              </w:rPr>
              <w:t>23 Dec 2005 p. 6243)</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snapToGrid w:val="0"/>
              </w:rPr>
            </w:pPr>
            <w:r>
              <w:rPr>
                <w:i/>
                <w:iCs/>
                <w:snapToGrid w:val="0"/>
              </w:rPr>
              <w:t>Electricity Corporations Act 2005</w:t>
            </w:r>
            <w:r>
              <w:rPr>
                <w:snapToGrid w:val="0"/>
              </w:rPr>
              <w:t xml:space="preserve"> s. 139</w:t>
            </w:r>
          </w:p>
        </w:tc>
        <w:tc>
          <w:tcPr>
            <w:tcW w:w="1133" w:type="dxa"/>
            <w:tcBorders>
              <w:top w:val="nil"/>
              <w:bottom w:val="nil"/>
            </w:tcBorders>
          </w:tcPr>
          <w:p>
            <w:pPr>
              <w:pStyle w:val="nTable"/>
              <w:spacing w:after="40"/>
              <w:rPr>
                <w:snapToGrid w:val="0"/>
              </w:rPr>
            </w:pPr>
            <w:r>
              <w:rPr>
                <w:snapToGrid w:val="0"/>
              </w:rPr>
              <w:t>18 of 2005</w:t>
            </w:r>
          </w:p>
        </w:tc>
        <w:tc>
          <w:tcPr>
            <w:tcW w:w="1133" w:type="dxa"/>
            <w:tcBorders>
              <w:top w:val="nil"/>
              <w:bottom w:val="nil"/>
            </w:tcBorders>
          </w:tcPr>
          <w:p>
            <w:pPr>
              <w:pStyle w:val="nTable"/>
              <w:spacing w:after="40"/>
            </w:pPr>
            <w:r>
              <w:t>13 Oct 2005</w:t>
            </w:r>
          </w:p>
        </w:tc>
        <w:tc>
          <w:tcPr>
            <w:tcW w:w="2549" w:type="dxa"/>
            <w:tcBorders>
              <w:top w:val="nil"/>
              <w:bottom w:val="nil"/>
            </w:tcBorders>
          </w:tcPr>
          <w:p>
            <w:pPr>
              <w:pStyle w:val="nTable"/>
              <w:spacing w:after="40"/>
              <w:rPr>
                <w:snapToGrid w:val="0"/>
              </w:rPr>
            </w:pPr>
            <w:r>
              <w:rPr>
                <w:snapToGrid w:val="0"/>
              </w:rPr>
              <w:t xml:space="preserve">1 Apr 2006 (see s. 2(2) and </w:t>
            </w:r>
            <w:r>
              <w:rPr>
                <w:i/>
                <w:iCs/>
                <w:snapToGrid w:val="0"/>
              </w:rPr>
              <w:t>Gazette</w:t>
            </w:r>
            <w:r>
              <w:rPr>
                <w:snapToGrid w:val="0"/>
              </w:rPr>
              <w:t xml:space="preserve"> 31 Mar 2006 p. 1153)</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iCs/>
                <w:snapToGrid w:val="0"/>
              </w:rPr>
            </w:pPr>
            <w:r>
              <w:rPr>
                <w:i/>
                <w:iCs/>
                <w:snapToGrid w:val="0"/>
              </w:rPr>
              <w:t xml:space="preserve">Machinery of Government (Miscellaneous Amendments) Act 2006 </w:t>
            </w:r>
            <w:r>
              <w:rPr>
                <w:snapToGrid w:val="0"/>
              </w:rPr>
              <w:t>Pt. 15 Div. 2</w:t>
            </w:r>
          </w:p>
        </w:tc>
        <w:tc>
          <w:tcPr>
            <w:tcW w:w="1133" w:type="dxa"/>
            <w:tcBorders>
              <w:top w:val="nil"/>
              <w:bottom w:val="nil"/>
            </w:tcBorders>
          </w:tcPr>
          <w:p>
            <w:pPr>
              <w:pStyle w:val="nTable"/>
              <w:spacing w:after="40"/>
              <w:rPr>
                <w:snapToGrid w:val="0"/>
              </w:rPr>
            </w:pPr>
            <w:r>
              <w:rPr>
                <w:snapToGrid w:val="0"/>
              </w:rPr>
              <w:t>28 of 2006</w:t>
            </w:r>
          </w:p>
        </w:tc>
        <w:tc>
          <w:tcPr>
            <w:tcW w:w="1133" w:type="dxa"/>
            <w:tcBorders>
              <w:top w:val="nil"/>
              <w:bottom w:val="nil"/>
            </w:tcBorders>
          </w:tcPr>
          <w:p>
            <w:pPr>
              <w:pStyle w:val="nTable"/>
              <w:spacing w:after="40"/>
            </w:pPr>
            <w:r>
              <w:t>26 Jun 2006</w:t>
            </w:r>
          </w:p>
        </w:tc>
        <w:tc>
          <w:tcPr>
            <w:tcW w:w="2549"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Before w:val="1"/>
          <w:wBefore w:w="6" w:type="dxa"/>
          <w:cantSplit/>
        </w:trPr>
        <w:tc>
          <w:tcPr>
            <w:tcW w:w="7081" w:type="dxa"/>
            <w:gridSpan w:val="4"/>
            <w:tcBorders>
              <w:top w:val="nil"/>
              <w:bottom w:val="nil"/>
            </w:tcBorders>
          </w:tcPr>
          <w:p>
            <w:pPr>
              <w:pStyle w:val="nTable"/>
              <w:spacing w:after="40"/>
              <w:rPr>
                <w:snapToGrid w:val="0"/>
              </w:rPr>
            </w:pPr>
            <w:r>
              <w:rPr>
                <w:b/>
              </w:rPr>
              <w:t xml:space="preserve">Reprint 7: The </w:t>
            </w:r>
            <w:r>
              <w:rPr>
                <w:b/>
                <w:i/>
              </w:rPr>
              <w:t>Public Sector Management Act 1994</w:t>
            </w:r>
            <w:r>
              <w:rPr>
                <w:b/>
              </w:rPr>
              <w:t xml:space="preserve"> as at 25 Aug 2006 </w:t>
            </w:r>
            <w:r>
              <w:t>(includes amendments listed above)</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iCs/>
                <w:snapToGrid w:val="0"/>
              </w:rPr>
            </w:pPr>
            <w:r>
              <w:rPr>
                <w:i/>
                <w:snapToGrid w:val="0"/>
              </w:rPr>
              <w:t>Land Information Authority Act 2006</w:t>
            </w:r>
            <w:r>
              <w:rPr>
                <w:iCs/>
                <w:snapToGrid w:val="0"/>
              </w:rPr>
              <w:t xml:space="preserve"> s. 187</w:t>
            </w:r>
          </w:p>
        </w:tc>
        <w:tc>
          <w:tcPr>
            <w:tcW w:w="1133" w:type="dxa"/>
            <w:tcBorders>
              <w:top w:val="nil"/>
              <w:bottom w:val="nil"/>
            </w:tcBorders>
          </w:tcPr>
          <w:p>
            <w:pPr>
              <w:pStyle w:val="nTable"/>
              <w:spacing w:after="40"/>
              <w:rPr>
                <w:snapToGrid w:val="0"/>
              </w:rPr>
            </w:pPr>
            <w:r>
              <w:rPr>
                <w:snapToGrid w:val="0"/>
              </w:rPr>
              <w:t>60 of 2006</w:t>
            </w:r>
          </w:p>
        </w:tc>
        <w:tc>
          <w:tcPr>
            <w:tcW w:w="1133" w:type="dxa"/>
            <w:tcBorders>
              <w:top w:val="nil"/>
              <w:bottom w:val="nil"/>
            </w:tcBorders>
          </w:tcPr>
          <w:p>
            <w:pPr>
              <w:pStyle w:val="nTable"/>
              <w:spacing w:after="40"/>
            </w:pPr>
            <w:r>
              <w:rPr>
                <w:snapToGrid w:val="0"/>
              </w:rPr>
              <w:t>16 Nov 2006</w:t>
            </w:r>
          </w:p>
        </w:tc>
        <w:tc>
          <w:tcPr>
            <w:tcW w:w="2549"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snapToGrid w:val="0"/>
              </w:rPr>
            </w:pPr>
            <w:r>
              <w:rPr>
                <w:i/>
                <w:snapToGrid w:val="0"/>
              </w:rPr>
              <w:t>Financial Legislation Amendment and Repeal Act 2006</w:t>
            </w:r>
            <w:r>
              <w:rPr>
                <w:snapToGrid w:val="0"/>
              </w:rPr>
              <w:t xml:space="preserve"> </w:t>
            </w:r>
            <w:r>
              <w:rPr>
                <w:iCs/>
                <w:snapToGrid w:val="0"/>
              </w:rPr>
              <w:t>s. 4, 6, 7 and Sch. 1 cl. 137</w:t>
            </w:r>
          </w:p>
        </w:tc>
        <w:tc>
          <w:tcPr>
            <w:tcW w:w="1133" w:type="dxa"/>
            <w:tcBorders>
              <w:top w:val="nil"/>
              <w:bottom w:val="nil"/>
            </w:tcBorders>
          </w:tcPr>
          <w:p>
            <w:pPr>
              <w:pStyle w:val="nTable"/>
              <w:spacing w:after="40"/>
              <w:rPr>
                <w:snapToGrid w:val="0"/>
              </w:rPr>
            </w:pPr>
            <w:r>
              <w:rPr>
                <w:snapToGrid w:val="0"/>
              </w:rPr>
              <w:t xml:space="preserve">77 of 2006 </w:t>
            </w:r>
          </w:p>
        </w:tc>
        <w:tc>
          <w:tcPr>
            <w:tcW w:w="1133" w:type="dxa"/>
            <w:tcBorders>
              <w:top w:val="nil"/>
              <w:bottom w:val="nil"/>
            </w:tcBorders>
          </w:tcPr>
          <w:p>
            <w:pPr>
              <w:pStyle w:val="nTable"/>
              <w:spacing w:after="40"/>
              <w:rPr>
                <w:snapToGrid w:val="0"/>
              </w:rPr>
            </w:pPr>
            <w:r>
              <w:rPr>
                <w:snapToGrid w:val="0"/>
              </w:rPr>
              <w:t>21 Dec 2006</w:t>
            </w:r>
          </w:p>
        </w:tc>
        <w:tc>
          <w:tcPr>
            <w:tcW w:w="2549" w:type="dxa"/>
            <w:tcBorders>
              <w:top w:val="nil"/>
              <w:bottom w:val="nil"/>
            </w:tcBorders>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snapToGrid w:val="0"/>
              </w:rPr>
            </w:pPr>
            <w:r>
              <w:rPr>
                <w:i/>
              </w:rPr>
              <w:t>Chemistry Centre (WA) Act 2007</w:t>
            </w:r>
            <w:r>
              <w:rPr>
                <w:iCs/>
              </w:rPr>
              <w:t> s. 43</w:t>
            </w:r>
          </w:p>
        </w:tc>
        <w:tc>
          <w:tcPr>
            <w:tcW w:w="1133" w:type="dxa"/>
            <w:tcBorders>
              <w:top w:val="nil"/>
              <w:bottom w:val="nil"/>
            </w:tcBorders>
          </w:tcPr>
          <w:p>
            <w:pPr>
              <w:pStyle w:val="nTable"/>
              <w:spacing w:after="40"/>
              <w:rPr>
                <w:snapToGrid w:val="0"/>
              </w:rPr>
            </w:pPr>
            <w:r>
              <w:t>10 of 2007</w:t>
            </w:r>
          </w:p>
        </w:tc>
        <w:tc>
          <w:tcPr>
            <w:tcW w:w="1133" w:type="dxa"/>
            <w:tcBorders>
              <w:top w:val="nil"/>
              <w:bottom w:val="nil"/>
            </w:tcBorders>
          </w:tcPr>
          <w:p>
            <w:pPr>
              <w:pStyle w:val="nTable"/>
              <w:spacing w:after="40"/>
              <w:rPr>
                <w:snapToGrid w:val="0"/>
              </w:rPr>
            </w:pPr>
            <w:r>
              <w:t>29 Jun 2007</w:t>
            </w:r>
          </w:p>
        </w:tc>
        <w:tc>
          <w:tcPr>
            <w:tcW w:w="2549" w:type="dxa"/>
            <w:tcBorders>
              <w:top w:val="nil"/>
              <w:bottom w:val="nil"/>
            </w:tcBorders>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blPrEx>
          <w:tblBorders>
            <w:top w:val="single" w:sz="4" w:space="0" w:color="auto"/>
            <w:bottom w:val="single" w:sz="4" w:space="0" w:color="auto"/>
            <w:insideH w:val="single" w:sz="4" w:space="0" w:color="auto"/>
          </w:tblBorders>
        </w:tblPrEx>
        <w:trPr>
          <w:gridBefore w:val="1"/>
          <w:wBefore w:w="6" w:type="dxa"/>
          <w:cantSplit/>
        </w:trPr>
        <w:tc>
          <w:tcPr>
            <w:tcW w:w="2266" w:type="dxa"/>
            <w:tcBorders>
              <w:top w:val="nil"/>
              <w:bottom w:val="nil"/>
            </w:tcBorders>
          </w:tcPr>
          <w:p>
            <w:pPr>
              <w:pStyle w:val="nTable"/>
              <w:spacing w:after="40"/>
              <w:ind w:right="113"/>
              <w:rPr>
                <w:i/>
              </w:rPr>
            </w:pPr>
            <w:r>
              <w:rPr>
                <w:i/>
                <w:snapToGrid w:val="0"/>
              </w:rPr>
              <w:t>Biosecurity and Agriculture Management (Repeal and Consequential Provisions) Act 2007</w:t>
            </w:r>
            <w:r>
              <w:rPr>
                <w:iCs/>
                <w:snapToGrid w:val="0"/>
              </w:rPr>
              <w:t xml:space="preserve"> s. 39</w:t>
            </w:r>
          </w:p>
        </w:tc>
        <w:tc>
          <w:tcPr>
            <w:tcW w:w="1133" w:type="dxa"/>
            <w:tcBorders>
              <w:top w:val="nil"/>
              <w:bottom w:val="nil"/>
            </w:tcBorders>
          </w:tcPr>
          <w:p>
            <w:pPr>
              <w:pStyle w:val="nTable"/>
              <w:spacing w:after="40"/>
            </w:pPr>
            <w:r>
              <w:t>24 of 2007</w:t>
            </w:r>
          </w:p>
        </w:tc>
        <w:tc>
          <w:tcPr>
            <w:tcW w:w="1133" w:type="dxa"/>
            <w:tcBorders>
              <w:top w:val="nil"/>
              <w:bottom w:val="nil"/>
            </w:tcBorders>
          </w:tcPr>
          <w:p>
            <w:pPr>
              <w:pStyle w:val="nTable"/>
              <w:spacing w:after="40"/>
            </w:pPr>
            <w:r>
              <w:rPr>
                <w:snapToGrid w:val="0"/>
              </w:rPr>
              <w:t>12 Oct 2007</w:t>
            </w:r>
          </w:p>
        </w:tc>
        <w:tc>
          <w:tcPr>
            <w:tcW w:w="2549" w:type="dxa"/>
            <w:tcBorders>
              <w:top w:val="nil"/>
              <w:bottom w:val="nil"/>
            </w:tcBorders>
          </w:tcPr>
          <w:p>
            <w:pPr>
              <w:pStyle w:val="nTable"/>
              <w:spacing w:after="40"/>
              <w:rPr>
                <w:snapToGrid w:val="0"/>
              </w:rPr>
            </w:pPr>
            <w:r>
              <w:rPr>
                <w:snapToGrid w:val="0"/>
              </w:rPr>
              <w:t xml:space="preserve">18 Dec 2010 (see s. 2 and </w:t>
            </w:r>
            <w:r>
              <w:rPr>
                <w:i/>
                <w:iCs/>
                <w:snapToGrid w:val="0"/>
              </w:rPr>
              <w:t>Gazette</w:t>
            </w:r>
            <w:r>
              <w:rPr>
                <w:snapToGrid w:val="0"/>
              </w:rPr>
              <w:t xml:space="preserve"> 17 Dec 2010 p. 6349)</w:t>
            </w:r>
          </w:p>
        </w:tc>
      </w:tr>
      <w:tr>
        <w:trPr>
          <w:gridBefore w:val="1"/>
          <w:wBefore w:w="6" w:type="dxa"/>
          <w:cantSplit/>
        </w:trPr>
        <w:tc>
          <w:tcPr>
            <w:tcW w:w="2266" w:type="dxa"/>
          </w:tcPr>
          <w:p>
            <w:pPr>
              <w:pStyle w:val="nTable"/>
              <w:spacing w:after="40"/>
              <w:ind w:left="-28"/>
              <w:rPr>
                <w:i/>
                <w:snapToGrid w:val="0"/>
              </w:rPr>
            </w:pPr>
            <w:r>
              <w:rPr>
                <w:i/>
                <w:snapToGrid w:val="0"/>
              </w:rPr>
              <w:t>Water Resources Legislation Amendment Act 2007</w:t>
            </w:r>
            <w:r>
              <w:rPr>
                <w:iCs/>
                <w:snapToGrid w:val="0"/>
              </w:rPr>
              <w:t xml:space="preserve"> s. 197 </w:t>
            </w:r>
          </w:p>
        </w:tc>
        <w:tc>
          <w:tcPr>
            <w:tcW w:w="1133" w:type="dxa"/>
          </w:tcPr>
          <w:p>
            <w:pPr>
              <w:pStyle w:val="nTable"/>
              <w:spacing w:after="40"/>
            </w:pPr>
            <w:r>
              <w:rPr>
                <w:snapToGrid w:val="0"/>
              </w:rPr>
              <w:t>38 of 2007</w:t>
            </w:r>
          </w:p>
        </w:tc>
        <w:tc>
          <w:tcPr>
            <w:tcW w:w="1133" w:type="dxa"/>
          </w:tcPr>
          <w:p>
            <w:pPr>
              <w:pStyle w:val="nTable"/>
              <w:spacing w:after="40"/>
            </w:pPr>
            <w:r>
              <w:t>21 Dec 2007</w:t>
            </w:r>
          </w:p>
        </w:tc>
        <w:tc>
          <w:tcPr>
            <w:tcW w:w="2549" w:type="dxa"/>
          </w:tcPr>
          <w:p>
            <w:pPr>
              <w:pStyle w:val="nTable"/>
              <w:spacing w:after="40"/>
            </w:pPr>
            <w:r>
              <w:t xml:space="preserve">1 Feb 2008 (see s. 2(2) and </w:t>
            </w:r>
            <w:r>
              <w:rPr>
                <w:i/>
                <w:iCs/>
              </w:rPr>
              <w:t>Gazette</w:t>
            </w:r>
            <w:r>
              <w:t xml:space="preserve"> 31 Jan 2008 p. 251)</w:t>
            </w:r>
          </w:p>
        </w:tc>
      </w:tr>
      <w:tr>
        <w:trPr>
          <w:gridBefore w:val="1"/>
          <w:wBefore w:w="6" w:type="dxa"/>
          <w:cantSplit/>
        </w:trPr>
        <w:tc>
          <w:tcPr>
            <w:tcW w:w="7081" w:type="dxa"/>
            <w:gridSpan w:val="4"/>
          </w:tcPr>
          <w:p>
            <w:pPr>
              <w:pStyle w:val="nTable"/>
              <w:spacing w:after="40"/>
            </w:pPr>
            <w:r>
              <w:rPr>
                <w:b/>
              </w:rPr>
              <w:t xml:space="preserve">Reprint 8: The </w:t>
            </w:r>
            <w:r>
              <w:rPr>
                <w:b/>
                <w:i/>
              </w:rPr>
              <w:t>Public Sector Management Act 1994</w:t>
            </w:r>
            <w:r>
              <w:rPr>
                <w:b/>
              </w:rPr>
              <w:t xml:space="preserve"> as at 14 Nov 2008 </w:t>
            </w:r>
            <w:r>
              <w:t xml:space="preserve">(includes amendments listed above except those in the </w:t>
            </w:r>
            <w:r>
              <w:rPr>
                <w:i/>
                <w:snapToGrid w:val="0"/>
              </w:rPr>
              <w:t>Biosecurity and Agriculture Management (Repeal and Consequential Provisions) Act 2007</w:t>
            </w:r>
            <w:r>
              <w:t>)</w:t>
            </w:r>
          </w:p>
        </w:tc>
      </w:tr>
      <w:tr>
        <w:trPr>
          <w:gridBefore w:val="1"/>
          <w:wBefore w:w="6" w:type="dxa"/>
          <w:cantSplit/>
        </w:trPr>
        <w:tc>
          <w:tcPr>
            <w:tcW w:w="4532" w:type="dxa"/>
            <w:gridSpan w:val="3"/>
          </w:tcPr>
          <w:p>
            <w:pPr>
              <w:pStyle w:val="nTable"/>
              <w:spacing w:after="40"/>
            </w:pPr>
            <w:r>
              <w:rPr>
                <w:i/>
                <w:iCs/>
              </w:rPr>
              <w:t xml:space="preserve">Public Sector Management (SES Organisations) Regulations 2009 </w:t>
            </w:r>
            <w:r>
              <w:t xml:space="preserve">published in </w:t>
            </w:r>
            <w:r>
              <w:rPr>
                <w:i/>
                <w:iCs/>
              </w:rPr>
              <w:t>Gazette</w:t>
            </w:r>
            <w:r>
              <w:t xml:space="preserve"> 9 Jun 2009 p. 1926</w:t>
            </w:r>
          </w:p>
        </w:tc>
        <w:tc>
          <w:tcPr>
            <w:tcW w:w="2549" w:type="dxa"/>
          </w:tcPr>
          <w:p>
            <w:pPr>
              <w:pStyle w:val="nTable"/>
              <w:spacing w:after="40"/>
              <w:rPr>
                <w:iCs/>
                <w:snapToGrid w:val="0"/>
                <w:spacing w:val="-2"/>
              </w:rPr>
            </w:pPr>
            <w:r>
              <w:rPr>
                <w:iCs/>
                <w:snapToGrid w:val="0"/>
                <w:spacing w:val="-2"/>
              </w:rPr>
              <w:t>r. 1 and 2: 9 Jun 2009 (see r. 2(a));</w:t>
            </w:r>
            <w:r>
              <w:rPr>
                <w:iCs/>
                <w:snapToGrid w:val="0"/>
                <w:spacing w:val="-2"/>
              </w:rPr>
              <w:br/>
              <w:t>Regulations other than r. 1 and 2: 10 Jun 2009 (see r. 2(b))</w:t>
            </w:r>
          </w:p>
        </w:tc>
      </w:tr>
      <w:tr>
        <w:trPr>
          <w:gridBefore w:val="1"/>
          <w:wBefore w:w="6" w:type="dxa"/>
          <w:cantSplit/>
        </w:trPr>
        <w:tc>
          <w:tcPr>
            <w:tcW w:w="2266" w:type="dxa"/>
          </w:tcPr>
          <w:p>
            <w:pPr>
              <w:pStyle w:val="nTable"/>
              <w:spacing w:after="40"/>
              <w:rPr>
                <w:iCs/>
                <w:snapToGrid w:val="0"/>
              </w:rPr>
            </w:pPr>
            <w:r>
              <w:rPr>
                <w:i/>
                <w:snapToGrid w:val="0"/>
              </w:rPr>
              <w:t>Acts Amendment (Bankruptcy) Act 2009</w:t>
            </w:r>
            <w:r>
              <w:rPr>
                <w:iCs/>
                <w:snapToGrid w:val="0"/>
              </w:rPr>
              <w:t xml:space="preserve"> s. 71</w:t>
            </w:r>
          </w:p>
        </w:tc>
        <w:tc>
          <w:tcPr>
            <w:tcW w:w="1133" w:type="dxa"/>
          </w:tcPr>
          <w:p>
            <w:pPr>
              <w:pStyle w:val="nTable"/>
              <w:spacing w:after="40"/>
            </w:pPr>
            <w:r>
              <w:t>18 of 2009</w:t>
            </w:r>
          </w:p>
        </w:tc>
        <w:tc>
          <w:tcPr>
            <w:tcW w:w="1133" w:type="dxa"/>
          </w:tcPr>
          <w:p>
            <w:pPr>
              <w:pStyle w:val="nTable"/>
              <w:spacing w:after="40"/>
            </w:pPr>
            <w:r>
              <w:t>16 Sep 2009</w:t>
            </w:r>
          </w:p>
        </w:tc>
        <w:tc>
          <w:tcPr>
            <w:tcW w:w="2549" w:type="dxa"/>
          </w:tcPr>
          <w:p>
            <w:pPr>
              <w:pStyle w:val="nTable"/>
              <w:spacing w:after="40"/>
            </w:pPr>
            <w:r>
              <w:t>17 Sep 2009 (see s. 2(b))</w:t>
            </w:r>
          </w:p>
        </w:tc>
      </w:tr>
      <w:tr>
        <w:trPr>
          <w:gridBefore w:val="1"/>
          <w:wBefore w:w="6" w:type="dxa"/>
          <w:cantSplit/>
        </w:trPr>
        <w:tc>
          <w:tcPr>
            <w:tcW w:w="4532" w:type="dxa"/>
            <w:gridSpan w:val="3"/>
          </w:tcPr>
          <w:p>
            <w:pPr>
              <w:pStyle w:val="nTable"/>
              <w:spacing w:after="40"/>
            </w:pPr>
            <w:r>
              <w:rPr>
                <w:i/>
                <w:iCs/>
              </w:rPr>
              <w:t>Public Sector Management (SES Organisations) Regulations 2010</w:t>
            </w:r>
            <w:r>
              <w:rPr>
                <w:iCs/>
              </w:rPr>
              <w:t xml:space="preserve"> </w:t>
            </w:r>
            <w:r>
              <w:t xml:space="preserve">published in </w:t>
            </w:r>
            <w:r>
              <w:rPr>
                <w:i/>
                <w:iCs/>
              </w:rPr>
              <w:t>Gazette</w:t>
            </w:r>
            <w:r>
              <w:t xml:space="preserve"> 18 Jun 2010 p. 2696</w:t>
            </w:r>
            <w:r>
              <w:noBreakHyphen/>
              <w:t>7</w:t>
            </w:r>
          </w:p>
        </w:tc>
        <w:tc>
          <w:tcPr>
            <w:tcW w:w="2549" w:type="dxa"/>
          </w:tcPr>
          <w:p>
            <w:pPr>
              <w:pStyle w:val="nTable"/>
              <w:spacing w:after="40"/>
              <w:rPr>
                <w:iCs/>
                <w:snapToGrid w:val="0"/>
                <w:spacing w:val="-2"/>
              </w:rPr>
            </w:pPr>
            <w:r>
              <w:rPr>
                <w:iCs/>
                <w:snapToGrid w:val="0"/>
                <w:spacing w:val="-2"/>
              </w:rPr>
              <w:t>r. 1 and 2: 18 Jun 2010 (see r. 2(a));</w:t>
            </w:r>
            <w:r>
              <w:rPr>
                <w:iCs/>
                <w:snapToGrid w:val="0"/>
                <w:spacing w:val="-2"/>
              </w:rPr>
              <w:br/>
              <w:t>Regulations other than r. 1 and 2: 19 Jun 2010 (see r. 2(b))</w:t>
            </w:r>
          </w:p>
        </w:tc>
      </w:tr>
      <w:tr>
        <w:trPr>
          <w:gridBefore w:val="1"/>
          <w:wBefore w:w="6" w:type="dxa"/>
          <w:cantSplit/>
        </w:trPr>
        <w:tc>
          <w:tcPr>
            <w:tcW w:w="2266"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tcPr>
          <w:p>
            <w:pPr>
              <w:pStyle w:val="nTable"/>
              <w:spacing w:after="40"/>
              <w:rPr>
                <w:snapToGrid w:val="0"/>
              </w:rPr>
            </w:pPr>
            <w:r>
              <w:rPr>
                <w:snapToGrid w:val="0"/>
              </w:rPr>
              <w:t>19 of 2010</w:t>
            </w:r>
          </w:p>
        </w:tc>
        <w:tc>
          <w:tcPr>
            <w:tcW w:w="1133" w:type="dxa"/>
          </w:tcPr>
          <w:p>
            <w:pPr>
              <w:pStyle w:val="nTable"/>
              <w:spacing w:after="40"/>
              <w:rPr>
                <w:snapToGrid w:val="0"/>
              </w:rPr>
            </w:pPr>
            <w:r>
              <w:rPr>
                <w:snapToGrid w:val="0"/>
              </w:rPr>
              <w:t>28 Jun 2010</w:t>
            </w:r>
          </w:p>
        </w:tc>
        <w:tc>
          <w:tcPr>
            <w:tcW w:w="2549"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2266" w:type="dxa"/>
          </w:tcPr>
          <w:p>
            <w:pPr>
              <w:pStyle w:val="nTable"/>
              <w:spacing w:after="40"/>
              <w:ind w:right="113"/>
              <w:rPr>
                <w:i/>
                <w:snapToGrid w:val="0"/>
                <w:vertAlign w:val="superscript"/>
              </w:rPr>
            </w:pPr>
            <w:r>
              <w:rPr>
                <w:i/>
                <w:snapToGrid w:val="0"/>
              </w:rPr>
              <w:t>Public Sector Reform Act 2010</w:t>
            </w:r>
            <w:r>
              <w:rPr>
                <w:iCs/>
                <w:snapToGrid w:val="0"/>
              </w:rPr>
              <w:t xml:space="preserve"> Pt. 2 Div. 1 and Pt. 3 Div. 1 </w:t>
            </w:r>
            <w:r>
              <w:rPr>
                <w:iCs/>
                <w:snapToGrid w:val="0"/>
                <w:vertAlign w:val="superscript"/>
              </w:rPr>
              <w:t>7</w:t>
            </w:r>
          </w:p>
        </w:tc>
        <w:tc>
          <w:tcPr>
            <w:tcW w:w="1133" w:type="dxa"/>
          </w:tcPr>
          <w:p>
            <w:pPr>
              <w:pStyle w:val="nTable"/>
              <w:spacing w:after="40"/>
              <w:rPr>
                <w:snapToGrid w:val="0"/>
              </w:rPr>
            </w:pPr>
            <w:r>
              <w:rPr>
                <w:snapToGrid w:val="0"/>
              </w:rPr>
              <w:t>39 of 2010</w:t>
            </w:r>
          </w:p>
        </w:tc>
        <w:tc>
          <w:tcPr>
            <w:tcW w:w="1133" w:type="dxa"/>
          </w:tcPr>
          <w:p>
            <w:pPr>
              <w:pStyle w:val="nTable"/>
              <w:spacing w:after="40"/>
              <w:rPr>
                <w:snapToGrid w:val="0"/>
              </w:rPr>
            </w:pPr>
            <w:r>
              <w:rPr>
                <w:snapToGrid w:val="0"/>
              </w:rPr>
              <w:t>1 Oct 2010</w:t>
            </w:r>
          </w:p>
        </w:tc>
        <w:tc>
          <w:tcPr>
            <w:tcW w:w="2549" w:type="dxa"/>
          </w:tcPr>
          <w:p>
            <w:pPr>
              <w:pStyle w:val="nTable"/>
              <w:spacing w:after="40"/>
              <w:rPr>
                <w:snapToGrid w:val="0"/>
              </w:rPr>
            </w:pPr>
            <w:r>
              <w:rPr>
                <w:snapToGrid w:val="0"/>
              </w:rPr>
              <w:t xml:space="preserve">Pt. 2 Div. 1: 1 Dec 2010 (see s. 2(b) and </w:t>
            </w:r>
            <w:r>
              <w:rPr>
                <w:i/>
                <w:iCs/>
                <w:snapToGrid w:val="0"/>
              </w:rPr>
              <w:t>Gazette</w:t>
            </w:r>
            <w:r>
              <w:rPr>
                <w:snapToGrid w:val="0"/>
              </w:rPr>
              <w:t xml:space="preserve"> 5 Nov 2010 p. 5563);</w:t>
            </w:r>
            <w:r>
              <w:rPr>
                <w:snapToGrid w:val="0"/>
              </w:rPr>
              <w:br/>
              <w:t xml:space="preserve">Pt. 3 Div. 1: 28 Mar 2011 (see s. 2(b) and </w:t>
            </w:r>
            <w:r>
              <w:rPr>
                <w:i/>
                <w:iCs/>
                <w:snapToGrid w:val="0"/>
              </w:rPr>
              <w:t>Gazette</w:t>
            </w:r>
            <w:r>
              <w:rPr>
                <w:snapToGrid w:val="0"/>
              </w:rPr>
              <w:t xml:space="preserve"> 5 Nov 2010 p. 5563)</w:t>
            </w:r>
          </w:p>
        </w:tc>
      </w:tr>
      <w:tr>
        <w:trPr>
          <w:gridBefore w:val="1"/>
          <w:wBefore w:w="6" w:type="dxa"/>
          <w:cantSplit/>
        </w:trPr>
        <w:tc>
          <w:tcPr>
            <w:tcW w:w="7081" w:type="dxa"/>
            <w:gridSpan w:val="4"/>
          </w:tcPr>
          <w:p>
            <w:pPr>
              <w:pStyle w:val="nTable"/>
              <w:spacing w:after="40"/>
              <w:rPr>
                <w:snapToGrid w:val="0"/>
              </w:rPr>
            </w:pPr>
            <w:r>
              <w:rPr>
                <w:b/>
              </w:rPr>
              <w:t xml:space="preserve">Reprint 9: The </w:t>
            </w:r>
            <w:r>
              <w:rPr>
                <w:b/>
                <w:i/>
              </w:rPr>
              <w:t>Public Sector Management Act 1994</w:t>
            </w:r>
            <w:r>
              <w:rPr>
                <w:b/>
              </w:rPr>
              <w:t xml:space="preserve"> as at 1 Apr 2011 </w:t>
            </w:r>
            <w:r>
              <w:t>(includes amendments listed above)</w:t>
            </w:r>
          </w:p>
        </w:tc>
      </w:tr>
      <w:tr>
        <w:trPr>
          <w:gridBefore w:val="1"/>
          <w:wBefore w:w="6" w:type="dxa"/>
          <w:cantSplit/>
        </w:trPr>
        <w:tc>
          <w:tcPr>
            <w:tcW w:w="2266" w:type="dxa"/>
          </w:tcPr>
          <w:p>
            <w:pPr>
              <w:pStyle w:val="nTable"/>
              <w:spacing w:after="40"/>
              <w:ind w:right="113"/>
              <w:rPr>
                <w:i/>
                <w:snapToGrid w:val="0"/>
              </w:rPr>
            </w:pPr>
            <w:r>
              <w:rPr>
                <w:i/>
                <w:snapToGrid w:val="0"/>
              </w:rPr>
              <w:t>Curriculum Council Amendment Act 2011</w:t>
            </w:r>
            <w:r>
              <w:rPr>
                <w:snapToGrid w:val="0"/>
              </w:rPr>
              <w:t xml:space="preserve"> Pt. 3 Div. 3</w:t>
            </w:r>
          </w:p>
        </w:tc>
        <w:tc>
          <w:tcPr>
            <w:tcW w:w="1133" w:type="dxa"/>
          </w:tcPr>
          <w:p>
            <w:pPr>
              <w:pStyle w:val="nTable"/>
              <w:spacing w:after="40"/>
              <w:rPr>
                <w:snapToGrid w:val="0"/>
              </w:rPr>
            </w:pPr>
            <w:r>
              <w:rPr>
                <w:snapToGrid w:val="0"/>
              </w:rPr>
              <w:t>37 of 2011</w:t>
            </w:r>
          </w:p>
        </w:tc>
        <w:tc>
          <w:tcPr>
            <w:tcW w:w="1133" w:type="dxa"/>
          </w:tcPr>
          <w:p>
            <w:pPr>
              <w:pStyle w:val="nTable"/>
              <w:spacing w:after="40"/>
            </w:pPr>
            <w:r>
              <w:t>13 Sep 2011</w:t>
            </w:r>
          </w:p>
        </w:tc>
        <w:tc>
          <w:tcPr>
            <w:tcW w:w="2549"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gridBefore w:val="1"/>
          <w:wBefore w:w="6" w:type="dxa"/>
          <w:cantSplit/>
        </w:trPr>
        <w:tc>
          <w:tcPr>
            <w:tcW w:w="2266" w:type="dxa"/>
          </w:tcPr>
          <w:p>
            <w:pPr>
              <w:pStyle w:val="nTable"/>
              <w:spacing w:after="40"/>
              <w:ind w:right="113"/>
              <w:rPr>
                <w:i/>
                <w:snapToGrid w:val="0"/>
              </w:rPr>
            </w:pPr>
            <w:r>
              <w:rPr>
                <w:i/>
                <w:snapToGrid w:val="0"/>
              </w:rPr>
              <w:t>Metropolitan Redevelopment Authority Act 2011</w:t>
            </w:r>
            <w:r>
              <w:rPr>
                <w:snapToGrid w:val="0"/>
              </w:rPr>
              <w:t xml:space="preserve"> s. 142</w:t>
            </w:r>
          </w:p>
        </w:tc>
        <w:tc>
          <w:tcPr>
            <w:tcW w:w="1133" w:type="dxa"/>
          </w:tcPr>
          <w:p>
            <w:pPr>
              <w:pStyle w:val="nTable"/>
              <w:spacing w:after="40"/>
              <w:rPr>
                <w:snapToGrid w:val="0"/>
              </w:rPr>
            </w:pPr>
            <w:r>
              <w:rPr>
                <w:snapToGrid w:val="0"/>
              </w:rPr>
              <w:t>45 of 2011</w:t>
            </w:r>
          </w:p>
        </w:tc>
        <w:tc>
          <w:tcPr>
            <w:tcW w:w="1133" w:type="dxa"/>
          </w:tcPr>
          <w:p>
            <w:pPr>
              <w:pStyle w:val="nTable"/>
              <w:spacing w:after="40"/>
            </w:pPr>
            <w:r>
              <w:t>12 Oct 2011</w:t>
            </w:r>
          </w:p>
        </w:tc>
        <w:tc>
          <w:tcPr>
            <w:tcW w:w="2549" w:type="dxa"/>
          </w:tcPr>
          <w:p>
            <w:pPr>
              <w:pStyle w:val="nTable"/>
              <w:spacing w:after="40"/>
            </w:pPr>
            <w:r>
              <w:rPr>
                <w:snapToGrid w:val="0"/>
              </w:rPr>
              <w:t xml:space="preserve">31 Dec 2011 (see s. 2(b) and </w:t>
            </w:r>
            <w:r>
              <w:rPr>
                <w:i/>
                <w:snapToGrid w:val="0"/>
              </w:rPr>
              <w:t xml:space="preserve">Gazette </w:t>
            </w:r>
            <w:r>
              <w:rPr>
                <w:snapToGrid w:val="0"/>
              </w:rPr>
              <w:t>30 Dec 2011 p. 5573)</w:t>
            </w:r>
          </w:p>
        </w:tc>
      </w:tr>
      <w:tr>
        <w:trPr>
          <w:gridBefore w:val="1"/>
          <w:wBefore w:w="6" w:type="dxa"/>
          <w:cantSplit/>
        </w:trPr>
        <w:tc>
          <w:tcPr>
            <w:tcW w:w="2266" w:type="dxa"/>
          </w:tcPr>
          <w:p>
            <w:pPr>
              <w:pStyle w:val="nTable"/>
              <w:spacing w:after="40"/>
              <w:ind w:right="113"/>
              <w:rPr>
                <w:i/>
                <w:snapToGrid w:val="0"/>
              </w:rPr>
            </w:pPr>
            <w:r>
              <w:rPr>
                <w:i/>
              </w:rPr>
              <w:t>Fire and Emergency Services Legislation Amendment Act 2012</w:t>
            </w:r>
            <w:r>
              <w:t xml:space="preserve"> Pt. 7 Div. 11</w:t>
            </w:r>
          </w:p>
        </w:tc>
        <w:tc>
          <w:tcPr>
            <w:tcW w:w="1133" w:type="dxa"/>
          </w:tcPr>
          <w:p>
            <w:pPr>
              <w:pStyle w:val="nTable"/>
              <w:spacing w:after="40"/>
              <w:rPr>
                <w:snapToGrid w:val="0"/>
              </w:rPr>
            </w:pPr>
            <w:r>
              <w:rPr>
                <w:snapToGrid w:val="0"/>
              </w:rPr>
              <w:t>22 of 2012</w:t>
            </w:r>
          </w:p>
        </w:tc>
        <w:tc>
          <w:tcPr>
            <w:tcW w:w="1133" w:type="dxa"/>
          </w:tcPr>
          <w:p>
            <w:pPr>
              <w:pStyle w:val="nTable"/>
              <w:spacing w:after="40"/>
            </w:pPr>
            <w:r>
              <w:t>29 Aug 2012</w:t>
            </w:r>
          </w:p>
        </w:tc>
        <w:tc>
          <w:tcPr>
            <w:tcW w:w="254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Before w:val="1"/>
          <w:wBefore w:w="6" w:type="dxa"/>
          <w:cantSplit/>
        </w:trPr>
        <w:tc>
          <w:tcPr>
            <w:tcW w:w="2266" w:type="dxa"/>
          </w:tcPr>
          <w:p>
            <w:pPr>
              <w:pStyle w:val="nTable"/>
              <w:spacing w:after="40"/>
              <w:ind w:right="113"/>
              <w:rPr>
                <w:i/>
                <w:snapToGrid w:val="0"/>
              </w:rPr>
            </w:pPr>
            <w:r>
              <w:rPr>
                <w:i/>
              </w:rPr>
              <w:t>Water Services Legislation Amendment and Repeal Act 2012</w:t>
            </w:r>
            <w:r>
              <w:t xml:space="preserve"> s. 224</w:t>
            </w:r>
          </w:p>
        </w:tc>
        <w:tc>
          <w:tcPr>
            <w:tcW w:w="1133" w:type="dxa"/>
          </w:tcPr>
          <w:p>
            <w:pPr>
              <w:pStyle w:val="nTable"/>
              <w:spacing w:after="40"/>
              <w:rPr>
                <w:snapToGrid w:val="0"/>
              </w:rPr>
            </w:pPr>
            <w:r>
              <w:t>25 of 2012</w:t>
            </w:r>
          </w:p>
        </w:tc>
        <w:tc>
          <w:tcPr>
            <w:tcW w:w="1133" w:type="dxa"/>
          </w:tcPr>
          <w:p>
            <w:pPr>
              <w:pStyle w:val="nTable"/>
              <w:spacing w:after="40"/>
            </w:pPr>
            <w:r>
              <w:t>3 Sep 2012</w:t>
            </w:r>
          </w:p>
        </w:tc>
        <w:tc>
          <w:tcPr>
            <w:tcW w:w="2549"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Before w:val="1"/>
          <w:wBefore w:w="6" w:type="dxa"/>
          <w:cantSplit/>
        </w:trPr>
        <w:tc>
          <w:tcPr>
            <w:tcW w:w="7081" w:type="dxa"/>
            <w:gridSpan w:val="4"/>
            <w:shd w:val="clear" w:color="auto" w:fill="auto"/>
          </w:tcPr>
          <w:p>
            <w:pPr>
              <w:pStyle w:val="nTable"/>
              <w:spacing w:after="40"/>
              <w:rPr>
                <w:snapToGrid w:val="0"/>
              </w:rPr>
            </w:pPr>
            <w:r>
              <w:rPr>
                <w:b/>
              </w:rPr>
              <w:t xml:space="preserve">Reprint 10: The </w:t>
            </w:r>
            <w:r>
              <w:rPr>
                <w:b/>
                <w:i/>
              </w:rPr>
              <w:t>Public Sector Management Act 1994</w:t>
            </w:r>
            <w:r>
              <w:rPr>
                <w:b/>
              </w:rPr>
              <w:t xml:space="preserve"> as at 12 Jul 2013 </w:t>
            </w:r>
            <w:r>
              <w:t xml:space="preserve">(includes amendments listed above except those in the </w:t>
            </w:r>
            <w:r>
              <w:rPr>
                <w:i/>
              </w:rPr>
              <w:t>Water Services Legislation Amendment and Repeal Act 2012</w:t>
            </w:r>
            <w:r>
              <w:t>)</w:t>
            </w:r>
          </w:p>
        </w:tc>
      </w:tr>
      <w:tr>
        <w:trPr>
          <w:gridBefore w:val="1"/>
          <w:wBefore w:w="6" w:type="dxa"/>
          <w:cantSplit/>
        </w:trPr>
        <w:tc>
          <w:tcPr>
            <w:tcW w:w="2266" w:type="dxa"/>
          </w:tcPr>
          <w:p>
            <w:pPr>
              <w:pStyle w:val="nTable"/>
              <w:spacing w:after="40"/>
              <w:ind w:right="113"/>
              <w:rPr>
                <w:i/>
                <w:snapToGrid w:val="0"/>
              </w:rPr>
            </w:pPr>
            <w:r>
              <w:rPr>
                <w:i/>
                <w:snapToGrid w:val="0"/>
              </w:rPr>
              <w:t>Minerals Research Institute of Western Australia Act 2013 </w:t>
            </w:r>
            <w:r>
              <w:rPr>
                <w:snapToGrid w:val="0"/>
              </w:rPr>
              <w:t>s. 78</w:t>
            </w:r>
          </w:p>
        </w:tc>
        <w:tc>
          <w:tcPr>
            <w:tcW w:w="1133" w:type="dxa"/>
          </w:tcPr>
          <w:p>
            <w:pPr>
              <w:pStyle w:val="nTable"/>
              <w:spacing w:after="40"/>
              <w:rPr>
                <w:snapToGrid w:val="0"/>
              </w:rPr>
            </w:pPr>
            <w:r>
              <w:t>23 of 2013</w:t>
            </w:r>
          </w:p>
        </w:tc>
        <w:tc>
          <w:tcPr>
            <w:tcW w:w="1133" w:type="dxa"/>
          </w:tcPr>
          <w:p>
            <w:pPr>
              <w:pStyle w:val="nTable"/>
              <w:spacing w:after="40"/>
              <w:rPr>
                <w:snapToGrid w:val="0"/>
              </w:rPr>
            </w:pPr>
            <w:r>
              <w:t>18 Dec 2013</w:t>
            </w:r>
          </w:p>
        </w:tc>
        <w:tc>
          <w:tcPr>
            <w:tcW w:w="2549" w:type="dxa"/>
          </w:tcPr>
          <w:p>
            <w:pPr>
              <w:pStyle w:val="nTable"/>
              <w:spacing w:after="40"/>
              <w:rPr>
                <w:snapToGrid w:val="0"/>
                <w:color w:val="000000"/>
              </w:rPr>
            </w:pPr>
            <w:r>
              <w:t xml:space="preserve">1 Feb 2014 (see s. 2(b) and </w:t>
            </w:r>
            <w:r>
              <w:rPr>
                <w:i/>
              </w:rPr>
              <w:t xml:space="preserve">Gazette </w:t>
            </w:r>
            <w:r>
              <w:t>14 Jan 2014</w:t>
            </w:r>
            <w:r>
              <w:rPr>
                <w:i/>
              </w:rPr>
              <w:t xml:space="preserve"> </w:t>
            </w:r>
            <w:r>
              <w:t>p. 43)</w:t>
            </w:r>
          </w:p>
        </w:tc>
      </w:tr>
      <w:tr>
        <w:trPr>
          <w:gridBefore w:val="1"/>
          <w:wBefore w:w="6" w:type="dxa"/>
          <w:cantSplit/>
        </w:trPr>
        <w:tc>
          <w:tcPr>
            <w:tcW w:w="2266" w:type="dxa"/>
          </w:tcPr>
          <w:p>
            <w:pPr>
              <w:pStyle w:val="nTable"/>
              <w:spacing w:after="40"/>
              <w:ind w:right="113"/>
              <w:rPr>
                <w:snapToGrid w:val="0"/>
              </w:rPr>
            </w:pPr>
            <w:r>
              <w:rPr>
                <w:i/>
                <w:snapToGrid w:val="0"/>
              </w:rPr>
              <w:t>Electricity Corporations Amendment Act 2013</w:t>
            </w:r>
            <w:r>
              <w:rPr>
                <w:snapToGrid w:val="0"/>
              </w:rPr>
              <w:t xml:space="preserve"> s. 44</w:t>
            </w:r>
          </w:p>
        </w:tc>
        <w:tc>
          <w:tcPr>
            <w:tcW w:w="1133" w:type="dxa"/>
          </w:tcPr>
          <w:p>
            <w:pPr>
              <w:pStyle w:val="nTable"/>
              <w:spacing w:after="40"/>
              <w:rPr>
                <w:snapToGrid w:val="0"/>
              </w:rPr>
            </w:pPr>
            <w:r>
              <w:rPr>
                <w:snapToGrid w:val="0"/>
              </w:rPr>
              <w:t>25 of 2013</w:t>
            </w:r>
          </w:p>
        </w:tc>
        <w:tc>
          <w:tcPr>
            <w:tcW w:w="1133" w:type="dxa"/>
          </w:tcPr>
          <w:p>
            <w:pPr>
              <w:pStyle w:val="nTable"/>
              <w:spacing w:after="40"/>
            </w:pPr>
            <w:r>
              <w:rPr>
                <w:snapToGrid w:val="0"/>
              </w:rPr>
              <w:t>18 Dec 2013</w:t>
            </w:r>
          </w:p>
        </w:tc>
        <w:tc>
          <w:tcPr>
            <w:tcW w:w="2549" w:type="dxa"/>
          </w:tcPr>
          <w:p>
            <w:pPr>
              <w:pStyle w:val="nTable"/>
              <w:spacing w:after="40"/>
              <w:rPr>
                <w:snapToGrid w:val="0"/>
              </w:rPr>
            </w:pPr>
            <w:r>
              <w:rPr>
                <w:snapToGrid w:val="0"/>
                <w:color w:val="000000"/>
              </w:rPr>
              <w:t xml:space="preserve">1 Jan 2014 (see s. 2(c) and </w:t>
            </w:r>
            <w:r>
              <w:rPr>
                <w:i/>
                <w:snapToGrid w:val="0"/>
                <w:color w:val="000000"/>
              </w:rPr>
              <w:t>Gazette</w:t>
            </w:r>
            <w:r>
              <w:rPr>
                <w:snapToGrid w:val="0"/>
                <w:color w:val="000000"/>
              </w:rPr>
              <w:t xml:space="preserve"> 27 Dec 2013 p. 6465)</w:t>
            </w:r>
          </w:p>
        </w:tc>
      </w:tr>
      <w:tr>
        <w:trPr>
          <w:gridBefore w:val="1"/>
          <w:wBefore w:w="6" w:type="dxa"/>
          <w:cantSplit/>
        </w:trPr>
        <w:tc>
          <w:tcPr>
            <w:tcW w:w="2266" w:type="dxa"/>
          </w:tcPr>
          <w:p>
            <w:pPr>
              <w:pStyle w:val="nTable"/>
              <w:spacing w:after="40"/>
              <w:ind w:right="113"/>
              <w:rPr>
                <w:i/>
                <w:snapToGrid w:val="0"/>
              </w:rPr>
            </w:pPr>
            <w:r>
              <w:rPr>
                <w:i/>
                <w:snapToGrid w:val="0"/>
              </w:rPr>
              <w:t xml:space="preserve">Workforce Reform Act 2014 </w:t>
            </w:r>
            <w:r>
              <w:rPr>
                <w:snapToGrid w:val="0"/>
              </w:rPr>
              <w:t>Pt. 3</w:t>
            </w:r>
          </w:p>
        </w:tc>
        <w:tc>
          <w:tcPr>
            <w:tcW w:w="1133" w:type="dxa"/>
          </w:tcPr>
          <w:p>
            <w:pPr>
              <w:pStyle w:val="nTable"/>
              <w:spacing w:after="40"/>
              <w:rPr>
                <w:snapToGrid w:val="0"/>
              </w:rPr>
            </w:pPr>
            <w:r>
              <w:rPr>
                <w:snapToGrid w:val="0"/>
              </w:rPr>
              <w:t>8 of 2014</w:t>
            </w:r>
          </w:p>
        </w:tc>
        <w:tc>
          <w:tcPr>
            <w:tcW w:w="1133" w:type="dxa"/>
          </w:tcPr>
          <w:p>
            <w:pPr>
              <w:pStyle w:val="nTable"/>
              <w:spacing w:after="40"/>
              <w:rPr>
                <w:snapToGrid w:val="0"/>
              </w:rPr>
            </w:pPr>
            <w:r>
              <w:rPr>
                <w:snapToGrid w:val="0"/>
              </w:rPr>
              <w:t>20 May 2014</w:t>
            </w:r>
          </w:p>
        </w:tc>
        <w:tc>
          <w:tcPr>
            <w:tcW w:w="2549" w:type="dxa"/>
          </w:tcPr>
          <w:p>
            <w:pPr>
              <w:pStyle w:val="nTable"/>
              <w:spacing w:after="40"/>
              <w:rPr>
                <w:snapToGrid w:val="0"/>
                <w:color w:val="000000"/>
              </w:rPr>
            </w:pPr>
            <w:r>
              <w:rPr>
                <w:snapToGrid w:val="0"/>
                <w:color w:val="000000"/>
              </w:rPr>
              <w:t xml:space="preserve">1 Jul 2014 (see s. 2(b) and </w:t>
            </w:r>
            <w:r>
              <w:rPr>
                <w:i/>
                <w:snapToGrid w:val="0"/>
                <w:color w:val="000000"/>
              </w:rPr>
              <w:t>Gazette</w:t>
            </w:r>
            <w:r>
              <w:rPr>
                <w:snapToGrid w:val="0"/>
                <w:color w:val="000000"/>
              </w:rPr>
              <w:t xml:space="preserve"> 27 Jun 2014 p. 2301)</w:t>
            </w:r>
          </w:p>
        </w:tc>
      </w:tr>
      <w:tr>
        <w:trPr>
          <w:gridBefore w:val="1"/>
          <w:wBefore w:w="6" w:type="dxa"/>
          <w:cantSplit/>
        </w:trPr>
        <w:tc>
          <w:tcPr>
            <w:tcW w:w="2266" w:type="dxa"/>
          </w:tcPr>
          <w:p>
            <w:pPr>
              <w:pStyle w:val="nTable"/>
              <w:spacing w:after="40"/>
              <w:ind w:right="113"/>
              <w:rPr>
                <w:i/>
                <w:snapToGrid w:val="0"/>
              </w:rPr>
            </w:pPr>
            <w:r>
              <w:rPr>
                <w:i/>
                <w:snapToGrid w:val="0"/>
              </w:rPr>
              <w:t>Corruption and Crime Commission Amendment (Misconduct) Act 2014</w:t>
            </w:r>
            <w:r>
              <w:rPr>
                <w:snapToGrid w:val="0"/>
              </w:rPr>
              <w:t xml:space="preserve"> s. 37</w:t>
            </w:r>
          </w:p>
        </w:tc>
        <w:tc>
          <w:tcPr>
            <w:tcW w:w="1133" w:type="dxa"/>
          </w:tcPr>
          <w:p>
            <w:pPr>
              <w:pStyle w:val="nTable"/>
              <w:spacing w:after="40"/>
              <w:rPr>
                <w:snapToGrid w:val="0"/>
              </w:rPr>
            </w:pPr>
            <w:r>
              <w:rPr>
                <w:snapToGrid w:val="0"/>
              </w:rPr>
              <w:t>35 of 2014</w:t>
            </w:r>
          </w:p>
        </w:tc>
        <w:tc>
          <w:tcPr>
            <w:tcW w:w="1133" w:type="dxa"/>
          </w:tcPr>
          <w:p>
            <w:pPr>
              <w:pStyle w:val="nTable"/>
              <w:spacing w:after="40"/>
              <w:rPr>
                <w:snapToGrid w:val="0"/>
              </w:rPr>
            </w:pPr>
            <w:r>
              <w:t>9 Dec 2014</w:t>
            </w:r>
          </w:p>
        </w:tc>
        <w:tc>
          <w:tcPr>
            <w:tcW w:w="2549" w:type="dxa"/>
          </w:tcPr>
          <w:p>
            <w:pPr>
              <w:pStyle w:val="nTable"/>
              <w:spacing w:after="40"/>
              <w:rPr>
                <w:snapToGrid w:val="0"/>
                <w:color w:val="000000"/>
              </w:rPr>
            </w:pPr>
            <w:r>
              <w:rPr>
                <w:snapToGrid w:val="0"/>
                <w:color w:val="000000"/>
              </w:rPr>
              <w:t xml:space="preserve">1 Jul 2015 (see s. 2(b) and </w:t>
            </w:r>
            <w:r>
              <w:rPr>
                <w:i/>
                <w:snapToGrid w:val="0"/>
                <w:color w:val="000000"/>
              </w:rPr>
              <w:t>Gazette</w:t>
            </w:r>
            <w:r>
              <w:rPr>
                <w:snapToGrid w:val="0"/>
                <w:color w:val="000000"/>
              </w:rPr>
              <w:t xml:space="preserve"> 26 Jun 2015 p. 2235)</w:t>
            </w:r>
          </w:p>
        </w:tc>
      </w:tr>
      <w:tr>
        <w:trPr>
          <w:gridBefore w:val="1"/>
          <w:wBefore w:w="6" w:type="dxa"/>
          <w:cantSplit/>
        </w:trPr>
        <w:tc>
          <w:tcPr>
            <w:tcW w:w="2266" w:type="dxa"/>
            <w:shd w:val="clear" w:color="auto" w:fill="auto"/>
          </w:tcPr>
          <w:p>
            <w:pPr>
              <w:pStyle w:val="nTable"/>
              <w:spacing w:after="40"/>
              <w:ind w:right="113"/>
              <w:rPr>
                <w:i/>
                <w:snapToGrid w:val="0"/>
              </w:rPr>
            </w:pPr>
            <w:r>
              <w:rPr>
                <w:i/>
                <w:snapToGrid w:val="0"/>
              </w:rPr>
              <w:t xml:space="preserve">Alcohol and Drug Authority Amendment Act 2015 </w:t>
            </w:r>
            <w:r>
              <w:rPr>
                <w:snapToGrid w:val="0"/>
              </w:rPr>
              <w:t>s. 17</w:t>
            </w:r>
          </w:p>
        </w:tc>
        <w:tc>
          <w:tcPr>
            <w:tcW w:w="1133" w:type="dxa"/>
            <w:shd w:val="clear" w:color="auto" w:fill="auto"/>
          </w:tcPr>
          <w:p>
            <w:pPr>
              <w:pStyle w:val="nTable"/>
              <w:spacing w:after="40"/>
              <w:rPr>
                <w:snapToGrid w:val="0"/>
              </w:rPr>
            </w:pPr>
            <w:r>
              <w:t>3 of 2015</w:t>
            </w:r>
          </w:p>
        </w:tc>
        <w:tc>
          <w:tcPr>
            <w:tcW w:w="1133" w:type="dxa"/>
            <w:shd w:val="clear" w:color="auto" w:fill="auto"/>
          </w:tcPr>
          <w:p>
            <w:pPr>
              <w:pStyle w:val="nTable"/>
              <w:spacing w:after="40"/>
              <w:rPr>
                <w:snapToGrid w:val="0"/>
              </w:rPr>
            </w:pPr>
            <w:r>
              <w:t>25 Feb 2015</w:t>
            </w:r>
          </w:p>
        </w:tc>
        <w:tc>
          <w:tcPr>
            <w:tcW w:w="2549" w:type="dxa"/>
            <w:shd w:val="clear" w:color="auto" w:fill="auto"/>
          </w:tcPr>
          <w:p>
            <w:pPr>
              <w:pStyle w:val="nTable"/>
              <w:spacing w:after="40"/>
              <w:rPr>
                <w:snapToGrid w:val="0"/>
                <w:color w:val="000000"/>
              </w:rPr>
            </w:pPr>
            <w:r>
              <w:t xml:space="preserve">1 Jul 2015 (see s. 2(b) and </w:t>
            </w:r>
            <w:r>
              <w:rPr>
                <w:i/>
              </w:rPr>
              <w:t>Gazette</w:t>
            </w:r>
            <w:r>
              <w:t xml:space="preserve"> 10 Apr 2015 p. 1249)</w:t>
            </w:r>
          </w:p>
        </w:tc>
      </w:tr>
      <w:tr>
        <w:trPr>
          <w:gridBefore w:val="1"/>
          <w:wBefore w:w="6" w:type="dxa"/>
          <w:cantSplit/>
        </w:trPr>
        <w:tc>
          <w:tcPr>
            <w:tcW w:w="7081" w:type="dxa"/>
            <w:gridSpan w:val="4"/>
            <w:shd w:val="clear" w:color="auto" w:fill="auto"/>
          </w:tcPr>
          <w:p>
            <w:pPr>
              <w:pStyle w:val="nTable"/>
              <w:spacing w:after="40"/>
            </w:pPr>
            <w:r>
              <w:rPr>
                <w:b/>
              </w:rPr>
              <w:t xml:space="preserve">Reprint 11: The </w:t>
            </w:r>
            <w:r>
              <w:rPr>
                <w:b/>
                <w:i/>
                <w:noProof/>
              </w:rPr>
              <w:t>Public Sector Management Act 1994</w:t>
            </w:r>
            <w:r>
              <w:rPr>
                <w:b/>
              </w:rPr>
              <w:t xml:space="preserve"> as at 3 Nov 2015</w:t>
            </w:r>
            <w:r>
              <w:t xml:space="preserve"> (includes amendments listed above)</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tcBorders>
          </w:tcPr>
          <w:p>
            <w:pPr>
              <w:pStyle w:val="nTable"/>
              <w:spacing w:after="40"/>
              <w:rPr>
                <w:vertAlign w:val="superscript"/>
              </w:rPr>
            </w:pPr>
            <w:r>
              <w:rPr>
                <w:i/>
                <w:noProof/>
              </w:rPr>
              <w:t xml:space="preserve">Western Australian Health Promotion Foundation Act 2016 </w:t>
            </w:r>
            <w:r>
              <w:rPr>
                <w:noProof/>
              </w:rPr>
              <w:t>Pt. 8 Div. 2</w:t>
            </w:r>
          </w:p>
        </w:tc>
        <w:tc>
          <w:tcPr>
            <w:tcW w:w="1133" w:type="dxa"/>
            <w:tcBorders>
              <w:top w:val="nil"/>
              <w:bottom w:val="nil"/>
            </w:tcBorders>
          </w:tcPr>
          <w:p>
            <w:pPr>
              <w:pStyle w:val="nTable"/>
              <w:spacing w:after="40"/>
            </w:pPr>
            <w:r>
              <w:t>3 of 2016</w:t>
            </w:r>
          </w:p>
        </w:tc>
        <w:tc>
          <w:tcPr>
            <w:tcW w:w="1133" w:type="dxa"/>
            <w:tcBorders>
              <w:top w:val="nil"/>
              <w:bottom w:val="nil"/>
            </w:tcBorders>
          </w:tcPr>
          <w:p>
            <w:pPr>
              <w:pStyle w:val="nTable"/>
              <w:spacing w:after="40"/>
            </w:pPr>
            <w:r>
              <w:t>21 Mar 2016</w:t>
            </w:r>
          </w:p>
        </w:tc>
        <w:tc>
          <w:tcPr>
            <w:tcW w:w="2549" w:type="dxa"/>
            <w:tcBorders>
              <w:top w:val="nil"/>
              <w:bottom w:val="nil"/>
            </w:tcBorders>
          </w:tcPr>
          <w:p>
            <w:pPr>
              <w:pStyle w:val="nTable"/>
              <w:spacing w:after="40"/>
            </w:pPr>
            <w:r>
              <w:t xml:space="preserve">1 Sep 2016 (see s. 2(b) and </w:t>
            </w:r>
            <w:r>
              <w:rPr>
                <w:i/>
              </w:rPr>
              <w:t>Gazette</w:t>
            </w:r>
            <w:r>
              <w:t xml:space="preserve"> 26 Jul 2016 p. 3145)</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i/>
                <w:noProof/>
              </w:rPr>
            </w:pPr>
            <w:r>
              <w:rPr>
                <w:i/>
                <w:snapToGrid w:val="0"/>
                <w:szCs w:val="19"/>
              </w:rPr>
              <w:t>Local Government Legislation Amendment Act 2016</w:t>
            </w:r>
            <w:r>
              <w:rPr>
                <w:snapToGrid w:val="0"/>
                <w:szCs w:val="19"/>
              </w:rPr>
              <w:t xml:space="preserve"> Pt. 3 Div. 30</w:t>
            </w:r>
          </w:p>
        </w:tc>
        <w:tc>
          <w:tcPr>
            <w:tcW w:w="1133" w:type="dxa"/>
            <w:tcBorders>
              <w:top w:val="nil"/>
              <w:left w:val="nil"/>
              <w:bottom w:val="nil"/>
              <w:right w:val="nil"/>
            </w:tcBorders>
            <w:shd w:val="clear" w:color="auto" w:fill="auto"/>
          </w:tcPr>
          <w:p>
            <w:pPr>
              <w:pStyle w:val="nTable"/>
              <w:spacing w:after="40"/>
            </w:pPr>
            <w:r>
              <w:t>26 of 2016</w:t>
            </w:r>
          </w:p>
        </w:tc>
        <w:tc>
          <w:tcPr>
            <w:tcW w:w="1133" w:type="dxa"/>
            <w:tcBorders>
              <w:top w:val="nil"/>
              <w:left w:val="nil"/>
              <w:bottom w:val="nil"/>
              <w:right w:val="nil"/>
            </w:tcBorders>
            <w:shd w:val="clear" w:color="auto" w:fill="auto"/>
          </w:tcPr>
          <w:p>
            <w:pPr>
              <w:pStyle w:val="nTable"/>
              <w:spacing w:after="40"/>
            </w:pPr>
            <w:r>
              <w:t>21 Sep 2016</w:t>
            </w:r>
          </w:p>
        </w:tc>
        <w:tc>
          <w:tcPr>
            <w:tcW w:w="2549" w:type="dxa"/>
            <w:tcBorders>
              <w:top w:val="nil"/>
              <w:left w:val="nil"/>
              <w:bottom w:val="nil"/>
            </w:tcBorders>
            <w:shd w:val="clear" w:color="auto" w:fill="auto"/>
          </w:tcPr>
          <w:p>
            <w:pPr>
              <w:pStyle w:val="nTable"/>
              <w:spacing w:after="40"/>
            </w:pPr>
            <w:r>
              <w:rPr>
                <w:snapToGrid w:val="0"/>
              </w:rPr>
              <w:t xml:space="preserve">21 Jan 2017 (see s. 2(b) and </w:t>
            </w:r>
            <w:r>
              <w:rPr>
                <w:i/>
                <w:snapToGrid w:val="0"/>
              </w:rPr>
              <w:t>Gazette</w:t>
            </w:r>
            <w:r>
              <w:rPr>
                <w:snapToGrid w:val="0"/>
              </w:rPr>
              <w:t xml:space="preserve"> 20 Jan 2017 p. 648)</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noProof/>
              </w:rPr>
            </w:pPr>
            <w:r>
              <w:rPr>
                <w:i/>
                <w:noProof/>
              </w:rPr>
              <w:t xml:space="preserve">Universities Legislation Amendment Act 2016 </w:t>
            </w:r>
            <w:r>
              <w:rPr>
                <w:i/>
                <w:noProof/>
              </w:rPr>
              <w:br/>
            </w:r>
            <w:r>
              <w:rPr>
                <w:noProof/>
              </w:rPr>
              <w:t>Pt. 7 Div. 7</w:t>
            </w:r>
          </w:p>
        </w:tc>
        <w:tc>
          <w:tcPr>
            <w:tcW w:w="1133" w:type="dxa"/>
            <w:tcBorders>
              <w:top w:val="nil"/>
              <w:left w:val="nil"/>
              <w:bottom w:val="nil"/>
              <w:right w:val="nil"/>
            </w:tcBorders>
            <w:shd w:val="clear" w:color="auto" w:fill="auto"/>
          </w:tcPr>
          <w:p>
            <w:pPr>
              <w:pStyle w:val="nTable"/>
              <w:spacing w:after="40"/>
            </w:pPr>
            <w:r>
              <w:t>32 of 2016</w:t>
            </w:r>
          </w:p>
        </w:tc>
        <w:tc>
          <w:tcPr>
            <w:tcW w:w="1133" w:type="dxa"/>
            <w:tcBorders>
              <w:top w:val="nil"/>
              <w:left w:val="nil"/>
              <w:bottom w:val="nil"/>
              <w:right w:val="nil"/>
            </w:tcBorders>
            <w:shd w:val="clear" w:color="auto" w:fill="auto"/>
          </w:tcPr>
          <w:p>
            <w:pPr>
              <w:pStyle w:val="nTable"/>
              <w:spacing w:after="40"/>
            </w:pPr>
            <w:r>
              <w:t>19 Oct 2016</w:t>
            </w:r>
          </w:p>
        </w:tc>
        <w:tc>
          <w:tcPr>
            <w:tcW w:w="2549" w:type="dxa"/>
            <w:tcBorders>
              <w:top w:val="nil"/>
              <w:left w:val="nil"/>
              <w:bottom w:val="nil"/>
            </w:tcBorders>
            <w:shd w:val="clear" w:color="auto" w:fill="auto"/>
          </w:tcPr>
          <w:p>
            <w:pPr>
              <w:pStyle w:val="nTable"/>
              <w:spacing w:after="40"/>
            </w:pPr>
            <w:r>
              <w:t>2 Jan 2017 (see s. 2(b) and Gazette 9 Dec 2016 p. 5557)</w:t>
            </w:r>
          </w:p>
        </w:tc>
      </w:tr>
      <w:tr>
        <w:tblPrEx>
          <w:tblBorders>
            <w:top w:val="single" w:sz="8" w:space="0" w:color="auto"/>
            <w:bottom w:val="single" w:sz="8" w:space="0" w:color="auto"/>
            <w:insideH w:val="single" w:sz="8" w:space="0" w:color="auto"/>
          </w:tblBorders>
        </w:tblPrEx>
        <w:trPr>
          <w:gridBefore w:val="1"/>
          <w:wBefore w:w="6" w:type="dxa"/>
        </w:trPr>
        <w:tc>
          <w:tcPr>
            <w:tcW w:w="2266" w:type="dxa"/>
            <w:tcBorders>
              <w:top w:val="nil"/>
              <w:bottom w:val="nil"/>
              <w:right w:val="nil"/>
            </w:tcBorders>
            <w:shd w:val="clear" w:color="auto" w:fill="auto"/>
          </w:tcPr>
          <w:p>
            <w:pPr>
              <w:pStyle w:val="nTable"/>
              <w:spacing w:after="40"/>
              <w:rPr>
                <w:i/>
                <w:noProof/>
              </w:rPr>
            </w:pPr>
            <w:r>
              <w:rPr>
                <w:i/>
                <w:noProof/>
              </w:rPr>
              <w:t xml:space="preserve">School Boarding Facilities Legislation Amendment and Repeal Act 2016 </w:t>
            </w:r>
            <w:r>
              <w:rPr>
                <w:noProof/>
              </w:rPr>
              <w:t>s. 23</w:t>
            </w:r>
          </w:p>
        </w:tc>
        <w:tc>
          <w:tcPr>
            <w:tcW w:w="1133" w:type="dxa"/>
            <w:tcBorders>
              <w:top w:val="nil"/>
              <w:left w:val="nil"/>
              <w:bottom w:val="nil"/>
              <w:right w:val="nil"/>
            </w:tcBorders>
            <w:shd w:val="clear" w:color="auto" w:fill="auto"/>
          </w:tcPr>
          <w:p>
            <w:pPr>
              <w:pStyle w:val="nTable"/>
              <w:spacing w:after="40"/>
            </w:pPr>
            <w:r>
              <w:t>41 of 2016</w:t>
            </w:r>
          </w:p>
        </w:tc>
        <w:tc>
          <w:tcPr>
            <w:tcW w:w="1133" w:type="dxa"/>
            <w:tcBorders>
              <w:top w:val="nil"/>
              <w:left w:val="nil"/>
              <w:bottom w:val="nil"/>
              <w:right w:val="nil"/>
            </w:tcBorders>
            <w:shd w:val="clear" w:color="auto" w:fill="auto"/>
          </w:tcPr>
          <w:p>
            <w:pPr>
              <w:pStyle w:val="nTable"/>
              <w:spacing w:after="40"/>
            </w:pPr>
            <w:r>
              <w:t>28 Nov 2016</w:t>
            </w:r>
          </w:p>
        </w:tc>
        <w:tc>
          <w:tcPr>
            <w:tcW w:w="2549" w:type="dxa"/>
            <w:tcBorders>
              <w:top w:val="nil"/>
              <w:left w:val="nil"/>
              <w:bottom w:val="nil"/>
            </w:tcBorders>
            <w:shd w:val="clear" w:color="auto" w:fill="auto"/>
          </w:tcPr>
          <w:p>
            <w:pPr>
              <w:pStyle w:val="nTable"/>
              <w:spacing w:after="40"/>
            </w:pPr>
            <w:r>
              <w:t xml:space="preserve">1 Jul 2017 (see s. 2(b) and </w:t>
            </w:r>
            <w:r>
              <w:rPr>
                <w:i/>
              </w:rPr>
              <w:t xml:space="preserve">Gazette </w:t>
            </w:r>
            <w:r>
              <w:t>23 Jun 2017 p. 3173)</w:t>
            </w:r>
          </w:p>
        </w:tc>
      </w:tr>
      <w:tr>
        <w:tblPrEx>
          <w:tblBorders>
            <w:top w:val="single" w:sz="8" w:space="0" w:color="auto"/>
            <w:bottom w:val="single" w:sz="8" w:space="0" w:color="auto"/>
            <w:insideH w:val="single" w:sz="8" w:space="0" w:color="auto"/>
          </w:tblBorders>
        </w:tblPrEx>
        <w:trPr>
          <w:gridBefore w:val="1"/>
          <w:wBefore w:w="6" w:type="dxa"/>
        </w:trPr>
        <w:tc>
          <w:tcPr>
            <w:tcW w:w="7081" w:type="dxa"/>
            <w:gridSpan w:val="4"/>
            <w:tcBorders>
              <w:top w:val="nil"/>
              <w:bottom w:val="nil"/>
            </w:tcBorders>
            <w:shd w:val="clear" w:color="auto" w:fill="auto"/>
          </w:tcPr>
          <w:p>
            <w:pPr>
              <w:pStyle w:val="nTable"/>
              <w:spacing w:after="40"/>
              <w:rPr>
                <w:b/>
              </w:rPr>
            </w:pPr>
          </w:p>
          <w:p>
            <w:pPr>
              <w:pStyle w:val="nTable"/>
              <w:spacing w:after="40"/>
            </w:pPr>
            <w:r>
              <w:rPr>
                <w:b/>
              </w:rPr>
              <w:t xml:space="preserve">Reprint 12: The </w:t>
            </w:r>
            <w:r>
              <w:rPr>
                <w:b/>
                <w:i/>
                <w:noProof/>
              </w:rPr>
              <w:t>Public Sector Management Act 1994</w:t>
            </w:r>
            <w:r>
              <w:rPr>
                <w:b/>
              </w:rPr>
              <w:t xml:space="preserve"> as at 12 Jan 2018</w:t>
            </w:r>
            <w:r>
              <w:t xml:space="preserve"> (includes amendments listed above)</w:t>
            </w:r>
          </w:p>
        </w:tc>
      </w:tr>
      <w:tr>
        <w:tblPrEx>
          <w:tblBorders>
            <w:top w:val="single" w:sz="8" w:space="0" w:color="auto"/>
            <w:bottom w:val="single" w:sz="8" w:space="0" w:color="auto"/>
            <w:insideH w:val="single" w:sz="8" w:space="0" w:color="auto"/>
          </w:tblBorders>
        </w:tblPrEx>
        <w:tc>
          <w:tcPr>
            <w:tcW w:w="4538" w:type="dxa"/>
            <w:gridSpan w:val="4"/>
            <w:tcBorders>
              <w:top w:val="nil"/>
              <w:bottom w:val="single" w:sz="4" w:space="0" w:color="auto"/>
              <w:right w:val="nil"/>
            </w:tcBorders>
            <w:shd w:val="clear" w:color="auto" w:fill="auto"/>
          </w:tcPr>
          <w:p>
            <w:pPr>
              <w:pStyle w:val="nTable"/>
              <w:spacing w:after="40"/>
            </w:pPr>
            <w:r>
              <w:rPr>
                <w:i/>
              </w:rPr>
              <w:t>Public Sector Management (Act Amendment) Regulations 2018</w:t>
            </w:r>
            <w:r>
              <w:t xml:space="preserve"> published in </w:t>
            </w:r>
            <w:r>
              <w:rPr>
                <w:i/>
              </w:rPr>
              <w:t>Gazette</w:t>
            </w:r>
            <w:r>
              <w:t xml:space="preserve"> 29 May 2018 p. 1736</w:t>
            </w:r>
          </w:p>
        </w:tc>
        <w:tc>
          <w:tcPr>
            <w:tcW w:w="2549" w:type="dxa"/>
            <w:tcBorders>
              <w:top w:val="nil"/>
              <w:left w:val="nil"/>
              <w:bottom w:val="single" w:sz="4" w:space="0" w:color="auto"/>
            </w:tcBorders>
            <w:shd w:val="clear" w:color="auto" w:fill="auto"/>
          </w:tcPr>
          <w:p>
            <w:pPr>
              <w:pStyle w:val="nTable"/>
              <w:spacing w:after="40"/>
              <w:rPr>
                <w:i/>
              </w:rPr>
            </w:pPr>
            <w:r>
              <w:t>r. 1 and 2: 29 May 2018 (see r. 2(a));</w:t>
            </w:r>
            <w:r>
              <w:br/>
            </w:r>
            <w:r>
              <w:rPr>
                <w:iCs/>
                <w:snapToGrid w:val="0"/>
                <w:spacing w:val="-2"/>
              </w:rPr>
              <w:t xml:space="preserve">Regulations other than r. 1 and 2: </w:t>
            </w:r>
            <w:r>
              <w:t xml:space="preserve">22 Sep 2018 (see r. 2(b) and </w:t>
            </w:r>
            <w:r>
              <w:rPr>
                <w:i/>
              </w:rPr>
              <w:t xml:space="preserve">Gazette </w:t>
            </w:r>
            <w:r>
              <w:t>18 Sep 2018 p. 3520)</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448" w:name="_Toc20390228"/>
      <w:r>
        <w:rPr>
          <w:snapToGrid w:val="0"/>
        </w:rPr>
        <w:t>Provisions that have not come into operation</w:t>
      </w:r>
      <w:bookmarkEnd w:id="448"/>
    </w:p>
    <w:tbl>
      <w:tblPr>
        <w:tblW w:w="7085" w:type="dxa"/>
        <w:tblInd w:w="28" w:type="dxa"/>
        <w:tblLayout w:type="fixed"/>
        <w:tblCellMar>
          <w:left w:w="56" w:type="dxa"/>
          <w:right w:w="56" w:type="dxa"/>
        </w:tblCellMar>
        <w:tblLook w:val="0000" w:firstRow="0" w:lastRow="0" w:firstColumn="0" w:lastColumn="0" w:noHBand="0" w:noVBand="0"/>
      </w:tblPr>
      <w:tblGrid>
        <w:gridCol w:w="2260"/>
        <w:gridCol w:w="1140"/>
        <w:gridCol w:w="1135"/>
        <w:gridCol w:w="2550"/>
      </w:tblGrid>
      <w:tr>
        <w:trPr>
          <w:cantSplit/>
          <w:tblHeader/>
        </w:trPr>
        <w:tc>
          <w:tcPr>
            <w:tcW w:w="2260"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40"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0" w:type="dxa"/>
            <w:tcBorders>
              <w:top w:val="single" w:sz="8" w:space="0" w:color="auto"/>
              <w:bottom w:val="single" w:sz="8" w:space="0" w:color="auto"/>
            </w:tcBorders>
            <w:shd w:val="clear" w:color="auto" w:fill="auto"/>
          </w:tcPr>
          <w:p>
            <w:pPr>
              <w:pStyle w:val="nTable"/>
              <w:spacing w:after="40"/>
              <w:ind w:right="113"/>
              <w:rPr>
                <w:vertAlign w:val="superscript"/>
              </w:rPr>
            </w:pPr>
            <w:r>
              <w:rPr>
                <w:i/>
              </w:rPr>
              <w:t>State Superannuation (Transitional and Consequential Provisions) Act 2000</w:t>
            </w:r>
            <w:r>
              <w:t xml:space="preserve"> s. 59(a) </w:t>
            </w:r>
            <w:r>
              <w:rPr>
                <w:vertAlign w:val="superscript"/>
              </w:rPr>
              <w:t>8</w:t>
            </w:r>
          </w:p>
        </w:tc>
        <w:tc>
          <w:tcPr>
            <w:tcW w:w="1140" w:type="dxa"/>
            <w:tcBorders>
              <w:top w:val="single" w:sz="8" w:space="0" w:color="auto"/>
              <w:bottom w:val="single" w:sz="8" w:space="0" w:color="auto"/>
            </w:tcBorders>
            <w:shd w:val="clear" w:color="auto" w:fill="auto"/>
          </w:tcPr>
          <w:p>
            <w:pPr>
              <w:pStyle w:val="nTable"/>
              <w:spacing w:after="40"/>
            </w:pPr>
            <w:r>
              <w:t>43 of 2000</w:t>
            </w:r>
          </w:p>
        </w:tc>
        <w:tc>
          <w:tcPr>
            <w:tcW w:w="1135" w:type="dxa"/>
            <w:tcBorders>
              <w:top w:val="single" w:sz="8" w:space="0" w:color="auto"/>
              <w:bottom w:val="single" w:sz="8" w:space="0" w:color="auto"/>
            </w:tcBorders>
            <w:shd w:val="clear" w:color="auto" w:fill="auto"/>
          </w:tcPr>
          <w:p>
            <w:pPr>
              <w:pStyle w:val="nTable"/>
              <w:spacing w:after="40"/>
            </w:pPr>
            <w:r>
              <w:t>2 Nov 2000</w:t>
            </w:r>
          </w:p>
        </w:tc>
        <w:tc>
          <w:tcPr>
            <w:tcW w:w="2550" w:type="dxa"/>
            <w:tcBorders>
              <w:top w:val="single" w:sz="8" w:space="0" w:color="auto"/>
              <w:bottom w:val="single" w:sz="8" w:space="0" w:color="auto"/>
            </w:tcBorders>
            <w:shd w:val="clear" w:color="auto" w:fill="auto"/>
          </w:tcPr>
          <w:p>
            <w:pPr>
              <w:pStyle w:val="nTable"/>
              <w:spacing w:after="40"/>
            </w:pPr>
            <w:r>
              <w:t>To be proclaimed (see s. 2(2))</w:t>
            </w:r>
          </w:p>
        </w:tc>
      </w:tr>
    </w:tbl>
    <w:p>
      <w:pPr>
        <w:pStyle w:val="nSubsection"/>
        <w:spacing w:before="160"/>
      </w:pPr>
      <w:r>
        <w:rPr>
          <w:vertAlign w:val="superscript"/>
        </w:rPr>
        <w:t>2</w:t>
      </w:r>
      <w:r>
        <w:tab/>
        <w:t xml:space="preserve">Under the </w:t>
      </w:r>
      <w:r>
        <w:rPr>
          <w:i/>
        </w:rPr>
        <w:t>Alteration of Statutory Designations Order (No. 2) 1997</w:t>
      </w:r>
      <w:r>
        <w:t xml:space="preserve"> a reference in any law to the Police Department shall be read and construed as a reference to the department in the Public Service designated as the Police Service.</w:t>
      </w:r>
    </w:p>
    <w:p>
      <w:pPr>
        <w:pStyle w:val="nSubsection"/>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was repealed by the </w:t>
      </w:r>
      <w:r>
        <w:rPr>
          <w:i/>
          <w:iCs/>
          <w:snapToGrid w:val="0"/>
        </w:rPr>
        <w:t>State Superannuation Act 2000</w:t>
      </w:r>
      <w:r>
        <w:rPr>
          <w:snapToGrid w:val="0"/>
        </w:rPr>
        <w:t xml:space="preserve"> s. 39, but its provisions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pPr>
      <w:r>
        <w:rPr>
          <w:snapToGrid w:val="0"/>
          <w:vertAlign w:val="superscript"/>
        </w:rPr>
        <w:t>4</w:t>
      </w:r>
      <w:r>
        <w:rPr>
          <w:snapToGrid w:val="0"/>
        </w:rPr>
        <w:tab/>
        <w:t xml:space="preserve">Under the </w:t>
      </w:r>
      <w:r>
        <w:rPr>
          <w:i/>
          <w:snapToGrid w:val="0"/>
        </w:rPr>
        <w:t>R &amp; I Holdings Act 1990</w:t>
      </w:r>
      <w:r>
        <w:rPr>
          <w:snapToGrid w:val="0"/>
        </w:rPr>
        <w:t xml:space="preserve"> s. 22(2) that Act was repealed on 26 Jun 2001, see </w:t>
      </w:r>
      <w:r>
        <w:rPr>
          <w:i/>
          <w:snapToGrid w:val="0"/>
        </w:rPr>
        <w:t>Gazette</w:t>
      </w:r>
      <w:r>
        <w:rPr>
          <w:snapToGrid w:val="0"/>
        </w:rPr>
        <w:t xml:space="preserve"> 26 Jun 2001 p. 3063.</w:t>
      </w:r>
    </w:p>
    <w:p>
      <w:pPr>
        <w:pStyle w:val="nSubsection"/>
        <w:spacing w:before="120"/>
      </w:pPr>
      <w:r>
        <w:rPr>
          <w:vertAlign w:val="superscript"/>
        </w:rPr>
        <w:t>5</w:t>
      </w:r>
      <w:r>
        <w:tab/>
        <w:t xml:space="preserve">The amendment in the </w:t>
      </w:r>
      <w:r>
        <w:rPr>
          <w:i/>
        </w:rPr>
        <w:t>Western Australian Greyhound Racing Association Amendment Act 1998</w:t>
      </w:r>
      <w:r>
        <w:t xml:space="preserve"> s. 20 (Sch. 1 cl. 5) is not included because of an error in the reference to the item to be amended.</w:t>
      </w:r>
    </w:p>
    <w:p>
      <w:pPr>
        <w:pStyle w:val="nSubsection"/>
        <w:spacing w:before="120"/>
        <w:rPr>
          <w:snapToGrid w:val="0"/>
        </w:rPr>
      </w:pPr>
      <w:r>
        <w:rPr>
          <w:snapToGrid w:val="0"/>
          <w:vertAlign w:val="superscript"/>
        </w:rPr>
        <w:t>6</w:t>
      </w:r>
      <w:r>
        <w:rPr>
          <w:snapToGrid w:val="0"/>
          <w:vertAlign w:val="superscript"/>
        </w:rPr>
        <w:tab/>
      </w:r>
      <w:r>
        <w:rPr>
          <w:snapToGrid w:val="0"/>
        </w:rPr>
        <w:t xml:space="preserve">The amendment in the </w:t>
      </w:r>
      <w:r>
        <w:rPr>
          <w:i/>
          <w:snapToGrid w:val="0"/>
        </w:rPr>
        <w:t xml:space="preserve">State Superannuation Amendment Act 2007 </w:t>
      </w:r>
      <w:r>
        <w:rPr>
          <w:snapToGrid w:val="0"/>
        </w:rPr>
        <w:t xml:space="preserve">s. 85 is not included because it was repealed by the </w:t>
      </w:r>
      <w:r>
        <w:rPr>
          <w:i/>
          <w:snapToGrid w:val="0"/>
        </w:rPr>
        <w:t>State Superannuation Amendment Act 2011</w:t>
      </w:r>
      <w:r>
        <w:rPr>
          <w:snapToGrid w:val="0"/>
        </w:rPr>
        <w:t xml:space="preserve"> s. 4 before the amendment came into operation.</w:t>
      </w:r>
    </w:p>
    <w:p>
      <w:pPr>
        <w:pStyle w:val="nSubsection"/>
        <w:spacing w:before="120"/>
      </w:pPr>
      <w:r>
        <w:rPr>
          <w:vertAlign w:val="superscript"/>
        </w:rPr>
        <w:t>7</w:t>
      </w:r>
      <w:r>
        <w:rPr>
          <w:vertAlign w:val="superscript"/>
        </w:rPr>
        <w:tab/>
      </w:r>
      <w:r>
        <w:t xml:space="preserve">The amendments </w:t>
      </w:r>
      <w:r>
        <w:rPr>
          <w:iCs/>
          <w:snapToGrid w:val="0"/>
        </w:rPr>
        <w:t xml:space="preserve">in the </w:t>
      </w:r>
      <w:r>
        <w:rPr>
          <w:i/>
          <w:snapToGrid w:val="0"/>
        </w:rPr>
        <w:t>Public Sector Reform Act 2010</w:t>
      </w:r>
      <w:r>
        <w:rPr>
          <w:iCs/>
          <w:snapToGrid w:val="0"/>
        </w:rPr>
        <w:t xml:space="preserve"> s. 68 and 70 </w:t>
      </w:r>
      <w:r>
        <w:t xml:space="preserve">to </w:t>
      </w:r>
      <w:r>
        <w:rPr>
          <w:snapToGrid w:val="0"/>
        </w:rPr>
        <w:t xml:space="preserve">the </w:t>
      </w:r>
      <w:r>
        <w:rPr>
          <w:i/>
          <w:snapToGrid w:val="0"/>
        </w:rPr>
        <w:t xml:space="preserve">Public Sector Management Act 1994 </w:t>
      </w:r>
      <w:r>
        <w:t>s. </w:t>
      </w:r>
      <w:r>
        <w:rPr>
          <w:snapToGrid w:val="0"/>
        </w:rPr>
        <w:t xml:space="preserve">79(6) and 99 are not included as those sections were deleted by the </w:t>
      </w:r>
      <w:r>
        <w:rPr>
          <w:i/>
          <w:snapToGrid w:val="0"/>
        </w:rPr>
        <w:t>Public Sector Reform Act 2010</w:t>
      </w:r>
      <w:r>
        <w:rPr>
          <w:iCs/>
          <w:snapToGrid w:val="0"/>
        </w:rPr>
        <w:t xml:space="preserve"> </w:t>
      </w:r>
      <w:r>
        <w:rPr>
          <w:snapToGrid w:val="0"/>
        </w:rPr>
        <w:t>s. 55(3) and 57 respectively</w:t>
      </w:r>
      <w:r>
        <w:rPr>
          <w:iCs/>
          <w:snapToGrid w:val="0"/>
        </w:rPr>
        <w:t xml:space="preserve">. </w:t>
      </w:r>
    </w:p>
    <w:p>
      <w:pPr>
        <w:pStyle w:val="nSubsection"/>
      </w:pPr>
      <w:r>
        <w:rPr>
          <w:vertAlign w:val="superscript"/>
        </w:rPr>
        <w:t>8</w:t>
      </w:r>
      <w:r>
        <w:tab/>
      </w:r>
      <w:r>
        <w:rPr>
          <w:snapToGrid w:val="0"/>
        </w:rPr>
        <w:t xml:space="preserve">On the date as at which this compilation was prepared, </w:t>
      </w:r>
      <w:r>
        <w:t xml:space="preserve">the </w:t>
      </w:r>
      <w:r>
        <w:rPr>
          <w:i/>
        </w:rPr>
        <w:t>State Superannuation (Transitional and Consequential Provisions) Act 2000</w:t>
      </w:r>
      <w:r>
        <w:t xml:space="preserve"> s. 59(a) had not come into operation.  It reads as follows:</w:t>
      </w:r>
    </w:p>
    <w:p>
      <w:pPr>
        <w:pStyle w:val="BlankOpen"/>
      </w:pP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BlankClose"/>
      </w:pPr>
    </w:p>
    <w:p>
      <w:pPr>
        <w:pStyle w:val="BlankClose"/>
      </w:pPr>
    </w:p>
    <w:p/>
    <w:p>
      <w:pPr>
        <w:sectPr>
          <w:headerReference w:type="even" r:id="rId35"/>
          <w:headerReference w:type="default" r:id="rId36"/>
          <w:headerReference w:type="first" r:id="rId37"/>
          <w:pgSz w:w="11907" w:h="16840" w:code="9"/>
          <w:pgMar w:top="2381" w:right="2410" w:bottom="3544" w:left="2410" w:header="720" w:footer="3380" w:gutter="0"/>
          <w:cols w:space="720"/>
          <w:noEndnote/>
          <w:docGrid w:linePitch="326"/>
        </w:sectPr>
      </w:pPr>
    </w:p>
    <w:p>
      <w:pPr>
        <w:pStyle w:val="nHeading2"/>
        <w:rPr>
          <w:sz w:val="28"/>
        </w:rPr>
      </w:pPr>
      <w:bookmarkStart w:id="450" w:name="_Toc500423070"/>
      <w:bookmarkStart w:id="451" w:name="_Toc503259454"/>
      <w:bookmarkStart w:id="452" w:name="_Toc503265390"/>
      <w:bookmarkStart w:id="453" w:name="_Toc503880857"/>
      <w:bookmarkStart w:id="454" w:name="_Toc515436383"/>
      <w:bookmarkStart w:id="455" w:name="_Toc515437212"/>
      <w:bookmarkStart w:id="456" w:name="_Toc20390229"/>
      <w:r>
        <w:rPr>
          <w:sz w:val="28"/>
        </w:rPr>
        <w:t>Defined terms</w:t>
      </w:r>
      <w:bookmarkEnd w:id="450"/>
      <w:bookmarkEnd w:id="451"/>
      <w:bookmarkEnd w:id="452"/>
      <w:bookmarkEnd w:id="453"/>
      <w:bookmarkEnd w:id="454"/>
      <w:bookmarkEnd w:id="455"/>
      <w:bookmarkEnd w:id="45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5(2)(b)</w:t>
      </w:r>
    </w:p>
    <w:p>
      <w:pPr>
        <w:pStyle w:val="DefinedTerms"/>
      </w:pPr>
      <w:r>
        <w:t>affected department or organisation</w:t>
      </w:r>
      <w:r>
        <w:tab/>
        <w:t>93(3)</w:t>
      </w:r>
    </w:p>
    <w:p>
      <w:pPr>
        <w:pStyle w:val="DefinedTerms"/>
      </w:pPr>
      <w:r>
        <w:t>agency</w:t>
      </w:r>
      <w:r>
        <w:tab/>
        <w:t>3(1)</w:t>
      </w:r>
    </w:p>
    <w:p>
      <w:pPr>
        <w:pStyle w:val="DefinedTerms"/>
      </w:pPr>
      <w:r>
        <w:t>agency of destination</w:t>
      </w:r>
      <w:r>
        <w:tab/>
        <w:t>50(5)</w:t>
      </w:r>
    </w:p>
    <w:p>
      <w:pPr>
        <w:pStyle w:val="DefinedTerms"/>
      </w:pPr>
      <w:r>
        <w:t>amended Act</w:t>
      </w:r>
      <w:r>
        <w:tab/>
        <w:t>Sch. 7 cl. 1</w:t>
      </w:r>
    </w:p>
    <w:p>
      <w:pPr>
        <w:pStyle w:val="DefinedTerms"/>
      </w:pPr>
      <w:r>
        <w:t>any local government or regional local government</w:t>
      </w:r>
      <w:r>
        <w:tab/>
        <w:t>102(1A)</w:t>
      </w:r>
    </w:p>
    <w:p>
      <w:pPr>
        <w:pStyle w:val="DefinedTerms"/>
      </w:pPr>
      <w:r>
        <w:t>appoint</w:t>
      </w:r>
      <w:r>
        <w:tab/>
        <w:t>3(1)</w:t>
      </w:r>
    </w:p>
    <w:p>
      <w:pPr>
        <w:pStyle w:val="DefinedTerms"/>
      </w:pPr>
      <w:r>
        <w:t>authorised person</w:t>
      </w:r>
      <w:r>
        <w:tab/>
        <w:t>24A, 24C</w:t>
      </w:r>
    </w:p>
    <w:p>
      <w:pPr>
        <w:pStyle w:val="DefinedTerms"/>
      </w:pPr>
      <w:r>
        <w:t>breach of discipline</w:t>
      </w:r>
      <w:r>
        <w:tab/>
        <w:t>3(1)</w:t>
      </w:r>
    </w:p>
    <w:p>
      <w:pPr>
        <w:pStyle w:val="DefinedTerms"/>
      </w:pPr>
      <w:r>
        <w:t>chief employee</w:t>
      </w:r>
      <w:r>
        <w:tab/>
        <w:t>3(1)</w:t>
      </w:r>
    </w:p>
    <w:p>
      <w:pPr>
        <w:pStyle w:val="DefinedTerms"/>
      </w:pPr>
      <w:r>
        <w:t>chief executive officer</w:t>
      </w:r>
      <w:r>
        <w:tab/>
        <w:t>3(1)</w:t>
      </w:r>
    </w:p>
    <w:p>
      <w:pPr>
        <w:pStyle w:val="DefinedTerms"/>
      </w:pPr>
      <w:r>
        <w:t>classification system</w:t>
      </w:r>
      <w:r>
        <w:tab/>
        <w:t>3(1)</w:t>
      </w:r>
    </w:p>
    <w:p>
      <w:pPr>
        <w:pStyle w:val="DefinedTerms"/>
      </w:pPr>
      <w:r>
        <w:t>code of conduct</w:t>
      </w:r>
      <w:r>
        <w:tab/>
        <w:t>3(1)</w:t>
      </w:r>
    </w:p>
    <w:p>
      <w:pPr>
        <w:pStyle w:val="DefinedTerms"/>
      </w:pPr>
      <w:r>
        <w:t>code of ethics</w:t>
      </w:r>
      <w:r>
        <w:tab/>
        <w:t>3(1)</w:t>
      </w:r>
    </w:p>
    <w:p>
      <w:pPr>
        <w:pStyle w:val="DefinedTerms"/>
      </w:pPr>
      <w:r>
        <w:t>commencement day</w:t>
      </w:r>
      <w:r>
        <w:tab/>
        <w:t>Sch. 7 cl. 1, Sch. 8 cl. 1</w:t>
      </w:r>
    </w:p>
    <w:p>
      <w:pPr>
        <w:pStyle w:val="DefinedTerms"/>
      </w:pPr>
      <w:r>
        <w:t>Commissioner</w:t>
      </w:r>
      <w:r>
        <w:tab/>
        <w:t>3(1)</w:t>
      </w:r>
    </w:p>
    <w:p>
      <w:pPr>
        <w:pStyle w:val="DefinedTerms"/>
      </w:pPr>
      <w:r>
        <w:t>Commissioner’s instructions</w:t>
      </w:r>
      <w:r>
        <w:tab/>
        <w:t>3(1)</w:t>
      </w:r>
    </w:p>
    <w:p>
      <w:pPr>
        <w:pStyle w:val="DefinedTerms"/>
      </w:pPr>
      <w:r>
        <w:t>compensation</w:t>
      </w:r>
      <w:r>
        <w:tab/>
        <w:t>3(1)</w:t>
      </w:r>
    </w:p>
    <w:p>
      <w:pPr>
        <w:pStyle w:val="DefinedTerms"/>
      </w:pPr>
      <w:r>
        <w:t>council of a local government or regional local government</w:t>
      </w:r>
      <w:r>
        <w:tab/>
        <w:t>102(1A)</w:t>
      </w:r>
    </w:p>
    <w:p>
      <w:pPr>
        <w:pStyle w:val="DefinedTerms"/>
      </w:pPr>
      <w:r>
        <w:t>department</w:t>
      </w:r>
      <w:r>
        <w:tab/>
        <w:t>3(1)</w:t>
      </w:r>
    </w:p>
    <w:p>
      <w:pPr>
        <w:pStyle w:val="DefinedTerms"/>
      </w:pPr>
      <w:r>
        <w:t>disciplinary action</w:t>
      </w:r>
      <w:r>
        <w:tab/>
        <w:t>3(1), 80A</w:t>
      </w:r>
    </w:p>
    <w:p>
      <w:pPr>
        <w:pStyle w:val="DefinedTerms"/>
      </w:pPr>
      <w:r>
        <w:t>document</w:t>
      </w:r>
      <w:r>
        <w:tab/>
        <w:t>3(1)</w:t>
      </w:r>
    </w:p>
    <w:p>
      <w:pPr>
        <w:pStyle w:val="DefinedTerms"/>
      </w:pPr>
      <w:r>
        <w:t>employee</w:t>
      </w:r>
      <w:r>
        <w:tab/>
        <w:t>3(1)</w:t>
      </w:r>
    </w:p>
    <w:p>
      <w:pPr>
        <w:pStyle w:val="DefinedTerms"/>
      </w:pPr>
      <w:r>
        <w:t>employing authority</w:t>
      </w:r>
      <w:r>
        <w:tab/>
        <w:t>3(1), 5(1)</w:t>
      </w:r>
    </w:p>
    <w:p>
      <w:pPr>
        <w:pStyle w:val="DefinedTerms"/>
      </w:pPr>
      <w:r>
        <w:t>executive officer</w:t>
      </w:r>
      <w:r>
        <w:tab/>
        <w:t>3(1)</w:t>
      </w:r>
    </w:p>
    <w:p>
      <w:pPr>
        <w:pStyle w:val="DefinedTerms"/>
      </w:pPr>
      <w:r>
        <w:t>former Commissioner</w:t>
      </w:r>
      <w:r>
        <w:tab/>
        <w:t>Sch. 7 cl. 1</w:t>
      </w:r>
    </w:p>
    <w:p>
      <w:pPr>
        <w:pStyle w:val="DefinedTerms"/>
      </w:pPr>
      <w:r>
        <w:t>former office</w:t>
      </w:r>
      <w:r>
        <w:tab/>
        <w:t>Sch. 7 cl. 2(1)</w:t>
      </w:r>
    </w:p>
    <w:p>
      <w:pPr>
        <w:pStyle w:val="DefinedTerms"/>
      </w:pPr>
      <w:r>
        <w:t>function</w:t>
      </w:r>
      <w:r>
        <w:tab/>
        <w:t>3(1)</w:t>
      </w:r>
    </w:p>
    <w:p>
      <w:pPr>
        <w:pStyle w:val="DefinedTerms"/>
      </w:pPr>
      <w:r>
        <w:t>improvement action</w:t>
      </w:r>
      <w:r>
        <w:tab/>
        <w:t>3(1)</w:t>
      </w:r>
    </w:p>
    <w:p>
      <w:pPr>
        <w:pStyle w:val="DefinedTerms"/>
      </w:pPr>
      <w:r>
        <w:t>incumbent</w:t>
      </w:r>
      <w:r>
        <w:tab/>
        <w:t>107(1)</w:t>
      </w:r>
    </w:p>
    <w:p>
      <w:pPr>
        <w:pStyle w:val="DefinedTerms"/>
      </w:pPr>
      <w:r>
        <w:t>Industrial Commission</w:t>
      </w:r>
      <w:r>
        <w:tab/>
        <w:t>3(1)</w:t>
      </w:r>
    </w:p>
    <w:p>
      <w:pPr>
        <w:pStyle w:val="DefinedTerms"/>
      </w:pPr>
      <w:r>
        <w:t>industrial instrument</w:t>
      </w:r>
      <w:r>
        <w:tab/>
        <w:t>95B(1)</w:t>
      </w:r>
    </w:p>
    <w:p>
      <w:pPr>
        <w:pStyle w:val="DefinedTerms"/>
      </w:pPr>
      <w:r>
        <w:t>Minister</w:t>
      </w:r>
      <w:r>
        <w:tab/>
        <w:t>3(1)</w:t>
      </w:r>
    </w:p>
    <w:p>
      <w:pPr>
        <w:pStyle w:val="DefinedTerms"/>
      </w:pPr>
      <w:r>
        <w:t>ministerial office</w:t>
      </w:r>
      <w:r>
        <w:tab/>
        <w:t>3(1)</w:t>
      </w:r>
    </w:p>
    <w:p>
      <w:pPr>
        <w:pStyle w:val="DefinedTerms"/>
      </w:pPr>
      <w:r>
        <w:t>ministerial officer</w:t>
      </w:r>
      <w:r>
        <w:tab/>
        <w:t>3(1), 74(3), 105(4)</w:t>
      </w:r>
    </w:p>
    <w:p>
      <w:pPr>
        <w:pStyle w:val="DefinedTerms"/>
      </w:pPr>
      <w:r>
        <w:t>non</w:t>
      </w:r>
      <w:r>
        <w:noBreakHyphen/>
        <w:t>SES organisation</w:t>
      </w:r>
      <w:r>
        <w:tab/>
        <w:t>3(1)</w:t>
      </w:r>
    </w:p>
    <w:p>
      <w:pPr>
        <w:pStyle w:val="DefinedTerms"/>
      </w:pPr>
      <w:r>
        <w:t>organisation</w:t>
      </w:r>
      <w:r>
        <w:tab/>
        <w:t>3(1)</w:t>
      </w:r>
    </w:p>
    <w:p>
      <w:pPr>
        <w:pStyle w:val="DefinedTerms"/>
      </w:pPr>
      <w:r>
        <w:t>original contract</w:t>
      </w:r>
      <w:r>
        <w:tab/>
        <w:t>56(4)</w:t>
      </w:r>
    </w:p>
    <w:p>
      <w:pPr>
        <w:pStyle w:val="DefinedTerms"/>
      </w:pPr>
      <w:r>
        <w:t>paragraph (a) provision</w:t>
      </w:r>
      <w:r>
        <w:tab/>
        <w:t>32(2)(a)</w:t>
      </w:r>
    </w:p>
    <w:p>
      <w:pPr>
        <w:pStyle w:val="DefinedTerms"/>
      </w:pPr>
      <w:r>
        <w:t>performance agreement</w:t>
      </w:r>
      <w:r>
        <w:tab/>
        <w:t>3(1)</w:t>
      </w:r>
    </w:p>
    <w:p>
      <w:pPr>
        <w:pStyle w:val="DefinedTerms"/>
      </w:pPr>
      <w:r>
        <w:t>permanent officer</w:t>
      </w:r>
      <w:r>
        <w:tab/>
        <w:t>3(1)</w:t>
      </w:r>
    </w:p>
    <w:p>
      <w:pPr>
        <w:pStyle w:val="DefinedTerms"/>
      </w:pPr>
      <w:r>
        <w:t>political office holder</w:t>
      </w:r>
      <w:r>
        <w:tab/>
        <w:t>3(1)</w:t>
      </w:r>
    </w:p>
    <w:p>
      <w:pPr>
        <w:pStyle w:val="DefinedTerms"/>
      </w:pPr>
      <w:r>
        <w:t>Public Sector</w:t>
      </w:r>
      <w:r>
        <w:tab/>
        <w:t>3(1)</w:t>
      </w:r>
    </w:p>
    <w:p>
      <w:pPr>
        <w:pStyle w:val="DefinedTerms"/>
      </w:pPr>
      <w:r>
        <w:t>public sector body</w:t>
      </w:r>
      <w:r>
        <w:tab/>
        <w:t>3(1)</w:t>
      </w:r>
    </w:p>
    <w:p>
      <w:pPr>
        <w:pStyle w:val="DefinedTerms"/>
      </w:pPr>
      <w:r>
        <w:t>public sector notice</w:t>
      </w:r>
      <w:r>
        <w:tab/>
        <w:t>3(1)</w:t>
      </w:r>
    </w:p>
    <w:p>
      <w:pPr>
        <w:pStyle w:val="DefinedTerms"/>
      </w:pPr>
      <w:r>
        <w:t>public sector standard</w:t>
      </w:r>
      <w:r>
        <w:tab/>
        <w:t>3(1)</w:t>
      </w:r>
    </w:p>
    <w:p>
      <w:pPr>
        <w:pStyle w:val="DefinedTerms"/>
      </w:pPr>
      <w:r>
        <w:t>Public Service</w:t>
      </w:r>
      <w:r>
        <w:tab/>
        <w:t>3(1)</w:t>
      </w:r>
    </w:p>
    <w:p>
      <w:pPr>
        <w:pStyle w:val="DefinedTerms"/>
      </w:pPr>
      <w:r>
        <w:t>public service officer</w:t>
      </w:r>
      <w:r>
        <w:tab/>
        <w:t>3(1)</w:t>
      </w:r>
    </w:p>
    <w:p>
      <w:pPr>
        <w:pStyle w:val="DefinedTerms"/>
      </w:pPr>
      <w:r>
        <w:t>reasonable excuse</w:t>
      </w:r>
      <w:r>
        <w:tab/>
        <w:t>Sch. 3 cl. 3(5) and 4(3)</w:t>
      </w:r>
    </w:p>
    <w:p>
      <w:pPr>
        <w:pStyle w:val="DefinedTerms"/>
      </w:pPr>
      <w:r>
        <w:t>registered employee</w:t>
      </w:r>
      <w:r>
        <w:tab/>
        <w:t>94(1A), 95A(1)</w:t>
      </w:r>
    </w:p>
    <w:p>
      <w:pPr>
        <w:pStyle w:val="DefinedTerms"/>
      </w:pPr>
      <w:r>
        <w:t>registrable employee</w:t>
      </w:r>
      <w:r>
        <w:tab/>
        <w:t>94(1A)</w:t>
      </w:r>
    </w:p>
    <w:p>
      <w:pPr>
        <w:pStyle w:val="DefinedTerms"/>
      </w:pPr>
      <w:r>
        <w:t>remuneration</w:t>
      </w:r>
      <w:r>
        <w:tab/>
        <w:t>3(1)</w:t>
      </w:r>
    </w:p>
    <w:p>
      <w:pPr>
        <w:pStyle w:val="DefinedTerms"/>
      </w:pPr>
      <w:r>
        <w:t>repealed Act</w:t>
      </w:r>
      <w:r>
        <w:tab/>
        <w:t>3(1)</w:t>
      </w:r>
    </w:p>
    <w:p>
      <w:pPr>
        <w:pStyle w:val="DefinedTerms"/>
      </w:pPr>
      <w:r>
        <w:t>responsible authority</w:t>
      </w:r>
      <w:r>
        <w:tab/>
        <w:t>3(1)</w:t>
      </w:r>
    </w:p>
    <w:p>
      <w:pPr>
        <w:pStyle w:val="DefinedTerms"/>
      </w:pPr>
      <w:r>
        <w:t>review</w:t>
      </w:r>
      <w:r>
        <w:tab/>
        <w:t>24A</w:t>
      </w:r>
    </w:p>
    <w:p>
      <w:pPr>
        <w:pStyle w:val="DefinedTerms"/>
      </w:pPr>
      <w:r>
        <w:t>right of return</w:t>
      </w:r>
      <w:r>
        <w:tab/>
        <w:t>58(7)</w:t>
      </w:r>
    </w:p>
    <w:p>
      <w:pPr>
        <w:pStyle w:val="DefinedTerms"/>
      </w:pPr>
      <w:r>
        <w:t>seconding authority</w:t>
      </w:r>
      <w:r>
        <w:tab/>
        <w:t>66</w:t>
      </w:r>
    </w:p>
    <w:p>
      <w:pPr>
        <w:pStyle w:val="DefinedTerms"/>
      </w:pPr>
      <w:r>
        <w:t>section 94 breach of discipline</w:t>
      </w:r>
      <w:r>
        <w:tab/>
        <w:t>80A</w:t>
      </w:r>
    </w:p>
    <w:p>
      <w:pPr>
        <w:pStyle w:val="DefinedTerms"/>
      </w:pPr>
      <w:r>
        <w:t>section 94 decision</w:t>
      </w:r>
      <w:r>
        <w:tab/>
        <w:t>95(1)</w:t>
      </w:r>
    </w:p>
    <w:p>
      <w:pPr>
        <w:pStyle w:val="DefinedTerms"/>
      </w:pPr>
      <w:r>
        <w:t>senior executive officer</w:t>
      </w:r>
      <w:r>
        <w:tab/>
        <w:t>3(1)</w:t>
      </w:r>
    </w:p>
    <w:p>
      <w:pPr>
        <w:pStyle w:val="DefinedTerms"/>
      </w:pPr>
      <w:r>
        <w:t>Senior Executive Service</w:t>
      </w:r>
      <w:r>
        <w:tab/>
        <w:t>3(1)</w:t>
      </w:r>
    </w:p>
    <w:p>
      <w:pPr>
        <w:pStyle w:val="DefinedTerms"/>
      </w:pPr>
      <w:r>
        <w:t>serious offence</w:t>
      </w:r>
      <w:r>
        <w:tab/>
        <w:t>80A</w:t>
      </w:r>
    </w:p>
    <w:p>
      <w:pPr>
        <w:pStyle w:val="DefinedTerms"/>
      </w:pPr>
      <w:r>
        <w:t>SES organisation</w:t>
      </w:r>
      <w:r>
        <w:tab/>
        <w:t>3(1)</w:t>
      </w:r>
    </w:p>
    <w:p>
      <w:pPr>
        <w:pStyle w:val="DefinedTerms"/>
      </w:pPr>
      <w:r>
        <w:t>special disciplinary inquiry</w:t>
      </w:r>
      <w:r>
        <w:tab/>
        <w:t>3(1)</w:t>
      </w:r>
    </w:p>
    <w:p>
      <w:pPr>
        <w:pStyle w:val="DefinedTerms"/>
      </w:pPr>
      <w:r>
        <w:t>special inquirer</w:t>
      </w:r>
      <w:r>
        <w:tab/>
        <w:t>3(1)</w:t>
      </w:r>
    </w:p>
    <w:p>
      <w:pPr>
        <w:pStyle w:val="DefinedTerms"/>
      </w:pPr>
      <w:r>
        <w:t>special inquiry</w:t>
      </w:r>
      <w:r>
        <w:tab/>
        <w:t>3(1)</w:t>
      </w:r>
    </w:p>
    <w:p>
      <w:pPr>
        <w:pStyle w:val="DefinedTerms"/>
      </w:pPr>
      <w:r>
        <w:t>specified</w:t>
      </w:r>
      <w:r>
        <w:tab/>
        <w:t>Sch. 7 cl. 12(5), Sch. 8 cl. 6(5)</w:t>
      </w:r>
    </w:p>
    <w:p>
      <w:pPr>
        <w:pStyle w:val="DefinedTerms"/>
      </w:pPr>
      <w:r>
        <w:t>statutory office</w:t>
      </w:r>
      <w:r>
        <w:tab/>
        <w:t>58(7)</w:t>
      </w:r>
    </w:p>
    <w:p>
      <w:pPr>
        <w:pStyle w:val="DefinedTerms"/>
      </w:pPr>
      <w:r>
        <w:t>substandard performance</w:t>
      </w:r>
      <w:r>
        <w:tab/>
        <w:t>3(1)</w:t>
      </w:r>
    </w:p>
    <w:p>
      <w:pPr>
        <w:pStyle w:val="DefinedTerms"/>
      </w:pPr>
      <w:r>
        <w:t>suitable employment</w:t>
      </w:r>
      <w:r>
        <w:tab/>
        <w:t>94(6)</w:t>
      </w:r>
    </w:p>
    <w:p>
      <w:pPr>
        <w:pStyle w:val="DefinedTerms"/>
      </w:pPr>
      <w:r>
        <w:t>suitable office, post or position</w:t>
      </w:r>
      <w:r>
        <w:tab/>
        <w:t>94(6)</w:t>
      </w:r>
    </w:p>
    <w:p>
      <w:pPr>
        <w:pStyle w:val="DefinedTerms"/>
      </w:pPr>
      <w:r>
        <w:t>term officer</w:t>
      </w:r>
      <w:r>
        <w:tab/>
        <w:t>3(1)</w:t>
      </w:r>
    </w:p>
    <w:p>
      <w:pPr>
        <w:pStyle w:val="DefinedTerms"/>
      </w:pPr>
      <w:r>
        <w:t>this Act</w:t>
      </w:r>
      <w:r>
        <w:tab/>
        <w:t>3(1)</w:t>
      </w:r>
    </w:p>
    <w:p>
      <w:pPr>
        <w:pStyle w:val="DefinedTerms"/>
      </w:pPr>
      <w:r>
        <w:t>transitional matter</w:t>
      </w:r>
      <w:r>
        <w:tab/>
        <w:t>Sch. 7 cl. 12(2), Sch. 8 cl. 6(2)</w:t>
      </w:r>
    </w:p>
    <w:p>
      <w:pPr>
        <w:pStyle w:val="DefinedTerms"/>
      </w:pPr>
      <w:r>
        <w:t>Tribunal</w:t>
      </w:r>
      <w:r>
        <w:tab/>
        <w:t>57(2)</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7" w:name="Schedule"/>
    <w:bookmarkEnd w:id="34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Entities which are SES organisations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Entities which are SES organisations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Provisions applicable to and in relation to special inquirers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Provisions applicable to and in relation to special inquirers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separate"/>
          </w:r>
          <w:r>
            <w:t>Form of declaration</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 of declaration</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6</w:instrText>
          </w:r>
          <w:r>
            <w:rPr>
              <w:b/>
            </w:rPr>
            <w:fldChar w:fldCharType="end"/>
          </w:r>
          <w:r>
            <w:rPr>
              <w:b/>
            </w:rPr>
            <w:instrText xml:space="preserve"> </w:instrText>
          </w:r>
          <w:r>
            <w:rPr>
              <w:b/>
            </w:rPr>
            <w:fldChar w:fldCharType="separate"/>
          </w:r>
          <w:r>
            <w:rPr>
              <w:b/>
            </w:rPr>
            <w:t>6</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49" w:name="Compilation"/>
    <w:bookmarkEnd w:id="449"/>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57" w:name="DefinedTerms"/>
    <w:bookmarkEnd w:id="457"/>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58" w:name="Coversheet"/>
    <w:bookmarkEnd w:id="45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Act 1994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7C5304"/>
    <w:lvl w:ilvl="0">
      <w:start w:val="1"/>
      <w:numFmt w:val="decimal"/>
      <w:lvlText w:val="%1."/>
      <w:lvlJc w:val="left"/>
      <w:pPr>
        <w:tabs>
          <w:tab w:val="num" w:pos="1800"/>
        </w:tabs>
        <w:ind w:left="1800" w:hanging="360"/>
      </w:pPr>
    </w:lvl>
  </w:abstractNum>
  <w:abstractNum w:abstractNumId="1">
    <w:nsid w:val="FFFFFF7D"/>
    <w:multiLevelType w:val="singleLevel"/>
    <w:tmpl w:val="59CA095C"/>
    <w:lvl w:ilvl="0">
      <w:start w:val="1"/>
      <w:numFmt w:val="decimal"/>
      <w:lvlText w:val="%1."/>
      <w:lvlJc w:val="left"/>
      <w:pPr>
        <w:tabs>
          <w:tab w:val="num" w:pos="1440"/>
        </w:tabs>
        <w:ind w:left="1440" w:hanging="360"/>
      </w:pPr>
    </w:lvl>
  </w:abstractNum>
  <w:abstractNum w:abstractNumId="2">
    <w:nsid w:val="FFFFFF7E"/>
    <w:multiLevelType w:val="singleLevel"/>
    <w:tmpl w:val="948E922E"/>
    <w:lvl w:ilvl="0">
      <w:start w:val="1"/>
      <w:numFmt w:val="decimal"/>
      <w:lvlText w:val="%1."/>
      <w:lvlJc w:val="left"/>
      <w:pPr>
        <w:tabs>
          <w:tab w:val="num" w:pos="1080"/>
        </w:tabs>
        <w:ind w:left="1080" w:hanging="360"/>
      </w:pPr>
    </w:lvl>
  </w:abstractNum>
  <w:abstractNum w:abstractNumId="3">
    <w:nsid w:val="FFFFFF7F"/>
    <w:multiLevelType w:val="singleLevel"/>
    <w:tmpl w:val="6A0EFC02"/>
    <w:lvl w:ilvl="0">
      <w:start w:val="1"/>
      <w:numFmt w:val="decimal"/>
      <w:lvlText w:val="%1."/>
      <w:lvlJc w:val="left"/>
      <w:pPr>
        <w:tabs>
          <w:tab w:val="num" w:pos="720"/>
        </w:tabs>
        <w:ind w:left="720" w:hanging="360"/>
      </w:pPr>
    </w:lvl>
  </w:abstractNum>
  <w:abstractNum w:abstractNumId="4">
    <w:nsid w:val="FFFFFF80"/>
    <w:multiLevelType w:val="singleLevel"/>
    <w:tmpl w:val="5A82BF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C58744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2123C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C0D51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58823F8"/>
    <w:lvl w:ilvl="0">
      <w:start w:val="1"/>
      <w:numFmt w:val="decimal"/>
      <w:lvlText w:val="%1."/>
      <w:lvlJc w:val="left"/>
      <w:pPr>
        <w:tabs>
          <w:tab w:val="num" w:pos="360"/>
        </w:tabs>
        <w:ind w:left="360" w:hanging="360"/>
      </w:pPr>
    </w:lvl>
  </w:abstractNum>
  <w:abstractNum w:abstractNumId="9">
    <w:nsid w:val="FFFFFF89"/>
    <w:multiLevelType w:val="singleLevel"/>
    <w:tmpl w:val="D2385AE6"/>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1DE8921A"/>
    <w:lvl w:ilvl="0">
      <w:start w:val="1"/>
      <w:numFmt w:val="bullet"/>
      <w:lvlText w:val=""/>
      <w:lvlJc w:val="left"/>
      <w:pPr>
        <w:tabs>
          <w:tab w:val="num" w:pos="1446"/>
        </w:tabs>
        <w:ind w:left="1446" w:hanging="567"/>
      </w:pPr>
      <w:rPr>
        <w:rFonts w:ascii="Symbol" w:hAnsi="Symbol" w:hint="default"/>
      </w:rPr>
    </w:lvl>
  </w:abstractNum>
  <w:abstractNum w:abstractNumId="17">
    <w:nsid w:val="402A3AD8"/>
    <w:multiLevelType w:val="multilevel"/>
    <w:tmpl w:val="652CD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44008"/>
    <w:docVar w:name="WAFER_20131219110234" w:val="RemoveTocBookmarks,RemoveUnusedBookmarks,RemoveLanguageTags,UsedStyles,ResetPageSize,UpdateArrangement"/>
    <w:docVar w:name="WAFER_20131219110234_GUID" w:val="9f28b9eb-41d4-415b-9b5b-d11c5c758a1d"/>
    <w:docVar w:name="WAFER_20131231111159" w:val="RemoveTocBookmarks,RemoveUnusedBookmarks,RemoveLanguageTags,UsedStyles,ResetPageSize,UpdateArrangement"/>
    <w:docVar w:name="WAFER_20131231111159_GUID" w:val="4a36c419-4697-4034-a4a3-dd7d1ee5272c"/>
    <w:docVar w:name="WAFER_20131231133924" w:val="RemoveTocBookmarks,RunningHeaders"/>
    <w:docVar w:name="WAFER_20131231133924_GUID" w:val="470751cb-c9a4-45b6-b5b4-9b9ffcc5edec"/>
    <w:docVar w:name="WAFER_20140113115247" w:val="RemoveTocBookmarks,RemoveUnusedBookmarks,RemoveLanguageTags,UsedStyles,ResetPageSize,UpdateArrangement"/>
    <w:docVar w:name="WAFER_20140113115247_GUID" w:val="4daae748-1407-4b19-9328-6111b343dd47"/>
    <w:docVar w:name="WAFER_20140113133937" w:val="RemoveTocBookmarks,RunningHeaders"/>
    <w:docVar w:name="WAFER_20140113133937_GUID" w:val="ff97f91e-a4bb-41a8-83e2-739e65ec6723"/>
    <w:docVar w:name="WAFER_20140129152829" w:val="RemoveTocBookmarks,RemoveUnusedBookmarks,RemoveLanguageTags,UsedStyles,ResetPageSize,UpdateArrangement"/>
    <w:docVar w:name="WAFER_20140129152829_GUID" w:val="396efd26-2a3b-474e-9e2f-b314fb9a2157"/>
    <w:docVar w:name="WAFER_20140130104535" w:val="RemoveTocBookmarks,RunningHeaders"/>
    <w:docVar w:name="WAFER_20140130104535_GUID" w:val="a6ac848b-6641-4bbd-bcca-46a0e09d43e9"/>
    <w:docVar w:name="WAFER_20140630103947" w:val="RemoveTocBookmarks,RemoveUnusedBookmarks,RemoveLanguageTags,UsedStyles,ResetPageSize,UpdateArrangement"/>
    <w:docVar w:name="WAFER_20140630103947_GUID" w:val="ab5f864d-ca5b-4de0-b72c-b54d3ac49f34"/>
    <w:docVar w:name="WAFER_20150303103429" w:val="ResetPageSize,UpdateArrangement,UpdateNTable"/>
    <w:docVar w:name="WAFER_20150303103429_GUID" w:val="9734dc60-a417-4845-8731-4535eb2fc53c"/>
    <w:docVar w:name="WAFER_20150728085617" w:val="RemoveTocBookmarks,RemoveUnusedBookmarks,RemoveLanguageTags,UsedStyles,ResetPageSize,RemoveCustomizations"/>
    <w:docVar w:name="WAFER_20150728085617_GUID" w:val="92c41e06-301e-46ee-8fbf-a834d6fb942e"/>
    <w:docVar w:name="WAFER_20151016152414" w:val="RemoveTocBookmarks,RemoveUnusedBookmarks,RemoveLanguageTags,RemoveBadVanishTags,RemoveDocumentProtection,RemoveTrackChanges,ExtractDocX"/>
    <w:docVar w:name="WAFER_20151016152414_GUID" w:val="3a690524-06db-4ccc-a729-2c80c35f415e"/>
    <w:docVar w:name="WAFER_20151103095003" w:val="UpdateStyles,UsedStyles"/>
    <w:docVar w:name="WAFER_20151103095003_GUID" w:val="aaa718a6-5424-4fc7-9400-f69becb74ae8"/>
    <w:docVar w:name="WAFER_20151105094501" w:val="UpdateStyles,UsedStyles"/>
    <w:docVar w:name="WAFER_20151105094501_GUID" w:val="c7299e4b-4bde-4b27-8d58-a4225c06ab64"/>
    <w:docVar w:name="WAFER_20151105161926" w:val="UpdateStyles,UsedStyles"/>
    <w:docVar w:name="WAFER_20151105161926_GUID" w:val="5645523f-6c65-4393-8684-f484df00de9d"/>
    <w:docVar w:name="WAFER_20170821100738" w:val="RemoveTocBookmarks,RemoveUnusedBookmarks,RemoveLanguageTags,UsedStyles,ResetPageSize,RemoveCustomizations"/>
    <w:docVar w:name="WAFER_20170821100738_GUID" w:val="ef5beb11-9ee7-4f79-9fa9-8ac194e6c8a8"/>
    <w:docVar w:name="WAFER_20171207143952" w:val="RemoveTocBookmarks,RemoveUnusedBookmarks,RemoveLanguageTags,UsedStyles,RemoveTrackChanges"/>
    <w:docVar w:name="WAFER_20171207143952_GUID" w:val="f8d91126-7851-4986-8d9e-e3463d8047ba"/>
    <w:docVar w:name="WAFER_20171207144008" w:val="RemoveTocBookmarks,RemoveLanguageTags,RemoveTrackChanges,RunningHeaders"/>
    <w:docVar w:name="WAFER_20171207144008_GUID" w:val="744a51ff-7238-4e70-bdbe-fc8650a720d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7B423-62CF-4598-98C6-0403F8090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173</Pages>
  <Words>43578</Words>
  <Characters>215276</Characters>
  <Application>Microsoft Office Word</Application>
  <DocSecurity>0</DocSecurity>
  <Lines>5818</Lines>
  <Paragraphs>3235</Paragraphs>
  <ScaleCrop>false</ScaleCrop>
  <HeadingPairs>
    <vt:vector size="2" baseType="variant">
      <vt:variant>
        <vt:lpstr>Title</vt:lpstr>
      </vt:variant>
      <vt:variant>
        <vt:i4>1</vt:i4>
      </vt:variant>
    </vt:vector>
  </HeadingPairs>
  <TitlesOfParts>
    <vt:vector size="1" baseType="lpstr">
      <vt:lpstr>Public Sector Management Act 1994</vt:lpstr>
    </vt:vector>
  </TitlesOfParts>
  <Manager/>
  <Company/>
  <LinksUpToDate>false</LinksUpToDate>
  <CharactersWithSpaces>255619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1994 - 12-c0-00</dc:title>
  <dc:subject/>
  <dc:creator/>
  <cp:keywords/>
  <dc:description/>
  <cp:lastModifiedBy>svcMRProcess</cp:lastModifiedBy>
  <cp:revision>4</cp:revision>
  <cp:lastPrinted>2018-05-30T04:50:00Z</cp:lastPrinted>
  <dcterms:created xsi:type="dcterms:W3CDTF">2019-09-26T05:23:00Z</dcterms:created>
  <dcterms:modified xsi:type="dcterms:W3CDTF">2019-09-26T05:23:00Z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DocumentType">
    <vt:lpwstr>Act</vt:lpwstr>
  </property>
  <property fmtid="{D5CDD505-2E9C-101B-9397-08002B2CF9AE}" pid="4" name="OwlsUID">
    <vt:i4>647</vt:i4>
  </property>
  <property fmtid="{D5CDD505-2E9C-101B-9397-08002B2CF9AE}" pid="5" name="ThisVersion">
    <vt:lpwstr>08-i0-02</vt:lpwstr>
  </property>
  <property fmtid="{D5CDD505-2E9C-101B-9397-08002B2CF9AE}" pid="6" name="ReprintedAsAt">
    <vt:filetime>2018-01-11T16:00:00Z</vt:filetime>
  </property>
  <property fmtid="{D5CDD505-2E9C-101B-9397-08002B2CF9AE}" pid="7" name="ReprintNo">
    <vt:lpwstr>12</vt:lpwstr>
  </property>
  <property fmtid="{D5CDD505-2E9C-101B-9397-08002B2CF9AE}" pid="8" name="AsAtDate">
    <vt:lpwstr>22 Sep 2018</vt:lpwstr>
  </property>
  <property fmtid="{D5CDD505-2E9C-101B-9397-08002B2CF9AE}" pid="9" name="Suffix">
    <vt:lpwstr>12-c0-00</vt:lpwstr>
  </property>
  <property fmtid="{D5CDD505-2E9C-101B-9397-08002B2CF9AE}" pid="10" name="CommencementDate">
    <vt:lpwstr>20180922</vt:lpwstr>
  </property>
</Properties>
</file>