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Terrorism (Preventative Detention) Act 2006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Terrorism (Preventative Detention)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Terrorism (Preventative Detention)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_Toc36542976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_Toc36542977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Corresponding laws (s. 4(1) of the Act)</w:t>
      </w:r>
      <w:r>
        <w:tab/>
      </w:r>
      <w:r>
        <w:fldChar w:fldCharType="begin"/>
      </w:r>
      <w:r>
        <w:instrText xml:space="preserve"> PAGEREF _Toc36542978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classes of persons (Act s. 45(14))</w:t>
      </w:r>
      <w:r>
        <w:tab/>
      </w:r>
      <w:r>
        <w:fldChar w:fldCharType="begin"/>
      </w:r>
      <w:r>
        <w:instrText xml:space="preserve"> PAGEREF _Toc36542979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_Toc36542981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Terrorism (Preventative Detention) Act 2006</w:t>
      </w:r>
    </w:p>
    <w:p>
      <w:pPr>
        <w:pStyle w:val="NameofActReg"/>
      </w:pPr>
      <w:r>
        <w:t>Terrorism (Preventative Detention) Regulations 2011</w:t>
      </w:r>
    </w:p>
    <w:p>
      <w:pPr>
        <w:pStyle w:val="Heading5"/>
      </w:pPr>
      <w:bookmarkStart w:id="3" w:name="_Toc3654297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Terrorism (Preventative Detention) Regulations 2011</w:t>
      </w:r>
      <w:r>
        <w:t>.</w:t>
      </w:r>
    </w:p>
    <w:p>
      <w:pPr>
        <w:pStyle w:val="Heading5"/>
        <w:rPr>
          <w:spacing w:val="-2"/>
        </w:rPr>
      </w:pPr>
      <w:bookmarkStart w:id="5" w:name="_Toc365429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36542978"/>
      <w:r>
        <w:rPr>
          <w:rStyle w:val="CharSectno"/>
        </w:rPr>
        <w:t>3</w:t>
      </w:r>
      <w:r>
        <w:t>.</w:t>
      </w:r>
      <w:r>
        <w:tab/>
        <w:t>Corresponding laws (s. 4(1) of the Act)</w:t>
      </w:r>
      <w:bookmarkEnd w:id="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4(1) of the Act, the following are declared to be corresponding laws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Terrorism (Extraordinary Temporary Powers) Act 2006</w:t>
      </w:r>
      <w:r>
        <w:t xml:space="preserve"> (Australian Capital Territory) Part 2;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Terrorism (Police Powers) Act 2002</w:t>
      </w:r>
      <w:r>
        <w:t xml:space="preserve"> (New South Wales) Part 2A;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Terrorism (Emergency Powers) Act </w:t>
      </w:r>
      <w:r>
        <w:t>(Northern Territory) Part 2B;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Terrorism (Preventative Detention) Act 2005</w:t>
      </w:r>
      <w:r>
        <w:t xml:space="preserve"> (Queensland);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Terrorism (Preventative Detention) Act 2005</w:t>
      </w:r>
      <w:r>
        <w:t xml:space="preserve"> (South Australia);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 xml:space="preserve">Terrorism (Preventative Detention) Act 2005 </w:t>
      </w:r>
      <w:r>
        <w:t>(Tasmania);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Terrorism (Community Protection) Act 2003</w:t>
      </w:r>
      <w:r>
        <w:t xml:space="preserve"> (Victoria) Part 2A.</w:t>
      </w:r>
    </w:p>
    <w:p>
      <w:pPr>
        <w:pStyle w:val="Heading5"/>
      </w:pPr>
      <w:bookmarkStart w:id="7" w:name="_Toc36542979"/>
      <w:r>
        <w:rPr>
          <w:rStyle w:val="CharSectno"/>
        </w:rPr>
        <w:t>4</w:t>
      </w:r>
      <w:r>
        <w:t>.</w:t>
      </w:r>
      <w:r>
        <w:tab/>
        <w:t>Prescribed classes of persons (Act s. 45(14))</w:t>
      </w:r>
      <w:bookmarkEnd w:id="7"/>
    </w:p>
    <w:p>
      <w:pPr>
        <w:pStyle w:val="Subsection"/>
      </w:pPr>
      <w:r>
        <w:tab/>
      </w:r>
      <w:r>
        <w:tab/>
        <w:t xml:space="preserve">For the purposes of section 45(14) of the Act, the following classes of persons are prescribed — </w:t>
      </w:r>
    </w:p>
    <w:p>
      <w:pPr>
        <w:pStyle w:val="Indenta"/>
      </w:pPr>
      <w:r>
        <w:tab/>
        <w:t>(a)</w:t>
      </w:r>
      <w:r>
        <w:tab/>
        <w:t>persons with experience in working with people from culturally or linguistically diverse backgrounds;</w:t>
      </w:r>
    </w:p>
    <w:p>
      <w:pPr>
        <w:pStyle w:val="Indenta"/>
      </w:pPr>
      <w:r>
        <w:tab/>
        <w:t>(b)</w:t>
      </w:r>
      <w:r>
        <w:tab/>
        <w:t>persons with experience in working with Aboriginal people or Torres Strait Islanders.</w:t>
      </w:r>
    </w:p>
    <w:p>
      <w:pPr>
        <w:pStyle w:val="Footnotesection"/>
      </w:pPr>
      <w:r>
        <w:tab/>
        <w:t>[Regulation 4 inserted: SL 2020/26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Indenta"/>
      </w:pP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6472758"/>
      <w:bookmarkStart w:id="9" w:name="_Toc36542917"/>
      <w:bookmarkStart w:id="10" w:name="_Toc36542980"/>
      <w:r>
        <w:t>Notes</w:t>
      </w:r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Terrorism (Preventative Detention) Regulations 2011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1" w:name="_Toc36542981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Terrorism (Preventative Detention) Regulations 2011</w:t>
            </w:r>
          </w:p>
          <w:p/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16 Sep 2011 p. 3767</w:t>
            </w:r>
            <w:r>
              <w:noBreakHyphen/>
              <w:t>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16 Sep 2011 (see r. 2(a))</w:t>
            </w:r>
            <w:r>
              <w:br/>
              <w:t>Regulations other than r. 1 and 2: 17 Sep 2011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Terrorism (Preventative Detention) Amendment Regulations 2020</w:t>
            </w:r>
          </w:p>
          <w:p>
            <w:pPr>
              <w:pStyle w:val="nTable"/>
              <w:spacing w:after="4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2020/26</w:t>
            </w:r>
            <w:r>
              <w:br/>
              <w:t xml:space="preserve">31 Mar 2020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31 Mar 2020 (see r. 2(a))</w:t>
            </w:r>
            <w:r>
              <w:br/>
              <w:t>Regulations other than r. 1 and 2: 1 Apr 2020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330142614"/>
    <w:docVar w:name="WAFER_20150721115004" w:val="ResetPageSize,UpdateArrangement,UpdateNTable"/>
    <w:docVar w:name="WAFER_20150721115004_GUID" w:val="d19b7e47-2367-4c59-a75a-e2cf5656dba8"/>
    <w:docVar w:name="WAFER_20151111121129" w:val="UpdateStyles,UsedStyles"/>
    <w:docVar w:name="WAFER_20151111121129_GUID" w:val="d1f76644-0298-4480-a041-be934ed9669e"/>
    <w:docVar w:name="WAFER_202003301426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30142614_GUID" w:val="359f33b1-60ff-4f3b-8a45-86f8236c05c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2591</Characters>
  <Application>Microsoft Office Word</Application>
  <DocSecurity>0</DocSecurity>
  <Lines>107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(Preventative Detention) Regulations 2011 - 00-b0-00</dc:title>
  <dc:subject/>
  <dc:creator/>
  <cp:keywords/>
  <dc:description/>
  <cp:lastModifiedBy>svcMRProcess</cp:lastModifiedBy>
  <cp:revision>4</cp:revision>
  <cp:lastPrinted>2011-08-12T05:22:00Z</cp:lastPrinted>
  <dcterms:created xsi:type="dcterms:W3CDTF">2020-03-31T06:34:00Z</dcterms:created>
  <dcterms:modified xsi:type="dcterms:W3CDTF">2020-03-31T06:34:00Z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Sep 2011 p 3767-8</vt:lpwstr>
  </property>
  <property fmtid="{D5CDD505-2E9C-101B-9397-08002B2CF9AE}" pid="3" name="DocumentType">
    <vt:lpwstr>Reg</vt:lpwstr>
  </property>
  <property fmtid="{D5CDD505-2E9C-101B-9397-08002B2CF9AE}" pid="4" name="AsAtDate">
    <vt:lpwstr>01 Apr 2020</vt:lpwstr>
  </property>
  <property fmtid="{D5CDD505-2E9C-101B-9397-08002B2CF9AE}" pid="5" name="Suffix">
    <vt:lpwstr>00-b0-00</vt:lpwstr>
  </property>
  <property fmtid="{D5CDD505-2E9C-101B-9397-08002B2CF9AE}" pid="6" name="CommencementDate">
    <vt:lpwstr>20200401</vt:lpwstr>
  </property>
</Properties>
</file>