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Amendment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Amendment (COVID-19 Response)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_Toc38377772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_Toc38377773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_Toc38377774 \h </w:instrText>
      </w:r>
      <w:r>
        <w:fldChar w:fldCharType="separate"/>
      </w:r>
      <w:r>
        <w:t>2</w:t>
      </w:r>
      <w:r>
        <w:fldChar w:fldCharType="end"/>
      </w:r>
    </w:p>
    <w:p>
      <w:pPr>
        <w:pStyle w:val="TOC8"/>
        <w:rPr>
          <w:rFonts w:asciiTheme="minorHAnsi" w:eastAsiaTheme="minorEastAsia" w:hAnsiTheme="minorHAnsi" w:cstheme="minorBidi"/>
          <w:szCs w:val="22"/>
        </w:rPr>
      </w:pPr>
      <w:r>
        <w:t>4.</w:t>
      </w:r>
      <w:r>
        <w:tab/>
        <w:t>Part 10 inserted</w:t>
      </w:r>
      <w:r>
        <w:tab/>
      </w:r>
      <w:r>
        <w:fldChar w:fldCharType="begin"/>
      </w:r>
      <w:r>
        <w:instrText xml:space="preserve"> PAGEREF _Toc38377775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Provisions for COVID</w:t>
      </w:r>
      <w:r>
        <w:noBreakHyphen/>
        <w:t>19 pandemic</w:t>
      </w:r>
    </w:p>
    <w:p>
      <w:pPr>
        <w:pStyle w:val="TOC9"/>
        <w:rPr>
          <w:rFonts w:asciiTheme="minorHAnsi" w:eastAsiaTheme="minorEastAsia" w:hAnsiTheme="minorHAnsi" w:cstheme="minorBidi"/>
          <w:noProof/>
          <w:sz w:val="22"/>
          <w:szCs w:val="22"/>
        </w:rPr>
      </w:pPr>
      <w:r>
        <w:rPr>
          <w:noProof/>
        </w:rPr>
        <w:t>10.1.</w:t>
      </w:r>
      <w:r>
        <w:rPr>
          <w:noProof/>
        </w:rPr>
        <w:tab/>
        <w:t>Term used: COVID emergency declaration</w:t>
      </w:r>
      <w:r>
        <w:rPr>
          <w:noProof/>
        </w:rPr>
        <w:tab/>
      </w:r>
      <w:r>
        <w:rPr>
          <w:noProof/>
        </w:rPr>
        <w:fldChar w:fldCharType="begin"/>
      </w:r>
      <w:r>
        <w:rPr>
          <w:noProof/>
        </w:rPr>
        <w:instrText xml:space="preserve"> PAGEREF _Toc38377777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10.2.</w:t>
      </w:r>
      <w:r>
        <w:rPr>
          <w:noProof/>
        </w:rPr>
        <w:tab/>
        <w:t>Part overrides other provisions of Act</w:t>
      </w:r>
      <w:r>
        <w:rPr>
          <w:noProof/>
        </w:rPr>
        <w:tab/>
      </w:r>
      <w:r>
        <w:rPr>
          <w:noProof/>
        </w:rPr>
        <w:fldChar w:fldCharType="begin"/>
      </w:r>
      <w:r>
        <w:rPr>
          <w:noProof/>
        </w:rPr>
        <w:instrText xml:space="preserve"> PAGEREF _Toc38377778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10.3.</w:t>
      </w:r>
      <w:r>
        <w:rPr>
          <w:noProof/>
        </w:rPr>
        <w:tab/>
        <w:t>Modification or suspension of provisions of Act or regulations</w:t>
      </w:r>
      <w:r>
        <w:rPr>
          <w:noProof/>
        </w:rPr>
        <w:tab/>
      </w:r>
      <w:r>
        <w:rPr>
          <w:noProof/>
        </w:rPr>
        <w:fldChar w:fldCharType="begin"/>
      </w:r>
      <w:r>
        <w:rPr>
          <w:noProof/>
        </w:rPr>
        <w:instrText xml:space="preserve"> PAGEREF _Toc38377779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10.4.</w:t>
      </w:r>
      <w:r>
        <w:rPr>
          <w:noProof/>
        </w:rPr>
        <w:tab/>
        <w:t>Suspension of local law</w:t>
      </w:r>
      <w:r>
        <w:rPr>
          <w:noProof/>
        </w:rPr>
        <w:tab/>
      </w:r>
      <w:r>
        <w:rPr>
          <w:noProof/>
        </w:rPr>
        <w:fldChar w:fldCharType="begin"/>
      </w:r>
      <w:r>
        <w:rPr>
          <w:noProof/>
        </w:rPr>
        <w:instrText xml:space="preserve"> PAGEREF _Toc38377780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5.</w:t>
      </w:r>
      <w:r>
        <w:tab/>
        <w:t>Part 10 deleted</w:t>
      </w:r>
      <w:r>
        <w:tab/>
      </w:r>
      <w:r>
        <w:fldChar w:fldCharType="begin"/>
      </w:r>
      <w:r>
        <w:instrText xml:space="preserve"> PAGEREF _Toc38377781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Local Government Amendment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17 of 2020</w:t>
      </w:r>
    </w:p>
    <w:p>
      <w:pPr>
        <w:pStyle w:val="LongTitle"/>
        <w:suppressLineNumbers/>
      </w:pPr>
      <w:r>
        <w:t xml:space="preserve">An Act to amend the </w:t>
      </w:r>
      <w:r>
        <w:rPr>
          <w:i/>
        </w:rPr>
        <w:t>Local Government Act 1995</w:t>
      </w:r>
      <w:r>
        <w:t xml:space="preserve"> in response to the COVID</w:t>
      </w:r>
      <w:r>
        <w:noBreakHyphen/>
        <w:t xml:space="preserve">19 pandemic. </w:t>
      </w:r>
    </w:p>
    <w:p>
      <w:pPr>
        <w:pStyle w:val="AssentNote"/>
      </w:pPr>
      <w:r>
        <w:t>[Assented to 20 April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8377772"/>
      <w:r>
        <w:rPr>
          <w:rStyle w:val="CharSectno"/>
        </w:rPr>
        <w:t>1</w:t>
      </w:r>
      <w:r>
        <w:t>.</w:t>
      </w:r>
      <w:r>
        <w:tab/>
        <w:t>Short title</w:t>
      </w:r>
      <w:bookmarkEnd w:id="4"/>
    </w:p>
    <w:p>
      <w:pPr>
        <w:pStyle w:val="Subsection"/>
      </w:pPr>
      <w:r>
        <w:tab/>
      </w:r>
      <w:r>
        <w:tab/>
        <w:t>This is the</w:t>
      </w:r>
      <w:r>
        <w:rPr>
          <w:i/>
        </w:rPr>
        <w:t xml:space="preserve"> Local Government Amendment (COVID</w:t>
      </w:r>
      <w:r>
        <w:rPr>
          <w:i/>
        </w:rPr>
        <w:noBreakHyphen/>
        <w:t>19 Response) Act 2020</w:t>
      </w:r>
      <w:r>
        <w:t>.</w:t>
      </w:r>
    </w:p>
    <w:p>
      <w:pPr>
        <w:pStyle w:val="Heading5"/>
      </w:pPr>
      <w:bookmarkStart w:id="5" w:name="_Toc3837777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section 5 — on a day fixed by proclamation;</w:t>
      </w:r>
    </w:p>
    <w:p>
      <w:pPr>
        <w:pStyle w:val="Indenta"/>
      </w:pPr>
      <w:r>
        <w:tab/>
        <w:t>(c)</w:t>
      </w:r>
      <w:r>
        <w:tab/>
        <w:t>the rest of the Act — on the day after assent day.</w:t>
      </w:r>
    </w:p>
    <w:p>
      <w:pPr>
        <w:pStyle w:val="Heading5"/>
        <w:rPr>
          <w:snapToGrid w:val="0"/>
        </w:rPr>
      </w:pPr>
      <w:bookmarkStart w:id="6" w:name="_Toc38377774"/>
      <w:r>
        <w:rPr>
          <w:rStyle w:val="CharSectno"/>
        </w:rPr>
        <w:t>3</w:t>
      </w:r>
      <w:r>
        <w:rPr>
          <w:snapToGrid w:val="0"/>
        </w:rPr>
        <w:t>.</w:t>
      </w:r>
      <w:r>
        <w:rPr>
          <w:snapToGrid w:val="0"/>
        </w:rPr>
        <w:tab/>
        <w:t>Act amended</w:t>
      </w:r>
      <w:bookmarkEnd w:id="6"/>
    </w:p>
    <w:p>
      <w:pPr>
        <w:pStyle w:val="Subsection"/>
      </w:pPr>
      <w:r>
        <w:tab/>
      </w:r>
      <w:r>
        <w:tab/>
        <w:t xml:space="preserve">This Act amends the </w:t>
      </w:r>
      <w:r>
        <w:rPr>
          <w:i/>
        </w:rPr>
        <w:t>Local Government Act 1995</w:t>
      </w:r>
      <w:r>
        <w:t>.</w:t>
      </w:r>
    </w:p>
    <w:p>
      <w:pPr>
        <w:pStyle w:val="Heading5"/>
      </w:pPr>
      <w:bookmarkStart w:id="7" w:name="_Toc38377775"/>
      <w:r>
        <w:rPr>
          <w:rStyle w:val="CharSectno"/>
        </w:rPr>
        <w:t>4</w:t>
      </w:r>
      <w:r>
        <w:t>.</w:t>
      </w:r>
      <w:r>
        <w:tab/>
        <w:t>Part 10 inserted</w:t>
      </w:r>
      <w:bookmarkEnd w:id="7"/>
    </w:p>
    <w:p>
      <w:pPr>
        <w:pStyle w:val="Subsection"/>
      </w:pPr>
      <w:r>
        <w:tab/>
      </w:r>
      <w:r>
        <w:tab/>
        <w:t>After section 9.71 insert:</w:t>
      </w:r>
    </w:p>
    <w:p>
      <w:pPr>
        <w:pStyle w:val="BlankOpen"/>
      </w:pPr>
    </w:p>
    <w:p>
      <w:pPr>
        <w:pStyle w:val="zHeading2"/>
      </w:pPr>
      <w:bookmarkStart w:id="8" w:name="_Toc38373753"/>
      <w:bookmarkStart w:id="9" w:name="_Toc38373902"/>
      <w:bookmarkStart w:id="10" w:name="_Toc38377776"/>
      <w:r>
        <w:t>Part 10</w:t>
      </w:r>
      <w:r>
        <w:rPr>
          <w:b w:val="0"/>
        </w:rPr>
        <w:t> </w:t>
      </w:r>
      <w:r>
        <w:t>—</w:t>
      </w:r>
      <w:r>
        <w:rPr>
          <w:b w:val="0"/>
        </w:rPr>
        <w:t> </w:t>
      </w:r>
      <w:r>
        <w:t>Provisions for COVID</w:t>
      </w:r>
      <w:r>
        <w:noBreakHyphen/>
        <w:t>19 pandemic</w:t>
      </w:r>
      <w:bookmarkEnd w:id="8"/>
      <w:bookmarkEnd w:id="9"/>
      <w:bookmarkEnd w:id="10"/>
    </w:p>
    <w:p>
      <w:pPr>
        <w:pStyle w:val="zHeading5"/>
      </w:pPr>
      <w:bookmarkStart w:id="11" w:name="_Toc38377777"/>
      <w:r>
        <w:t>10.1.</w:t>
      </w:r>
      <w:r>
        <w:tab/>
        <w:t>Term used: COVID emergency declaration</w:t>
      </w:r>
      <w:bookmarkEnd w:id="11"/>
    </w:p>
    <w:p>
      <w:pPr>
        <w:pStyle w:val="zSubsection"/>
      </w:pPr>
      <w:r>
        <w:tab/>
      </w:r>
      <w:r>
        <w:tab/>
        <w:t xml:space="preserve">In this Part — </w:t>
      </w:r>
    </w:p>
    <w:p>
      <w:pPr>
        <w:pStyle w:val="z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zHeading5"/>
      </w:pPr>
      <w:bookmarkStart w:id="12" w:name="_Toc38377778"/>
      <w:r>
        <w:t>10.2.</w:t>
      </w:r>
      <w:r>
        <w:tab/>
        <w:t>Part overrides other provisions of Act</w:t>
      </w:r>
      <w:bookmarkEnd w:id="12"/>
    </w:p>
    <w:p>
      <w:pPr>
        <w:pStyle w:val="zSubsection"/>
      </w:pPr>
      <w:r>
        <w:tab/>
      </w:r>
      <w:r>
        <w:tab/>
        <w:t>The provisions of this Part have effect despite any other provisions of this Act.</w:t>
      </w:r>
    </w:p>
    <w:p>
      <w:pPr>
        <w:pStyle w:val="zHeading5"/>
      </w:pPr>
      <w:bookmarkStart w:id="13" w:name="_Toc38377779"/>
      <w:r>
        <w:t>10.3.</w:t>
      </w:r>
      <w:r>
        <w:tab/>
        <w:t>Modification or suspension of provisions of Act or regulations</w:t>
      </w:r>
      <w:bookmarkEnd w:id="13"/>
    </w:p>
    <w:p>
      <w:pPr>
        <w:pStyle w:val="zSubsection"/>
        <w:keepNext/>
      </w:pPr>
      <w:r>
        <w:tab/>
        <w:t>(1)</w:t>
      </w:r>
      <w:r>
        <w:tab/>
        <w:t xml:space="preserve">The Minister may, by order, modify or suspend the operation of — </w:t>
      </w:r>
    </w:p>
    <w:p>
      <w:pPr>
        <w:pStyle w:val="zIndenta"/>
      </w:pPr>
      <w:r>
        <w:tab/>
        <w:t>(a)</w:t>
      </w:r>
      <w:r>
        <w:tab/>
        <w:t>specified provisions of this Act (other than provisions of this Part); or</w:t>
      </w:r>
    </w:p>
    <w:p>
      <w:pPr>
        <w:pStyle w:val="zIndenta"/>
      </w:pPr>
      <w:r>
        <w:tab/>
        <w:t>(b)</w:t>
      </w:r>
      <w:r>
        <w:tab/>
        <w:t>specified provisions of regulations made under this Act.</w:t>
      </w:r>
    </w:p>
    <w:p>
      <w:pPr>
        <w:pStyle w:val="zSubsection"/>
      </w:pPr>
      <w:r>
        <w:tab/>
        <w:t>(2)</w:t>
      </w:r>
      <w:r>
        <w:tab/>
        <w:t xml:space="preserve">The Minister can make an order under subsection (1) only if each of the following conditions is satisfied — </w:t>
      </w:r>
    </w:p>
    <w:p>
      <w:pPr>
        <w:pStyle w:val="zIndenta"/>
      </w:pPr>
      <w:r>
        <w:tab/>
        <w:t>(a)</w:t>
      </w:r>
      <w:r>
        <w:tab/>
        <w:t xml:space="preserve">the order is made while a COVID emergency declaration is in force; </w:t>
      </w:r>
    </w:p>
    <w:p>
      <w:pPr>
        <w:pStyle w:val="zIndenta"/>
      </w:pPr>
      <w:r>
        <w:tab/>
        <w:t>(b)</w:t>
      </w:r>
      <w:r>
        <w:tab/>
        <w:t>the Minister considers that the order is necessary to deal with consequences of the COVID</w:t>
      </w:r>
      <w:r>
        <w:noBreakHyphen/>
        <w:t>19 pandemic.</w:t>
      </w:r>
    </w:p>
    <w:p>
      <w:pPr>
        <w:pStyle w:val="zSubsection"/>
      </w:pPr>
      <w:r>
        <w:tab/>
        <w:t>(3)</w:t>
      </w:r>
      <w:r>
        <w:tab/>
        <w:t xml:space="preserve">Unless sooner revoked under section 9.65(2), an order made under subsection (1) is revoked at the end of — </w:t>
      </w:r>
    </w:p>
    <w:p>
      <w:pPr>
        <w:pStyle w:val="zIndenta"/>
      </w:pPr>
      <w:r>
        <w:tab/>
        <w:t>(a)</w:t>
      </w:r>
      <w:r>
        <w:tab/>
        <w:t>the last day of the period of 3 months beginning on the day on which the COVID emergency declaration referred to in subsection (2)(a) is revoked or otherwise ceases to have effect; or</w:t>
      </w:r>
    </w:p>
    <w:p>
      <w:pPr>
        <w:pStyle w:val="zIndenta"/>
      </w:pPr>
      <w:r>
        <w:tab/>
        <w:t>(b)</w:t>
      </w:r>
      <w:r>
        <w:tab/>
        <w:t>any earlier day specified in the order.</w:t>
      </w:r>
    </w:p>
    <w:p>
      <w:pPr>
        <w:pStyle w:val="zSubsection"/>
      </w:pPr>
      <w:r>
        <w:tab/>
        <w:t>(4)</w:t>
      </w:r>
      <w:r>
        <w:tab/>
        <w:t>The</w:t>
      </w:r>
      <w:r>
        <w:rPr>
          <w:i/>
        </w:rPr>
        <w:t xml:space="preserve"> Interpretation Act 1984</w:t>
      </w:r>
      <w:r>
        <w:t xml:space="preserve"> section 42 applies to an order made under subsection (1) as if the order were regulations made under this Act.</w:t>
      </w:r>
    </w:p>
    <w:p>
      <w:pPr>
        <w:pStyle w:val="z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zHeading5"/>
      </w:pPr>
      <w:bookmarkStart w:id="14" w:name="_Toc38377780"/>
      <w:r>
        <w:t>10.4.</w:t>
      </w:r>
      <w:r>
        <w:tab/>
        <w:t>Suspension of local law</w:t>
      </w:r>
      <w:bookmarkEnd w:id="14"/>
    </w:p>
    <w:p>
      <w:pPr>
        <w:pStyle w:val="zSubsection"/>
      </w:pPr>
      <w:r>
        <w:tab/>
        <w:t>(1)</w:t>
      </w:r>
      <w:r>
        <w:tab/>
        <w:t>A local government may, by resolution*, suspend the operation of a specified local law, or specified provisions of a local law, made by the local government under this Act or any other Act.</w:t>
      </w:r>
    </w:p>
    <w:p>
      <w:pPr>
        <w:pStyle w:val="zPermNoteText"/>
        <w:spacing w:before="160"/>
        <w:rPr>
          <w:i/>
        </w:rPr>
      </w:pPr>
      <w:r>
        <w:tab/>
      </w:r>
      <w:r>
        <w:rPr>
          <w:i/>
        </w:rPr>
        <w:t xml:space="preserve">* Absolute </w:t>
      </w:r>
      <w:r>
        <w:rPr>
          <w:i/>
          <w:snapToGrid w:val="0"/>
        </w:rPr>
        <w:t>majority required.</w:t>
      </w:r>
    </w:p>
    <w:p>
      <w:pPr>
        <w:pStyle w:val="zSubsection"/>
      </w:pPr>
      <w:r>
        <w:tab/>
        <w:t>(2)</w:t>
      </w:r>
      <w:r>
        <w:tab/>
        <w:t>Subsection (1) applies despite the provisions of any other Act under which a local law is made.</w:t>
      </w:r>
    </w:p>
    <w:p>
      <w:pPr>
        <w:pStyle w:val="zSubsection"/>
      </w:pPr>
      <w:r>
        <w:tab/>
        <w:t>(3)</w:t>
      </w:r>
      <w:r>
        <w:tab/>
        <w:t>A local government can make a resolution under subsection (1) only if each of the following conditions is satisfied —</w:t>
      </w:r>
    </w:p>
    <w:p>
      <w:pPr>
        <w:pStyle w:val="zIndenta"/>
      </w:pPr>
      <w:r>
        <w:tab/>
        <w:t>(a)</w:t>
      </w:r>
      <w:r>
        <w:tab/>
        <w:t>the resolution is made while a COVID emergency declaration is in force;</w:t>
      </w:r>
    </w:p>
    <w:p>
      <w:pPr>
        <w:pStyle w:val="zIndenta"/>
      </w:pPr>
      <w:r>
        <w:tab/>
        <w:t>(b)</w:t>
      </w:r>
      <w:r>
        <w:tab/>
        <w:t>the local government considers that the resolution is necessary to deal with consequences of the COVID</w:t>
      </w:r>
      <w:r>
        <w:noBreakHyphen/>
        <w:t>19 pandemic.</w:t>
      </w:r>
    </w:p>
    <w:p>
      <w:pPr>
        <w:pStyle w:val="zSubsection"/>
      </w:pPr>
      <w:r>
        <w:tab/>
        <w:t>(4)</w:t>
      </w:r>
      <w:r>
        <w:tab/>
        <w:t>A local government may, by resolution*, revoke a resolution made by it under subsection (1).</w:t>
      </w:r>
    </w:p>
    <w:p>
      <w:pPr>
        <w:pStyle w:val="zPermNoteText"/>
        <w:spacing w:before="160"/>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zSubsection"/>
      </w:pPr>
      <w:r>
        <w:tab/>
        <w:t>(5)</w:t>
      </w:r>
      <w:r>
        <w:tab/>
        <w:t xml:space="preserve">After making a resolution under subsection (1) or (4), a local government must — </w:t>
      </w:r>
    </w:p>
    <w:p>
      <w:pPr>
        <w:pStyle w:val="zIndenta"/>
      </w:pPr>
      <w:r>
        <w:rPr>
          <w:snapToGrid w:val="0"/>
        </w:rPr>
        <w:tab/>
        <w:t>(a)</w:t>
      </w:r>
      <w:r>
        <w:rPr>
          <w:snapToGrid w:val="0"/>
        </w:rPr>
        <w:tab/>
      </w:r>
      <w:r>
        <w:t>publish it on the local government’s official website; and</w:t>
      </w:r>
    </w:p>
    <w:p>
      <w:pPr>
        <w:pStyle w:val="zIndenta"/>
      </w:pPr>
      <w:r>
        <w:tab/>
        <w:t>(b)</w:t>
      </w:r>
      <w:r>
        <w:tab/>
        <w:t>give a copy of it to the Minister.</w:t>
      </w:r>
    </w:p>
    <w:p>
      <w:pPr>
        <w:pStyle w:val="zSubsection"/>
      </w:pPr>
      <w:r>
        <w:tab/>
        <w:t>(6)</w:t>
      </w:r>
      <w:r>
        <w:tab/>
        <w:t xml:space="preserve">A resolution made under subsection (1) or (4) takes effect on — </w:t>
      </w:r>
    </w:p>
    <w:p>
      <w:pPr>
        <w:pStyle w:val="zIndenta"/>
      </w:pPr>
      <w:r>
        <w:tab/>
        <w:t>(a)</w:t>
      </w:r>
      <w:r>
        <w:tab/>
        <w:t>the day after the day on which it is first published under subsection (5)(a); or</w:t>
      </w:r>
    </w:p>
    <w:p>
      <w:pPr>
        <w:pStyle w:val="zIndenta"/>
      </w:pPr>
      <w:r>
        <w:tab/>
        <w:t>(b)</w:t>
      </w:r>
      <w:r>
        <w:tab/>
        <w:t>any later day specified in the resolution.</w:t>
      </w:r>
    </w:p>
    <w:p>
      <w:pPr>
        <w:pStyle w:val="zSubsection"/>
      </w:pPr>
      <w:r>
        <w:tab/>
        <w:t>(7)</w:t>
      </w:r>
      <w:r>
        <w:tab/>
        <w:t xml:space="preserve">Unless sooner revoked under subsection (4), a resolution made under subsection (1) is revoked at the end of — </w:t>
      </w:r>
    </w:p>
    <w:p>
      <w:pPr>
        <w:pStyle w:val="zIndenta"/>
      </w:pPr>
      <w:r>
        <w:tab/>
        <w:t>(a)</w:t>
      </w:r>
      <w:r>
        <w:tab/>
        <w:t>the last day of the period of 6 months beginning on the day on which the COVID emergency declaration referred to in subsection (3)(a) is revoked or otherwise ceases to have effect; or</w:t>
      </w:r>
    </w:p>
    <w:p>
      <w:pPr>
        <w:pStyle w:val="zIndenta"/>
      </w:pPr>
      <w:r>
        <w:tab/>
        <w:t>(b)</w:t>
      </w:r>
      <w:r>
        <w:tab/>
        <w:t>any earlier day specified in the resolution.</w:t>
      </w:r>
    </w:p>
    <w:p>
      <w:pPr>
        <w:pStyle w:val="BlankClose"/>
      </w:pPr>
    </w:p>
    <w:p>
      <w:pPr>
        <w:pStyle w:val="Heading5"/>
      </w:pPr>
      <w:bookmarkStart w:id="15" w:name="_Toc38377781"/>
      <w:r>
        <w:rPr>
          <w:rStyle w:val="CharSectno"/>
        </w:rPr>
        <w:t>5</w:t>
      </w:r>
      <w:r>
        <w:t>.</w:t>
      </w:r>
      <w:r>
        <w:tab/>
        <w:t>Part 10 deleted</w:t>
      </w:r>
      <w:bookmarkEnd w:id="15"/>
    </w:p>
    <w:p>
      <w:pPr>
        <w:pStyle w:val="Subsection"/>
      </w:pPr>
      <w:r>
        <w:tab/>
      </w:r>
      <w:r>
        <w:tab/>
        <w:t>Delete Part 10.</w:t>
      </w: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9637" cy="114731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637" cy="114731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1pt;height:9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459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810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00243_GUID" w:val="9816b7a2-301d-431d-a10d-b1a55fb7259f"/>
    <w:docVar w:name="WAFER_20200408131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31715_GUID" w:val="08bf2194-422b-45dd-b12a-2c070e2f1409"/>
    <w:docVar w:name="WAFER_202004091614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9161402_GUID" w:val="b8aa3474-6874-48fb-8c1c-5d0ea03b6c4a"/>
    <w:docVar w:name="WAFER_20200411135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1135049_GUID" w:val="2c9a7550-0182-4b0e-9ee1-6464ed91bbab"/>
    <w:docVar w:name="WAFER_2020042114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421145948_GUID" w:val="94e84c17-2895-4d59-96d1-474c091709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7897-4017-4CDB-89BF-51190D1B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880</Words>
  <Characters>4368</Characters>
  <Application>Microsoft Office Word</Application>
  <DocSecurity>0</DocSecurity>
  <Lines>150</Lines>
  <Paragraphs>97</Paragraphs>
  <ScaleCrop>false</ScaleCrop>
  <HeadingPairs>
    <vt:vector size="2" baseType="variant">
      <vt:variant>
        <vt:lpstr>Title</vt:lpstr>
      </vt:variant>
      <vt:variant>
        <vt:i4>1</vt:i4>
      </vt:variant>
    </vt:vector>
  </HeadingPairs>
  <TitlesOfParts>
    <vt:vector size="1" baseType="lpstr">
      <vt:lpstr>Local Government Amendment (COVID-19 Response) Bill 2020</vt:lpstr>
    </vt:vector>
  </TitlesOfParts>
  <Manager/>
  <Company/>
  <LinksUpToDate>false</LinksUpToDate>
  <CharactersWithSpaces>5151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(COVID-19 Response) Act 2020 - 00-00-00</dc:title>
  <dc:subject/>
  <dc:creator/>
  <cp:keywords/>
  <dc:description/>
  <cp:lastModifiedBy>svcMRProcess</cp:lastModifiedBy>
  <cp:revision>4</cp:revision>
  <cp:lastPrinted>2020-04-20T23:14:00Z</cp:lastPrinted>
  <dcterms:created xsi:type="dcterms:W3CDTF">2020-04-21T08:31:00Z</dcterms:created>
  <dcterms:modified xsi:type="dcterms:W3CDTF">2020-04-21T08:31:00Z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2846</vt:lpwstr>
  </property>
  <property fmtid="{D5CDD505-2E9C-101B-9397-08002B2CF9AE}" pid="3" name="ActNo">
    <vt:lpwstr>17 of 2020</vt:lpwstr>
  </property>
  <property fmtid="{D5CDD505-2E9C-101B-9397-08002B2CF9AE}" pid="4" name="DocumentType">
    <vt:lpwstr>Act</vt:lpwstr>
  </property>
  <property fmtid="{D5CDD505-2E9C-101B-9397-08002B2CF9AE}" pid="5" name="CommencementDate">
    <vt:lpwstr>20200420</vt:lpwstr>
  </property>
  <property fmtid="{D5CDD505-2E9C-101B-9397-08002B2CF9AE}" pid="6" name="AsAtDate">
    <vt:lpwstr>20 Apr 2020</vt:lpwstr>
  </property>
  <property fmtid="{D5CDD505-2E9C-101B-9397-08002B2CF9AE}" pid="7" name="Suffix">
    <vt:lpwstr>00-00-00</vt:lpwstr>
  </property>
  <property fmtid="{D5CDD505-2E9C-101B-9397-08002B2CF9AE}" pid="8" name="ActNoFooter">
    <vt:lpwstr>No. 17 of 2020</vt:lpwstr>
  </property>
</Properties>
</file>