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2020</w:t>
      </w:r>
      <w:r>
        <w:fldChar w:fldCharType="end"/>
      </w:r>
    </w:p>
    <w:p>
      <w:pPr>
        <w:pStyle w:val="Subsection"/>
      </w:pPr>
      <w:r>
        <w:tab/>
      </w:r>
      <w:r>
        <w:tab/>
        <w:t>These regulations expired at the end of 30 Sep 2020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_Toc51596382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_Toc51596383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Code of practice prescribed</w:t>
      </w:r>
      <w:r>
        <w:tab/>
      </w:r>
      <w:r>
        <w:fldChar w:fldCharType="begin"/>
      </w:r>
      <w:r>
        <w:instrText xml:space="preserve"> PAGEREF _Toc51596384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_Toc51596385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_Toc51596386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2020</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_Toc51596389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_Toc51596390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_Toc51596391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_Toc51596392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_Toc51596393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_Toc51596395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_Toc51596396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_Toc51596397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_Toc51596398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_Toc51596399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_Toc51596401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_Toc51596403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_Toc51596404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_Toc51596406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_Toc51596407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_Toc51596408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_Toc51596409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_Toc51596410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_Toc51596411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_Toc51596412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_Toc51596413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_Toc51596414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_Toc51596415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_Toc51596416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_Toc51596417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_Toc51596418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_Toc51596419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_Toc51596420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_Toc51596422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_Toc51596423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_Toc51596424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_Toc51596425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_Toc51596426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_Toc51596428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_Toc51596430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_Toc51596434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2020</w:t>
      </w:r>
    </w:p>
    <w:p>
      <w:pPr>
        <w:pStyle w:val="Heading5"/>
      </w:pPr>
      <w:bookmarkStart w:id="3" w:name="_Toc36116771"/>
      <w:bookmarkStart w:id="4" w:name="_Toc51596382"/>
      <w:r>
        <w:rPr>
          <w:rStyle w:val="CharSectno"/>
        </w:rPr>
        <w:t>1</w:t>
      </w:r>
      <w:r>
        <w:t>.</w:t>
      </w:r>
      <w:r>
        <w:tab/>
        <w:t>Citation</w:t>
      </w:r>
      <w:bookmarkEnd w:id="3"/>
      <w:bookmarkEnd w:id="4"/>
    </w:p>
    <w:p>
      <w:pPr>
        <w:pStyle w:val="Subsection"/>
      </w:pPr>
      <w:r>
        <w:tab/>
      </w:r>
      <w:r>
        <w:tab/>
      </w:r>
      <w:bookmarkStart w:id="5" w:name="Start_Cursor"/>
      <w:bookmarkEnd w:id="5"/>
      <w:r>
        <w:t xml:space="preserve">These </w:t>
      </w:r>
      <w:r>
        <w:rPr>
          <w:spacing w:val="-2"/>
        </w:rPr>
        <w:t>regulations</w:t>
      </w:r>
      <w:r>
        <w:t xml:space="preserve"> are the </w:t>
      </w:r>
      <w:r>
        <w:rPr>
          <w:i/>
        </w:rPr>
        <w:t>Fair Trading (Retirement Villages Interim Code) Regulations 2020</w:t>
      </w:r>
      <w:r>
        <w:t>.</w:t>
      </w:r>
    </w:p>
    <w:p>
      <w:pPr>
        <w:pStyle w:val="Heading5"/>
        <w:rPr>
          <w:spacing w:val="-2"/>
        </w:rPr>
      </w:pPr>
      <w:bookmarkStart w:id="6" w:name="_Toc36116772"/>
      <w:bookmarkStart w:id="7" w:name="_Toc5159638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2020.</w:t>
      </w:r>
    </w:p>
    <w:p>
      <w:pPr>
        <w:pStyle w:val="Heading5"/>
        <w:rPr>
          <w:snapToGrid w:val="0"/>
        </w:rPr>
      </w:pPr>
      <w:bookmarkStart w:id="8" w:name="_Toc51596384"/>
      <w:r>
        <w:rPr>
          <w:rStyle w:val="CharSectno"/>
        </w:rPr>
        <w:t>3</w:t>
      </w:r>
      <w:r>
        <w:t>.</w:t>
      </w:r>
      <w:r>
        <w:tab/>
      </w:r>
      <w:r>
        <w:rPr>
          <w:snapToGrid w:val="0"/>
        </w:rPr>
        <w:t>Code of practice prescribed</w:t>
      </w:r>
      <w:bookmarkEnd w:id="8"/>
    </w:p>
    <w:p>
      <w:pPr>
        <w:pStyle w:val="Subsection"/>
      </w:pPr>
      <w:r>
        <w:tab/>
        <w:t>(1)</w:t>
      </w:r>
      <w:r>
        <w:tab/>
        <w:t xml:space="preserve">The code of practice set out in Schedule 1 and cited as the </w:t>
      </w:r>
      <w:r>
        <w:rPr>
          <w:i/>
        </w:rPr>
        <w:t>Interim Code of Practice for Retirement Villages 2020</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2020 </w:t>
      </w:r>
      <w:r>
        <w:t>has effect for the period of 6 months beginning on 1 April 2020.</w:t>
      </w:r>
    </w:p>
    <w:p>
      <w:pPr>
        <w:pStyle w:val="Heading5"/>
      </w:pPr>
      <w:bookmarkStart w:id="9" w:name="_Toc51596385"/>
      <w:r>
        <w:rPr>
          <w:rStyle w:val="CharSectno"/>
        </w:rPr>
        <w:t>4</w:t>
      </w:r>
      <w:r>
        <w:t>.</w:t>
      </w:r>
      <w:r>
        <w:tab/>
        <w:t>Expiry</w:t>
      </w:r>
      <w:bookmarkEnd w:id="9"/>
    </w:p>
    <w:p>
      <w:pPr>
        <w:pStyle w:val="Subsection"/>
      </w:pPr>
      <w:r>
        <w:tab/>
      </w:r>
      <w:r>
        <w:tab/>
        <w:t xml:space="preserve">These regulations expire at the end of 30 September 2020. </w:t>
      </w:r>
    </w:p>
    <w:p>
      <w:pPr>
        <w:pStyle w:val="Heading5"/>
      </w:pPr>
      <w:bookmarkStart w:id="10" w:name="_Toc51596386"/>
      <w:r>
        <w:rPr>
          <w:rStyle w:val="CharSectno"/>
        </w:rPr>
        <w:t>5</w:t>
      </w:r>
      <w:r>
        <w:t>.</w:t>
      </w:r>
      <w:r>
        <w:tab/>
        <w:t>Terms used and boxed and shaded paragraphs in code of practice</w:t>
      </w:r>
      <w:bookmarkEnd w:id="10"/>
    </w:p>
    <w:p>
      <w:pPr>
        <w:pStyle w:val="Subsection"/>
      </w:pPr>
      <w:r>
        <w:tab/>
        <w:t>(1)</w:t>
      </w:r>
      <w:r>
        <w:tab/>
        <w:t xml:space="preserve">Except where the contrary intention appears, words and expressions used in the </w:t>
      </w:r>
      <w:r>
        <w:rPr>
          <w:i/>
        </w:rPr>
        <w:t xml:space="preserve">Interim Code of Practice for Retirement Villages 2020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2020</w:t>
      </w:r>
      <w:r>
        <w:t xml:space="preserve"> are not part of the Code and are included only to assist readers of the Code.</w:t>
      </w:r>
    </w:p>
    <w:p>
      <w:pPr>
        <w:pStyle w:val="CentredBaseLine"/>
        <w:jc w:val="center"/>
      </w:pP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bookmarkStart w:id="11" w:name="endcomma"/>
      <w:bookmarkEnd w:id="11"/>
    </w:p>
    <w:p>
      <w:pPr>
        <w:pStyle w:val="yScheduleHeading"/>
        <w:outlineLvl w:val="0"/>
      </w:pPr>
      <w:bookmarkStart w:id="12" w:name="_Toc36115817"/>
      <w:bookmarkStart w:id="13" w:name="_Toc36116389"/>
      <w:bookmarkStart w:id="14" w:name="_Toc36116892"/>
      <w:bookmarkStart w:id="15" w:name="_Toc36118551"/>
      <w:bookmarkStart w:id="16" w:name="_Toc36198057"/>
      <w:bookmarkStart w:id="17" w:name="_Toc36198650"/>
      <w:bookmarkStart w:id="18" w:name="_Toc51329494"/>
      <w:bookmarkStart w:id="19" w:name="_Toc51596387"/>
      <w:r>
        <w:rPr>
          <w:rStyle w:val="CharSchNo"/>
        </w:rPr>
        <w:t>Schedule 1</w:t>
      </w:r>
      <w:r>
        <w:rPr>
          <w:rStyle w:val="CharSDivNo"/>
        </w:rPr>
        <w:t> </w:t>
      </w:r>
      <w:r>
        <w:t>—</w:t>
      </w:r>
      <w:r>
        <w:rPr>
          <w:rStyle w:val="CharSDivText"/>
        </w:rPr>
        <w:t> </w:t>
      </w:r>
      <w:r>
        <w:rPr>
          <w:rStyle w:val="CharSchText"/>
          <w:i/>
        </w:rPr>
        <w:t>Interim Code of Practice for Retirement Villages 2020</w:t>
      </w:r>
      <w:bookmarkEnd w:id="12"/>
      <w:bookmarkEnd w:id="13"/>
      <w:bookmarkEnd w:id="14"/>
      <w:bookmarkEnd w:id="15"/>
      <w:bookmarkEnd w:id="16"/>
      <w:bookmarkEnd w:id="17"/>
      <w:bookmarkEnd w:id="18"/>
      <w:bookmarkEnd w:id="1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5"/>
          <w:headerReference w:type="default" r:id="rId26"/>
          <w:pgSz w:w="11907" w:h="16840" w:code="9"/>
          <w:pgMar w:top="2381" w:right="2410" w:bottom="3544" w:left="2410" w:header="720" w:footer="3544" w:gutter="0"/>
          <w:cols w:space="720"/>
        </w:sectPr>
      </w:pPr>
    </w:p>
    <w:p>
      <w:pPr>
        <w:pStyle w:val="yHeading3"/>
      </w:pPr>
      <w:bookmarkStart w:id="21" w:name="_Toc36115818"/>
      <w:bookmarkStart w:id="22" w:name="_Toc36116390"/>
      <w:bookmarkStart w:id="23" w:name="_Toc36116893"/>
      <w:bookmarkStart w:id="24" w:name="_Toc36118552"/>
      <w:bookmarkStart w:id="25" w:name="_Toc36198058"/>
      <w:bookmarkStart w:id="26" w:name="_Toc36198651"/>
      <w:bookmarkStart w:id="27" w:name="_Toc51329495"/>
      <w:bookmarkStart w:id="28" w:name="_Toc51596388"/>
      <w:r>
        <w:rPr>
          <w:rStyle w:val="CharSDivNo"/>
        </w:rPr>
        <w:t>Division 1</w:t>
      </w:r>
      <w:r>
        <w:t> — </w:t>
      </w:r>
      <w:r>
        <w:rPr>
          <w:rStyle w:val="CharSDivText"/>
        </w:rPr>
        <w:t>Preliminary</w:t>
      </w:r>
      <w:bookmarkEnd w:id="21"/>
      <w:bookmarkEnd w:id="22"/>
      <w:bookmarkEnd w:id="23"/>
      <w:bookmarkEnd w:id="24"/>
      <w:bookmarkEnd w:id="25"/>
      <w:bookmarkEnd w:id="26"/>
      <w:bookmarkEnd w:id="27"/>
      <w:bookmarkEnd w:id="28"/>
    </w:p>
    <w:p>
      <w:pPr>
        <w:pStyle w:val="yHeading5"/>
      </w:pPr>
      <w:bookmarkStart w:id="29" w:name="_Toc51596389"/>
      <w:r>
        <w:rPr>
          <w:rStyle w:val="CharSClsNo"/>
        </w:rPr>
        <w:t>1</w:t>
      </w:r>
      <w:r>
        <w:t>.</w:t>
      </w:r>
      <w:r>
        <w:tab/>
        <w:t>Citation</w:t>
      </w:r>
      <w:bookmarkEnd w:id="29"/>
    </w:p>
    <w:p>
      <w:pPr>
        <w:pStyle w:val="ySubsection"/>
        <w:rPr>
          <w:szCs w:val="22"/>
        </w:rPr>
      </w:pPr>
      <w:r>
        <w:rPr>
          <w:sz w:val="24"/>
        </w:rPr>
        <w:tab/>
      </w:r>
      <w:r>
        <w:rPr>
          <w:sz w:val="24"/>
        </w:rPr>
        <w:tab/>
      </w:r>
      <w:r>
        <w:rPr>
          <w:szCs w:val="22"/>
        </w:rPr>
        <w:t xml:space="preserve">This Code is the </w:t>
      </w:r>
      <w:r>
        <w:rPr>
          <w:i/>
        </w:rPr>
        <w:t>Interim Code of Practice for Retirement Villages 2020</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30" w:name="_Toc51596390"/>
      <w:r>
        <w:rPr>
          <w:rStyle w:val="CharSClsNo"/>
        </w:rPr>
        <w:t>2</w:t>
      </w:r>
      <w:r>
        <w:t>.</w:t>
      </w:r>
      <w:r>
        <w:tab/>
        <w:t>Application</w:t>
      </w:r>
      <w:bookmarkEnd w:id="30"/>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1" w:name="_Toc51596391"/>
      <w:r>
        <w:rPr>
          <w:rStyle w:val="CharSClsNo"/>
        </w:rPr>
        <w:t>3</w:t>
      </w:r>
      <w:r>
        <w:t>.</w:t>
      </w:r>
      <w:r>
        <w:tab/>
        <w:t>General principles</w:t>
      </w:r>
      <w:bookmarkEnd w:id="31"/>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2" w:name="_Toc51596392"/>
      <w:r>
        <w:rPr>
          <w:rStyle w:val="CharSClsNo"/>
        </w:rPr>
        <w:t>4</w:t>
      </w:r>
      <w:r>
        <w:t>.</w:t>
      </w:r>
      <w:r>
        <w:tab/>
        <w:t>Objectives of Code</w:t>
      </w:r>
      <w:bookmarkEnd w:id="32"/>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33" w:name="_Toc51596393"/>
      <w:r>
        <w:rPr>
          <w:rStyle w:val="CharSClsNo"/>
        </w:rPr>
        <w:t>5</w:t>
      </w:r>
      <w:r>
        <w:t>.</w:t>
      </w:r>
      <w:r>
        <w:tab/>
        <w:t>Resident’s rights</w:t>
      </w:r>
      <w:bookmarkEnd w:id="33"/>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34" w:name="_Toc36115824"/>
      <w:bookmarkStart w:id="35" w:name="_Toc36116396"/>
      <w:bookmarkStart w:id="36" w:name="_Toc36116899"/>
      <w:bookmarkStart w:id="37" w:name="_Toc36118558"/>
      <w:bookmarkStart w:id="38" w:name="_Toc36198064"/>
      <w:bookmarkStart w:id="39" w:name="_Toc36198657"/>
      <w:bookmarkStart w:id="40" w:name="_Toc51329501"/>
      <w:bookmarkStart w:id="41" w:name="_Toc51596394"/>
      <w:r>
        <w:rPr>
          <w:rStyle w:val="CharSDivNo"/>
        </w:rPr>
        <w:t>Division 2</w:t>
      </w:r>
      <w:r>
        <w:t> — </w:t>
      </w:r>
      <w:r>
        <w:rPr>
          <w:rStyle w:val="CharSDivText"/>
        </w:rPr>
        <w:t>Advertising and promotion of retirement villages</w:t>
      </w:r>
      <w:bookmarkEnd w:id="34"/>
      <w:bookmarkEnd w:id="35"/>
      <w:bookmarkEnd w:id="36"/>
      <w:bookmarkEnd w:id="37"/>
      <w:bookmarkEnd w:id="38"/>
      <w:bookmarkEnd w:id="39"/>
      <w:bookmarkEnd w:id="40"/>
      <w:bookmarkEnd w:id="41"/>
    </w:p>
    <w:p>
      <w:pPr>
        <w:pStyle w:val="yHeading5"/>
      </w:pPr>
      <w:bookmarkStart w:id="42" w:name="_Toc51596395"/>
      <w:r>
        <w:rPr>
          <w:rStyle w:val="CharSClsNo"/>
        </w:rPr>
        <w:t>6</w:t>
      </w:r>
      <w:r>
        <w:t>.</w:t>
      </w:r>
      <w:r>
        <w:tab/>
        <w:t>General</w:t>
      </w:r>
      <w:bookmarkEnd w:id="42"/>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43" w:name="_Toc51596396"/>
      <w:r>
        <w:rPr>
          <w:rStyle w:val="CharSClsNo"/>
        </w:rPr>
        <w:t>7</w:t>
      </w:r>
      <w:r>
        <w:t>.</w:t>
      </w:r>
      <w:r>
        <w:tab/>
        <w:t>Retirement village developments</w:t>
      </w:r>
      <w:bookmarkEnd w:id="43"/>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44" w:name="_Toc51596397"/>
      <w:r>
        <w:rPr>
          <w:rStyle w:val="CharSClsNo"/>
        </w:rPr>
        <w:t>8</w:t>
      </w:r>
      <w:r>
        <w:t>.</w:t>
      </w:r>
      <w:r>
        <w:tab/>
        <w:t>Proposed amenities and services</w:t>
      </w:r>
      <w:bookmarkEnd w:id="44"/>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45" w:name="_Toc51596398"/>
      <w:r>
        <w:rPr>
          <w:rStyle w:val="CharSClsNo"/>
        </w:rPr>
        <w:t>9</w:t>
      </w:r>
      <w:r>
        <w:t>.</w:t>
      </w:r>
      <w:r>
        <w:tab/>
        <w:t>Approvals for facilities that provide residential aged care services</w:t>
      </w:r>
      <w:bookmarkEnd w:id="45"/>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46" w:name="_Toc51596399"/>
      <w:r>
        <w:rPr>
          <w:rStyle w:val="CharSClsNo"/>
        </w:rPr>
        <w:t>10</w:t>
      </w:r>
      <w:r>
        <w:t>.</w:t>
      </w:r>
      <w:r>
        <w:tab/>
        <w:t>Access to residential aged care services</w:t>
      </w:r>
      <w:bookmarkEnd w:id="4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47" w:name="_Toc36115830"/>
      <w:bookmarkStart w:id="48" w:name="_Toc36116402"/>
      <w:bookmarkStart w:id="49" w:name="_Toc36116905"/>
      <w:bookmarkStart w:id="50" w:name="_Toc36118564"/>
      <w:bookmarkStart w:id="51" w:name="_Toc36198070"/>
      <w:bookmarkStart w:id="52" w:name="_Toc36198663"/>
      <w:bookmarkStart w:id="53" w:name="_Toc51329507"/>
      <w:bookmarkStart w:id="54" w:name="_Toc51596400"/>
      <w:r>
        <w:rPr>
          <w:rStyle w:val="CharSDivNo"/>
        </w:rPr>
        <w:t>Division 3</w:t>
      </w:r>
      <w:r>
        <w:t> — </w:t>
      </w:r>
      <w:r>
        <w:rPr>
          <w:rStyle w:val="CharSDivText"/>
        </w:rPr>
        <w:t>Prospective resident’s right to information before entering into service contract</w:t>
      </w:r>
      <w:bookmarkEnd w:id="47"/>
      <w:bookmarkEnd w:id="48"/>
      <w:bookmarkEnd w:id="49"/>
      <w:bookmarkEnd w:id="50"/>
      <w:bookmarkEnd w:id="51"/>
      <w:bookmarkEnd w:id="52"/>
      <w:bookmarkEnd w:id="53"/>
      <w:bookmarkEnd w:id="54"/>
    </w:p>
    <w:p>
      <w:pPr>
        <w:pStyle w:val="yHeading5"/>
      </w:pPr>
      <w:bookmarkStart w:id="55" w:name="_Toc51596401"/>
      <w:r>
        <w:rPr>
          <w:rStyle w:val="CharSClsNo"/>
        </w:rPr>
        <w:t>11</w:t>
      </w:r>
      <w:r>
        <w:t>.</w:t>
      </w:r>
      <w:r>
        <w:tab/>
        <w:t>Before entering into service contract</w:t>
      </w:r>
      <w:bookmarkEnd w:id="55"/>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spacing w:before="0"/>
      </w:pPr>
      <w:bookmarkStart w:id="56" w:name="_Toc36115832"/>
      <w:bookmarkStart w:id="57" w:name="_Toc36116404"/>
      <w:bookmarkStart w:id="58" w:name="_Toc36116907"/>
      <w:bookmarkStart w:id="59" w:name="_Toc36118566"/>
      <w:bookmarkStart w:id="60" w:name="_Toc36198072"/>
      <w:bookmarkStart w:id="61" w:name="_Toc36198665"/>
      <w:bookmarkStart w:id="62" w:name="_Toc51329509"/>
      <w:bookmarkStart w:id="63" w:name="_Toc51596402"/>
      <w:r>
        <w:rPr>
          <w:rStyle w:val="CharSDivNo"/>
        </w:rPr>
        <w:t>Division 4</w:t>
      </w:r>
      <w:r>
        <w:t> — </w:t>
      </w:r>
      <w:r>
        <w:rPr>
          <w:rStyle w:val="CharSDivText"/>
        </w:rPr>
        <w:t>Service contract</w:t>
      </w:r>
      <w:bookmarkEnd w:id="56"/>
      <w:bookmarkEnd w:id="57"/>
      <w:bookmarkEnd w:id="58"/>
      <w:bookmarkEnd w:id="59"/>
      <w:bookmarkEnd w:id="60"/>
      <w:bookmarkEnd w:id="61"/>
      <w:bookmarkEnd w:id="62"/>
      <w:bookmarkEnd w:id="63"/>
    </w:p>
    <w:p>
      <w:pPr>
        <w:pStyle w:val="yHeading5"/>
      </w:pPr>
      <w:bookmarkStart w:id="64" w:name="_Toc51596403"/>
      <w:r>
        <w:rPr>
          <w:rStyle w:val="CharSClsNo"/>
        </w:rPr>
        <w:t>12</w:t>
      </w:r>
      <w:r>
        <w:t>.</w:t>
      </w:r>
      <w:r>
        <w:tab/>
        <w:t>Legibility and presentation requirements</w:t>
      </w:r>
      <w:bookmarkEnd w:id="64"/>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65" w:name="_Toc51596404"/>
      <w:r>
        <w:rPr>
          <w:rStyle w:val="CharSClsNo"/>
        </w:rPr>
        <w:t>13</w:t>
      </w:r>
      <w:r>
        <w:t>.</w:t>
      </w:r>
      <w:r>
        <w:tab/>
      </w:r>
      <w:r>
        <w:rPr>
          <w:szCs w:val="22"/>
        </w:rPr>
        <w:t>Services</w:t>
      </w:r>
      <w:bookmarkEnd w:id="65"/>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Lines/>
        <w:spacing w:before="0"/>
      </w:pPr>
      <w:bookmarkStart w:id="66" w:name="_Toc36115835"/>
      <w:bookmarkStart w:id="67" w:name="_Toc36116407"/>
      <w:bookmarkStart w:id="68" w:name="_Toc36116910"/>
      <w:bookmarkStart w:id="69" w:name="_Toc36118569"/>
      <w:bookmarkStart w:id="70" w:name="_Toc36198075"/>
      <w:bookmarkStart w:id="71" w:name="_Toc36198668"/>
      <w:bookmarkStart w:id="72" w:name="_Toc51329512"/>
      <w:bookmarkStart w:id="73" w:name="_Toc51596405"/>
      <w:r>
        <w:rPr>
          <w:rStyle w:val="CharSDivNo"/>
        </w:rPr>
        <w:t>Division 5</w:t>
      </w:r>
      <w:r>
        <w:t> — </w:t>
      </w:r>
      <w:r>
        <w:rPr>
          <w:rStyle w:val="CharSDivText"/>
        </w:rPr>
        <w:t>Village management</w:t>
      </w:r>
      <w:bookmarkEnd w:id="66"/>
      <w:bookmarkEnd w:id="67"/>
      <w:bookmarkEnd w:id="68"/>
      <w:bookmarkEnd w:id="69"/>
      <w:bookmarkEnd w:id="70"/>
      <w:bookmarkEnd w:id="71"/>
      <w:bookmarkEnd w:id="72"/>
      <w:bookmarkEnd w:id="73"/>
    </w:p>
    <w:p>
      <w:pPr>
        <w:pStyle w:val="yHeading5"/>
      </w:pPr>
      <w:bookmarkStart w:id="74" w:name="_Toc51596406"/>
      <w:r>
        <w:rPr>
          <w:rStyle w:val="CharSClsNo"/>
        </w:rPr>
        <w:t>14</w:t>
      </w:r>
      <w:r>
        <w:t>.</w:t>
      </w:r>
      <w:r>
        <w:tab/>
        <w:t>Terms used</w:t>
      </w:r>
      <w:bookmarkEnd w:id="74"/>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75" w:name="_Toc51596407"/>
      <w:r>
        <w:rPr>
          <w:rStyle w:val="CharSClsNo"/>
        </w:rPr>
        <w:t>15</w:t>
      </w:r>
      <w:r>
        <w:t>.</w:t>
      </w:r>
      <w:r>
        <w:tab/>
      </w:r>
      <w:r>
        <w:rPr>
          <w:szCs w:val="22"/>
        </w:rPr>
        <w:t>Special resolutions</w:t>
      </w:r>
      <w:bookmarkEnd w:id="75"/>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76" w:name="_Toc51596408"/>
      <w:r>
        <w:rPr>
          <w:rStyle w:val="CharSClsNo"/>
        </w:rPr>
        <w:t>16</w:t>
      </w:r>
      <w:r>
        <w:t>.</w:t>
      </w:r>
      <w:r>
        <w:tab/>
      </w:r>
      <w:r>
        <w:rPr>
          <w:szCs w:val="22"/>
        </w:rPr>
        <w:t>Management procedures and resident consultation</w:t>
      </w:r>
      <w:bookmarkEnd w:id="76"/>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77" w:name="_Toc51596409"/>
      <w:r>
        <w:rPr>
          <w:rStyle w:val="CharSClsNo"/>
        </w:rPr>
        <w:t>17</w:t>
      </w:r>
      <w:r>
        <w:t>.</w:t>
      </w:r>
      <w:r>
        <w:tab/>
      </w:r>
      <w:r>
        <w:rPr>
          <w:szCs w:val="22"/>
        </w:rPr>
        <w:t>Village budget</w:t>
      </w:r>
      <w:bookmarkEnd w:id="77"/>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rPr>
          <w:szCs w:val="22"/>
        </w:rPr>
      </w:pPr>
      <w:bookmarkStart w:id="78" w:name="_Toc51596410"/>
      <w:r>
        <w:rPr>
          <w:rStyle w:val="CharSClsNo"/>
        </w:rPr>
        <w:t>18</w:t>
      </w:r>
      <w:r>
        <w:t>.</w:t>
      </w:r>
      <w:r>
        <w:tab/>
      </w:r>
      <w:r>
        <w:rPr>
          <w:szCs w:val="22"/>
        </w:rPr>
        <w:t>Quarterly financial statements</w:t>
      </w:r>
      <w:bookmarkEnd w:id="78"/>
    </w:p>
    <w:p>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keepNext/>
        <w:keepLines/>
        <w:rPr>
          <w:szCs w:val="22"/>
        </w:rPr>
      </w:pPr>
      <w:r>
        <w:tab/>
        <w:t>(a)</w:t>
      </w:r>
      <w:r>
        <w:tab/>
      </w:r>
      <w:r>
        <w:rPr>
          <w:szCs w:val="22"/>
        </w:rPr>
        <w:t xml:space="preserve">a statement of income and expenditure; </w:t>
      </w:r>
    </w:p>
    <w:p>
      <w:pPr>
        <w:pStyle w:val="yIndenta"/>
        <w:keepNext/>
        <w:keepLines/>
        <w:rPr>
          <w:szCs w:val="22"/>
        </w:rPr>
      </w:pPr>
      <w:r>
        <w:tab/>
        <w:t>(b)</w:t>
      </w:r>
      <w:r>
        <w:tab/>
      </w:r>
      <w:r>
        <w:rPr>
          <w:szCs w:val="22"/>
        </w:rPr>
        <w:t>a reserve fund statement.</w:t>
      </w:r>
    </w:p>
    <w:p>
      <w:pPr>
        <w:pStyle w:val="ySubsection"/>
        <w:keepNext/>
        <w:keepLines/>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79" w:name="_Toc51596411"/>
      <w:r>
        <w:rPr>
          <w:rStyle w:val="CharSClsNo"/>
        </w:rPr>
        <w:t>19</w:t>
      </w:r>
      <w:r>
        <w:t>.</w:t>
      </w:r>
      <w:r>
        <w:tab/>
        <w:t>Annual financial statements</w:t>
      </w:r>
      <w:bookmarkEnd w:id="79"/>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rPr>
          <w:szCs w:val="22"/>
        </w:rPr>
      </w:pPr>
      <w:bookmarkStart w:id="80" w:name="_Toc51596412"/>
      <w:r>
        <w:rPr>
          <w:rStyle w:val="CharSClsNo"/>
        </w:rPr>
        <w:t>20</w:t>
      </w:r>
      <w:r>
        <w:t>.</w:t>
      </w:r>
      <w:r>
        <w:tab/>
      </w:r>
      <w:r>
        <w:rPr>
          <w:szCs w:val="22"/>
        </w:rPr>
        <w:t>Budget surplus</w:t>
      </w:r>
      <w:bookmarkEnd w:id="80"/>
    </w:p>
    <w:p>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81" w:name="_Toc51596413"/>
      <w:r>
        <w:rPr>
          <w:rStyle w:val="CharSClsNo"/>
        </w:rPr>
        <w:t>21</w:t>
      </w:r>
      <w:r>
        <w:t>.</w:t>
      </w:r>
      <w:r>
        <w:tab/>
      </w:r>
      <w:r>
        <w:rPr>
          <w:szCs w:val="22"/>
        </w:rPr>
        <w:t>Marketing of residential premises</w:t>
      </w:r>
      <w:bookmarkEnd w:id="81"/>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82" w:name="_Toc51596414"/>
      <w:r>
        <w:rPr>
          <w:rStyle w:val="CharSClsNo"/>
        </w:rPr>
        <w:t>22</w:t>
      </w:r>
      <w:r>
        <w:t>.</w:t>
      </w:r>
      <w:r>
        <w:tab/>
      </w:r>
      <w:r>
        <w:rPr>
          <w:szCs w:val="22"/>
        </w:rPr>
        <w:t>Refurbishment of residential premises</w:t>
      </w:r>
      <w:bookmarkEnd w:id="82"/>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83" w:name="_Toc51596415"/>
      <w:r>
        <w:rPr>
          <w:rStyle w:val="CharSClsNo"/>
        </w:rPr>
        <w:t>23</w:t>
      </w:r>
      <w:r>
        <w:t>.</w:t>
      </w:r>
      <w:r>
        <w:tab/>
      </w:r>
      <w:r>
        <w:rPr>
          <w:szCs w:val="22"/>
        </w:rPr>
        <w:t>Residence rules</w:t>
      </w:r>
      <w:bookmarkEnd w:id="83"/>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84" w:name="_Toc51596416"/>
      <w:r>
        <w:rPr>
          <w:rStyle w:val="CharSClsNo"/>
        </w:rPr>
        <w:t>24</w:t>
      </w:r>
      <w:r>
        <w:t>.</w:t>
      </w:r>
      <w:r>
        <w:tab/>
      </w:r>
      <w:r>
        <w:rPr>
          <w:szCs w:val="22"/>
        </w:rPr>
        <w:t>Residents’ committee of retirement village residents</w:t>
      </w:r>
      <w:bookmarkEnd w:id="84"/>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85" w:name="_Toc51596417"/>
      <w:r>
        <w:rPr>
          <w:rStyle w:val="CharSClsNo"/>
        </w:rPr>
        <w:t>25</w:t>
      </w:r>
      <w:r>
        <w:t>.</w:t>
      </w:r>
      <w:r>
        <w:tab/>
      </w:r>
      <w:r>
        <w:rPr>
          <w:szCs w:val="22"/>
        </w:rPr>
        <w:t>Incorporated association formed to carry out function of residents’ committee</w:t>
      </w:r>
      <w:bookmarkEnd w:id="85"/>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86" w:name="_Toc51596418"/>
      <w:r>
        <w:rPr>
          <w:rStyle w:val="CharSClsNo"/>
        </w:rPr>
        <w:t>26</w:t>
      </w:r>
      <w:r>
        <w:t>.</w:t>
      </w:r>
      <w:r>
        <w:tab/>
        <w:t>Residents’ meetings</w:t>
      </w:r>
      <w:bookmarkEnd w:id="86"/>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87" w:name="_Toc51596419"/>
      <w:r>
        <w:rPr>
          <w:rStyle w:val="CharSClsNo"/>
        </w:rPr>
        <w:t>27</w:t>
      </w:r>
      <w:r>
        <w:t>.</w:t>
      </w:r>
      <w:r>
        <w:tab/>
      </w:r>
      <w:r>
        <w:rPr>
          <w:szCs w:val="22"/>
        </w:rPr>
        <w:t>Proxy voting</w:t>
      </w:r>
      <w:bookmarkEnd w:id="87"/>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spacing w:before="120"/>
        <w:rPr>
          <w:szCs w:val="22"/>
        </w:rPr>
      </w:pPr>
      <w:bookmarkStart w:id="88" w:name="_Toc51596420"/>
      <w:r>
        <w:rPr>
          <w:rStyle w:val="CharSClsNo"/>
        </w:rPr>
        <w:t>28</w:t>
      </w:r>
      <w:r>
        <w:t>.</w:t>
      </w:r>
      <w:r>
        <w:tab/>
      </w:r>
      <w:r>
        <w:rPr>
          <w:szCs w:val="22"/>
        </w:rPr>
        <w:t>Voting by secret ballot</w:t>
      </w:r>
      <w:bookmarkEnd w:id="88"/>
    </w:p>
    <w:p>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spacing w:before="0"/>
      </w:pPr>
      <w:bookmarkStart w:id="89" w:name="_Toc36115851"/>
      <w:bookmarkStart w:id="90" w:name="_Toc36116423"/>
      <w:bookmarkStart w:id="91" w:name="_Toc36116926"/>
      <w:bookmarkStart w:id="92" w:name="_Toc36118585"/>
      <w:bookmarkStart w:id="93" w:name="_Toc36198091"/>
      <w:bookmarkStart w:id="94" w:name="_Toc36198684"/>
      <w:bookmarkStart w:id="95" w:name="_Toc51329528"/>
      <w:bookmarkStart w:id="96" w:name="_Toc51596421"/>
      <w:r>
        <w:rPr>
          <w:rStyle w:val="CharSDivNo"/>
        </w:rPr>
        <w:t>Division 6</w:t>
      </w:r>
      <w:r>
        <w:t> — </w:t>
      </w:r>
      <w:r>
        <w:rPr>
          <w:rStyle w:val="CharSDivText"/>
        </w:rPr>
        <w:t>Dispute resolution</w:t>
      </w:r>
      <w:bookmarkEnd w:id="89"/>
      <w:bookmarkEnd w:id="90"/>
      <w:bookmarkEnd w:id="91"/>
      <w:bookmarkEnd w:id="92"/>
      <w:bookmarkEnd w:id="93"/>
      <w:bookmarkEnd w:id="94"/>
      <w:bookmarkEnd w:id="95"/>
      <w:bookmarkEnd w:id="96"/>
    </w:p>
    <w:p>
      <w:pPr>
        <w:pStyle w:val="yHeading5"/>
        <w:rPr>
          <w:szCs w:val="22"/>
        </w:rPr>
      </w:pPr>
      <w:bookmarkStart w:id="97" w:name="_Toc51596422"/>
      <w:r>
        <w:rPr>
          <w:rStyle w:val="CharSClsNo"/>
        </w:rPr>
        <w:t>29</w:t>
      </w:r>
      <w:r>
        <w:t>.</w:t>
      </w:r>
      <w:r>
        <w:tab/>
      </w:r>
      <w:r>
        <w:rPr>
          <w:szCs w:val="22"/>
        </w:rPr>
        <w:t>Terms used</w:t>
      </w:r>
      <w:bookmarkEnd w:id="97"/>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98" w:name="_Toc51596423"/>
      <w:r>
        <w:rPr>
          <w:rStyle w:val="CharSClsNo"/>
        </w:rPr>
        <w:t>30</w:t>
      </w:r>
      <w:r>
        <w:t>.</w:t>
      </w:r>
      <w:r>
        <w:tab/>
      </w:r>
      <w:r>
        <w:rPr>
          <w:szCs w:val="22"/>
        </w:rPr>
        <w:t>Village dispute resolution process</w:t>
      </w:r>
      <w:bookmarkEnd w:id="98"/>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99" w:name="_Toc51596424"/>
      <w:r>
        <w:rPr>
          <w:rStyle w:val="CharSClsNo"/>
        </w:rPr>
        <w:t>31</w:t>
      </w:r>
      <w:r>
        <w:t>.</w:t>
      </w:r>
      <w:r>
        <w:tab/>
      </w:r>
      <w:r>
        <w:rPr>
          <w:szCs w:val="22"/>
        </w:rPr>
        <w:t>Mediation of dispute</w:t>
      </w:r>
      <w:bookmarkEnd w:id="99"/>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100" w:name="_Toc51596425"/>
      <w:r>
        <w:rPr>
          <w:rStyle w:val="CharSClsNo"/>
        </w:rPr>
        <w:t>32</w:t>
      </w:r>
      <w:r>
        <w:t>.</w:t>
      </w:r>
      <w:r>
        <w:tab/>
      </w:r>
      <w:r>
        <w:rPr>
          <w:szCs w:val="22"/>
        </w:rPr>
        <w:t>Costs associated with dispute resolution process</w:t>
      </w:r>
      <w:bookmarkEnd w:id="100"/>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keepNext/>
        <w:keepLines/>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keepNext/>
        <w:keepLines/>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101" w:name="_Toc51596426"/>
      <w:r>
        <w:rPr>
          <w:rStyle w:val="CharSClsNo"/>
        </w:rPr>
        <w:t>33</w:t>
      </w:r>
      <w:r>
        <w:t>.</w:t>
      </w:r>
      <w:r>
        <w:tab/>
        <w:t>Costs associated with Commissioner</w:t>
      </w:r>
      <w:r>
        <w:noBreakHyphen/>
        <w:t>appointed mediation</w:t>
      </w:r>
      <w:bookmarkEnd w:id="101"/>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02" w:name="_Toc36115857"/>
      <w:bookmarkStart w:id="103" w:name="_Toc36116429"/>
      <w:bookmarkStart w:id="104" w:name="_Toc36116932"/>
      <w:bookmarkStart w:id="105" w:name="_Toc36118591"/>
      <w:bookmarkStart w:id="106" w:name="_Toc36198097"/>
      <w:bookmarkStart w:id="107" w:name="_Toc36198690"/>
      <w:bookmarkStart w:id="108" w:name="_Toc51329534"/>
      <w:bookmarkStart w:id="109" w:name="_Toc51596427"/>
      <w:r>
        <w:rPr>
          <w:rStyle w:val="CharSDivNo"/>
        </w:rPr>
        <w:t>Division 7</w:t>
      </w:r>
      <w:r>
        <w:t> — </w:t>
      </w:r>
      <w:r>
        <w:rPr>
          <w:rStyle w:val="CharSDivText"/>
        </w:rPr>
        <w:t>Termination of residence contracts</w:t>
      </w:r>
      <w:bookmarkEnd w:id="102"/>
      <w:bookmarkEnd w:id="103"/>
      <w:bookmarkEnd w:id="104"/>
      <w:bookmarkEnd w:id="105"/>
      <w:bookmarkEnd w:id="106"/>
      <w:bookmarkEnd w:id="107"/>
      <w:bookmarkEnd w:id="108"/>
      <w:bookmarkEnd w:id="109"/>
    </w:p>
    <w:p>
      <w:pPr>
        <w:pStyle w:val="yHeading5"/>
        <w:rPr>
          <w:szCs w:val="22"/>
        </w:rPr>
      </w:pPr>
      <w:bookmarkStart w:id="110" w:name="_Toc51596428"/>
      <w:r>
        <w:rPr>
          <w:rStyle w:val="CharSClsNo"/>
        </w:rPr>
        <w:t>34</w:t>
      </w:r>
      <w:r>
        <w:t>.</w:t>
      </w:r>
      <w:r>
        <w:tab/>
      </w:r>
      <w:r>
        <w:rPr>
          <w:szCs w:val="22"/>
        </w:rPr>
        <w:t>Notice of intention to terminate</w:t>
      </w:r>
      <w:bookmarkEnd w:id="110"/>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11" w:name="_Toc36115859"/>
      <w:bookmarkStart w:id="112" w:name="_Toc36116431"/>
      <w:bookmarkStart w:id="113" w:name="_Toc36116934"/>
      <w:bookmarkStart w:id="114" w:name="_Toc36118593"/>
      <w:bookmarkStart w:id="115" w:name="_Toc36198099"/>
      <w:bookmarkStart w:id="116" w:name="_Toc36198692"/>
      <w:bookmarkStart w:id="117" w:name="_Toc51329536"/>
      <w:bookmarkStart w:id="118" w:name="_Toc51596429"/>
      <w:r>
        <w:rPr>
          <w:rStyle w:val="CharSDivNo"/>
        </w:rPr>
        <w:t>Division 8</w:t>
      </w:r>
      <w:r>
        <w:t> — </w:t>
      </w:r>
      <w:r>
        <w:rPr>
          <w:rStyle w:val="CharSDivText"/>
        </w:rPr>
        <w:t>Service of documents</w:t>
      </w:r>
      <w:bookmarkEnd w:id="111"/>
      <w:bookmarkEnd w:id="112"/>
      <w:bookmarkEnd w:id="113"/>
      <w:bookmarkEnd w:id="114"/>
      <w:bookmarkEnd w:id="115"/>
      <w:bookmarkEnd w:id="116"/>
      <w:bookmarkEnd w:id="117"/>
      <w:bookmarkEnd w:id="118"/>
    </w:p>
    <w:p>
      <w:pPr>
        <w:pStyle w:val="yHeading5"/>
        <w:rPr>
          <w:szCs w:val="22"/>
        </w:rPr>
      </w:pPr>
      <w:bookmarkStart w:id="119" w:name="_Toc51596430"/>
      <w:r>
        <w:rPr>
          <w:rStyle w:val="CharSClsNo"/>
        </w:rPr>
        <w:t>35</w:t>
      </w:r>
      <w:r>
        <w:t>.</w:t>
      </w:r>
      <w:r>
        <w:tab/>
      </w:r>
      <w:r>
        <w:rPr>
          <w:szCs w:val="22"/>
        </w:rPr>
        <w:t>Service of documents</w:t>
      </w:r>
      <w:bookmarkEnd w:id="119"/>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Heading3"/>
        <w:rPr>
          <w:rStyle w:val="CharSDivNo"/>
        </w:rPr>
        <w:sectPr>
          <w:headerReference w:type="even" r:id="rId27"/>
          <w:headerReference w:type="default" r:id="rId28"/>
          <w:pgSz w:w="11907" w:h="16840" w:code="9"/>
          <w:pgMar w:top="2381" w:right="2410" w:bottom="3544" w:left="2410" w:header="720" w:footer="3544" w:gutter="0"/>
          <w:cols w:space="720"/>
        </w:sectPr>
      </w:pPr>
    </w:p>
    <w:p>
      <w:pPr>
        <w:pStyle w:val="yHeading3"/>
      </w:pPr>
      <w:bookmarkStart w:id="120" w:name="_Toc36115861"/>
      <w:bookmarkStart w:id="121" w:name="_Toc36116433"/>
      <w:bookmarkStart w:id="122" w:name="_Toc36116936"/>
      <w:bookmarkStart w:id="123" w:name="_Toc36118595"/>
      <w:bookmarkStart w:id="124" w:name="_Toc36198101"/>
      <w:bookmarkStart w:id="125" w:name="_Toc36198694"/>
      <w:bookmarkStart w:id="126" w:name="_Toc51329538"/>
      <w:bookmarkStart w:id="127" w:name="_Toc51596431"/>
      <w:r>
        <w:rPr>
          <w:rStyle w:val="CharSDivNo"/>
        </w:rPr>
        <w:t>Appendix 1</w:t>
      </w:r>
      <w:r>
        <w:t> — </w:t>
      </w:r>
      <w:r>
        <w:rPr>
          <w:rStyle w:val="CharSDivText"/>
        </w:rPr>
        <w:t>Checklist for prospective resident</w:t>
      </w:r>
      <w:bookmarkEnd w:id="120"/>
      <w:bookmarkEnd w:id="121"/>
      <w:bookmarkEnd w:id="122"/>
      <w:bookmarkEnd w:id="123"/>
      <w:bookmarkEnd w:id="124"/>
      <w:bookmarkEnd w:id="125"/>
      <w:bookmarkEnd w:id="126"/>
      <w:bookmarkEnd w:id="127"/>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2020 </w:t>
      </w:r>
      <w:r>
        <w:rPr>
          <w:szCs w:val="22"/>
        </w:rPr>
        <w:t xml:space="preserve">and the </w:t>
      </w:r>
      <w:r>
        <w:rPr>
          <w:i/>
          <w:szCs w:val="22"/>
        </w:rPr>
        <w:t>Retirement Villages Act 1992</w:t>
      </w:r>
      <w:r>
        <w:rPr>
          <w:szCs w:val="22"/>
        </w:rPr>
        <w:t>?</w:t>
      </w:r>
    </w:p>
    <w:p>
      <w:pPr>
        <w:pStyle w:val="yHeading3"/>
        <w:pageBreakBefore/>
      </w:pPr>
      <w:bookmarkStart w:id="128" w:name="_Toc36115862"/>
      <w:bookmarkStart w:id="129" w:name="_Toc36116434"/>
      <w:bookmarkStart w:id="130" w:name="_Toc36116937"/>
      <w:bookmarkStart w:id="131" w:name="_Toc36118596"/>
      <w:bookmarkStart w:id="132" w:name="_Toc36198102"/>
      <w:bookmarkStart w:id="133" w:name="_Toc36198695"/>
      <w:bookmarkStart w:id="134" w:name="_Toc51329539"/>
      <w:bookmarkStart w:id="135" w:name="_Toc51596432"/>
      <w:r>
        <w:rPr>
          <w:rStyle w:val="CharSDivNo"/>
        </w:rPr>
        <w:t>Appendix 2</w:t>
      </w:r>
      <w:r>
        <w:t> — </w:t>
      </w:r>
      <w:r>
        <w:rPr>
          <w:rStyle w:val="CharSDivText"/>
        </w:rPr>
        <w:t>Form of appointment of proxy</w:t>
      </w:r>
      <w:bookmarkEnd w:id="128"/>
      <w:bookmarkEnd w:id="129"/>
      <w:bookmarkEnd w:id="130"/>
      <w:bookmarkEnd w:id="131"/>
      <w:bookmarkEnd w:id="132"/>
      <w:bookmarkEnd w:id="133"/>
      <w:bookmarkEnd w:id="134"/>
      <w:bookmarkEnd w:id="135"/>
    </w:p>
    <w:p>
      <w:pPr>
        <w:pStyle w:val="yShoulderClause"/>
      </w:pPr>
      <w:r>
        <w:t>[cl. 27(6)]</w:t>
      </w:r>
    </w:p>
    <w:p>
      <w:pPr>
        <w:pStyle w:val="yMiscellaneousBody"/>
        <w:ind w:left="851" w:hanging="851"/>
        <w:rPr>
          <w:sz w:val="20"/>
        </w:rPr>
      </w:pPr>
      <w:r>
        <w:t>I,......................................................</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36" w:name="_Toc36116435"/>
      <w:bookmarkStart w:id="137" w:name="_Toc36116938"/>
      <w:bookmarkStart w:id="138" w:name="_Toc36118597"/>
      <w:bookmarkStart w:id="139" w:name="_Toc36198103"/>
      <w:bookmarkStart w:id="140" w:name="_Toc36198696"/>
      <w:bookmarkStart w:id="141" w:name="_Toc51329540"/>
      <w:bookmarkStart w:id="142" w:name="_Toc51596433"/>
      <w:r>
        <w:t>Notes</w:t>
      </w:r>
      <w:bookmarkEnd w:id="136"/>
      <w:bookmarkEnd w:id="137"/>
      <w:bookmarkEnd w:id="138"/>
      <w:bookmarkEnd w:id="139"/>
      <w:bookmarkEnd w:id="140"/>
      <w:bookmarkEnd w:id="141"/>
      <w:bookmarkEnd w:id="142"/>
    </w:p>
    <w:p>
      <w:pPr>
        <w:pStyle w:val="nStatement"/>
      </w:pPr>
      <w:r>
        <w:t xml:space="preserve">This is a compilation of the </w:t>
      </w:r>
      <w:r>
        <w:rPr>
          <w:i/>
          <w:noProof/>
        </w:rPr>
        <w:t>Fair Trading (Retirement Villages Interim Code) Regulations 2020</w:t>
      </w:r>
      <w:r>
        <w:t xml:space="preserve">. For provisions that have come into operation see the compilation table. </w:t>
      </w:r>
    </w:p>
    <w:p>
      <w:pPr>
        <w:pStyle w:val="nHeading3"/>
      </w:pPr>
      <w:bookmarkStart w:id="143" w:name="_Toc51596434"/>
      <w:r>
        <w:t>Compilation table</w:t>
      </w:r>
      <w:bookmarkEnd w:id="1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2020</w:t>
            </w:r>
            <w:r>
              <w:rPr>
                <w:noProof/>
              </w:rPr>
              <w:t xml:space="preserve"> </w:t>
            </w:r>
            <w:r>
              <w:rPr>
                <w:noProof/>
                <w:vertAlign w:val="superscript"/>
              </w:rPr>
              <w:t>1</w:t>
            </w:r>
          </w:p>
        </w:tc>
        <w:tc>
          <w:tcPr>
            <w:tcW w:w="1276" w:type="dxa"/>
            <w:tcBorders>
              <w:bottom w:val="nil"/>
            </w:tcBorders>
          </w:tcPr>
          <w:p>
            <w:pPr>
              <w:pStyle w:val="nTable"/>
              <w:spacing w:after="40"/>
            </w:pPr>
            <w:r>
              <w:t>SL 2020/21 27 Mar 2020</w:t>
            </w:r>
          </w:p>
        </w:tc>
        <w:tc>
          <w:tcPr>
            <w:tcW w:w="2693" w:type="dxa"/>
            <w:tcBorders>
              <w:bottom w:val="nil"/>
            </w:tcBorders>
          </w:tcPr>
          <w:p>
            <w:pPr>
              <w:pStyle w:val="nTable"/>
              <w:spacing w:after="40"/>
            </w:pPr>
            <w:r>
              <w:t>r. 1 and 2: 27 Mar 2020 (see r. 2(a))</w:t>
            </w:r>
            <w:r>
              <w:br/>
              <w:t xml:space="preserve">Regulations other than r. 1 and 2: 1 Apr 2020 (see r. 2(b)) </w:t>
            </w:r>
          </w:p>
        </w:tc>
      </w:tr>
      <w:tr>
        <w:tc>
          <w:tcPr>
            <w:tcW w:w="7087" w:type="dxa"/>
            <w:gridSpan w:val="3"/>
            <w:tcBorders>
              <w:top w:val="nil"/>
              <w:bottom w:val="single" w:sz="4" w:space="0" w:color="auto"/>
            </w:tcBorders>
          </w:tcPr>
          <w:p>
            <w:pPr>
              <w:pStyle w:val="nTable"/>
              <w:spacing w:after="40"/>
              <w:rPr>
                <w:b/>
              </w:rPr>
            </w:pPr>
            <w:r>
              <w:rPr>
                <w:b/>
                <w:color w:val="FF0000"/>
              </w:rPr>
              <w:t>These regulations expired at the end of 30 Sep 2020 (see r. 4)</w:t>
            </w:r>
          </w:p>
        </w:tc>
      </w:tr>
    </w:tbl>
    <w:p>
      <w:pPr>
        <w:pStyle w:val="nNote"/>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45" w:name="_Toc36116438"/>
      <w:bookmarkStart w:id="146" w:name="_Toc36116941"/>
      <w:bookmarkStart w:id="147" w:name="_Toc36118599"/>
      <w:bookmarkStart w:id="148" w:name="_Toc36198105"/>
      <w:bookmarkStart w:id="149" w:name="_Toc36198699"/>
      <w:bookmarkStart w:id="150" w:name="_Toc51329542"/>
      <w:bookmarkStart w:id="151" w:name="_Toc51596435"/>
      <w:r>
        <w:rPr>
          <w:sz w:val="28"/>
        </w:rPr>
        <w:t>Defined terms</w:t>
      </w:r>
      <w:bookmarkEnd w:id="145"/>
      <w:bookmarkEnd w:id="146"/>
      <w:bookmarkEnd w:id="147"/>
      <w:bookmarkEnd w:id="148"/>
      <w:bookmarkEnd w:id="149"/>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w:t>
      </w:r>
      <w:r>
        <w:t xml:space="preserve"> </w:t>
      </w:r>
      <w:r>
        <w:rPr>
          <w:i/>
          <w:sz w:val="18"/>
        </w:rPr>
        <w:t xml:space="preserve">Unless otherwise indicated references are to provisions in the Interim Code set out in the Schedule to this Act. The list is not part of the law.]  </w:t>
      </w:r>
    </w:p>
    <w:p>
      <w:pPr>
        <w:ind w:left="850" w:right="850"/>
        <w:jc w:val="center"/>
        <w:rPr>
          <w:i/>
          <w:sz w:val="18"/>
        </w:rPr>
      </w:pP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1</w:t>
      </w:r>
    </w:p>
    <w:p>
      <w:pPr>
        <w:pStyle w:val="DefinedTerms"/>
      </w:pPr>
      <w:r>
        <w:t>annual financial statements</w:t>
      </w:r>
      <w:r>
        <w:tab/>
        <w:t>19(1)</w:t>
      </w:r>
    </w:p>
    <w:p>
      <w:pPr>
        <w:pStyle w:val="DefinedTerms"/>
      </w:pPr>
      <w:r>
        <w:t>approved form</w:t>
      </w:r>
      <w:r>
        <w:tab/>
        <w:t>29</w:t>
      </w:r>
    </w:p>
    <w:p>
      <w:pPr>
        <w:pStyle w:val="DefinedTerms"/>
      </w:pPr>
      <w:r>
        <w:t>Australian Accounting Standards</w:t>
      </w:r>
      <w:r>
        <w:tab/>
        <w:t>14(1)</w:t>
      </w:r>
    </w:p>
    <w:p>
      <w:pPr>
        <w:pStyle w:val="DefinedTerms"/>
      </w:pPr>
      <w:r>
        <w:t>Australian Accounting Standards Board</w:t>
      </w:r>
      <w:r>
        <w:tab/>
        <w:t>14(1)</w:t>
      </w:r>
    </w:p>
    <w:p>
      <w:pPr>
        <w:pStyle w:val="DefinedTerms"/>
      </w:pPr>
      <w:r>
        <w:t>budget documents</w:t>
      </w:r>
      <w:r>
        <w:tab/>
        <w:t>17(1)</w:t>
      </w:r>
    </w:p>
    <w:p>
      <w:pPr>
        <w:pStyle w:val="DefinedTerms"/>
      </w:pPr>
      <w:r>
        <w:t>close associate</w:t>
      </w:r>
      <w:r>
        <w:tab/>
        <w:t>27(1)</w:t>
      </w:r>
    </w:p>
    <w:p>
      <w:pPr>
        <w:pStyle w:val="DefinedTerms"/>
      </w:pPr>
      <w:r>
        <w:t>Commissioner</w:t>
      </w:r>
      <w:r>
        <w:tab/>
        <w:t>1</w:t>
      </w:r>
    </w:p>
    <w:p>
      <w:pPr>
        <w:pStyle w:val="DefinedTerms"/>
      </w:pPr>
      <w:r>
        <w:t>levy</w:t>
      </w:r>
      <w:r>
        <w:tab/>
        <w:t>1</w:t>
      </w:r>
    </w:p>
    <w:p>
      <w:pPr>
        <w:pStyle w:val="DefinedTerms"/>
      </w:pPr>
      <w:r>
        <w:t>material</w:t>
      </w:r>
      <w:r>
        <w:tab/>
        <w:t>14(2)</w:t>
      </w:r>
    </w:p>
    <w:p>
      <w:pPr>
        <w:pStyle w:val="DefinedTerms"/>
      </w:pPr>
      <w:r>
        <w:t>notes</w:t>
      </w:r>
      <w:r>
        <w:tab/>
        <w:t>14(1)</w:t>
      </w:r>
    </w:p>
    <w:p>
      <w:pPr>
        <w:pStyle w:val="DefinedTerms"/>
      </w:pPr>
      <w:r>
        <w:t>owner</w:t>
      </w:r>
      <w:r>
        <w:tab/>
        <w:t>1</w:t>
      </w:r>
    </w:p>
    <w:p>
      <w:pPr>
        <w:pStyle w:val="DefinedTerms"/>
      </w:pPr>
      <w:r>
        <w:t>personal representative</w:t>
      </w:r>
      <w:r>
        <w:tab/>
        <w:t>14(1), 35(1)</w:t>
      </w:r>
    </w:p>
    <w:p>
      <w:pPr>
        <w:pStyle w:val="DefinedTerms"/>
      </w:pPr>
      <w:r>
        <w:t>personal services</w:t>
      </w:r>
      <w:r>
        <w:tab/>
        <w:t>13(3)</w:t>
      </w:r>
    </w:p>
    <w:p>
      <w:pPr>
        <w:pStyle w:val="DefinedTerms"/>
      </w:pPr>
      <w:r>
        <w:t>premium</w:t>
      </w:r>
      <w:r>
        <w:tab/>
        <w:t>1</w:t>
      </w:r>
    </w:p>
    <w:p>
      <w:pPr>
        <w:pStyle w:val="DefinedTerms"/>
      </w:pPr>
      <w:r>
        <w:t>proxy notice</w:t>
      </w:r>
      <w:r>
        <w:tab/>
        <w:t>27(1)</w:t>
      </w:r>
    </w:p>
    <w:p>
      <w:pPr>
        <w:pStyle w:val="DefinedTerms"/>
      </w:pPr>
      <w:r>
        <w:t>recurrent charge</w:t>
      </w:r>
      <w:r>
        <w:tab/>
        <w:t>1</w:t>
      </w:r>
    </w:p>
    <w:p>
      <w:pPr>
        <w:pStyle w:val="DefinedTerms"/>
      </w:pPr>
      <w:r>
        <w:t>refurbishment work</w:t>
      </w:r>
      <w:r>
        <w:tab/>
        <w:t>22(1)</w:t>
      </w:r>
    </w:p>
    <w:p>
      <w:pPr>
        <w:pStyle w:val="DefinedTerms"/>
      </w:pPr>
      <w:r>
        <w:t>registered company auditor</w:t>
      </w:r>
      <w:r>
        <w:tab/>
        <w:t>14(1)</w:t>
      </w:r>
    </w:p>
    <w:p>
      <w:pPr>
        <w:pStyle w:val="DefinedTerms"/>
      </w:pPr>
      <w:r>
        <w:t>related body corporate</w:t>
      </w:r>
      <w:r>
        <w:tab/>
        <w:t>27(1)</w:t>
      </w:r>
    </w:p>
    <w:p>
      <w:pPr>
        <w:pStyle w:val="DefinedTerms"/>
      </w:pPr>
      <w:r>
        <w:t>relevant</w:t>
      </w:r>
      <w:r>
        <w:tab/>
        <w:t>14(2)</w:t>
      </w:r>
    </w:p>
    <w:p>
      <w:pPr>
        <w:pStyle w:val="DefinedTerms"/>
      </w:pPr>
      <w:r>
        <w:t>reserve fund</w:t>
      </w:r>
      <w:r>
        <w:tab/>
        <w:t>14(1)</w:t>
      </w:r>
    </w:p>
    <w:p>
      <w:pPr>
        <w:pStyle w:val="DefinedTerms"/>
      </w:pPr>
      <w:r>
        <w:t>residence contract</w:t>
      </w:r>
      <w:r>
        <w:tab/>
        <w:t>1</w:t>
      </w:r>
    </w:p>
    <w:p>
      <w:pPr>
        <w:pStyle w:val="DefinedTerms"/>
      </w:pPr>
      <w:r>
        <w:t>residence rules</w:t>
      </w:r>
      <w:r>
        <w:tab/>
        <w:t>1</w:t>
      </w:r>
    </w:p>
    <w:p>
      <w:pPr>
        <w:pStyle w:val="DefinedTerms"/>
      </w:pPr>
      <w:r>
        <w:t>resident</w:t>
      </w:r>
      <w:r>
        <w:tab/>
        <w:t>1</w:t>
      </w:r>
    </w:p>
    <w:p>
      <w:pPr>
        <w:pStyle w:val="DefinedTerms"/>
      </w:pPr>
      <w:r>
        <w:t>residential premises</w:t>
      </w:r>
      <w:r>
        <w:tab/>
        <w:t>1</w:t>
      </w:r>
    </w:p>
    <w:p>
      <w:pPr>
        <w:pStyle w:val="DefinedTerms"/>
      </w:pPr>
      <w:r>
        <w:t>residential tenancy agreement</w:t>
      </w:r>
      <w:r>
        <w:tab/>
        <w:t>1</w:t>
      </w:r>
    </w:p>
    <w:p>
      <w:pPr>
        <w:pStyle w:val="DefinedTerms"/>
      </w:pPr>
      <w:r>
        <w:t>retired person</w:t>
      </w:r>
      <w:r>
        <w:tab/>
        <w:t>1</w:t>
      </w:r>
    </w:p>
    <w:p>
      <w:pPr>
        <w:pStyle w:val="DefinedTerms"/>
      </w:pPr>
      <w:r>
        <w:t>retirement village</w:t>
      </w:r>
      <w:r>
        <w:tab/>
        <w:t>. 1</w:t>
      </w:r>
    </w:p>
    <w:p>
      <w:pPr>
        <w:pStyle w:val="DefinedTerms"/>
      </w:pPr>
      <w:r>
        <w:t>retirement village dispute</w:t>
      </w:r>
      <w:r>
        <w:tab/>
        <w:t>29</w:t>
      </w:r>
    </w:p>
    <w:p>
      <w:pPr>
        <w:pStyle w:val="DefinedTerms"/>
      </w:pPr>
      <w:r>
        <w:t>retirement village scheme</w:t>
      </w:r>
      <w:r>
        <w:tab/>
        <w:t>1</w:t>
      </w:r>
    </w:p>
    <w:p>
      <w:pPr>
        <w:pStyle w:val="DefinedTerms"/>
      </w:pPr>
      <w:r>
        <w:t>scheme</w:t>
      </w:r>
      <w:r>
        <w:tab/>
        <w:t>1</w:t>
      </w:r>
    </w:p>
    <w:p>
      <w:pPr>
        <w:pStyle w:val="DefinedTerms"/>
      </w:pPr>
      <w:r>
        <w:t>secret ballot</w:t>
      </w:r>
      <w:r>
        <w:tab/>
        <w:t>14(1)</w:t>
      </w:r>
    </w:p>
    <w:p>
      <w:pPr>
        <w:pStyle w:val="DefinedTerms"/>
      </w:pPr>
      <w:r>
        <w:t>service contract</w:t>
      </w:r>
      <w:r>
        <w:tab/>
        <w:t>1</w:t>
      </w:r>
    </w:p>
    <w:p>
      <w:pPr>
        <w:pStyle w:val="DefinedTerms"/>
      </w:pPr>
      <w:r>
        <w:t>special resolution</w:t>
      </w:r>
      <w:r>
        <w:tab/>
        <w:t>14(1), 29</w:t>
      </w:r>
    </w:p>
    <w:p>
      <w:pPr>
        <w:pStyle w:val="DefinedTerms"/>
      </w:pPr>
      <w:r>
        <w:t>voting resident</w:t>
      </w:r>
      <w:r>
        <w:tab/>
        <w:t>27(1)</w:t>
      </w:r>
    </w:p>
    <w:p>
      <w:pPr>
        <w:pStyle w:val="DefinedTerms"/>
      </w:pPr>
      <w:r>
        <w:t>withdrawal notice</w:t>
      </w:r>
      <w:r>
        <w:tab/>
        <w:t>31(15)</w:t>
      </w:r>
    </w:p>
    <w:p>
      <w:pPr>
        <w:pStyle w:val="DefinedTerms"/>
      </w:pPr>
      <w:r>
        <w:t>working day</w:t>
      </w:r>
      <w:r>
        <w:tab/>
        <w:t>1</w:t>
      </w: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2020</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2020</w:t>
          </w:r>
          <w:r>
            <w:fldChar w:fldCharType="end"/>
          </w:r>
        </w:p>
      </w:tc>
    </w:tr>
    <w:tr>
      <w:tc>
        <w:tcPr>
          <w:tcW w:w="1548" w:type="dxa"/>
        </w:tcPr>
        <w:p>
          <w:pPr>
            <w:pStyle w:val="Header"/>
            <w:spacing w:before="40"/>
            <w:ind w:right="17"/>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2020</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2" w:name="DefinedTerms"/>
    <w:bookmarkEnd w:id="15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61146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54102" w:val="RemoveTocBookmarks,RemoveUnusedBookmarks,RemoveLanguageTags,RemoveSmartTags,ResetPageSize,RunningHeaders,UpdateStyles,UsedStyles"/>
    <w:docVar w:name="WAFER_20200207154102_GUID" w:val="9e91ecaf-328f-4e2e-9652-6124e10c2bf5"/>
    <w:docVar w:name="WAFER_20200326114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14653_GUID" w:val="ea6385cb-2456-4419-8812-b5c499c729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jp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5E56-E5D2-4B31-A0BE-D4856A82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15266</Words>
  <Characters>79234</Characters>
  <Application>Microsoft Office Word</Application>
  <DocSecurity>0</DocSecurity>
  <Lines>1932</Lines>
  <Paragraphs>964</Paragraphs>
  <ScaleCrop>false</ScaleCrop>
  <HeadingPairs>
    <vt:vector size="2" baseType="variant">
      <vt:variant>
        <vt:lpstr>Title</vt:lpstr>
      </vt:variant>
      <vt:variant>
        <vt:i4>1</vt:i4>
      </vt:variant>
    </vt:vector>
  </HeadingPairs>
  <TitlesOfParts>
    <vt:vector size="1" baseType="lpstr">
      <vt:lpstr>Fair Trading (Retirement Villages Interim Code) Regulations 2020</vt:lpstr>
    </vt:vector>
  </TitlesOfParts>
  <Manager/>
  <Company/>
  <LinksUpToDate>false</LinksUpToDate>
  <CharactersWithSpaces>93536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2020 - 00-b0-00</dc:title>
  <dc:subject/>
  <dc:creator/>
  <cp:keywords/>
  <dc:description/>
  <cp:lastModifiedBy>svcMRProcess</cp:lastModifiedBy>
  <cp:revision>4</cp:revision>
  <cp:lastPrinted>2020-02-07T08:59:00Z</cp:lastPrinted>
  <dcterms:created xsi:type="dcterms:W3CDTF">2020-09-30T04:03:00Z</dcterms:created>
  <dcterms:modified xsi:type="dcterms:W3CDTF">2020-09-30T04:03:00Z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52294</vt:lpwstr>
  </property>
  <property fmtid="{D5CDD505-2E9C-101B-9397-08002B2CF9AE}" pid="3" name="DocumentType">
    <vt:lpwstr>Reg</vt:lpwstr>
  </property>
  <property fmtid="{D5CDD505-2E9C-101B-9397-08002B2CF9AE}" pid="4" name="AsAtDate">
    <vt:lpwstr>01 Oct 2020</vt:lpwstr>
  </property>
  <property fmtid="{D5CDD505-2E9C-101B-9397-08002B2CF9AE}" pid="5" name="Suffix">
    <vt:lpwstr>00-b0-00</vt:lpwstr>
  </property>
  <property fmtid="{D5CDD505-2E9C-101B-9397-08002B2CF9AE}" pid="6" name="Status">
    <vt:lpwstr>NIF</vt:lpwstr>
  </property>
  <property fmtid="{D5CDD505-2E9C-101B-9397-08002B2CF9AE}" pid="7" name="CommencementDate">
    <vt:lpwstr>20201001</vt:lpwstr>
  </property>
</Properties>
</file>