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_Toc52956988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_Toc52956989 \h </w:instrText>
      </w:r>
      <w:r>
        <w:fldChar w:fldCharType="separate"/>
      </w:r>
      <w:r>
        <w:t>1</w:t>
      </w:r>
      <w:r>
        <w:fldChar w:fldCharType="end"/>
      </w:r>
    </w:p>
    <w:p>
      <w:pPr>
        <w:pStyle w:val="TOC8"/>
        <w:rPr>
          <w:rFonts w:asciiTheme="minorHAnsi" w:eastAsiaTheme="minorEastAsia" w:hAnsiTheme="minorHAnsi" w:cstheme="minorBidi"/>
          <w:szCs w:val="22"/>
        </w:rPr>
      </w:pPr>
      <w:r>
        <w:t>2AAA.</w:t>
      </w:r>
      <w:r>
        <w:tab/>
        <w:t>Terms used</w:t>
      </w:r>
      <w:r>
        <w:tab/>
      </w:r>
      <w:r>
        <w:fldChar w:fldCharType="begin"/>
      </w:r>
      <w:r>
        <w:instrText xml:space="preserve"> PAGEREF _Toc52956990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_Toc52956991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redemption amount</w:t>
      </w:r>
      <w:r>
        <w:tab/>
      </w:r>
      <w:r>
        <w:fldChar w:fldCharType="begin"/>
      </w:r>
      <w:r>
        <w:instrText xml:space="preserve"> PAGEREF _Toc52956993 \h </w:instrText>
      </w:r>
      <w:r>
        <w:fldChar w:fldCharType="separate"/>
      </w:r>
      <w:r>
        <w:t>3</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_Toc52956994 \h </w:instrText>
      </w:r>
      <w:r>
        <w:fldChar w:fldCharType="separate"/>
      </w:r>
      <w:r>
        <w:t>3</w:t>
      </w:r>
      <w:r>
        <w:fldChar w:fldCharType="end"/>
      </w:r>
    </w:p>
    <w:p>
      <w:pPr>
        <w:pStyle w:val="TOC8"/>
        <w:rPr>
          <w:rFonts w:asciiTheme="minorHAnsi" w:eastAsiaTheme="minorEastAsia" w:hAnsiTheme="minorHAnsi" w:cstheme="minorBidi"/>
          <w:szCs w:val="22"/>
        </w:rPr>
      </w:pPr>
      <w:r>
        <w:t>3A.</w:t>
      </w:r>
      <w:r>
        <w:tab/>
        <w:t xml:space="preserve">Instruments under Commonwealth laws prescribed for definition of </w:t>
      </w:r>
      <w:r>
        <w:rPr>
          <w:i/>
        </w:rPr>
        <w:t>industrial award</w:t>
      </w:r>
      <w:r>
        <w:t xml:space="preserve"> in Act</w:t>
      </w:r>
      <w:r>
        <w:tab/>
      </w:r>
      <w:r>
        <w:fldChar w:fldCharType="begin"/>
      </w:r>
      <w:r>
        <w:instrText xml:space="preserve"> PAGEREF _Toc52956995 \h </w:instrText>
      </w:r>
      <w:r>
        <w:fldChar w:fldCharType="separate"/>
      </w:r>
      <w:r>
        <w:t>4</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_Toc52956996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_Toc52956997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_Toc52956998 \h </w:instrText>
      </w:r>
      <w:r>
        <w:fldChar w:fldCharType="separate"/>
      </w:r>
      <w:r>
        <w:t>5</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_Toc52956999 \h </w:instrText>
      </w:r>
      <w:r>
        <w:fldChar w:fldCharType="separate"/>
      </w:r>
      <w:r>
        <w:t>5</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_Toc52957000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first certificate of capacity</w:t>
      </w:r>
      <w:r>
        <w:tab/>
      </w:r>
      <w:r>
        <w:fldChar w:fldCharType="begin"/>
      </w:r>
      <w:r>
        <w:instrText xml:space="preserve"> PAGEREF _Toc52957001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_Toc52957002 \h </w:instrText>
      </w:r>
      <w:r>
        <w:fldChar w:fldCharType="separate"/>
      </w:r>
      <w:r>
        <w:t>6</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_Toc52957003 \h </w:instrText>
      </w:r>
      <w:r>
        <w:fldChar w:fldCharType="separate"/>
      </w:r>
      <w:r>
        <w:t>6</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_Toc52957004 \h </w:instrText>
      </w:r>
      <w:r>
        <w:fldChar w:fldCharType="separate"/>
      </w:r>
      <w:r>
        <w:t>6</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_Toc52957005 \h </w:instrText>
      </w:r>
      <w:r>
        <w:fldChar w:fldCharType="separate"/>
      </w:r>
      <w:r>
        <w:t>6</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_Toc52957006 \h </w:instrText>
      </w:r>
      <w:r>
        <w:fldChar w:fldCharType="separate"/>
      </w:r>
      <w:r>
        <w:t>6</w:t>
      </w:r>
      <w:r>
        <w:fldChar w:fldCharType="end"/>
      </w:r>
    </w:p>
    <w:p>
      <w:pPr>
        <w:pStyle w:val="TOC8"/>
        <w:rPr>
          <w:rFonts w:asciiTheme="minorHAnsi" w:eastAsiaTheme="minorEastAsia" w:hAnsiTheme="minorHAnsi" w:cstheme="minorBidi"/>
          <w:szCs w:val="22"/>
        </w:rPr>
      </w:pPr>
      <w:r>
        <w:t>6G.</w:t>
      </w:r>
      <w:r>
        <w:tab/>
        <w:t>Giving notices under Act s. 57A and s. 57B and r. 25</w:t>
      </w:r>
      <w:r>
        <w:tab/>
      </w:r>
      <w:r>
        <w:fldChar w:fldCharType="begin"/>
      </w:r>
      <w:r>
        <w:instrText xml:space="preserve"> PAGEREF _Toc52957007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Discontinuance or reduction of weekly payments</w:t>
      </w:r>
      <w:r>
        <w:tab/>
      </w:r>
      <w:r>
        <w:fldChar w:fldCharType="begin"/>
      </w:r>
      <w:r>
        <w:instrText xml:space="preserve"> PAGEREF _Toc52957008 \h </w:instrText>
      </w:r>
      <w:r>
        <w:fldChar w:fldCharType="separate"/>
      </w:r>
      <w:r>
        <w:t>7</w:t>
      </w:r>
      <w:r>
        <w:fldChar w:fldCharType="end"/>
      </w:r>
    </w:p>
    <w:p>
      <w:pPr>
        <w:pStyle w:val="TOC8"/>
        <w:rPr>
          <w:rFonts w:asciiTheme="minorHAnsi" w:eastAsiaTheme="minorEastAsia" w:hAnsiTheme="minorHAnsi" w:cstheme="minorBidi"/>
          <w:szCs w:val="22"/>
        </w:rPr>
      </w:pPr>
      <w:r>
        <w:t>7A.</w:t>
      </w:r>
      <w:r>
        <w:tab/>
        <w:t>Form of progress certificate of capacity</w:t>
      </w:r>
      <w:r>
        <w:tab/>
      </w:r>
      <w:r>
        <w:fldChar w:fldCharType="begin"/>
      </w:r>
      <w:r>
        <w:instrText xml:space="preserve"> PAGEREF _Toc52957009 \h </w:instrText>
      </w:r>
      <w:r>
        <w:fldChar w:fldCharType="separate"/>
      </w:r>
      <w:r>
        <w:t>8</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_Toc52957010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_Toc52957011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_Toc52957012 \h </w:instrText>
      </w:r>
      <w:r>
        <w:fldChar w:fldCharType="separate"/>
      </w:r>
      <w:r>
        <w:t>9</w:t>
      </w:r>
      <w:r>
        <w:fldChar w:fldCharType="end"/>
      </w:r>
    </w:p>
    <w:p>
      <w:pPr>
        <w:pStyle w:val="TOC8"/>
        <w:rPr>
          <w:rFonts w:asciiTheme="minorHAnsi" w:eastAsiaTheme="minorEastAsia" w:hAnsiTheme="minorHAnsi" w:cstheme="minorBidi"/>
          <w:szCs w:val="22"/>
        </w:rPr>
      </w:pPr>
      <w:r>
        <w:t>10.</w:t>
      </w:r>
      <w:r>
        <w:tab/>
        <w:t>Worker not residing in State</w:t>
      </w:r>
      <w:r>
        <w:tab/>
      </w:r>
      <w:r>
        <w:fldChar w:fldCharType="begin"/>
      </w:r>
      <w:r>
        <w:instrText xml:space="preserve"> PAGEREF _Toc52957013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_Toc52957014 \h </w:instrText>
      </w:r>
      <w:r>
        <w:fldChar w:fldCharType="separate"/>
      </w:r>
      <w:r>
        <w:t>11</w:t>
      </w:r>
      <w:r>
        <w:fldChar w:fldCharType="end"/>
      </w:r>
    </w:p>
    <w:p>
      <w:pPr>
        <w:pStyle w:val="TOC8"/>
        <w:rPr>
          <w:rFonts w:asciiTheme="minorHAnsi" w:eastAsiaTheme="minorEastAsia" w:hAnsiTheme="minorHAnsi" w:cstheme="minorBidi"/>
          <w:szCs w:val="22"/>
        </w:rPr>
      </w:pPr>
      <w:r>
        <w:t>11A.</w:t>
      </w:r>
      <w:r>
        <w:tab/>
        <w:t>Amount to discharge liability for child’s allowance (Act s. 72J(5))</w:t>
      </w:r>
      <w:r>
        <w:tab/>
      </w:r>
      <w:r>
        <w:fldChar w:fldCharType="begin"/>
      </w:r>
      <w:r>
        <w:instrText xml:space="preserve"> PAGEREF _Toc52957015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_Toc52957016 \h </w:instrText>
      </w:r>
      <w:r>
        <w:fldChar w:fldCharType="separate"/>
      </w:r>
      <w:r>
        <w:t>12</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_Toc52957017 \h </w:instrText>
      </w:r>
      <w:r>
        <w:fldChar w:fldCharType="separate"/>
      </w:r>
      <w:r>
        <w:t>14</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_Toc52957018 \h </w:instrText>
      </w:r>
      <w:r>
        <w:fldChar w:fldCharType="separate"/>
      </w:r>
      <w:r>
        <w:t>14</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_Toc52957019 \h </w:instrText>
      </w:r>
      <w:r>
        <w:fldChar w:fldCharType="separate"/>
      </w:r>
      <w:r>
        <w:t>15</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_Toc52957020 \h </w:instrText>
      </w:r>
      <w:r>
        <w:fldChar w:fldCharType="separate"/>
      </w:r>
      <w:r>
        <w:t>16</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_Toc52957021 \h </w:instrText>
      </w:r>
      <w:r>
        <w:fldChar w:fldCharType="separate"/>
      </w:r>
      <w:r>
        <w:t>16</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_Toc52957022 \h </w:instrText>
      </w:r>
      <w:r>
        <w:fldChar w:fldCharType="separate"/>
      </w:r>
      <w:r>
        <w:t>18</w:t>
      </w:r>
      <w:r>
        <w:fldChar w:fldCharType="end"/>
      </w:r>
    </w:p>
    <w:p>
      <w:pPr>
        <w:pStyle w:val="TOC8"/>
        <w:rPr>
          <w:rFonts w:asciiTheme="minorHAnsi" w:eastAsiaTheme="minorEastAsia" w:hAnsiTheme="minorHAnsi" w:cstheme="minorBidi"/>
          <w:szCs w:val="22"/>
        </w:rPr>
      </w:pPr>
      <w:r>
        <w:t>16A.</w:t>
      </w:r>
      <w:r>
        <w:tab/>
        <w:t>Clause 1C notifications and elections (Act Sch. 1 cl. 1C, Sch. 8 cl. 10)</w:t>
      </w:r>
      <w:r>
        <w:tab/>
      </w:r>
      <w:r>
        <w:fldChar w:fldCharType="begin"/>
      </w:r>
      <w:r>
        <w:instrText xml:space="preserve"> PAGEREF _Toc52957023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_Toc52957024 \h </w:instrText>
      </w:r>
      <w:r>
        <w:fldChar w:fldCharType="separate"/>
      </w:r>
      <w:r>
        <w:t>19</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_Toc52957025 \h </w:instrText>
      </w:r>
      <w:r>
        <w:fldChar w:fldCharType="separate"/>
      </w:r>
      <w:r>
        <w:t>20</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_Toc52957026 \h </w:instrText>
      </w:r>
      <w:r>
        <w:fldChar w:fldCharType="separate"/>
      </w:r>
      <w:r>
        <w:t>20</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_Toc52957027 \h </w:instrText>
      </w:r>
      <w:r>
        <w:fldChar w:fldCharType="separate"/>
      </w:r>
      <w:r>
        <w:t>21</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_Toc52957028 \h </w:instrText>
      </w:r>
      <w:r>
        <w:fldChar w:fldCharType="separate"/>
      </w:r>
      <w:r>
        <w:t>21</w:t>
      </w:r>
      <w:r>
        <w:fldChar w:fldCharType="end"/>
      </w:r>
    </w:p>
    <w:p>
      <w:pPr>
        <w:pStyle w:val="TOC8"/>
        <w:rPr>
          <w:rFonts w:asciiTheme="minorHAnsi" w:eastAsiaTheme="minorEastAsia" w:hAnsiTheme="minorHAnsi" w:cstheme="minorBidi"/>
          <w:szCs w:val="22"/>
        </w:rPr>
      </w:pPr>
      <w:r>
        <w:t>17AE.</w:t>
      </w:r>
      <w:r>
        <w:tab/>
        <w:t>Amount prescribed for funeral expenses (Act Sch. 1 cl. 17(2), Sch. 8 cl. 10(1))</w:t>
      </w:r>
      <w:r>
        <w:tab/>
      </w:r>
      <w:r>
        <w:fldChar w:fldCharType="begin"/>
      </w:r>
      <w:r>
        <w:instrText xml:space="preserve"> PAGEREF _Toc52957029 \h </w:instrText>
      </w:r>
      <w:r>
        <w:fldChar w:fldCharType="separate"/>
      </w:r>
      <w:r>
        <w:t>22</w:t>
      </w:r>
      <w:r>
        <w:fldChar w:fldCharType="end"/>
      </w:r>
    </w:p>
    <w:p>
      <w:pPr>
        <w:pStyle w:val="TOC8"/>
        <w:rPr>
          <w:rFonts w:asciiTheme="minorHAnsi" w:eastAsiaTheme="minorEastAsia" w:hAnsiTheme="minorHAnsi" w:cstheme="minorBidi"/>
          <w:szCs w:val="22"/>
        </w:rPr>
      </w:pPr>
      <w:r>
        <w:t>17AF.</w:t>
      </w:r>
      <w:r>
        <w:tab/>
        <w:t>Amount prescribed for child’s allowance (Act Sch. 1A cl. 5(b))</w:t>
      </w:r>
      <w:r>
        <w:tab/>
      </w:r>
      <w:r>
        <w:fldChar w:fldCharType="begin"/>
      </w:r>
      <w:r>
        <w:instrText xml:space="preserve"> PAGEREF _Toc52957030 \h </w:instrText>
      </w:r>
      <w:r>
        <w:fldChar w:fldCharType="separate"/>
      </w:r>
      <w:r>
        <w:t>23</w:t>
      </w:r>
      <w:r>
        <w:fldChar w:fldCharType="end"/>
      </w:r>
    </w:p>
    <w:p>
      <w:pPr>
        <w:pStyle w:val="TOC8"/>
        <w:rPr>
          <w:rFonts w:asciiTheme="minorHAnsi" w:eastAsiaTheme="minorEastAsia" w:hAnsiTheme="minorHAnsi" w:cstheme="minorBidi"/>
          <w:szCs w:val="22"/>
        </w:rPr>
      </w:pPr>
      <w:r>
        <w:t>17AG.</w:t>
      </w:r>
      <w:r>
        <w:tab/>
        <w:t>Amount prescribed for funeral expenses (Act Sch. 1A cl. 9(2)(b))</w:t>
      </w:r>
      <w:r>
        <w:tab/>
      </w:r>
      <w:r>
        <w:fldChar w:fldCharType="begin"/>
      </w:r>
      <w:r>
        <w:instrText xml:space="preserve"> PAGEREF _Toc52957031 \h </w:instrText>
      </w:r>
      <w:r>
        <w:fldChar w:fldCharType="separate"/>
      </w:r>
      <w:r>
        <w:t>24</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_Toc52957032 \h </w:instrText>
      </w:r>
      <w:r>
        <w:fldChar w:fldCharType="separate"/>
      </w:r>
      <w:r>
        <w:t>25</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_Toc52957033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_Toc52957034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_Toc52957036 \h </w:instrText>
      </w:r>
      <w:r>
        <w:fldChar w:fldCharType="separate"/>
      </w:r>
      <w:r>
        <w:t>27</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_Toc52957037 \h </w:instrText>
      </w:r>
      <w:r>
        <w:fldChar w:fldCharType="separate"/>
      </w:r>
      <w:r>
        <w:t>27</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_Toc52957038 \h </w:instrText>
      </w:r>
      <w:r>
        <w:fldChar w:fldCharType="separate"/>
      </w:r>
      <w:r>
        <w:t>28</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_Toc52957039 \h </w:instrText>
      </w:r>
      <w:r>
        <w:fldChar w:fldCharType="separate"/>
      </w:r>
      <w:r>
        <w:t>28</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_Toc52957040 \h </w:instrText>
      </w:r>
      <w:r>
        <w:fldChar w:fldCharType="separate"/>
      </w:r>
      <w:r>
        <w:t>29</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_Toc52957041 \h </w:instrText>
      </w:r>
      <w:r>
        <w:fldChar w:fldCharType="separate"/>
      </w:r>
      <w:r>
        <w:t>29</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_Toc52957042 \h </w:instrText>
      </w:r>
      <w:r>
        <w:fldChar w:fldCharType="separate"/>
      </w:r>
      <w:r>
        <w:t>30</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_Toc52957043 \h </w:instrText>
      </w:r>
      <w:r>
        <w:fldChar w:fldCharType="separate"/>
      </w:r>
      <w:r>
        <w:t>30</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_Toc52957044 \h </w:instrText>
      </w:r>
      <w:r>
        <w:fldChar w:fldCharType="separate"/>
      </w:r>
      <w:r>
        <w:t>31</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_Toc52957045 \h </w:instrText>
      </w:r>
      <w:r>
        <w:fldChar w:fldCharType="separate"/>
      </w:r>
      <w:r>
        <w:t>31</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_Toc52957046 \h </w:instrText>
      </w:r>
      <w:r>
        <w:fldChar w:fldCharType="separate"/>
      </w:r>
      <w:r>
        <w:t>31</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_Toc52957047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_Toc52957049 \h </w:instrText>
      </w:r>
      <w:r>
        <w:fldChar w:fldCharType="separate"/>
      </w:r>
      <w:r>
        <w:t>33</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_Toc52957050 \h </w:instrText>
      </w:r>
      <w:r>
        <w:fldChar w:fldCharType="separate"/>
      </w:r>
      <w:r>
        <w:t>34</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_Toc52957051 \h </w:instrText>
      </w:r>
      <w:r>
        <w:fldChar w:fldCharType="separate"/>
      </w:r>
      <w:r>
        <w:t>34</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_Toc52957052 \h </w:instrText>
      </w:r>
      <w:r>
        <w:fldChar w:fldCharType="separate"/>
      </w:r>
      <w:r>
        <w:t>35</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_Toc52957053 \h </w:instrText>
      </w:r>
      <w:r>
        <w:fldChar w:fldCharType="separate"/>
      </w:r>
      <w:r>
        <w:t>36</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_Toc52957054 \h </w:instrText>
      </w:r>
      <w:r>
        <w:fldChar w:fldCharType="separate"/>
      </w:r>
      <w:r>
        <w:t>36</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_Toc52957055 \h </w:instrText>
      </w:r>
      <w:r>
        <w:fldChar w:fldCharType="separate"/>
      </w:r>
      <w:r>
        <w:t>37</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_Toc52957056 \h </w:instrText>
      </w:r>
      <w:r>
        <w:fldChar w:fldCharType="separate"/>
      </w:r>
      <w:r>
        <w:t>38</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_Toc52957057 \h </w:instrText>
      </w:r>
      <w:r>
        <w:fldChar w:fldCharType="separate"/>
      </w:r>
      <w:r>
        <w:t>38</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_Toc52957058 \h </w:instrText>
      </w:r>
      <w:r>
        <w:fldChar w:fldCharType="separate"/>
      </w:r>
      <w:r>
        <w:t>39</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_Toc52957059 \h </w:instrText>
      </w:r>
      <w:r>
        <w:fldChar w:fldCharType="separate"/>
      </w:r>
      <w:r>
        <w:t>39</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_Toc52957060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_Toc52957062 \h </w:instrText>
      </w:r>
      <w:r>
        <w:fldChar w:fldCharType="separate"/>
      </w:r>
      <w:r>
        <w:t>41</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_Toc52957063 \h </w:instrText>
      </w:r>
      <w:r>
        <w:fldChar w:fldCharType="separate"/>
      </w:r>
      <w:r>
        <w:t>41</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_Toc52957064 \h </w:instrText>
      </w:r>
      <w:r>
        <w:fldChar w:fldCharType="separate"/>
      </w:r>
      <w:r>
        <w:t>42</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_Toc52957065 \h </w:instrText>
      </w:r>
      <w:r>
        <w:fldChar w:fldCharType="separate"/>
      </w:r>
      <w:r>
        <w:t>46</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_Toc52957066 \h </w:instrText>
      </w:r>
      <w:r>
        <w:fldChar w:fldCharType="separate"/>
      </w:r>
      <w:r>
        <w:t>46</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_Toc52957067 \h </w:instrText>
      </w:r>
      <w:r>
        <w:fldChar w:fldCharType="separate"/>
      </w:r>
      <w:r>
        <w:t>46</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_Toc52957068 \h </w:instrText>
      </w:r>
      <w:r>
        <w:fldChar w:fldCharType="separate"/>
      </w:r>
      <w:r>
        <w:t>47</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_Toc52957069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77"/>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_Toc52957072 \h </w:instrText>
      </w:r>
      <w:r>
        <w:fldChar w:fldCharType="separate"/>
      </w:r>
      <w:r>
        <w:t>50</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_Toc52957073 \h </w:instrText>
      </w:r>
      <w:r>
        <w:fldChar w:fldCharType="separate"/>
      </w:r>
      <w:r>
        <w:t>50</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_Toc52957074 \h </w:instrText>
      </w:r>
      <w:r>
        <w:fldChar w:fldCharType="separate"/>
      </w:r>
      <w:r>
        <w:t>51</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_Toc52957075 \h </w:instrText>
      </w:r>
      <w:r>
        <w:fldChar w:fldCharType="separate"/>
      </w:r>
      <w:r>
        <w:t>52</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_Toc52957076 \h </w:instrText>
      </w:r>
      <w:r>
        <w:fldChar w:fldCharType="separate"/>
      </w:r>
      <w:r>
        <w:t>53</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_Toc52957077 \h </w:instrText>
      </w:r>
      <w:r>
        <w:fldChar w:fldCharType="separate"/>
      </w:r>
      <w:r>
        <w:t>53</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_Toc52957078 \h </w:instrText>
      </w:r>
      <w:r>
        <w:fldChar w:fldCharType="separate"/>
      </w:r>
      <w:r>
        <w:t>54</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_Toc52957079 \h </w:instrText>
      </w:r>
      <w:r>
        <w:fldChar w:fldCharType="separate"/>
      </w:r>
      <w:r>
        <w:t>55</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_Toc52957080 \h </w:instrText>
      </w:r>
      <w:r>
        <w:fldChar w:fldCharType="separate"/>
      </w:r>
      <w:r>
        <w:t>58</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_Toc52957081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_Toc52957083 \h </w:instrText>
      </w:r>
      <w:r>
        <w:fldChar w:fldCharType="separate"/>
      </w:r>
      <w:r>
        <w:t>59</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_Toc52957084 \h </w:instrText>
      </w:r>
      <w:r>
        <w:fldChar w:fldCharType="separate"/>
      </w:r>
      <w:r>
        <w:t>60</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_Toc52957085 \h </w:instrText>
      </w:r>
      <w:r>
        <w:fldChar w:fldCharType="separate"/>
      </w:r>
      <w:r>
        <w:t>61</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_Toc52957086 \h </w:instrText>
      </w:r>
      <w:r>
        <w:fldChar w:fldCharType="separate"/>
      </w:r>
      <w:r>
        <w:t>62</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_Toc52957087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_Toc52957090 \h </w:instrText>
      </w:r>
      <w:r>
        <w:fldChar w:fldCharType="separate"/>
      </w:r>
      <w:r>
        <w:t>63</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_Toc52957091 \h </w:instrText>
      </w:r>
      <w:r>
        <w:fldChar w:fldCharType="separate"/>
      </w:r>
      <w:r>
        <w:t>64</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_Toc52957092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_Toc52957094 \h </w:instrText>
      </w:r>
      <w:r>
        <w:fldChar w:fldCharType="separate"/>
      </w:r>
      <w:r>
        <w:t>64</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_Toc52957095 \h </w:instrText>
      </w:r>
      <w:r>
        <w:fldChar w:fldCharType="separate"/>
      </w:r>
      <w:r>
        <w:t>66</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_Toc52957096 \h </w:instrText>
      </w:r>
      <w:r>
        <w:fldChar w:fldCharType="separate"/>
      </w:r>
      <w:r>
        <w:t>67</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_Toc52957097 \h </w:instrText>
      </w:r>
      <w:r>
        <w:fldChar w:fldCharType="separate"/>
      </w:r>
      <w:r>
        <w:t>68</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_Toc52957098 \h </w:instrText>
      </w:r>
      <w:r>
        <w:fldChar w:fldCharType="separate"/>
      </w:r>
      <w:r>
        <w:t>69</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_Toc52957099 \h </w:instrText>
      </w:r>
      <w:r>
        <w:fldChar w:fldCharType="separate"/>
      </w:r>
      <w:r>
        <w:t>69</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_Toc52957100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_Toc52957102 \h </w:instrText>
      </w:r>
      <w:r>
        <w:fldChar w:fldCharType="separate"/>
      </w:r>
      <w:r>
        <w:t>70</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_Toc52957103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_Toc52957105 \h </w:instrText>
      </w:r>
      <w:r>
        <w:fldChar w:fldCharType="separate"/>
      </w:r>
      <w:r>
        <w:t>71</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_Toc52957106 \h </w:instrText>
      </w:r>
      <w:r>
        <w:fldChar w:fldCharType="separate"/>
      </w:r>
      <w:r>
        <w:t>72</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_Toc52957107 \h </w:instrText>
      </w:r>
      <w:r>
        <w:fldChar w:fldCharType="separate"/>
      </w:r>
      <w:r>
        <w:t>72</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_Toc52957108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_Toc52957110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_Toc52957112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_Toc52957114 \h </w:instrText>
      </w:r>
      <w:r>
        <w:fldChar w:fldCharType="separate"/>
      </w:r>
      <w:r>
        <w:t>75</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_Toc52957115 \h </w:instrText>
      </w:r>
      <w:r>
        <w:fldChar w:fldCharType="separate"/>
      </w:r>
      <w:r>
        <w:t>78</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_Toc52957116 \h </w:instrText>
      </w:r>
      <w:r>
        <w:fldChar w:fldCharType="separate"/>
      </w:r>
      <w:r>
        <w:t>78</w:t>
      </w:r>
      <w:r>
        <w:fldChar w:fldCharType="end"/>
      </w:r>
    </w:p>
    <w:p>
      <w:pPr>
        <w:pStyle w:val="TOC8"/>
        <w:rPr>
          <w:rFonts w:asciiTheme="minorHAnsi" w:eastAsiaTheme="minorEastAsia" w:hAnsiTheme="minorHAnsi" w:cstheme="minorBidi"/>
          <w:szCs w:val="22"/>
        </w:rPr>
      </w:pPr>
      <w:r>
        <w:t>44C.</w:t>
      </w:r>
      <w:r>
        <w:tab/>
        <w:t>Acupuncture</w:t>
      </w:r>
      <w:r>
        <w:tab/>
      </w:r>
      <w:r>
        <w:fldChar w:fldCharType="begin"/>
      </w:r>
      <w:r>
        <w:instrText xml:space="preserve"> PAGEREF _Toc52957117 \h </w:instrText>
      </w:r>
      <w:r>
        <w:fldChar w:fldCharType="separate"/>
      </w:r>
      <w:r>
        <w:t>79</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_Toc52957118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_Toc52957120 \h </w:instrText>
      </w:r>
      <w:r>
        <w:fldChar w:fldCharType="separate"/>
      </w:r>
      <w:r>
        <w:t>81</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_Toc52957121 \h </w:instrText>
      </w:r>
      <w:r>
        <w:fldChar w:fldCharType="separate"/>
      </w:r>
      <w:r>
        <w:t>82</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_Toc52957122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_Toc52957124 \h </w:instrText>
      </w:r>
      <w:r>
        <w:fldChar w:fldCharType="separate"/>
      </w:r>
      <w:r>
        <w:t>84</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_Toc52957125 \h </w:instrText>
      </w:r>
      <w:r>
        <w:fldChar w:fldCharType="separate"/>
      </w:r>
      <w:r>
        <w:t>84</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_Toc52957126 \h </w:instrText>
      </w:r>
      <w:r>
        <w:fldChar w:fldCharType="separate"/>
      </w:r>
      <w:r>
        <w:t>84</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_Toc52957127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8 — Lodging documents</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_Toc52957129 \h </w:instrText>
      </w:r>
      <w:r>
        <w:fldChar w:fldCharType="separate"/>
      </w:r>
      <w:r>
        <w:t>85</w:t>
      </w:r>
      <w:r>
        <w:fldChar w:fldCharType="end"/>
      </w:r>
    </w:p>
    <w:p>
      <w:pPr>
        <w:pStyle w:val="TOC8"/>
        <w:rPr>
          <w:rFonts w:asciiTheme="minorHAnsi" w:eastAsiaTheme="minorEastAsia" w:hAnsiTheme="minorHAnsi" w:cstheme="minorBidi"/>
          <w:szCs w:val="22"/>
        </w:rPr>
      </w:pPr>
      <w:r>
        <w:t>55.</w:t>
      </w:r>
      <w:r>
        <w:tab/>
        <w:t>Completion of documents</w:t>
      </w:r>
      <w:r>
        <w:tab/>
      </w:r>
      <w:r>
        <w:fldChar w:fldCharType="begin"/>
      </w:r>
      <w:r>
        <w:instrText xml:space="preserve"> PAGEREF _Toc52957130 \h </w:instrText>
      </w:r>
      <w:r>
        <w:fldChar w:fldCharType="separate"/>
      </w:r>
      <w:r>
        <w:t>86</w:t>
      </w:r>
      <w:r>
        <w:fldChar w:fldCharType="end"/>
      </w:r>
    </w:p>
    <w:p>
      <w:pPr>
        <w:pStyle w:val="TOC8"/>
        <w:rPr>
          <w:rFonts w:asciiTheme="minorHAnsi" w:eastAsiaTheme="minorEastAsia" w:hAnsiTheme="minorHAnsi" w:cstheme="minorBidi"/>
          <w:szCs w:val="22"/>
        </w:rPr>
      </w:pPr>
      <w:r>
        <w:t>56.</w:t>
      </w:r>
      <w:r>
        <w:tab/>
        <w:t>EDS exempt</w:t>
      </w:r>
      <w:r>
        <w:tab/>
      </w:r>
      <w:r>
        <w:fldChar w:fldCharType="begin"/>
      </w:r>
      <w:r>
        <w:instrText xml:space="preserve"> PAGEREF _Toc52957131 \h </w:instrText>
      </w:r>
      <w:r>
        <w:fldChar w:fldCharType="separate"/>
      </w:r>
      <w:r>
        <w:t>86</w:t>
      </w:r>
      <w:r>
        <w:fldChar w:fldCharType="end"/>
      </w:r>
    </w:p>
    <w:p>
      <w:pPr>
        <w:pStyle w:val="TOC8"/>
        <w:rPr>
          <w:rFonts w:asciiTheme="minorHAnsi" w:eastAsiaTheme="minorEastAsia" w:hAnsiTheme="minorHAnsi" w:cstheme="minorBidi"/>
          <w:szCs w:val="22"/>
        </w:rPr>
      </w:pPr>
      <w:r>
        <w:t>57.</w:t>
      </w:r>
      <w:r>
        <w:tab/>
        <w:t>Lodging documents</w:t>
      </w:r>
      <w:r>
        <w:tab/>
      </w:r>
      <w:r>
        <w:fldChar w:fldCharType="begin"/>
      </w:r>
      <w:r>
        <w:instrText xml:space="preserve"> PAGEREF _Toc52957132 \h </w:instrText>
      </w:r>
      <w:r>
        <w:fldChar w:fldCharType="separate"/>
      </w:r>
      <w:r>
        <w:t>87</w:t>
      </w:r>
      <w:r>
        <w:fldChar w:fldCharType="end"/>
      </w:r>
    </w:p>
    <w:p>
      <w:pPr>
        <w:pStyle w:val="TOC8"/>
        <w:rPr>
          <w:rFonts w:asciiTheme="minorHAnsi" w:eastAsiaTheme="minorEastAsia" w:hAnsiTheme="minorHAnsi" w:cstheme="minorBidi"/>
          <w:szCs w:val="22"/>
        </w:rPr>
      </w:pPr>
      <w:r>
        <w:t>58.</w:t>
      </w:r>
      <w:r>
        <w:tab/>
        <w:t>Lodging by email</w:t>
      </w:r>
      <w:r>
        <w:tab/>
      </w:r>
      <w:r>
        <w:fldChar w:fldCharType="begin"/>
      </w:r>
      <w:r>
        <w:instrText xml:space="preserve"> PAGEREF _Toc52957133 \h </w:instrText>
      </w:r>
      <w:r>
        <w:fldChar w:fldCharType="separate"/>
      </w:r>
      <w:r>
        <w:t>88</w:t>
      </w:r>
      <w:r>
        <w:fldChar w:fldCharType="end"/>
      </w:r>
    </w:p>
    <w:p>
      <w:pPr>
        <w:pStyle w:val="TOC8"/>
        <w:rPr>
          <w:rFonts w:asciiTheme="minorHAnsi" w:eastAsiaTheme="minorEastAsia" w:hAnsiTheme="minorHAnsi" w:cstheme="minorBidi"/>
          <w:szCs w:val="22"/>
        </w:rPr>
      </w:pPr>
      <w:r>
        <w:t>59.</w:t>
      </w:r>
      <w:r>
        <w:tab/>
        <w:t>Day of lodgment</w:t>
      </w:r>
      <w:r>
        <w:tab/>
      </w:r>
      <w:r>
        <w:fldChar w:fldCharType="begin"/>
      </w:r>
      <w:r>
        <w:instrText xml:space="preserve"> PAGEREF _Toc52957134 \h </w:instrText>
      </w:r>
      <w:r>
        <w:fldChar w:fldCharType="separate"/>
      </w:r>
      <w:r>
        <w:t>88</w:t>
      </w:r>
      <w:r>
        <w:fldChar w:fldCharType="end"/>
      </w:r>
    </w:p>
    <w:p>
      <w:pPr>
        <w:pStyle w:val="TOC8"/>
        <w:rPr>
          <w:rFonts w:asciiTheme="minorHAnsi" w:eastAsiaTheme="minorEastAsia" w:hAnsiTheme="minorHAnsi" w:cstheme="minorBidi"/>
          <w:szCs w:val="22"/>
        </w:rPr>
      </w:pPr>
      <w:r>
        <w:t>60.</w:t>
      </w:r>
      <w:r>
        <w:tab/>
        <w:t>Notification by Director</w:t>
      </w:r>
      <w:r>
        <w:tab/>
      </w:r>
      <w:r>
        <w:fldChar w:fldCharType="begin"/>
      </w:r>
      <w:r>
        <w:instrText xml:space="preserve"> PAGEREF _Toc52957135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9 — Variation of certain amounts</w:t>
      </w:r>
    </w:p>
    <w:p>
      <w:pPr>
        <w:pStyle w:val="TOC8"/>
        <w:rPr>
          <w:rFonts w:asciiTheme="minorHAnsi" w:eastAsiaTheme="minorEastAsia" w:hAnsiTheme="minorHAnsi" w:cstheme="minorBidi"/>
          <w:szCs w:val="22"/>
        </w:rPr>
      </w:pPr>
      <w:r>
        <w:t>61.</w:t>
      </w:r>
      <w:r>
        <w:tab/>
        <w:t>Amount C (Act s. 5A(1A))</w:t>
      </w:r>
      <w:r>
        <w:tab/>
      </w:r>
      <w:r>
        <w:fldChar w:fldCharType="begin"/>
      </w:r>
      <w:r>
        <w:instrText xml:space="preserve"> PAGEREF _Toc52957137 \h </w:instrText>
      </w:r>
      <w:r>
        <w:fldChar w:fldCharType="separate"/>
      </w:r>
      <w:r>
        <w:t>90</w:t>
      </w:r>
      <w:r>
        <w:fldChar w:fldCharType="end"/>
      </w:r>
    </w:p>
    <w:p>
      <w:pPr>
        <w:pStyle w:val="TOC8"/>
        <w:rPr>
          <w:rFonts w:asciiTheme="minorHAnsi" w:eastAsiaTheme="minorEastAsia" w:hAnsiTheme="minorHAnsi" w:cstheme="minorBidi"/>
          <w:szCs w:val="22"/>
        </w:rPr>
      </w:pPr>
      <w:r>
        <w:t>62.</w:t>
      </w:r>
      <w:r>
        <w:tab/>
        <w:t>Prescribed amount (Act s. 5A(1A))</w:t>
      </w:r>
      <w:r>
        <w:tab/>
      </w:r>
      <w:r>
        <w:fldChar w:fldCharType="begin"/>
      </w:r>
      <w:r>
        <w:instrText xml:space="preserve"> PAGEREF _Toc52957138 \h </w:instrText>
      </w:r>
      <w:r>
        <w:fldChar w:fldCharType="separate"/>
      </w:r>
      <w:r>
        <w:t>90</w:t>
      </w:r>
      <w:r>
        <w:fldChar w:fldCharType="end"/>
      </w:r>
    </w:p>
    <w:p>
      <w:pPr>
        <w:pStyle w:val="TOC8"/>
        <w:rPr>
          <w:rFonts w:asciiTheme="minorHAnsi" w:eastAsiaTheme="minorEastAsia" w:hAnsiTheme="minorHAnsi" w:cstheme="minorBidi"/>
          <w:szCs w:val="22"/>
        </w:rPr>
      </w:pPr>
      <w:r>
        <w:t>63.</w:t>
      </w:r>
      <w:r>
        <w:tab/>
        <w:t>Board and lodging value (Act Sch. 1 cl. 15)</w:t>
      </w:r>
      <w:r>
        <w:tab/>
      </w:r>
      <w:r>
        <w:fldChar w:fldCharType="begin"/>
      </w:r>
      <w:r>
        <w:instrText xml:space="preserve"> PAGEREF _Toc52957139 \h </w:instrText>
      </w:r>
      <w:r>
        <w:fldChar w:fldCharType="separate"/>
      </w:r>
      <w:r>
        <w:t>90</w:t>
      </w:r>
      <w:r>
        <w:fldChar w:fldCharType="end"/>
      </w:r>
    </w:p>
    <w:p>
      <w:pPr>
        <w:pStyle w:val="TOC8"/>
        <w:rPr>
          <w:rFonts w:asciiTheme="minorHAnsi" w:eastAsiaTheme="minorEastAsia" w:hAnsiTheme="minorHAnsi" w:cstheme="minorBidi"/>
          <w:szCs w:val="22"/>
        </w:rPr>
      </w:pPr>
      <w:r>
        <w:t>64.</w:t>
      </w:r>
      <w:r>
        <w:tab/>
        <w:t>Wheeled chair or similar appliance expenses (Act Sch. 1 cl. 17(4))</w:t>
      </w:r>
      <w:r>
        <w:tab/>
      </w:r>
      <w:r>
        <w:fldChar w:fldCharType="begin"/>
      </w:r>
      <w:r>
        <w:instrText xml:space="preserve"> PAGEREF _Toc52957140 \h </w:instrText>
      </w:r>
      <w:r>
        <w:fldChar w:fldCharType="separate"/>
      </w:r>
      <w:r>
        <w:t>91</w:t>
      </w:r>
      <w:r>
        <w:fldChar w:fldCharType="end"/>
      </w:r>
    </w:p>
    <w:p>
      <w:pPr>
        <w:pStyle w:val="TOC8"/>
        <w:rPr>
          <w:rFonts w:asciiTheme="minorHAnsi" w:eastAsiaTheme="minorEastAsia" w:hAnsiTheme="minorHAnsi" w:cstheme="minorBidi"/>
          <w:szCs w:val="22"/>
        </w:rPr>
      </w:pPr>
      <w:r>
        <w:t>65.</w:t>
      </w:r>
      <w:r>
        <w:tab/>
        <w:t>Meals and lodging cost (Act Sch. 1 cl. 19(1))</w:t>
      </w:r>
      <w:r>
        <w:tab/>
      </w:r>
      <w:r>
        <w:fldChar w:fldCharType="begin"/>
      </w:r>
      <w:r>
        <w:instrText xml:space="preserve"> PAGEREF _Toc52957141 \h </w:instrText>
      </w:r>
      <w:r>
        <w:fldChar w:fldCharType="separate"/>
      </w:r>
      <w:r>
        <w:t>91</w:t>
      </w:r>
      <w:r>
        <w:fldChar w:fldCharType="end"/>
      </w:r>
    </w:p>
    <w:p>
      <w:pPr>
        <w:pStyle w:val="TOC8"/>
        <w:rPr>
          <w:rFonts w:asciiTheme="minorHAnsi" w:eastAsiaTheme="minorEastAsia" w:hAnsiTheme="minorHAnsi" w:cstheme="minorBidi"/>
          <w:szCs w:val="22"/>
        </w:rPr>
      </w:pPr>
      <w:r>
        <w:t>66.</w:t>
      </w:r>
      <w:r>
        <w:tab/>
        <w:t>Rounding</w:t>
      </w:r>
      <w:r>
        <w:tab/>
      </w:r>
      <w:r>
        <w:fldChar w:fldCharType="begin"/>
      </w:r>
      <w:r>
        <w:instrText xml:space="preserve"> PAGEREF _Toc52957142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10 — Prescribed diseases: presumption of work</w:t>
      </w:r>
      <w:r>
        <w:noBreakHyphen/>
        <w:t>related injury</w:t>
      </w:r>
    </w:p>
    <w:p>
      <w:pPr>
        <w:pStyle w:val="TOC8"/>
        <w:rPr>
          <w:rFonts w:asciiTheme="minorHAnsi" w:eastAsiaTheme="minorEastAsia" w:hAnsiTheme="minorHAnsi" w:cstheme="minorBidi"/>
          <w:szCs w:val="22"/>
        </w:rPr>
      </w:pPr>
      <w:r>
        <w:t>67.</w:t>
      </w:r>
      <w:r>
        <w:tab/>
        <w:t>COVID</w:t>
      </w:r>
      <w:r>
        <w:noBreakHyphen/>
        <w:t>19: prescribed disease and prescribed employment (Act s. 49F)</w:t>
      </w:r>
      <w:r>
        <w:tab/>
      </w:r>
      <w:r>
        <w:fldChar w:fldCharType="begin"/>
      </w:r>
      <w:r>
        <w:instrText xml:space="preserve"> PAGEREF _Toc52957144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77"/>
        </w:tabs>
        <w:rPr>
          <w:rFonts w:asciiTheme="minorHAnsi" w:eastAsiaTheme="minorEastAsia" w:hAnsiTheme="minorHAnsi" w:cstheme="minorBidi"/>
          <w:b w:val="0"/>
          <w:sz w:val="22"/>
          <w:szCs w:val="22"/>
        </w:rPr>
      </w:pPr>
      <w:r>
        <w:t>Appendix II</w:t>
      </w:r>
    </w:p>
    <w:p>
      <w:pPr>
        <w:pStyle w:val="TOC2"/>
        <w:tabs>
          <w:tab w:val="right" w:leader="dot" w:pos="7077"/>
        </w:tabs>
        <w:rPr>
          <w:rFonts w:asciiTheme="minorHAnsi" w:eastAsiaTheme="minorEastAsia" w:hAnsiTheme="minorHAnsi" w:cstheme="minorBidi"/>
          <w:b w:val="0"/>
          <w:sz w:val="22"/>
          <w:szCs w:val="22"/>
        </w:rPr>
      </w:pPr>
      <w:r>
        <w:t>Appendix III</w:t>
      </w:r>
    </w:p>
    <w:p>
      <w:pPr>
        <w:pStyle w:val="TOC2"/>
        <w:tabs>
          <w:tab w:val="right" w:leader="dot" w:pos="7077"/>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_Toc52957149 \h </w:instrText>
      </w:r>
      <w:r>
        <w:fldChar w:fldCharType="separate"/>
      </w:r>
      <w:r>
        <w:t>226</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_Toc52957150 \h </w:instrText>
      </w:r>
      <w:r>
        <w:fldChar w:fldCharType="separate"/>
      </w:r>
      <w:r>
        <w:t>226</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_Toc52957151 \h </w:instrText>
      </w:r>
      <w:r>
        <w:fldChar w:fldCharType="separate"/>
      </w:r>
      <w:r>
        <w:t>227</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_Toc52957152 \h </w:instrText>
      </w:r>
      <w:r>
        <w:fldChar w:fldCharType="separate"/>
      </w:r>
      <w:r>
        <w:t>227</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_Toc52957153 \h </w:instrText>
      </w:r>
      <w:r>
        <w:fldChar w:fldCharType="separate"/>
      </w:r>
      <w:r>
        <w:t>228</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_Toc52957154 \h </w:instrText>
      </w:r>
      <w:r>
        <w:fldChar w:fldCharType="separate"/>
      </w:r>
      <w:r>
        <w:t>229</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_Toc52957155 \h </w:instrText>
      </w:r>
      <w:r>
        <w:fldChar w:fldCharType="separate"/>
      </w:r>
      <w:r>
        <w:t>229</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_Toc52957156 \h </w:instrText>
      </w:r>
      <w:r>
        <w:fldChar w:fldCharType="separate"/>
      </w:r>
      <w:r>
        <w:t>230</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_Toc52957157 \h </w:instrText>
      </w:r>
      <w:r>
        <w:fldChar w:fldCharType="separate"/>
      </w:r>
      <w:r>
        <w:t>231</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_Toc52957158 \h </w:instrText>
      </w:r>
      <w:r>
        <w:fldChar w:fldCharType="separate"/>
      </w:r>
      <w:r>
        <w:t>231</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_Toc52957159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_Toc52957162 \h </w:instrText>
      </w:r>
      <w:r>
        <w:fldChar w:fldCharType="separate"/>
      </w:r>
      <w:r>
        <w:t>236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_Toc52957163 \h </w:instrText>
      </w:r>
      <w:r>
        <w:fldChar w:fldCharType="separate"/>
      </w:r>
      <w:r>
        <w:t>242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_Toc52957164 \h </w:instrText>
      </w:r>
      <w:r>
        <w:fldChar w:fldCharType="separate"/>
      </w:r>
      <w:r>
        <w:t>242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3" w:name="_Toc52869202"/>
      <w:bookmarkStart w:id="4" w:name="_Toc52871179"/>
      <w:bookmarkStart w:id="5" w:name="_Toc52956987"/>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rPr>
          <w:snapToGrid w:val="0"/>
        </w:rPr>
      </w:pPr>
      <w:bookmarkStart w:id="6" w:name="_Toc52956988"/>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w:t>
      </w:r>
    </w:p>
    <w:p>
      <w:pPr>
        <w:pStyle w:val="Footnotesection"/>
      </w:pPr>
      <w:r>
        <w:tab/>
        <w:t xml:space="preserve">[Regulation 1 amended: Gazette 8 Mar 1991 p. 1071; 21 Jan 2005 p. 275.] </w:t>
      </w:r>
    </w:p>
    <w:p>
      <w:pPr>
        <w:pStyle w:val="Heading5"/>
        <w:rPr>
          <w:snapToGrid w:val="0"/>
        </w:rPr>
      </w:pPr>
      <w:bookmarkStart w:id="7" w:name="_Toc52956989"/>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w:t>
      </w:r>
      <w:r>
        <w:rPr>
          <w:snapToGrid w:val="0"/>
        </w:rPr>
        <w:t>.</w:t>
      </w:r>
    </w:p>
    <w:p>
      <w:pPr>
        <w:pStyle w:val="Heading5"/>
      </w:pPr>
      <w:bookmarkStart w:id="8" w:name="_Toc52956990"/>
      <w:r>
        <w:rPr>
          <w:rStyle w:val="CharSectno"/>
        </w:rPr>
        <w:t>2AAA</w:t>
      </w:r>
      <w:r>
        <w:t>.</w:t>
      </w:r>
      <w:r>
        <w:tab/>
        <w:t>Terms used</w:t>
      </w:r>
      <w:bookmarkEnd w:id="8"/>
    </w:p>
    <w:p>
      <w:pPr>
        <w:pStyle w:val="Subsection"/>
      </w:pPr>
      <w:r>
        <w:tab/>
      </w:r>
      <w:r>
        <w:tab/>
        <w:t xml:space="preserve">In these regulations — </w:t>
      </w:r>
    </w:p>
    <w:p>
      <w:pPr>
        <w:pStyle w:val="Defstart"/>
      </w:pPr>
      <w:r>
        <w:tab/>
      </w:r>
      <w:r>
        <w:rPr>
          <w:rStyle w:val="CharDefText"/>
        </w:rPr>
        <w:t>CPI</w:t>
      </w:r>
      <w:r>
        <w:t xml:space="preserve"> means the all groups consumer price index for Perth published by the Australian Statistician;</w:t>
      </w:r>
    </w:p>
    <w:p>
      <w:pPr>
        <w:pStyle w:val="Defstart"/>
      </w:pPr>
      <w:r>
        <w:tab/>
      </w:r>
      <w:r>
        <w:rPr>
          <w:rStyle w:val="CharDefText"/>
        </w:rPr>
        <w:t>December WPI</w:t>
      </w:r>
      <w:r>
        <w:t>, for a financial year, means the WPI for the last December quarter before the financial year;</w:t>
      </w:r>
    </w:p>
    <w:p>
      <w:pPr>
        <w:pStyle w:val="Defstart"/>
      </w:pPr>
      <w:r>
        <w:tab/>
      </w:r>
      <w:r>
        <w:rPr>
          <w:rStyle w:val="CharDefText"/>
        </w:rPr>
        <w:t>March CPI</w:t>
      </w:r>
      <w:r>
        <w:t>, for a financial year, means the CPI for the last March quarter before the financial year;</w:t>
      </w:r>
    </w:p>
    <w:p>
      <w:pPr>
        <w:pStyle w:val="Defstart"/>
        <w:keepNext/>
      </w:pPr>
      <w:r>
        <w:tab/>
      </w:r>
      <w:r>
        <w:rPr>
          <w:rStyle w:val="CharDefText"/>
        </w:rPr>
        <w:t>WPI</w:t>
      </w:r>
      <w:r>
        <w:t xml:space="preserve"> means the wage price index for ordinary time hourly rates of pay excluding bonuses (all sectors) (original) for Western Australia published by the Australian Statistician.</w:t>
      </w:r>
    </w:p>
    <w:p>
      <w:pPr>
        <w:pStyle w:val="Footnotesection"/>
        <w:rPr>
          <w:snapToGrid w:val="0"/>
        </w:rPr>
      </w:pPr>
      <w:r>
        <w:tab/>
        <w:t>[Regulation 2AAA inserted: SL 2020/188 r. 4.]</w:t>
      </w:r>
    </w:p>
    <w:p>
      <w:pPr>
        <w:pStyle w:val="Heading5"/>
      </w:pPr>
      <w:bookmarkStart w:id="9" w:name="_Toc52956991"/>
      <w:r>
        <w:rPr>
          <w:rStyle w:val="CharSectno"/>
        </w:rPr>
        <w:t>2AA</w:t>
      </w:r>
      <w:r>
        <w:t>.</w:t>
      </w:r>
      <w:r>
        <w:tab/>
        <w:t>Notes not part of regulations</w:t>
      </w:r>
      <w:bookmarkEnd w:id="9"/>
    </w:p>
    <w:p>
      <w:pPr>
        <w:pStyle w:val="Subsection"/>
      </w:pPr>
      <w:r>
        <w:tab/>
      </w:r>
      <w:r>
        <w:tab/>
        <w:t>Notes in these regulations are provided to assist understanding and do not form part of the regulations.</w:t>
      </w:r>
    </w:p>
    <w:p>
      <w:pPr>
        <w:pStyle w:val="Footnotesection"/>
        <w:rPr>
          <w:snapToGrid w:val="0"/>
        </w:rPr>
      </w:pPr>
      <w:r>
        <w:tab/>
        <w:t>[Regulation 2AA inserted: Gazette 27 Jul 2012 p. 3665.]</w:t>
      </w:r>
    </w:p>
    <w:p>
      <w:pPr>
        <w:pStyle w:val="Heading2"/>
      </w:pPr>
      <w:bookmarkStart w:id="10" w:name="_Toc52869206"/>
      <w:bookmarkStart w:id="11" w:name="_Toc52871184"/>
      <w:bookmarkStart w:id="12" w:name="_Toc52956992"/>
      <w:r>
        <w:rPr>
          <w:rStyle w:val="CharPartNo"/>
        </w:rPr>
        <w:t>Part 2</w:t>
      </w:r>
      <w:r>
        <w:rPr>
          <w:rStyle w:val="CharDivNo"/>
        </w:rPr>
        <w:t> </w:t>
      </w:r>
      <w:r>
        <w:t>—</w:t>
      </w:r>
      <w:r>
        <w:rPr>
          <w:rStyle w:val="CharDivText"/>
        </w:rPr>
        <w:t> </w:t>
      </w:r>
      <w:r>
        <w:rPr>
          <w:rStyle w:val="CharPartText"/>
        </w:rPr>
        <w:t>General</w:t>
      </w:r>
      <w:bookmarkEnd w:id="10"/>
      <w:bookmarkEnd w:id="11"/>
      <w:bookmarkEnd w:id="12"/>
      <w:r>
        <w:rPr>
          <w:rStyle w:val="CharPartText"/>
        </w:rPr>
        <w:t xml:space="preserve"> </w:t>
      </w:r>
    </w:p>
    <w:p>
      <w:pPr>
        <w:pStyle w:val="Footnoteheading"/>
        <w:tabs>
          <w:tab w:val="left" w:pos="851"/>
        </w:tabs>
        <w:rPr>
          <w:snapToGrid w:val="0"/>
        </w:rPr>
      </w:pPr>
      <w:r>
        <w:rPr>
          <w:snapToGrid w:val="0"/>
        </w:rPr>
        <w:tab/>
        <w:t xml:space="preserve">[Heading inserted: Gazette 26 Feb 1991 p. 933.] </w:t>
      </w:r>
    </w:p>
    <w:p>
      <w:pPr>
        <w:pStyle w:val="Heading5"/>
      </w:pPr>
      <w:bookmarkStart w:id="13" w:name="_Toc52956993"/>
      <w:r>
        <w:rPr>
          <w:rStyle w:val="CharSectno"/>
        </w:rPr>
        <w:t>2A</w:t>
      </w:r>
      <w:r>
        <w:t>.</w:t>
      </w:r>
      <w:r>
        <w:tab/>
        <w:t>Indexation of redemption amount</w:t>
      </w:r>
      <w:bookmarkEnd w:id="13"/>
    </w:p>
    <w:p>
      <w:pPr>
        <w:pStyle w:val="Subsection"/>
      </w:pPr>
      <w:r>
        <w:tab/>
        <w:t>(1)</w:t>
      </w:r>
      <w:r>
        <w:tab/>
        <w:t xml:space="preserve">If the minimum award rates that would be relevant to calculating the redemption amount (as defined in Schedule 5 clause 1 of the Act) 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The amount is varied by the percentage by which the December WPI varies from the previous December WPI.</w:t>
      </w:r>
    </w:p>
    <w:p>
      <w:pPr>
        <w:pStyle w:val="Footnotesection"/>
      </w:pPr>
      <w:r>
        <w:tab/>
        <w:t>[Regulation 2A inserted: Gazette 17 Nov 2000 p. 6309</w:t>
      </w:r>
      <w:r>
        <w:noBreakHyphen/>
        <w:t>10; amended: Gazette 28 Oct 2005 p. 4861; 19 Mar 2010 p. 1038; 29 Jun 2018 p. 2443; SL 2020/188 r. 5.]</w:t>
      </w:r>
    </w:p>
    <w:p>
      <w:pPr>
        <w:pStyle w:val="Heading5"/>
      </w:pPr>
      <w:bookmarkStart w:id="14" w:name="_Toc52956994"/>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14"/>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Gazette 28 Sep 2001 p. 5357.]</w:t>
      </w:r>
    </w:p>
    <w:p>
      <w:pPr>
        <w:pStyle w:val="Heading5"/>
      </w:pPr>
      <w:bookmarkStart w:id="15" w:name="_Toc52956995"/>
      <w:r>
        <w:rPr>
          <w:rStyle w:val="CharSectno"/>
        </w:rPr>
        <w:t>3A</w:t>
      </w:r>
      <w:r>
        <w:t>.</w:t>
      </w:r>
      <w:r>
        <w:tab/>
        <w:t xml:space="preserve">Instruments under Commonwealth laws prescribed for definition of </w:t>
      </w:r>
      <w:r>
        <w:rPr>
          <w:i/>
        </w:rPr>
        <w:t>industrial award</w:t>
      </w:r>
      <w:r>
        <w:t xml:space="preserve"> in Act</w:t>
      </w:r>
      <w:bookmarkEnd w:id="15"/>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Gazette 15 Apr 2016 p. 1185.]</w:t>
      </w:r>
    </w:p>
    <w:p>
      <w:pPr>
        <w:pStyle w:val="Heading5"/>
      </w:pPr>
      <w:bookmarkStart w:id="16" w:name="_Toc52956996"/>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16"/>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Gazette 19 Mar 2010 p. 1038</w:t>
      </w:r>
      <w:r>
        <w:noBreakHyphen/>
        <w:t>9.]</w:t>
      </w:r>
    </w:p>
    <w:p>
      <w:pPr>
        <w:pStyle w:val="Heading5"/>
        <w:rPr>
          <w:snapToGrid w:val="0"/>
        </w:rPr>
      </w:pPr>
      <w:bookmarkStart w:id="17" w:name="_Toc52956997"/>
      <w:r>
        <w:rPr>
          <w:rStyle w:val="CharSectno"/>
        </w:rPr>
        <w:t>4</w:t>
      </w:r>
      <w:r>
        <w:rPr>
          <w:snapToGrid w:val="0"/>
        </w:rPr>
        <w:t>.</w:t>
      </w:r>
      <w:r>
        <w:rPr>
          <w:snapToGrid w:val="0"/>
        </w:rPr>
        <w:tab/>
        <w:t>Form of election</w:t>
      </w:r>
      <w:bookmarkEnd w:id="17"/>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Gazette 26 Feb 1991 p. 934; 25 Aug 1995 p. 3885; 28 Oct 2005 p. 4862.] </w:t>
      </w:r>
    </w:p>
    <w:p>
      <w:pPr>
        <w:pStyle w:val="Heading5"/>
        <w:rPr>
          <w:snapToGrid w:val="0"/>
        </w:rPr>
      </w:pPr>
      <w:bookmarkStart w:id="18" w:name="_Toc52956998"/>
      <w:r>
        <w:rPr>
          <w:rStyle w:val="CharSectno"/>
        </w:rPr>
        <w:t>5</w:t>
      </w:r>
      <w:r>
        <w:rPr>
          <w:snapToGrid w:val="0"/>
        </w:rPr>
        <w:t>.</w:t>
      </w:r>
      <w:r>
        <w:rPr>
          <w:snapToGrid w:val="0"/>
        </w:rPr>
        <w:tab/>
        <w:t>Determination form for medical panel</w:t>
      </w:r>
      <w:bookmarkEnd w:id="18"/>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Gazette 15 Oct 1999 p. 4900.]</w:t>
      </w:r>
    </w:p>
    <w:p>
      <w:pPr>
        <w:pStyle w:val="Heading5"/>
        <w:rPr>
          <w:snapToGrid w:val="0"/>
        </w:rPr>
      </w:pPr>
      <w:bookmarkStart w:id="19" w:name="_Toc52956999"/>
      <w:r>
        <w:rPr>
          <w:rStyle w:val="CharSectno"/>
        </w:rPr>
        <w:t>6AA</w:t>
      </w:r>
      <w:r>
        <w:rPr>
          <w:snapToGrid w:val="0"/>
        </w:rPr>
        <w:t>.</w:t>
      </w:r>
      <w:r>
        <w:rPr>
          <w:snapToGrid w:val="0"/>
        </w:rPr>
        <w:tab/>
        <w:t>Form of claim for compensation</w:t>
      </w:r>
      <w:bookmarkEnd w:id="19"/>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 (3)</w:t>
      </w:r>
      <w:r>
        <w:tab/>
        <w:t>deleted]</w:t>
      </w:r>
    </w:p>
    <w:p>
      <w:pPr>
        <w:pStyle w:val="Footnotesection"/>
        <w:ind w:left="890" w:hanging="890"/>
      </w:pPr>
      <w:r>
        <w:tab/>
        <w:t>[Regulation 6AA inserted: Gazette 28 Jun 1991 p. 3291; amended: Gazette 18 Feb 1994 p. 660; 25 Aug 1995 p. 3885; 13 Apr 1999 p. 1531</w:t>
      </w:r>
      <w:r>
        <w:noBreakHyphen/>
        <w:t xml:space="preserve">2; 15 Oct 1999 p. 4900; 28 Oct 2005 p. 4862; 10 Sep 2010 p. 4352; 29 Jun 2018 p. 2443.] </w:t>
      </w:r>
    </w:p>
    <w:p>
      <w:pPr>
        <w:pStyle w:val="Heading5"/>
      </w:pPr>
      <w:bookmarkStart w:id="20" w:name="_Toc52957000"/>
      <w:r>
        <w:rPr>
          <w:rStyle w:val="CharSectno"/>
        </w:rPr>
        <w:t>6AB</w:t>
      </w:r>
      <w:r>
        <w:t>.</w:t>
      </w:r>
      <w:r>
        <w:tab/>
        <w:t>Relevant document (Act s. 180(1)(j))</w:t>
      </w:r>
      <w:bookmarkEnd w:id="20"/>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Gazette 28 Oct 2005 p. 4863.]</w:t>
      </w:r>
    </w:p>
    <w:p>
      <w:pPr>
        <w:pStyle w:val="Heading5"/>
        <w:rPr>
          <w:snapToGrid w:val="0"/>
        </w:rPr>
      </w:pPr>
      <w:bookmarkStart w:id="21" w:name="_Toc52957001"/>
      <w:r>
        <w:rPr>
          <w:rStyle w:val="CharSectno"/>
        </w:rPr>
        <w:t>6A</w:t>
      </w:r>
      <w:r>
        <w:rPr>
          <w:snapToGrid w:val="0"/>
        </w:rPr>
        <w:t>.</w:t>
      </w:r>
      <w:r>
        <w:rPr>
          <w:snapToGrid w:val="0"/>
        </w:rPr>
        <w:tab/>
        <w:t>Form of first certificate of capacity</w:t>
      </w:r>
      <w:bookmarkEnd w:id="21"/>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Gazette 8 Mar 1991 p. 1071; amended: Gazette 13 Apr 1999 p. 1532; 28 Oct 2005 p. 4863; 18 Nov 2011 p. 4820; 25 Mar 2014 p. 821.]</w:t>
      </w:r>
    </w:p>
    <w:p>
      <w:pPr>
        <w:pStyle w:val="Heading5"/>
        <w:rPr>
          <w:snapToGrid w:val="0"/>
        </w:rPr>
      </w:pPr>
      <w:bookmarkStart w:id="22" w:name="_Toc52957002"/>
      <w:r>
        <w:rPr>
          <w:rStyle w:val="CharSectno"/>
        </w:rPr>
        <w:t>6B</w:t>
      </w:r>
      <w:r>
        <w:rPr>
          <w:snapToGrid w:val="0"/>
        </w:rPr>
        <w:t>.</w:t>
      </w:r>
      <w:r>
        <w:rPr>
          <w:snapToGrid w:val="0"/>
        </w:rPr>
        <w:tab/>
        <w:t>Form for insurer accepting liability</w:t>
      </w:r>
      <w:bookmarkEnd w:id="22"/>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Gazette 8 Mar 1991 p. 1071.] </w:t>
      </w:r>
    </w:p>
    <w:p>
      <w:pPr>
        <w:pStyle w:val="Heading5"/>
        <w:rPr>
          <w:snapToGrid w:val="0"/>
        </w:rPr>
      </w:pPr>
      <w:bookmarkStart w:id="23" w:name="_Toc52957003"/>
      <w:r>
        <w:rPr>
          <w:rStyle w:val="CharSectno"/>
        </w:rPr>
        <w:t>6C</w:t>
      </w:r>
      <w:r>
        <w:rPr>
          <w:snapToGrid w:val="0"/>
        </w:rPr>
        <w:t>.</w:t>
      </w:r>
      <w:r>
        <w:rPr>
          <w:snapToGrid w:val="0"/>
        </w:rPr>
        <w:tab/>
        <w:t>Form for insurer disputing liability</w:t>
      </w:r>
      <w:bookmarkEnd w:id="23"/>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Gazette 8 Mar 1991 p. 1071.] </w:t>
      </w:r>
    </w:p>
    <w:p>
      <w:pPr>
        <w:pStyle w:val="Heading5"/>
        <w:rPr>
          <w:snapToGrid w:val="0"/>
        </w:rPr>
      </w:pPr>
      <w:bookmarkStart w:id="24" w:name="_Toc52957004"/>
      <w:r>
        <w:rPr>
          <w:rStyle w:val="CharSectno"/>
        </w:rPr>
        <w:t>6D</w:t>
      </w:r>
      <w:r>
        <w:rPr>
          <w:snapToGrid w:val="0"/>
        </w:rPr>
        <w:t>.</w:t>
      </w:r>
      <w:r>
        <w:rPr>
          <w:snapToGrid w:val="0"/>
        </w:rPr>
        <w:tab/>
        <w:t>Form for insurer undecided on liability</w:t>
      </w:r>
      <w:bookmarkEnd w:id="24"/>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Gazette 8 Mar 1991 p. 1071.] </w:t>
      </w:r>
    </w:p>
    <w:p>
      <w:pPr>
        <w:pStyle w:val="Heading5"/>
        <w:rPr>
          <w:snapToGrid w:val="0"/>
        </w:rPr>
      </w:pPr>
      <w:bookmarkStart w:id="25" w:name="_Toc52957005"/>
      <w:r>
        <w:rPr>
          <w:rStyle w:val="CharSectno"/>
        </w:rPr>
        <w:t>6E</w:t>
      </w:r>
      <w:r>
        <w:rPr>
          <w:snapToGrid w:val="0"/>
        </w:rPr>
        <w:t>.</w:t>
      </w:r>
      <w:r>
        <w:rPr>
          <w:snapToGrid w:val="0"/>
        </w:rPr>
        <w:tab/>
        <w:t>Form for employer disputing liability</w:t>
      </w:r>
      <w:bookmarkEnd w:id="25"/>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Gazette 8 Mar 1991 p. 1071.] </w:t>
      </w:r>
    </w:p>
    <w:p>
      <w:pPr>
        <w:pStyle w:val="Heading5"/>
        <w:rPr>
          <w:snapToGrid w:val="0"/>
        </w:rPr>
      </w:pPr>
      <w:bookmarkStart w:id="26" w:name="_Toc52957006"/>
      <w:r>
        <w:rPr>
          <w:rStyle w:val="CharSectno"/>
        </w:rPr>
        <w:t>6F</w:t>
      </w:r>
      <w:r>
        <w:rPr>
          <w:snapToGrid w:val="0"/>
        </w:rPr>
        <w:t>.</w:t>
      </w:r>
      <w:r>
        <w:rPr>
          <w:snapToGrid w:val="0"/>
        </w:rPr>
        <w:tab/>
        <w:t>Form for employer undecided on liability</w:t>
      </w:r>
      <w:bookmarkEnd w:id="26"/>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Gazette 8 Mar 1991 p. 1071.] </w:t>
      </w:r>
    </w:p>
    <w:p>
      <w:pPr>
        <w:pStyle w:val="Heading5"/>
      </w:pPr>
      <w:bookmarkStart w:id="27" w:name="_Toc52957007"/>
      <w:r>
        <w:rPr>
          <w:rStyle w:val="CharSectno"/>
        </w:rPr>
        <w:t>6G</w:t>
      </w:r>
      <w:r>
        <w:t>.</w:t>
      </w:r>
      <w:r>
        <w:tab/>
        <w:t>Giving notices under Act s. 57A and s. 57B and r. 25</w:t>
      </w:r>
      <w:bookmarkEnd w:id="27"/>
    </w:p>
    <w:p>
      <w:pPr>
        <w:pStyle w:val="Subsection"/>
      </w:pPr>
      <w:r>
        <w:tab/>
        <w:t>(1)</w:t>
      </w:r>
      <w:r>
        <w:tab/>
        <w:t>A notice under section 57A or 57B of the Act or regulation 25 may be given to a worker or an employer by emailing the notice to an email address nominated by the worker or employer (whichever is relevant).</w:t>
      </w:r>
    </w:p>
    <w:p>
      <w:pPr>
        <w:pStyle w:val="Subsection"/>
      </w:pPr>
      <w:r>
        <w:tab/>
        <w:t>(2)</w:t>
      </w:r>
      <w:r>
        <w:tab/>
        <w:t>A worker or employer is taken to have nominated an email address as described in subregulation (1) if the email address is included in the worker’s claim for compensation.</w:t>
      </w:r>
    </w:p>
    <w:p>
      <w:pPr>
        <w:pStyle w:val="Footnotesection"/>
      </w:pPr>
      <w:r>
        <w:tab/>
        <w:t>[Regulation 6G inserted: SL 2020/188 r. 6.]</w:t>
      </w:r>
    </w:p>
    <w:p>
      <w:pPr>
        <w:pStyle w:val="Heading5"/>
        <w:rPr>
          <w:snapToGrid w:val="0"/>
        </w:rPr>
      </w:pPr>
      <w:bookmarkStart w:id="28" w:name="_Toc52957008"/>
      <w:r>
        <w:rPr>
          <w:rStyle w:val="CharSectno"/>
        </w:rPr>
        <w:t>7</w:t>
      </w:r>
      <w:r>
        <w:rPr>
          <w:snapToGrid w:val="0"/>
        </w:rPr>
        <w:t>.</w:t>
      </w:r>
      <w:r>
        <w:rPr>
          <w:snapToGrid w:val="0"/>
        </w:rPr>
        <w:tab/>
      </w:r>
      <w:r>
        <w:t>Discontinuance or reduction of weekly payments</w:t>
      </w:r>
      <w:bookmarkEnd w:id="28"/>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Gazette 29 Oct 1993 p. 5930; 13 Apr 1999 p. 1532; 18 Nov 2011 p. 4820; 25 Mar 2014 p. 821.]</w:t>
      </w:r>
    </w:p>
    <w:p>
      <w:pPr>
        <w:pStyle w:val="Heading5"/>
      </w:pPr>
      <w:bookmarkStart w:id="29" w:name="_Toc52957009"/>
      <w:r>
        <w:rPr>
          <w:rStyle w:val="CharSectno"/>
        </w:rPr>
        <w:t>7A</w:t>
      </w:r>
      <w:r>
        <w:t>.</w:t>
      </w:r>
      <w:r>
        <w:tab/>
        <w:t>Form of progress certificate of capacity</w:t>
      </w:r>
      <w:bookmarkEnd w:id="29"/>
    </w:p>
    <w:p>
      <w:pPr>
        <w:pStyle w:val="Subsection"/>
      </w:pPr>
      <w:r>
        <w:tab/>
      </w:r>
      <w:r>
        <w:tab/>
        <w:t>Form 4A in Appendix 1 is prescribed as a certificate for the purposes of section 61(1) of the Act.</w:t>
      </w:r>
    </w:p>
    <w:p>
      <w:pPr>
        <w:pStyle w:val="Footnotesection"/>
        <w:rPr>
          <w:i w:val="0"/>
        </w:rPr>
      </w:pPr>
      <w:r>
        <w:tab/>
        <w:t>[Regulation 7A inserted: Gazette 25 Mar 2014 p. 821.]</w:t>
      </w:r>
    </w:p>
    <w:p>
      <w:pPr>
        <w:pStyle w:val="Heading5"/>
      </w:pPr>
      <w:bookmarkStart w:id="30" w:name="_Toc52957010"/>
      <w:r>
        <w:rPr>
          <w:rStyle w:val="CharSectno"/>
        </w:rPr>
        <w:t>8</w:t>
      </w:r>
      <w:r>
        <w:t>.</w:t>
      </w:r>
      <w:r>
        <w:tab/>
        <w:t>Frequency and time of medical examinations (Act s. 66)</w:t>
      </w:r>
      <w:bookmarkEnd w:id="30"/>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Gazette 13 Apr 1999 p. 1532</w:t>
      </w:r>
      <w:r>
        <w:noBreakHyphen/>
        <w:t>3; amended: Gazette 28 Oct 2005 p. 4863</w:t>
      </w:r>
      <w:r>
        <w:noBreakHyphen/>
        <w:t>4; 25 Mar 2014 p. 821.]</w:t>
      </w:r>
    </w:p>
    <w:p>
      <w:pPr>
        <w:pStyle w:val="Ednotesection"/>
        <w:ind w:left="890" w:hanging="890"/>
      </w:pPr>
      <w:r>
        <w:t>[</w:t>
      </w:r>
      <w:r>
        <w:rPr>
          <w:b/>
        </w:rPr>
        <w:t>8A.</w:t>
      </w:r>
      <w:r>
        <w:tab/>
        <w:t>Deleted: Gazette 15 Oct 1999 p. 4890.]</w:t>
      </w:r>
    </w:p>
    <w:p>
      <w:pPr>
        <w:pStyle w:val="Heading5"/>
        <w:rPr>
          <w:snapToGrid w:val="0"/>
        </w:rPr>
      </w:pPr>
      <w:bookmarkStart w:id="31" w:name="_Toc52957011"/>
      <w:r>
        <w:rPr>
          <w:rStyle w:val="CharSectno"/>
        </w:rPr>
        <w:t>9</w:t>
      </w:r>
      <w:r>
        <w:rPr>
          <w:snapToGrid w:val="0"/>
        </w:rPr>
        <w:t>.</w:t>
      </w:r>
      <w:r>
        <w:rPr>
          <w:snapToGrid w:val="0"/>
        </w:rPr>
        <w:tab/>
        <w:t>Compound discount table</w:t>
      </w:r>
      <w:bookmarkEnd w:id="31"/>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Gazette 2 Sep 1988 p. 3464; 15 Oct 1999 p. 4890.] </w:t>
      </w:r>
    </w:p>
    <w:p>
      <w:pPr>
        <w:pStyle w:val="Heading5"/>
        <w:rPr>
          <w:snapToGrid w:val="0"/>
        </w:rPr>
      </w:pPr>
      <w:bookmarkStart w:id="32" w:name="_Toc52957012"/>
      <w:r>
        <w:rPr>
          <w:rStyle w:val="CharSectno"/>
        </w:rPr>
        <w:t>9A</w:t>
      </w:r>
      <w:r>
        <w:rPr>
          <w:snapToGrid w:val="0"/>
        </w:rPr>
        <w:t>.</w:t>
      </w:r>
      <w:r>
        <w:rPr>
          <w:snapToGrid w:val="0"/>
        </w:rPr>
        <w:tab/>
        <w:t>Discount formula</w:t>
      </w:r>
      <w:bookmarkEnd w:id="32"/>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fillcolor="window">
                  <v:imagedata r:id="rId22" o:title=""/>
                </v:shape>
                <o:OLEObject Type="Embed" ProgID="Equation.3" ShapeID="_x0000_i1025" DrawAspect="Content" ObjectID="_1663680472" r:id="rId23"/>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7.25pt;height:31.5pt" o:ole="" fillcolor="window">
                  <v:imagedata r:id="rId24" o:title=""/>
                </v:shape>
                <o:OLEObject Type="Embed" ProgID="Equation.3" ShapeID="_x0000_i1026" DrawAspect="Content" ObjectID="_1663680473" r:id="rId25"/>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Gazette 25 Jul 1986 p. 2484; amended: Gazette 2 Sep 1988 p. 3464.] </w:t>
      </w:r>
    </w:p>
    <w:p>
      <w:pPr>
        <w:pStyle w:val="Heading5"/>
      </w:pPr>
      <w:bookmarkStart w:id="33" w:name="_Toc52957013"/>
      <w:r>
        <w:rPr>
          <w:rStyle w:val="CharSectno"/>
        </w:rPr>
        <w:t>10</w:t>
      </w:r>
      <w:r>
        <w:t>.</w:t>
      </w:r>
      <w:r>
        <w:tab/>
        <w:t>Worker not residing in State</w:t>
      </w:r>
      <w:bookmarkEnd w:id="33"/>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Gazette 4 Oct 2016 p. 4242-3.]</w:t>
      </w:r>
    </w:p>
    <w:p>
      <w:pPr>
        <w:pStyle w:val="Ednotesection"/>
      </w:pPr>
      <w:r>
        <w:t>[</w:t>
      </w:r>
      <w:r>
        <w:rPr>
          <w:b/>
        </w:rPr>
        <w:t>10A.</w:t>
      </w:r>
      <w:r>
        <w:tab/>
        <w:t xml:space="preserve">Deleted: Gazette 18 Nov 2011 p. 4821.] </w:t>
      </w:r>
    </w:p>
    <w:p>
      <w:pPr>
        <w:pStyle w:val="Ednotesection"/>
      </w:pPr>
      <w:r>
        <w:t>[</w:t>
      </w:r>
      <w:r>
        <w:rPr>
          <w:b/>
        </w:rPr>
        <w:t>10B.</w:t>
      </w:r>
      <w:r>
        <w:tab/>
        <w:t>Deleted: Gazette 28 Oct 2005 p. 4864.]</w:t>
      </w:r>
    </w:p>
    <w:p>
      <w:pPr>
        <w:pStyle w:val="Heading5"/>
        <w:rPr>
          <w:snapToGrid w:val="0"/>
        </w:rPr>
      </w:pPr>
      <w:bookmarkStart w:id="34" w:name="_Toc52957014"/>
      <w:r>
        <w:rPr>
          <w:rStyle w:val="CharSectno"/>
        </w:rPr>
        <w:t>11</w:t>
      </w:r>
      <w:r>
        <w:rPr>
          <w:snapToGrid w:val="0"/>
        </w:rPr>
        <w:t>.</w:t>
      </w:r>
      <w:r>
        <w:rPr>
          <w:snapToGrid w:val="0"/>
        </w:rPr>
        <w:tab/>
        <w:t>Payments after death outside State</w:t>
      </w:r>
      <w:bookmarkEnd w:id="34"/>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Gazette 18 Feb 1994 p. 661.] </w:t>
      </w:r>
    </w:p>
    <w:p>
      <w:pPr>
        <w:pStyle w:val="Heading5"/>
      </w:pPr>
      <w:bookmarkStart w:id="35" w:name="_Toc52957015"/>
      <w:r>
        <w:rPr>
          <w:rStyle w:val="CharSectno"/>
        </w:rPr>
        <w:t>11A</w:t>
      </w:r>
      <w:r>
        <w:t>.</w:t>
      </w:r>
      <w:r>
        <w:tab/>
        <w:t>Amount to discharge liability for child’s allowance (Act s. 72J(5))</w:t>
      </w:r>
      <w:bookmarkEnd w:id="35"/>
    </w:p>
    <w:p>
      <w:pPr>
        <w:pStyle w:val="Subsection"/>
      </w:pPr>
      <w:r>
        <w:tab/>
        <w:t>(1)</w:t>
      </w:r>
      <w:r>
        <w:tab/>
        <w:t xml:space="preserve">In this regulation — </w:t>
      </w:r>
    </w:p>
    <w:p>
      <w:pPr>
        <w:pStyle w:val="Defstart"/>
      </w:pPr>
      <w:r>
        <w:tab/>
      </w:r>
      <w:r>
        <w:rPr>
          <w:rStyle w:val="CharDefText"/>
        </w:rPr>
        <w:t>relevant year</w:t>
      </w:r>
      <w:r>
        <w:t>, in relation to the payment of an amount to WorkCover WA under section 72J(5) of the Act, means the financial year in which the amount is to be paid.</w:t>
      </w:r>
    </w:p>
    <w:p>
      <w:pPr>
        <w:pStyle w:val="Subsection"/>
      </w:pPr>
      <w:r>
        <w:tab/>
        <w:t>(2)</w:t>
      </w:r>
      <w:r>
        <w:tab/>
        <w:t xml:space="preserve">For the purposes of section 72J(5) of the Act, the amount to be paid to WorkCover WA is to be calculated as follows — </w:t>
      </w:r>
    </w:p>
    <w:p>
      <w:pPr>
        <w:pStyle w:val="Equation"/>
        <w:spacing w:before="120"/>
        <w:ind w:left="896" w:hanging="45"/>
      </w:pPr>
      <m:oMathPara>
        <m:oMathParaPr>
          <m:jc m:val="left"/>
        </m:oMathParaPr>
        <m:oMath>
          <m:r>
            <m:rPr>
              <m:sty m:val="p"/>
            </m:rPr>
            <w:rPr>
              <w:rFonts w:ascii="Cambria Math" w:hAnsi="Cambria Math"/>
            </w:rPr>
            <m:t>C×</m:t>
          </m:r>
          <m:d>
            <m:dPr>
              <m:ctrlPr>
                <w:rPr>
                  <w:rFonts w:ascii="Cambria Math" w:hAnsi="Cambria Math"/>
                </w:rPr>
              </m:ctrlPr>
            </m:dPr>
            <m:e>
              <m:r>
                <m:rPr>
                  <m:sty m:val="p"/>
                </m:rPr>
                <w:rPr>
                  <w:rFonts w:ascii="Cambria Math" w:hAnsi="Cambria Math"/>
                </w:rPr>
                <m:t>1+</m:t>
              </m:r>
              <m:f>
                <m:fPr>
                  <m:ctrlPr>
                    <w:rPr>
                      <w:rFonts w:ascii="Cambria Math" w:hAnsi="Cambria Math"/>
                    </w:rPr>
                  </m:ctrlPr>
                </m:fPr>
                <m:num>
                  <m:r>
                    <m:rPr>
                      <m:sty m:val="p"/>
                    </m:rPr>
                    <w:rPr>
                      <w:rFonts w:ascii="Cambria Math" w:hAnsi="Cambria Math"/>
                    </w:rPr>
                    <m:t>W</m:t>
                  </m:r>
                </m:num>
                <m:den>
                  <m:r>
                    <m:rPr>
                      <m:sty m:val="p"/>
                    </m:rPr>
                    <w:rPr>
                      <w:rFonts w:ascii="Cambria Math" w:hAnsi="Cambria Math"/>
                    </w:rPr>
                    <m:t>2</m:t>
                  </m:r>
                </m:den>
              </m:f>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sSup>
                <m:sSupPr>
                  <m:ctrlPr>
                    <w:rPr>
                      <w:rFonts w:ascii="Cambria Math" w:hAnsi="Cambria Math"/>
                    </w:rPr>
                  </m:ctrlPr>
                </m:sSupPr>
                <m:e>
                  <m:r>
                    <m:rPr>
                      <m:sty m:val="p"/>
                    </m:rPr>
                    <w:rPr>
                      <w:rFonts w:ascii="Cambria Math" w:hAnsi="Cambria Math"/>
                    </w:rPr>
                    <m:t>0.999962</m:t>
                  </m:r>
                </m:e>
                <m:sup>
                  <m:r>
                    <m:rPr>
                      <m:sty m:val="p"/>
                    </m:rPr>
                    <w:rPr>
                      <w:rFonts w:ascii="Cambria Math" w:hAnsi="Cambria Math"/>
                    </w:rPr>
                    <m:t>-N</m:t>
                  </m:r>
                </m:sup>
              </m:sSup>
            </m:num>
            <m:den>
              <m:r>
                <m:rPr>
                  <m:sty m:val="p"/>
                </m:rPr>
                <w:rPr>
                  <w:rFonts w:ascii="Cambria Math" w:hAnsi="Cambria Math"/>
                </w:rPr>
                <m:t>-0.000038</m:t>
              </m:r>
            </m:den>
          </m:f>
          <m:r>
            <m:rPr>
              <m:sty m:val="p"/>
            </m:rPr>
            <w:rPr>
              <w:rFonts w:ascii="Cambria Math" w:hAnsi="Cambria Math"/>
            </w:rPr>
            <m:t xml:space="preserve"> </m:t>
          </m:r>
        </m:oMath>
      </m:oMathPara>
    </w:p>
    <w:p>
      <w:pPr>
        <w:pStyle w:val="Subsection"/>
      </w:pPr>
      <w:r>
        <w:tab/>
      </w:r>
      <w:r>
        <w:tab/>
        <w:t xml:space="preserve">where — </w:t>
      </w:r>
    </w:p>
    <w:p>
      <w:pPr>
        <w:pStyle w:val="Subsection"/>
        <w:tabs>
          <w:tab w:val="left" w:pos="1418"/>
        </w:tabs>
        <w:ind w:left="1418" w:hanging="1418"/>
      </w:pPr>
      <w:r>
        <w:tab/>
      </w:r>
      <w:r>
        <w:tab/>
        <w:t>C</w:t>
      </w:r>
      <w:r>
        <w:tab/>
        <w:t>is the child’s allowance (as defined in Schedule 1A clause 5 of the Act);</w:t>
      </w:r>
    </w:p>
    <w:p>
      <w:pPr>
        <w:pStyle w:val="Subsection"/>
        <w:tabs>
          <w:tab w:val="left" w:pos="1418"/>
        </w:tabs>
        <w:ind w:left="1418" w:hanging="1418"/>
      </w:pPr>
      <w:r>
        <w:tab/>
      </w:r>
      <w:r>
        <w:tab/>
        <w:t>W</w:t>
      </w:r>
      <w:r>
        <w:tab/>
        <w:t>is the percentage by which WPI varied between the second-last December quarter before the relevant year commenced and the last December quarter before the relevant year commenced;</w:t>
      </w:r>
    </w:p>
    <w:p>
      <w:pPr>
        <w:pStyle w:val="Subsection"/>
        <w:tabs>
          <w:tab w:val="left" w:pos="1418"/>
        </w:tabs>
        <w:ind w:left="1418" w:hanging="1418"/>
      </w:pPr>
      <w:r>
        <w:tab/>
      </w:r>
      <w:r>
        <w:tab/>
        <w:t>N</w:t>
      </w:r>
      <w:r>
        <w:tab/>
        <w:t>is the number of weeks until the child attains the age of 21 years.</w:t>
      </w:r>
    </w:p>
    <w:p>
      <w:pPr>
        <w:pStyle w:val="Footnotesection"/>
      </w:pPr>
      <w:r>
        <w:rPr>
          <w:snapToGrid w:val="0"/>
        </w:rPr>
        <w:tab/>
        <w:t>[</w:t>
      </w:r>
      <w:r>
        <w:t>Regulation 11A i</w:t>
      </w:r>
      <w:r>
        <w:rPr>
          <w:snapToGrid w:val="0"/>
        </w:rPr>
        <w:t xml:space="preserve">nserted: </w:t>
      </w:r>
      <w:r>
        <w:t>Gazette 29 Jun 2018 p. 2443</w:t>
      </w:r>
      <w:r>
        <w:noBreakHyphen/>
        <w:t>4; amended: SL 2020/188 r. 7</w:t>
      </w:r>
      <w:r>
        <w:rPr>
          <w:snapToGrid w:val="0"/>
        </w:rPr>
        <w:t>.]</w:t>
      </w:r>
    </w:p>
    <w:p>
      <w:pPr>
        <w:pStyle w:val="Heading5"/>
        <w:rPr>
          <w:snapToGrid w:val="0"/>
        </w:rPr>
      </w:pPr>
      <w:bookmarkStart w:id="36" w:name="_Toc52957016"/>
      <w:r>
        <w:rPr>
          <w:rStyle w:val="CharSectno"/>
        </w:rPr>
        <w:t>12</w:t>
      </w:r>
      <w:r>
        <w:rPr>
          <w:snapToGrid w:val="0"/>
        </w:rPr>
        <w:t>.</w:t>
      </w:r>
      <w:r>
        <w:rPr>
          <w:snapToGrid w:val="0"/>
        </w:rPr>
        <w:tab/>
        <w:t>Agreements</w:t>
      </w:r>
      <w:bookmarkEnd w:id="36"/>
      <w:r>
        <w:rPr>
          <w:snapToGrid w:val="0"/>
        </w:rPr>
        <w:t xml:space="preserve"> </w:t>
      </w:r>
    </w:p>
    <w:p>
      <w:pPr>
        <w:pStyle w:val="Subsection"/>
      </w:pPr>
      <w:r>
        <w:tab/>
        <w:t>(1AA)</w:t>
      </w:r>
      <w:r>
        <w:tab/>
        <w:t xml:space="preserve">In this regulation — </w:t>
      </w:r>
    </w:p>
    <w:p>
      <w:pPr>
        <w:pStyle w:val="Defstart"/>
      </w:pPr>
      <w:r>
        <w:tab/>
      </w:r>
      <w:r>
        <w:rPr>
          <w:rStyle w:val="CharDefText"/>
        </w:rPr>
        <w:t>lodge</w:t>
      </w:r>
      <w:r>
        <w:t xml:space="preserve"> means to lodge in accordance with regulation 57.</w:t>
      </w:r>
    </w:p>
    <w:p>
      <w:pPr>
        <w:pStyle w:val="Subsection"/>
      </w:pPr>
      <w:r>
        <w:tab/>
        <w:t>(1)</w:t>
      </w:r>
      <w:r>
        <w:tab/>
        <w:t>A memorandum of an agreement referred to in section 76 of the Act is sent to the Director in accordance with that section by lodging it as soon as practicable after the agreement has been entered into.</w:t>
      </w:r>
    </w:p>
    <w:p>
      <w:pPr>
        <w:pStyle w:val="Subsection"/>
        <w:keepNext/>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pPr>
      <w:r>
        <w:tab/>
        <w:t>(3)</w:t>
      </w:r>
      <w:r>
        <w:tab/>
        <w:t xml:space="preserve">The memorandum is to be signed by or on behalf of each party to the agreement. </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lodge a notice in the form of Form 15E in Appendix I.</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lodge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Gazette 18 Feb 1994 p. 661; amended: Gazette 15 Oct 1999 p. 4906</w:t>
      </w:r>
      <w:r>
        <w:noBreakHyphen/>
        <w:t>7; 28 Oct 2005 p. 4864</w:t>
      </w:r>
      <w:r>
        <w:noBreakHyphen/>
        <w:t xml:space="preserve">5; 18 Nov 2011 p. 4821; SL 2020/149 r. 4.] </w:t>
      </w:r>
    </w:p>
    <w:p>
      <w:pPr>
        <w:pStyle w:val="Heading5"/>
      </w:pPr>
      <w:bookmarkStart w:id="37" w:name="_Toc52957017"/>
      <w:r>
        <w:rPr>
          <w:rStyle w:val="CharSectno"/>
        </w:rPr>
        <w:t>12AA</w:t>
      </w:r>
      <w:r>
        <w:t>.</w:t>
      </w:r>
      <w:r>
        <w:tab/>
        <w:t>Notice of intention to dismiss worker (Act s. 84AB)</w:t>
      </w:r>
      <w:bookmarkEnd w:id="37"/>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Gazette 28 Oct 2005 p. 4865.]</w:t>
      </w:r>
    </w:p>
    <w:p>
      <w:pPr>
        <w:pStyle w:val="Ednotesection"/>
      </w:pPr>
      <w:r>
        <w:t>[</w:t>
      </w:r>
      <w:r>
        <w:rPr>
          <w:b/>
        </w:rPr>
        <w:t>12AB.</w:t>
      </w:r>
      <w:r>
        <w:tab/>
        <w:t>Deleted: Gazette 28 Oct 2005 p. 4865.]</w:t>
      </w:r>
    </w:p>
    <w:p>
      <w:pPr>
        <w:pStyle w:val="Heading5"/>
        <w:rPr>
          <w:snapToGrid w:val="0"/>
        </w:rPr>
      </w:pPr>
      <w:bookmarkStart w:id="38" w:name="_Toc52957018"/>
      <w:r>
        <w:rPr>
          <w:rStyle w:val="CharSectno"/>
        </w:rPr>
        <w:t>12A</w:t>
      </w:r>
      <w:r>
        <w:rPr>
          <w:snapToGrid w:val="0"/>
        </w:rPr>
        <w:t>.</w:t>
      </w:r>
      <w:r>
        <w:rPr>
          <w:snapToGrid w:val="0"/>
        </w:rPr>
        <w:tab/>
        <w:t>Contributions to General Account</w:t>
      </w:r>
      <w:bookmarkEnd w:id="38"/>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keepNext/>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Gazette 22 May 1987 p. 2193; amended: Gazette 2 Sep 1988 p. 3464; 22 Sep 1989 p. 3490</w:t>
      </w:r>
      <w:r>
        <w:noBreakHyphen/>
        <w:t xml:space="preserve">1; 6 Dec 1991 p. 6119; 16 Sep 2003 p. 4103; 28 Oct 2005 p. 4866.] </w:t>
      </w:r>
    </w:p>
    <w:p>
      <w:pPr>
        <w:pStyle w:val="Heading5"/>
      </w:pPr>
      <w:bookmarkStart w:id="39" w:name="_Toc52957019"/>
      <w:r>
        <w:rPr>
          <w:rStyle w:val="CharSectno"/>
        </w:rPr>
        <w:t>13</w:t>
      </w:r>
      <w:r>
        <w:t>.</w:t>
      </w:r>
      <w:r>
        <w:tab/>
        <w:t>Ascertaining amount for reimbursement (Act s. 154AC(1))</w:t>
      </w:r>
      <w:bookmarkEnd w:id="39"/>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Gazette 26 Oct 2004 p. 4898</w:t>
      </w:r>
      <w:r>
        <w:noBreakHyphen/>
        <w:t>9; amended: Gazette 21 Jan 2005 p. 276.]</w:t>
      </w:r>
    </w:p>
    <w:p>
      <w:pPr>
        <w:pStyle w:val="Heading5"/>
      </w:pPr>
      <w:bookmarkStart w:id="40" w:name="_Toc52957020"/>
      <w:r>
        <w:rPr>
          <w:rStyle w:val="CharSectno"/>
        </w:rPr>
        <w:t>13A</w:t>
      </w:r>
      <w:r>
        <w:t>.</w:t>
      </w:r>
      <w:r>
        <w:tab/>
        <w:t>Prescribed rate of interest (Act s. 222(2), 223(2) and 224(2))</w:t>
      </w:r>
      <w:bookmarkEnd w:id="40"/>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Gazette 28 Oct 2005 p. 4866.]</w:t>
      </w:r>
    </w:p>
    <w:p>
      <w:pPr>
        <w:pStyle w:val="Heading5"/>
        <w:keepNext w:val="0"/>
        <w:keepLines w:val="0"/>
      </w:pPr>
      <w:bookmarkStart w:id="41" w:name="_Toc52957021"/>
      <w:r>
        <w:rPr>
          <w:rStyle w:val="CharSectno"/>
        </w:rPr>
        <w:t>14</w:t>
      </w:r>
      <w:r>
        <w:t>.</w:t>
      </w:r>
      <w:r>
        <w:tab/>
        <w:t>Insurance requirement (Act s. 160(1))</w:t>
      </w:r>
      <w:bookmarkEnd w:id="41"/>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keepNext/>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a claim brought in respect of an injury occurring outside Australia; or</w:t>
      </w:r>
    </w:p>
    <w:p>
      <w:pPr>
        <w:pStyle w:val="Indenta"/>
      </w:pPr>
      <w:r>
        <w:tab/>
        <w:t>(b)</w:t>
      </w:r>
      <w:r>
        <w:tab/>
        <w:t>a claim brought outside Australia.</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Gazette 27 Jul 2012 p. 3665</w:t>
      </w:r>
      <w:r>
        <w:noBreakHyphen/>
        <w:t>6.]</w:t>
      </w:r>
    </w:p>
    <w:p>
      <w:pPr>
        <w:pStyle w:val="Heading5"/>
      </w:pPr>
      <w:bookmarkStart w:id="42" w:name="_Toc52957022"/>
      <w:r>
        <w:rPr>
          <w:rStyle w:val="CharSectno"/>
        </w:rPr>
        <w:t>15</w:t>
      </w:r>
      <w:r>
        <w:t>.</w:t>
      </w:r>
      <w:r>
        <w:tab/>
        <w:t>Statements by approved insurance offices</w:t>
      </w:r>
      <w:bookmarkEnd w:id="42"/>
    </w:p>
    <w:p>
      <w:pPr>
        <w:pStyle w:val="Subsection"/>
        <w:keepNext/>
      </w:pPr>
      <w:r>
        <w:tab/>
      </w:r>
      <w:r>
        <w:tab/>
        <w:t>The statements required to be transmitted to WorkCover WA under section 171 of the Act shall be in the form of Forms 16 and 17 in Appendix 1.</w:t>
      </w:r>
    </w:p>
    <w:p>
      <w:pPr>
        <w:pStyle w:val="Footnotesection"/>
        <w:keepNext/>
      </w:pPr>
      <w:r>
        <w:tab/>
        <w:t xml:space="preserve">[Regulation 15 inserted: Gazette 8 Mar 2002 p. 949; amended: Gazette 16 Sep 2003 p. 4104; 21 Jan 2005 p. 276.] </w:t>
      </w:r>
    </w:p>
    <w:p>
      <w:pPr>
        <w:pStyle w:val="Ednotesection"/>
      </w:pPr>
      <w:r>
        <w:t>[</w:t>
      </w:r>
      <w:r>
        <w:rPr>
          <w:b/>
        </w:rPr>
        <w:t>16.</w:t>
      </w:r>
      <w:r>
        <w:tab/>
        <w:t>Deleted: Gazette 28 Oct 2005 p. 4866.]</w:t>
      </w:r>
    </w:p>
    <w:p>
      <w:pPr>
        <w:pStyle w:val="Heading5"/>
      </w:pPr>
      <w:bookmarkStart w:id="43" w:name="_Toc52957023"/>
      <w:r>
        <w:rPr>
          <w:rStyle w:val="CharSectno"/>
        </w:rPr>
        <w:t>16A</w:t>
      </w:r>
      <w:r>
        <w:t>.</w:t>
      </w:r>
      <w:r>
        <w:tab/>
        <w:t>Clause 1C notifications and elections (Act Sch. 1 cl. 1C, Sch. 8 cl. 10)</w:t>
      </w:r>
      <w:bookmarkEnd w:id="43"/>
    </w:p>
    <w:p>
      <w:pPr>
        <w:pStyle w:val="Subsection"/>
      </w:pPr>
      <w:r>
        <w:tab/>
        <w:t>(1A)</w:t>
      </w:r>
      <w:r>
        <w:tab/>
        <w:t>This regulation applies only if the injury of a worker occurred and the worker died before 1 July 2018.</w:t>
      </w:r>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keepLines/>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Gazette 28 Oct 2005 p. 4867</w:t>
      </w:r>
      <w:r>
        <w:noBreakHyphen/>
        <w:t>8; amended: Gazette 29 Jun 2018 p. 2444.]</w:t>
      </w:r>
    </w:p>
    <w:p>
      <w:pPr>
        <w:pStyle w:val="Heading5"/>
      </w:pPr>
      <w:bookmarkStart w:id="44" w:name="_Toc52957024"/>
      <w:r>
        <w:rPr>
          <w:rStyle w:val="CharSectno"/>
        </w:rPr>
        <w:t>17</w:t>
      </w:r>
      <w:r>
        <w:t>.</w:t>
      </w:r>
      <w:r>
        <w:tab/>
        <w:t>Prescribed allowance (Act Sch. 1 cl. 11(2))</w:t>
      </w:r>
      <w:bookmarkEnd w:id="44"/>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pPr>
      <w:r>
        <w:tab/>
        <w:t>[Regulation 17 inserted: Gazette 21 Jan 2005 p. 275; amended: Gazette 28 Oct 2005 p. 4868.]</w:t>
      </w:r>
    </w:p>
    <w:p>
      <w:pPr>
        <w:pStyle w:val="Ednotesection"/>
        <w:keepNext/>
      </w:pPr>
      <w:r>
        <w:t>[</w:t>
      </w:r>
      <w:r>
        <w:rPr>
          <w:b/>
        </w:rPr>
        <w:t>17AAA.</w:t>
      </w:r>
      <w:r>
        <w:tab/>
        <w:t xml:space="preserve"> Deleted: SL 2020/188 r. 8.]</w:t>
      </w:r>
    </w:p>
    <w:p>
      <w:pPr>
        <w:pStyle w:val="Heading5"/>
      </w:pPr>
      <w:bookmarkStart w:id="45" w:name="_Toc52957025"/>
      <w:r>
        <w:rPr>
          <w:rStyle w:val="CharSectno"/>
        </w:rPr>
        <w:t>17AA</w:t>
      </w:r>
      <w:r>
        <w:t>.</w:t>
      </w:r>
      <w:r>
        <w:tab/>
        <w:t>Prescribed rate for vehicle running expenses (Act Sch. 1 cl. 19(1))</w:t>
      </w:r>
      <w:bookmarkEnd w:id="45"/>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Ednotesubsection"/>
      </w:pPr>
      <w:r>
        <w:tab/>
        <w:t>[(2)</w:t>
      </w:r>
      <w:r>
        <w:tab/>
        <w:t>deleted]</w:t>
      </w:r>
    </w:p>
    <w:p>
      <w:pPr>
        <w:pStyle w:val="Footnotesection"/>
      </w:pPr>
      <w:r>
        <w:tab/>
        <w:t>[Regulation 17AA inserted: Gazette 29 Oct 2004 p. 4939</w:t>
      </w:r>
      <w:r>
        <w:noBreakHyphen/>
        <w:t>40; amended: Gazette 28 Oct 2005 p. 4868; SL 2020/188 r. 9.]</w:t>
      </w:r>
    </w:p>
    <w:p>
      <w:pPr>
        <w:pStyle w:val="Heading5"/>
      </w:pPr>
      <w:bookmarkStart w:id="46" w:name="_Toc52957026"/>
      <w:r>
        <w:rPr>
          <w:rStyle w:val="CharSectno"/>
        </w:rPr>
        <w:t>17AB</w:t>
      </w:r>
      <w:r>
        <w:t>.</w:t>
      </w:r>
      <w:r>
        <w:tab/>
        <w:t>Exceptional circumstances (Act Sch. 1 cl. 18A(2aa)(c)(ii))</w:t>
      </w:r>
      <w:bookmarkEnd w:id="46"/>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keepNext/>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Gazette 28 Oct 2005 p. 4868</w:t>
      </w:r>
      <w:r>
        <w:noBreakHyphen/>
        <w:t>9; amended: Gazette 18 Nov 2011 p. 4821; SL 2020/149 r. 5.]</w:t>
      </w:r>
    </w:p>
    <w:p>
      <w:pPr>
        <w:pStyle w:val="Heading5"/>
        <w:spacing w:before="180"/>
      </w:pPr>
      <w:bookmarkStart w:id="47" w:name="_Toc52957027"/>
      <w:r>
        <w:rPr>
          <w:rStyle w:val="CharSectno"/>
        </w:rPr>
        <w:t>17AC</w:t>
      </w:r>
      <w:r>
        <w:t>.</w:t>
      </w:r>
      <w:r>
        <w:tab/>
        <w:t>Management plan (Act Sch. 1 cl. 18A(2ac))</w:t>
      </w:r>
      <w:bookmarkEnd w:id="47"/>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Gazette 28 Oct 2005 p. 4870.]</w:t>
      </w:r>
    </w:p>
    <w:p>
      <w:pPr>
        <w:pStyle w:val="Heading5"/>
        <w:spacing w:before="180"/>
      </w:pPr>
      <w:bookmarkStart w:id="48" w:name="_Toc52957028"/>
      <w:r>
        <w:rPr>
          <w:rStyle w:val="CharSectno"/>
        </w:rPr>
        <w:t>17AD</w:t>
      </w:r>
      <w:r>
        <w:t>.</w:t>
      </w:r>
      <w:r>
        <w:tab/>
        <w:t>Extending final day</w:t>
      </w:r>
      <w:bookmarkEnd w:id="48"/>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Gazette 28 Oct 2005 p. 4870</w:t>
      </w:r>
      <w:r>
        <w:noBreakHyphen/>
        <w:t>1.]</w:t>
      </w:r>
    </w:p>
    <w:p>
      <w:pPr>
        <w:pStyle w:val="Heading5"/>
      </w:pPr>
      <w:bookmarkStart w:id="49" w:name="_Toc52957029"/>
      <w:r>
        <w:rPr>
          <w:rStyle w:val="CharSectno"/>
        </w:rPr>
        <w:t>17AE</w:t>
      </w:r>
      <w:r>
        <w:t>.</w:t>
      </w:r>
      <w:r>
        <w:tab/>
        <w:t>Amount prescribed for funeral expenses (Act Sch. 1 cl. 17(2), Sch. 8 cl. 10(1))</w:t>
      </w:r>
      <w:bookmarkEnd w:id="49"/>
    </w:p>
    <w:p>
      <w:pPr>
        <w:pStyle w:val="Subsection"/>
      </w:pPr>
      <w:r>
        <w:tab/>
        <w:t>(1A)</w:t>
      </w:r>
      <w:r>
        <w:tab/>
        <w:t>This regulation applies only if the injury of a worker occurred and the worker died before 1 July 2018.</w:t>
      </w:r>
    </w:p>
    <w:p>
      <w:pPr>
        <w:pStyle w:val="Subsection"/>
        <w:keepNext/>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Ednotesubsection"/>
      </w:pPr>
      <w:r>
        <w:tab/>
        <w:t>[(2)</w:t>
      </w:r>
      <w:r>
        <w:tab/>
        <w:t>deleted]</w:t>
      </w:r>
    </w:p>
    <w:p>
      <w:pPr>
        <w:pStyle w:val="Footnotesection"/>
      </w:pPr>
      <w:r>
        <w:tab/>
        <w:t>[Regulation 17AE inserted: Gazette 4 Aug 2006 p. 2855</w:t>
      </w:r>
      <w:r>
        <w:noBreakHyphen/>
        <w:t>6; amended: Gazette 29 Jun 2018 p. 2444; SL 2020/188 r. 10.]</w:t>
      </w:r>
    </w:p>
    <w:p>
      <w:pPr>
        <w:pStyle w:val="Heading5"/>
      </w:pPr>
      <w:bookmarkStart w:id="50" w:name="_Toc52957030"/>
      <w:r>
        <w:rPr>
          <w:rStyle w:val="CharSectno"/>
        </w:rPr>
        <w:t>17AF</w:t>
      </w:r>
      <w:r>
        <w:t>.</w:t>
      </w:r>
      <w:r>
        <w:tab/>
        <w:t>Amount prescribed for child’s allowance (Act Sch. 1A cl. 5(b))</w:t>
      </w:r>
      <w:bookmarkEnd w:id="50"/>
    </w:p>
    <w:p>
      <w:pPr>
        <w:pStyle w:val="Ednotesubsection"/>
      </w:pPr>
      <w:r>
        <w:tab/>
        <w:t>[(1)</w:t>
      </w:r>
      <w:r>
        <w:tab/>
        <w:t>deleted]</w:t>
      </w:r>
    </w:p>
    <w:p>
      <w:pPr>
        <w:pStyle w:val="Subsection"/>
      </w:pPr>
      <w:r>
        <w:tab/>
        <w:t>(2)</w:t>
      </w:r>
      <w:r>
        <w:tab/>
        <w:t xml:space="preserve">For the purposes of Schedule 1A clause 5(b) of the Act, the child’s allowance is — </w:t>
      </w:r>
    </w:p>
    <w:p>
      <w:pPr>
        <w:pStyle w:val="Indenta"/>
      </w:pPr>
      <w:r>
        <w:tab/>
        <w:t>(a)</w:t>
      </w:r>
      <w:r>
        <w:tab/>
        <w:t>for the financial year commencing on 1 July 2018, the amount of $135 per week; and</w:t>
      </w:r>
    </w:p>
    <w:p>
      <w:pPr>
        <w:pStyle w:val="Indenta"/>
      </w:pPr>
      <w:r>
        <w:tab/>
        <w:t>(b)</w:t>
      </w:r>
      <w:r>
        <w:tab/>
        <w:t xml:space="preserve">for a financial year commencing on or after 1 July 2019 (the </w:t>
      </w:r>
      <w:r>
        <w:rPr>
          <w:b/>
          <w:i/>
        </w:rPr>
        <w:t>relevant year</w:t>
      </w:r>
      <w:r>
        <w:t xml:space="preserve">), the amount per week determined by — </w:t>
      </w:r>
    </w:p>
    <w:p>
      <w:pPr>
        <w:pStyle w:val="Indenti"/>
      </w:pPr>
      <w:r>
        <w:tab/>
        <w:t>(i)</w:t>
      </w:r>
      <w:r>
        <w:tab/>
        <w:t>varying the amount for the preceding financial year by the percentage by which WPI varied between the second-last December quarter before the relevant year commenced and the last December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pPr>
      <w:r>
        <w:tab/>
        <w:t>(3)</w:t>
      </w:r>
      <w:r>
        <w:tab/>
        <w:t>Despite subregulation (2)(b), if the amount determined under that subregulation would result in a decrease in the amount prescribed for the child’s allowance, the amount prescribed is the same amount as the amount for the preceding financial year.</w:t>
      </w:r>
    </w:p>
    <w:p>
      <w:pPr>
        <w:pStyle w:val="Footnotesection"/>
      </w:pPr>
      <w:r>
        <w:tab/>
        <w:t>[Regulation 17AF inserted: Gazette 29 Jun 2018 p. 2444</w:t>
      </w:r>
      <w:r>
        <w:noBreakHyphen/>
        <w:t>5; amended: SL 2020/188 r. 11.]</w:t>
      </w:r>
    </w:p>
    <w:p>
      <w:pPr>
        <w:pStyle w:val="Heading5"/>
      </w:pPr>
      <w:bookmarkStart w:id="51" w:name="_Toc52957031"/>
      <w:r>
        <w:rPr>
          <w:rStyle w:val="CharSectno"/>
        </w:rPr>
        <w:t>17AG</w:t>
      </w:r>
      <w:r>
        <w:t>.</w:t>
      </w:r>
      <w:r>
        <w:tab/>
        <w:t>Amount prescribed for funeral expenses (Act Sch. 1A cl. 9(2)(b))</w:t>
      </w:r>
      <w:bookmarkEnd w:id="51"/>
    </w:p>
    <w:p>
      <w:pPr>
        <w:pStyle w:val="Ednotesubsection"/>
      </w:pPr>
      <w:r>
        <w:tab/>
        <w:t>[(1)</w:t>
      </w:r>
      <w:r>
        <w:tab/>
        <w:t>deleted]</w:t>
      </w:r>
    </w:p>
    <w:p>
      <w:pPr>
        <w:pStyle w:val="Subsection"/>
      </w:pPr>
      <w:r>
        <w:tab/>
        <w:t>(2)</w:t>
      </w:r>
      <w:r>
        <w:tab/>
        <w:t xml:space="preserve">For the purposes of Schedule 1A clause 9(2)(b) of the Act, the amount prescribed for funeral expenses is — </w:t>
      </w:r>
    </w:p>
    <w:p>
      <w:pPr>
        <w:pStyle w:val="Indenta"/>
      </w:pPr>
      <w:r>
        <w:tab/>
        <w:t>(a)</w:t>
      </w:r>
      <w:r>
        <w:tab/>
        <w:t>for the financial year commencing on 1 July 2018, $9 903; and</w:t>
      </w:r>
    </w:p>
    <w:p>
      <w:pPr>
        <w:pStyle w:val="Indenta"/>
      </w:pPr>
      <w:r>
        <w:tab/>
        <w:t>(b)</w:t>
      </w:r>
      <w:r>
        <w:tab/>
        <w:t xml:space="preserve">for a financial year commencing on or after 1 July 2019 (the </w:t>
      </w:r>
      <w:r>
        <w:rPr>
          <w:b/>
          <w:i/>
        </w:rPr>
        <w:t>relevant year</w:t>
      </w:r>
      <w:r>
        <w:t xml:space="preserve">), the amount determined by — </w:t>
      </w:r>
    </w:p>
    <w:p>
      <w:pPr>
        <w:pStyle w:val="Indenti"/>
      </w:pPr>
      <w:r>
        <w:tab/>
        <w:t>(i)</w:t>
      </w:r>
      <w:r>
        <w:tab/>
        <w:t>varying the amount for the preceding financial year by the percentage by which CPI varied between the second-last March quarter before the relevant year commenced and the last March quarter before the relevant year commenced; and</w:t>
      </w:r>
    </w:p>
    <w:p>
      <w:pPr>
        <w:pStyle w:val="Indenti"/>
      </w:pPr>
      <w:r>
        <w:tab/>
        <w:t>(ii)</w:t>
      </w:r>
      <w:r>
        <w:tab/>
        <w:t>rounding the amount to the nearest whole number of dollars (with an amount that is 50 cents more than a whole number being rounded up to the next highest whole number).</w:t>
      </w:r>
    </w:p>
    <w:p>
      <w:pPr>
        <w:pStyle w:val="Subsection"/>
        <w:keepLines/>
      </w:pPr>
      <w:r>
        <w:tab/>
        <w:t>(3)</w:t>
      </w:r>
      <w:r>
        <w:tab/>
        <w:t>Despite subregulation (2)(b), if the amount determined under that subregulation would result in a decrease in the amount prescribed for funeral expenses, the amount prescribed is the same amount as the amount for the preceding financial year.</w:t>
      </w:r>
    </w:p>
    <w:p>
      <w:pPr>
        <w:pStyle w:val="Footnotesection"/>
      </w:pPr>
      <w:r>
        <w:tab/>
        <w:t>[Regulation 17AG inserted: Gazette 29 Jun 2018 p. 2445</w:t>
      </w:r>
      <w:r>
        <w:noBreakHyphen/>
        <w:t>6; amended: SL 2020/188 r. 12.]</w:t>
      </w:r>
    </w:p>
    <w:p>
      <w:pPr>
        <w:pStyle w:val="Heading5"/>
      </w:pPr>
      <w:bookmarkStart w:id="52" w:name="_Toc52957032"/>
      <w:r>
        <w:rPr>
          <w:rStyle w:val="CharSectno"/>
        </w:rPr>
        <w:t>17A</w:t>
      </w:r>
      <w:r>
        <w:t>.</w:t>
      </w:r>
      <w:r>
        <w:tab/>
        <w:t>Supplementary amount</w:t>
      </w:r>
      <w:bookmarkEnd w:id="52"/>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spacing w:before="60"/>
      </w:pPr>
      <w:r>
        <w:tab/>
        <w:t>(b)</w:t>
      </w:r>
      <w:r>
        <w:tab/>
        <w:t xml:space="preserve">for a financial year commencing on or after 1 July 2008,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Ednotesubsection"/>
      </w:pPr>
      <w:r>
        <w:tab/>
        <w:t>[(2)</w:t>
      </w:r>
      <w:r>
        <w:tab/>
        <w:t>deleted]</w:t>
      </w:r>
    </w:p>
    <w:p>
      <w:pPr>
        <w:pStyle w:val="Footnotesection"/>
      </w:pPr>
      <w:r>
        <w:tab/>
        <w:t>[Regulation 17A inserted: Gazette 2 Nov 2007 p. 5933</w:t>
      </w:r>
      <w:r>
        <w:noBreakHyphen/>
        <w:t>4; amended: SL 2020/188 r. 13.]</w:t>
      </w:r>
    </w:p>
    <w:p>
      <w:pPr>
        <w:pStyle w:val="Heading5"/>
      </w:pPr>
      <w:bookmarkStart w:id="53" w:name="_Toc52957033"/>
      <w:r>
        <w:rPr>
          <w:rStyle w:val="CharSectno"/>
        </w:rPr>
        <w:t>17B</w:t>
      </w:r>
      <w:r>
        <w:t>.</w:t>
      </w:r>
      <w:r>
        <w:tab/>
        <w:t>Witness allowances</w:t>
      </w:r>
      <w:bookmarkEnd w:id="53"/>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Gazette 28 Oct 2005 p. 4871; amended: Gazette 18 Nov 2011 p. 4821.]</w:t>
      </w:r>
    </w:p>
    <w:p>
      <w:pPr>
        <w:pStyle w:val="Heading5"/>
        <w:rPr>
          <w:snapToGrid w:val="0"/>
        </w:rPr>
      </w:pPr>
      <w:bookmarkStart w:id="54" w:name="_Toc52957034"/>
      <w:r>
        <w:rPr>
          <w:rStyle w:val="CharSectno"/>
        </w:rPr>
        <w:t>18</w:t>
      </w:r>
      <w:r>
        <w:rPr>
          <w:snapToGrid w:val="0"/>
        </w:rPr>
        <w:t>.</w:t>
      </w:r>
      <w:r>
        <w:rPr>
          <w:snapToGrid w:val="0"/>
        </w:rPr>
        <w:tab/>
        <w:t>Form of election to receive redemption amount or supplementary amount</w:t>
      </w:r>
      <w:bookmarkEnd w:id="54"/>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Gazette 17 Nov 2000 p. 6312.]</w:t>
      </w:r>
    </w:p>
    <w:p>
      <w:pPr>
        <w:pStyle w:val="Heading2"/>
      </w:pPr>
      <w:bookmarkStart w:id="55" w:name="_Toc52869249"/>
      <w:bookmarkStart w:id="56" w:name="_Toc52871227"/>
      <w:bookmarkStart w:id="57" w:name="_Toc52957035"/>
      <w:r>
        <w:rPr>
          <w:rStyle w:val="CharPartNo"/>
        </w:rPr>
        <w:t>Part 2A</w:t>
      </w:r>
      <w:r>
        <w:rPr>
          <w:b w:val="0"/>
        </w:rPr>
        <w:t> </w:t>
      </w:r>
      <w:r>
        <w:t>—</w:t>
      </w:r>
      <w:r>
        <w:rPr>
          <w:b w:val="0"/>
        </w:rPr>
        <w:t> </w:t>
      </w:r>
      <w:r>
        <w:rPr>
          <w:rStyle w:val="CharPartText"/>
        </w:rPr>
        <w:t>Assessment of costs</w:t>
      </w:r>
      <w:bookmarkEnd w:id="55"/>
      <w:bookmarkEnd w:id="56"/>
      <w:bookmarkEnd w:id="57"/>
    </w:p>
    <w:p>
      <w:pPr>
        <w:pStyle w:val="Footnoteheading"/>
      </w:pPr>
      <w:r>
        <w:tab/>
        <w:t>[Heading inserted: Gazette 28 Oct 2005 p. 4871.]</w:t>
      </w:r>
    </w:p>
    <w:p>
      <w:pPr>
        <w:pStyle w:val="Heading5"/>
      </w:pPr>
      <w:bookmarkStart w:id="58" w:name="_Toc52957036"/>
      <w:r>
        <w:rPr>
          <w:rStyle w:val="CharSectno"/>
        </w:rPr>
        <w:t>18A</w:t>
      </w:r>
      <w:r>
        <w:t>.</w:t>
      </w:r>
      <w:r>
        <w:tab/>
        <w:t>Application of this Part</w:t>
      </w:r>
      <w:bookmarkEnd w:id="58"/>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Gazette 28 Oct 2005 p. 4871.]</w:t>
      </w:r>
    </w:p>
    <w:p>
      <w:pPr>
        <w:pStyle w:val="Heading5"/>
      </w:pPr>
      <w:bookmarkStart w:id="59" w:name="_Toc52957037"/>
      <w:r>
        <w:rPr>
          <w:rStyle w:val="CharSectno"/>
        </w:rPr>
        <w:t>18B</w:t>
      </w:r>
      <w:r>
        <w:t>.</w:t>
      </w:r>
      <w:r>
        <w:tab/>
        <w:t>Terms used</w:t>
      </w:r>
      <w:bookmarkEnd w:id="59"/>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Gazette 28 Oct 2005 p. 4872; amended: Gazette 18 Nov 2011 p. 4821.]</w:t>
      </w:r>
    </w:p>
    <w:p>
      <w:pPr>
        <w:pStyle w:val="Heading5"/>
      </w:pPr>
      <w:bookmarkStart w:id="60" w:name="_Toc52957038"/>
      <w:r>
        <w:rPr>
          <w:rStyle w:val="CharSectno"/>
        </w:rPr>
        <w:t>18C</w:t>
      </w:r>
      <w:r>
        <w:t>.</w:t>
      </w:r>
      <w:r>
        <w:tab/>
        <w:t>Application for assessment of costs</w:t>
      </w:r>
      <w:bookmarkEnd w:id="60"/>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Gazette 28 Oct 2005 p. 4872; amended: Gazette 18 Nov 2011 p. 4822.]</w:t>
      </w:r>
    </w:p>
    <w:p>
      <w:pPr>
        <w:pStyle w:val="Heading5"/>
      </w:pPr>
      <w:bookmarkStart w:id="61" w:name="_Toc52957039"/>
      <w:r>
        <w:rPr>
          <w:rStyle w:val="CharSectno"/>
        </w:rPr>
        <w:t>18D</w:t>
      </w:r>
      <w:r>
        <w:t>.</w:t>
      </w:r>
      <w:r>
        <w:tab/>
        <w:t>Taxing officer may require application to be given to other persons</w:t>
      </w:r>
      <w:bookmarkEnd w:id="61"/>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Gazette 28 Oct 2005 p. 4872</w:t>
      </w:r>
      <w:r>
        <w:noBreakHyphen/>
        <w:t>3; amended: Gazette 18 Nov 2011 p. 4822.]</w:t>
      </w:r>
    </w:p>
    <w:p>
      <w:pPr>
        <w:pStyle w:val="Heading5"/>
      </w:pPr>
      <w:bookmarkStart w:id="62" w:name="_Toc52957040"/>
      <w:r>
        <w:rPr>
          <w:rStyle w:val="CharSectno"/>
        </w:rPr>
        <w:t>18E</w:t>
      </w:r>
      <w:r>
        <w:t>.</w:t>
      </w:r>
      <w:r>
        <w:tab/>
        <w:t>Taxing officer may require documents or further particulars</w:t>
      </w:r>
      <w:bookmarkEnd w:id="62"/>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Gazette 28 Oct 2005 p. 4873.]</w:t>
      </w:r>
    </w:p>
    <w:p>
      <w:pPr>
        <w:pStyle w:val="Heading5"/>
      </w:pPr>
      <w:bookmarkStart w:id="63" w:name="_Toc52957041"/>
      <w:r>
        <w:rPr>
          <w:rStyle w:val="CharSectno"/>
        </w:rPr>
        <w:t>18F</w:t>
      </w:r>
      <w:r>
        <w:t>.</w:t>
      </w:r>
      <w:r>
        <w:tab/>
        <w:t>Consideration of application</w:t>
      </w:r>
      <w:bookmarkEnd w:id="63"/>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Gazette 28 Oct 2005 p. 4874.]</w:t>
      </w:r>
    </w:p>
    <w:p>
      <w:pPr>
        <w:pStyle w:val="Heading5"/>
      </w:pPr>
      <w:bookmarkStart w:id="64" w:name="_Toc52957042"/>
      <w:r>
        <w:rPr>
          <w:rStyle w:val="CharSectno"/>
        </w:rPr>
        <w:t>18G</w:t>
      </w:r>
      <w:r>
        <w:t>.</w:t>
      </w:r>
      <w:r>
        <w:tab/>
        <w:t>Assessment to give effect to order and costs determination</w:t>
      </w:r>
      <w:bookmarkEnd w:id="64"/>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Gazette 28 Oct 2005 p. 4874.]</w:t>
      </w:r>
    </w:p>
    <w:p>
      <w:pPr>
        <w:pStyle w:val="Heading5"/>
      </w:pPr>
      <w:bookmarkStart w:id="65" w:name="_Toc52957043"/>
      <w:r>
        <w:rPr>
          <w:rStyle w:val="CharSectno"/>
        </w:rPr>
        <w:t>18H</w:t>
      </w:r>
      <w:r>
        <w:t>.</w:t>
      </w:r>
      <w:r>
        <w:tab/>
        <w:t>Matters to be considered</w:t>
      </w:r>
      <w:bookmarkEnd w:id="65"/>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Gazette 28 Oct 2005 p. 4874</w:t>
      </w:r>
      <w:r>
        <w:noBreakHyphen/>
        <w:t>5.]</w:t>
      </w:r>
    </w:p>
    <w:p>
      <w:pPr>
        <w:pStyle w:val="Heading5"/>
      </w:pPr>
      <w:bookmarkStart w:id="66" w:name="_Toc52957044"/>
      <w:r>
        <w:rPr>
          <w:rStyle w:val="CharSectno"/>
        </w:rPr>
        <w:t>18I</w:t>
      </w:r>
      <w:r>
        <w:t>.</w:t>
      </w:r>
      <w:r>
        <w:tab/>
        <w:t>Cost of assessment</w:t>
      </w:r>
      <w:bookmarkEnd w:id="66"/>
    </w:p>
    <w:p>
      <w:pPr>
        <w:pStyle w:val="Subsection"/>
      </w:pPr>
      <w:r>
        <w:tab/>
      </w:r>
      <w:r>
        <w:tab/>
        <w:t>The costs of and incidental to an assessment are at the discretion of the taxing officer.</w:t>
      </w:r>
    </w:p>
    <w:p>
      <w:pPr>
        <w:pStyle w:val="Footnotesection"/>
      </w:pPr>
      <w:r>
        <w:tab/>
        <w:t>[Regulation 18I inserted: Gazette 28 Oct 2005 p. 4875.]</w:t>
      </w:r>
    </w:p>
    <w:p>
      <w:pPr>
        <w:pStyle w:val="Heading5"/>
      </w:pPr>
      <w:bookmarkStart w:id="67" w:name="_Toc52957045"/>
      <w:r>
        <w:rPr>
          <w:rStyle w:val="CharSectno"/>
        </w:rPr>
        <w:t>18J</w:t>
      </w:r>
      <w:r>
        <w:t>.</w:t>
      </w:r>
      <w:r>
        <w:tab/>
        <w:t>Enforcement of assessment</w:t>
      </w:r>
      <w:bookmarkEnd w:id="67"/>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Gazette 28 Oct 2005 p. 4875.]</w:t>
      </w:r>
    </w:p>
    <w:p>
      <w:pPr>
        <w:pStyle w:val="Heading5"/>
      </w:pPr>
      <w:bookmarkStart w:id="68" w:name="_Toc52957046"/>
      <w:r>
        <w:rPr>
          <w:rStyle w:val="CharSectno"/>
        </w:rPr>
        <w:t>18K</w:t>
      </w:r>
      <w:r>
        <w:t>.</w:t>
      </w:r>
      <w:r>
        <w:tab/>
        <w:t>Correction of error</w:t>
      </w:r>
      <w:bookmarkEnd w:id="68"/>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Gazette 28 Oct 2005 p. 4876.]</w:t>
      </w:r>
    </w:p>
    <w:p>
      <w:pPr>
        <w:pStyle w:val="Heading5"/>
      </w:pPr>
      <w:bookmarkStart w:id="69" w:name="_Toc52957047"/>
      <w:r>
        <w:rPr>
          <w:rStyle w:val="CharSectno"/>
        </w:rPr>
        <w:t>18LA</w:t>
      </w:r>
      <w:r>
        <w:t>.</w:t>
      </w:r>
      <w:r>
        <w:tab/>
        <w:t>Transitional provision</w:t>
      </w:r>
      <w:bookmarkEnd w:id="69"/>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2</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Gazette 18 Nov 2011 p. 4822</w:t>
      </w:r>
      <w:r>
        <w:noBreakHyphen/>
        <w:t>3.]</w:t>
      </w:r>
    </w:p>
    <w:p>
      <w:pPr>
        <w:pStyle w:val="Heading2"/>
      </w:pPr>
      <w:bookmarkStart w:id="70" w:name="_Toc52869262"/>
      <w:bookmarkStart w:id="71" w:name="_Toc52871240"/>
      <w:bookmarkStart w:id="72" w:name="_Toc52957048"/>
      <w:r>
        <w:rPr>
          <w:rStyle w:val="CharPartNo"/>
        </w:rPr>
        <w:t>Part 2B</w:t>
      </w:r>
      <w:r>
        <w:rPr>
          <w:b w:val="0"/>
        </w:rPr>
        <w:t> </w:t>
      </w:r>
      <w:r>
        <w:t>—</w:t>
      </w:r>
      <w:r>
        <w:rPr>
          <w:b w:val="0"/>
        </w:rPr>
        <w:t> </w:t>
      </w:r>
      <w:r>
        <w:rPr>
          <w:rStyle w:val="CharPartText"/>
        </w:rPr>
        <w:t>Medical assessment</w:t>
      </w:r>
      <w:bookmarkEnd w:id="70"/>
      <w:bookmarkEnd w:id="71"/>
      <w:bookmarkEnd w:id="72"/>
    </w:p>
    <w:p>
      <w:pPr>
        <w:pStyle w:val="Footnoteheading"/>
      </w:pPr>
      <w:r>
        <w:tab/>
        <w:t>[Heading inserted: Gazette 28 Oct 2005 p. 4876.]</w:t>
      </w:r>
    </w:p>
    <w:p>
      <w:pPr>
        <w:pStyle w:val="Heading5"/>
        <w:spacing w:before="240"/>
      </w:pPr>
      <w:bookmarkStart w:id="73" w:name="_Toc52957049"/>
      <w:r>
        <w:rPr>
          <w:rStyle w:val="CharSectno"/>
        </w:rPr>
        <w:t>18L</w:t>
      </w:r>
      <w:r>
        <w:t>.</w:t>
      </w:r>
      <w:r>
        <w:tab/>
        <w:t>Terms used</w:t>
      </w:r>
      <w:bookmarkEnd w:id="73"/>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Gazette 28 Oct 2005 p. 4876</w:t>
      </w:r>
      <w:r>
        <w:noBreakHyphen/>
        <w:t>7.]</w:t>
      </w:r>
    </w:p>
    <w:p>
      <w:pPr>
        <w:pStyle w:val="Heading5"/>
      </w:pPr>
      <w:bookmarkStart w:id="74" w:name="_Toc52957050"/>
      <w:r>
        <w:rPr>
          <w:rStyle w:val="CharSectno"/>
        </w:rPr>
        <w:t>18M</w:t>
      </w:r>
      <w:r>
        <w:t>.</w:t>
      </w:r>
      <w:r>
        <w:tab/>
        <w:t>Request for assessment by approved medical specialist of worker’s degree of impairment</w:t>
      </w:r>
      <w:bookmarkEnd w:id="74"/>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Gazette 28 Oct 2005 p. 4877.]</w:t>
      </w:r>
    </w:p>
    <w:p>
      <w:pPr>
        <w:pStyle w:val="Heading5"/>
      </w:pPr>
      <w:bookmarkStart w:id="75" w:name="_Toc52957051"/>
      <w:r>
        <w:rPr>
          <w:rStyle w:val="CharSectno"/>
        </w:rPr>
        <w:t>18N</w:t>
      </w:r>
      <w:r>
        <w:t>.</w:t>
      </w:r>
      <w:r>
        <w:tab/>
        <w:t>Requirement to attend at place specified by approved medical specialist</w:t>
      </w:r>
      <w:bookmarkEnd w:id="75"/>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Gazette 28 Oct 2005 p. 4878.]</w:t>
      </w:r>
    </w:p>
    <w:p>
      <w:pPr>
        <w:pStyle w:val="Heading5"/>
      </w:pPr>
      <w:bookmarkStart w:id="76" w:name="_Toc52957052"/>
      <w:r>
        <w:rPr>
          <w:rStyle w:val="CharSectno"/>
        </w:rPr>
        <w:t>18O</w:t>
      </w:r>
      <w:r>
        <w:t>.</w:t>
      </w:r>
      <w:r>
        <w:tab/>
        <w:t>Requirement to produce to approved medical specialist relevant documents and information and give consent</w:t>
      </w:r>
      <w:bookmarkEnd w:id="76"/>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Gazette 28 Oct 2005 p. 4878</w:t>
      </w:r>
      <w:r>
        <w:noBreakHyphen/>
        <w:t>9.]</w:t>
      </w:r>
    </w:p>
    <w:p>
      <w:pPr>
        <w:pStyle w:val="Heading5"/>
      </w:pPr>
      <w:bookmarkStart w:id="77" w:name="_Toc52957053"/>
      <w:r>
        <w:rPr>
          <w:rStyle w:val="CharSectno"/>
        </w:rPr>
        <w:t>18P</w:t>
      </w:r>
      <w:r>
        <w:t>.</w:t>
      </w:r>
      <w:r>
        <w:tab/>
        <w:t>Period for compliance with requirements</w:t>
      </w:r>
      <w:bookmarkEnd w:id="77"/>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Gazette 28 Oct 2005 p. 4879.]</w:t>
      </w:r>
    </w:p>
    <w:p>
      <w:pPr>
        <w:pStyle w:val="Heading5"/>
      </w:pPr>
      <w:bookmarkStart w:id="78" w:name="_Toc52957054"/>
      <w:r>
        <w:rPr>
          <w:rStyle w:val="CharSectno"/>
        </w:rPr>
        <w:t>18Q</w:t>
      </w:r>
      <w:r>
        <w:t>.</w:t>
      </w:r>
      <w:r>
        <w:tab/>
        <w:t>Requirement for worker to produce requested information</w:t>
      </w:r>
      <w:bookmarkEnd w:id="78"/>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Gazette 28 Oct 2005 p. 4880.]</w:t>
      </w:r>
    </w:p>
    <w:p>
      <w:pPr>
        <w:pStyle w:val="Heading5"/>
      </w:pPr>
      <w:bookmarkStart w:id="79" w:name="_Toc52957055"/>
      <w:r>
        <w:rPr>
          <w:rStyle w:val="CharSectno"/>
        </w:rPr>
        <w:t>18R</w:t>
      </w:r>
      <w:r>
        <w:t>.</w:t>
      </w:r>
      <w:r>
        <w:tab/>
        <w:t>Reports and certificates regarding outcome of assessment</w:t>
      </w:r>
      <w:bookmarkEnd w:id="79"/>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Gazette 28 Oct 2005 p. 4880</w:t>
      </w:r>
      <w:r>
        <w:noBreakHyphen/>
        <w:t>1.]</w:t>
      </w:r>
    </w:p>
    <w:p>
      <w:pPr>
        <w:pStyle w:val="Heading5"/>
      </w:pPr>
      <w:bookmarkStart w:id="80" w:name="_Toc52957056"/>
      <w:r>
        <w:rPr>
          <w:rStyle w:val="CharSectno"/>
        </w:rPr>
        <w:t>18S</w:t>
      </w:r>
      <w:r>
        <w:t>.</w:t>
      </w:r>
      <w:r>
        <w:tab/>
        <w:t>Requirement to attend at place specified by approved medical specialist panel</w:t>
      </w:r>
      <w:bookmarkEnd w:id="80"/>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Gazette 28 Oct 2005 p. 4882.]</w:t>
      </w:r>
    </w:p>
    <w:p>
      <w:pPr>
        <w:pStyle w:val="Heading5"/>
      </w:pPr>
      <w:bookmarkStart w:id="81" w:name="_Toc52957057"/>
      <w:r>
        <w:rPr>
          <w:rStyle w:val="CharSectno"/>
        </w:rPr>
        <w:t>18T</w:t>
      </w:r>
      <w:r>
        <w:t>.</w:t>
      </w:r>
      <w:r>
        <w:tab/>
        <w:t>Requirement to produce to approved medical specialist panel relevant documents and information and give consent</w:t>
      </w:r>
      <w:bookmarkEnd w:id="81"/>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Gazette 28 Oct 2005 p. 4882</w:t>
      </w:r>
      <w:r>
        <w:noBreakHyphen/>
        <w:t>3.]</w:t>
      </w:r>
    </w:p>
    <w:p>
      <w:pPr>
        <w:pStyle w:val="Heading5"/>
      </w:pPr>
      <w:bookmarkStart w:id="82" w:name="_Toc52957058"/>
      <w:r>
        <w:rPr>
          <w:rStyle w:val="CharSectno"/>
        </w:rPr>
        <w:t>18U</w:t>
      </w:r>
      <w:r>
        <w:t>.</w:t>
      </w:r>
      <w:r>
        <w:tab/>
        <w:t>Period for compliance with requirements</w:t>
      </w:r>
      <w:bookmarkEnd w:id="82"/>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Gazette 28 Oct 2005 p. 4883.]</w:t>
      </w:r>
    </w:p>
    <w:p>
      <w:pPr>
        <w:pStyle w:val="Heading5"/>
      </w:pPr>
      <w:bookmarkStart w:id="83" w:name="_Toc52957059"/>
      <w:r>
        <w:rPr>
          <w:rStyle w:val="CharSectno"/>
        </w:rPr>
        <w:t>18V</w:t>
      </w:r>
      <w:r>
        <w:t>.</w:t>
      </w:r>
      <w:r>
        <w:tab/>
        <w:t>Requirement for worker to produce requested information</w:t>
      </w:r>
      <w:bookmarkEnd w:id="83"/>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Gazette 28 Oct 2005 p. 4883</w:t>
      </w:r>
      <w:r>
        <w:noBreakHyphen/>
        <w:t>4.]</w:t>
      </w:r>
    </w:p>
    <w:p>
      <w:pPr>
        <w:pStyle w:val="Heading5"/>
      </w:pPr>
      <w:bookmarkStart w:id="84" w:name="_Toc52957060"/>
      <w:r>
        <w:rPr>
          <w:rStyle w:val="CharSectno"/>
        </w:rPr>
        <w:t>18W</w:t>
      </w:r>
      <w:r>
        <w:t>.</w:t>
      </w:r>
      <w:r>
        <w:tab/>
        <w:t>Reports and certificates regarding outcome of assessment</w:t>
      </w:r>
      <w:bookmarkEnd w:id="84"/>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Gazette 28 Oct 2005 p. 4884.]</w:t>
      </w:r>
    </w:p>
    <w:p>
      <w:pPr>
        <w:pStyle w:val="Ednotesection"/>
      </w:pPr>
      <w:r>
        <w:t>[</w:t>
      </w:r>
      <w:r>
        <w:rPr>
          <w:b/>
        </w:rPr>
        <w:t>19.</w:t>
      </w:r>
      <w:r>
        <w:tab/>
        <w:t>Deleted: Gazette 8 Mar 2002 p. 949.]</w:t>
      </w:r>
    </w:p>
    <w:p>
      <w:pPr>
        <w:pStyle w:val="Heading2"/>
      </w:pPr>
      <w:bookmarkStart w:id="85" w:name="_Toc52869275"/>
      <w:bookmarkStart w:id="86" w:name="_Toc52871253"/>
      <w:bookmarkStart w:id="87" w:name="_Toc52957061"/>
      <w:r>
        <w:rPr>
          <w:rStyle w:val="CharPartNo"/>
        </w:rPr>
        <w:t>Part 3</w:t>
      </w:r>
      <w:r>
        <w:rPr>
          <w:rStyle w:val="CharDivNo"/>
        </w:rPr>
        <w:t> </w:t>
      </w:r>
      <w:r>
        <w:t>—</w:t>
      </w:r>
      <w:r>
        <w:rPr>
          <w:rStyle w:val="CharDivText"/>
        </w:rPr>
        <w:t> </w:t>
      </w:r>
      <w:r>
        <w:rPr>
          <w:rStyle w:val="CharPartText"/>
        </w:rPr>
        <w:t>Noise induced hearing loss</w:t>
      </w:r>
      <w:bookmarkEnd w:id="85"/>
      <w:bookmarkEnd w:id="86"/>
      <w:bookmarkEnd w:id="87"/>
      <w:r>
        <w:rPr>
          <w:rStyle w:val="CharPartText"/>
        </w:rPr>
        <w:t xml:space="preserve"> </w:t>
      </w:r>
    </w:p>
    <w:p>
      <w:pPr>
        <w:pStyle w:val="Footnoteheading"/>
        <w:tabs>
          <w:tab w:val="left" w:pos="851"/>
        </w:tabs>
      </w:pPr>
      <w:r>
        <w:rPr>
          <w:snapToGrid w:val="0"/>
        </w:rPr>
        <w:tab/>
        <w:t>[</w:t>
      </w:r>
      <w:r>
        <w:t xml:space="preserve">Heading inserted: Gazette 26 Feb 1991 p. 934.] </w:t>
      </w:r>
    </w:p>
    <w:p>
      <w:pPr>
        <w:pStyle w:val="Heading5"/>
        <w:rPr>
          <w:snapToGrid w:val="0"/>
        </w:rPr>
      </w:pPr>
      <w:bookmarkStart w:id="88" w:name="_Toc52957062"/>
      <w:r>
        <w:rPr>
          <w:rStyle w:val="CharSectno"/>
        </w:rPr>
        <w:t>19A</w:t>
      </w:r>
      <w:r>
        <w:rPr>
          <w:snapToGrid w:val="0"/>
        </w:rPr>
        <w:t>.</w:t>
      </w:r>
      <w:r>
        <w:rPr>
          <w:snapToGrid w:val="0"/>
        </w:rPr>
        <w:tab/>
        <w:t>Terms used</w:t>
      </w:r>
      <w:bookmarkEnd w:id="8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tabs>
          <w:tab w:val="left" w:pos="4253"/>
        </w:tabs>
      </w:pPr>
      <w:r>
        <w:rPr>
          <w:b/>
        </w:rPr>
        <w:tab/>
      </w:r>
      <w:r>
        <w:rPr>
          <w:rStyle w:val="CharDefText"/>
        </w:rPr>
        <w:t>Australian Standard</w:t>
      </w:r>
      <w:r>
        <w:t xml:space="preserve"> means a standard published by the Standards Association of Australia</w:t>
      </w:r>
      <w:r>
        <w:rPr>
          <w:vertAlign w:val="superscript"/>
        </w:rPr>
        <w:t xml:space="preserve"> 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Gazette 26 Feb 1991 p. 934; amended: Gazette 21 Jan 2005 p. 276; 28 Oct 2005 p. 4884.] </w:t>
      </w:r>
    </w:p>
    <w:p>
      <w:pPr>
        <w:pStyle w:val="Heading5"/>
        <w:rPr>
          <w:snapToGrid w:val="0"/>
        </w:rPr>
      </w:pPr>
      <w:bookmarkStart w:id="89" w:name="_Toc52957063"/>
      <w:r>
        <w:rPr>
          <w:rStyle w:val="CharSectno"/>
        </w:rPr>
        <w:t>19B</w:t>
      </w:r>
      <w:r>
        <w:rPr>
          <w:snapToGrid w:val="0"/>
        </w:rPr>
        <w:t>.</w:t>
      </w:r>
      <w:r>
        <w:rPr>
          <w:snapToGrid w:val="0"/>
        </w:rPr>
        <w:tab/>
        <w:t>Persons approved to carry out audiometric testing</w:t>
      </w:r>
      <w:bookmarkEnd w:id="89"/>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keepLines/>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Gazette 26 Feb 1991 p. 934; amended: Gazette 21 Jan 2005 p. 276.] </w:t>
      </w:r>
    </w:p>
    <w:p>
      <w:pPr>
        <w:pStyle w:val="Heading5"/>
        <w:rPr>
          <w:snapToGrid w:val="0"/>
        </w:rPr>
      </w:pPr>
      <w:bookmarkStart w:id="90" w:name="_Toc52957064"/>
      <w:r>
        <w:rPr>
          <w:rStyle w:val="CharSectno"/>
        </w:rPr>
        <w:t>19C</w:t>
      </w:r>
      <w:r>
        <w:rPr>
          <w:snapToGrid w:val="0"/>
        </w:rPr>
        <w:t>.</w:t>
      </w:r>
      <w:r>
        <w:rPr>
          <w:snapToGrid w:val="0"/>
        </w:rPr>
        <w:tab/>
        <w:t>Testing procedures</w:t>
      </w:r>
      <w:bookmarkEnd w:id="90"/>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keepLines/>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Gazette 26 Feb 1991 p. 935</w:t>
      </w:r>
      <w:r>
        <w:noBreakHyphen/>
        <w:t>7; amended: Gazette 3 Apr 1992 p. 1541</w:t>
      </w:r>
      <w:r>
        <w:noBreakHyphen/>
        <w:t>2; 24 Dec 1993 p. 6845; 17 Nov 2000 p. 6312; 21 Jan 2005 p. 276; 28 Oct 2005 p. 4884</w:t>
      </w:r>
      <w:r>
        <w:noBreakHyphen/>
        <w:t xml:space="preserve">5.] </w:t>
      </w:r>
    </w:p>
    <w:p>
      <w:pPr>
        <w:pStyle w:val="Heading5"/>
        <w:rPr>
          <w:snapToGrid w:val="0"/>
        </w:rPr>
      </w:pPr>
      <w:bookmarkStart w:id="91" w:name="_Toc52957065"/>
      <w:r>
        <w:rPr>
          <w:rStyle w:val="CharSectno"/>
        </w:rPr>
        <w:t>19D</w:t>
      </w:r>
      <w:r>
        <w:rPr>
          <w:snapToGrid w:val="0"/>
        </w:rPr>
        <w:t>.</w:t>
      </w:r>
      <w:r>
        <w:rPr>
          <w:snapToGrid w:val="0"/>
        </w:rPr>
        <w:tab/>
        <w:t>Notice of audiometric test and testing arrangements</w:t>
      </w:r>
      <w:bookmarkEnd w:id="91"/>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Gazette 26 Feb 1991 p. 937; amended: Gazette 17 Nov 2000 p. 6312.] </w:t>
      </w:r>
    </w:p>
    <w:p>
      <w:pPr>
        <w:pStyle w:val="Heading5"/>
        <w:rPr>
          <w:snapToGrid w:val="0"/>
        </w:rPr>
      </w:pPr>
      <w:bookmarkStart w:id="92" w:name="_Toc52957066"/>
      <w:r>
        <w:rPr>
          <w:rStyle w:val="CharSectno"/>
        </w:rPr>
        <w:t>19E</w:t>
      </w:r>
      <w:r>
        <w:rPr>
          <w:snapToGrid w:val="0"/>
        </w:rPr>
        <w:t>.</w:t>
      </w:r>
      <w:r>
        <w:rPr>
          <w:snapToGrid w:val="0"/>
        </w:rPr>
        <w:tab/>
        <w:t>Calculation of loss of hearing</w:t>
      </w:r>
      <w:bookmarkEnd w:id="92"/>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Gazette 26 Feb 1991 p. 937; amended: Gazette 28 Oct 2005 p. 4885.] </w:t>
      </w:r>
    </w:p>
    <w:p>
      <w:pPr>
        <w:pStyle w:val="Heading5"/>
        <w:rPr>
          <w:snapToGrid w:val="0"/>
        </w:rPr>
      </w:pPr>
      <w:bookmarkStart w:id="93" w:name="_Toc52957067"/>
      <w:r>
        <w:rPr>
          <w:rStyle w:val="CharSectno"/>
        </w:rPr>
        <w:t>19F</w:t>
      </w:r>
      <w:r>
        <w:rPr>
          <w:snapToGrid w:val="0"/>
        </w:rPr>
        <w:t>.</w:t>
      </w:r>
      <w:r>
        <w:rPr>
          <w:snapToGrid w:val="0"/>
        </w:rPr>
        <w:tab/>
        <w:t>Report on audiometric test and storage of results</w:t>
      </w:r>
      <w:bookmarkEnd w:id="93"/>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Gazette 26 Feb 1991 p. 937</w:t>
      </w:r>
      <w:r>
        <w:noBreakHyphen/>
        <w:t xml:space="preserve">8; amended: Gazette 17 Nov 2000 p. 6312; 21 Jan 2005 p. 276; 28 Oct 2005 p. 4885.] </w:t>
      </w:r>
    </w:p>
    <w:p>
      <w:pPr>
        <w:pStyle w:val="Ednotesection"/>
      </w:pPr>
      <w:r>
        <w:t>[</w:t>
      </w:r>
      <w:r>
        <w:rPr>
          <w:b/>
        </w:rPr>
        <w:t>19G.</w:t>
      </w:r>
      <w:r>
        <w:tab/>
        <w:t>Deleted: Gazette 28 Oct 2005 p. 4885.]</w:t>
      </w:r>
    </w:p>
    <w:p>
      <w:pPr>
        <w:pStyle w:val="Heading5"/>
        <w:rPr>
          <w:snapToGrid w:val="0"/>
        </w:rPr>
      </w:pPr>
      <w:bookmarkStart w:id="94" w:name="_Toc52957068"/>
      <w:r>
        <w:rPr>
          <w:rStyle w:val="CharSectno"/>
        </w:rPr>
        <w:t>19H</w:t>
      </w:r>
      <w:r>
        <w:rPr>
          <w:snapToGrid w:val="0"/>
        </w:rPr>
        <w:t>.</w:t>
      </w:r>
      <w:r>
        <w:rPr>
          <w:snapToGrid w:val="0"/>
        </w:rPr>
        <w:tab/>
        <w:t>Retest of person’s hearing</w:t>
      </w:r>
      <w:bookmarkEnd w:id="94"/>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Gazette 26 Feb 1991 p. 938</w:t>
      </w:r>
      <w:r>
        <w:noBreakHyphen/>
        <w:t xml:space="preserve">9; amended: Gazette 21 Jan 2005 p. 276.] </w:t>
      </w:r>
    </w:p>
    <w:p>
      <w:pPr>
        <w:pStyle w:val="Heading5"/>
        <w:rPr>
          <w:snapToGrid w:val="0"/>
        </w:rPr>
      </w:pPr>
      <w:bookmarkStart w:id="95" w:name="_Toc52957069"/>
      <w:r>
        <w:rPr>
          <w:rStyle w:val="CharSectno"/>
        </w:rPr>
        <w:t>19I</w:t>
      </w:r>
      <w:r>
        <w:rPr>
          <w:snapToGrid w:val="0"/>
        </w:rPr>
        <w:t>.</w:t>
      </w:r>
      <w:r>
        <w:rPr>
          <w:snapToGrid w:val="0"/>
        </w:rPr>
        <w:tab/>
        <w:t>Prescribed workplaces</w:t>
      </w:r>
      <w:bookmarkEnd w:id="95"/>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Gazette 26 Feb 1991 p. 939.] </w:t>
      </w:r>
    </w:p>
    <w:p>
      <w:pPr>
        <w:pStyle w:val="Heading2"/>
      </w:pPr>
      <w:bookmarkStart w:id="96" w:name="_Toc52869284"/>
      <w:bookmarkStart w:id="97" w:name="_Toc52871262"/>
      <w:bookmarkStart w:id="98" w:name="_Toc52957070"/>
      <w:r>
        <w:rPr>
          <w:rStyle w:val="CharPartNo"/>
        </w:rPr>
        <w:t>Part 3A</w:t>
      </w:r>
      <w:r>
        <w:t xml:space="preserve"> — </w:t>
      </w:r>
      <w:r>
        <w:rPr>
          <w:rStyle w:val="CharPartText"/>
        </w:rPr>
        <w:t>Constraints on awards of common law damages</w:t>
      </w:r>
      <w:bookmarkEnd w:id="96"/>
      <w:bookmarkEnd w:id="97"/>
      <w:bookmarkEnd w:id="98"/>
    </w:p>
    <w:p>
      <w:pPr>
        <w:pStyle w:val="Footnoteheading"/>
        <w:tabs>
          <w:tab w:val="left" w:pos="851"/>
        </w:tabs>
      </w:pPr>
      <w:r>
        <w:rPr>
          <w:snapToGrid w:val="0"/>
        </w:rPr>
        <w:tab/>
        <w:t>[</w:t>
      </w:r>
      <w:r>
        <w:t>Heading inserted: Gazette 15 Oct 1999 p. 4890.]</w:t>
      </w:r>
    </w:p>
    <w:p>
      <w:pPr>
        <w:pStyle w:val="Heading3"/>
      </w:pPr>
      <w:bookmarkStart w:id="99" w:name="_Toc52869285"/>
      <w:bookmarkStart w:id="100" w:name="_Toc52871263"/>
      <w:bookmarkStart w:id="101" w:name="_Toc52957071"/>
      <w:r>
        <w:rPr>
          <w:rStyle w:val="CharDivNo"/>
        </w:rPr>
        <w:t>Division 1</w:t>
      </w:r>
      <w:r>
        <w:t> — </w:t>
      </w:r>
      <w:r>
        <w:rPr>
          <w:rStyle w:val="CharDivText"/>
        </w:rPr>
        <w:t>1993 scheme</w:t>
      </w:r>
      <w:bookmarkEnd w:id="99"/>
      <w:bookmarkEnd w:id="100"/>
      <w:bookmarkEnd w:id="101"/>
    </w:p>
    <w:p>
      <w:pPr>
        <w:pStyle w:val="Footnoteheading"/>
        <w:tabs>
          <w:tab w:val="left" w:pos="851"/>
        </w:tabs>
      </w:pPr>
      <w:r>
        <w:rPr>
          <w:snapToGrid w:val="0"/>
        </w:rPr>
        <w:tab/>
        <w:t>[</w:t>
      </w:r>
      <w:r>
        <w:t>Heading inserted: Gazette 28 Oct 2005 p. 4885.]</w:t>
      </w:r>
    </w:p>
    <w:p>
      <w:pPr>
        <w:pStyle w:val="Heading5"/>
      </w:pPr>
      <w:bookmarkStart w:id="102" w:name="_Toc52957072"/>
      <w:r>
        <w:rPr>
          <w:rStyle w:val="CharSectno"/>
        </w:rPr>
        <w:t>19IA</w:t>
      </w:r>
      <w:r>
        <w:t>.</w:t>
      </w:r>
      <w:r>
        <w:tab/>
        <w:t>Guides for assessing degree of disability</w:t>
      </w:r>
      <w:bookmarkEnd w:id="102"/>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Gazette 17 Nov 2000 p. 6312</w:t>
      </w:r>
      <w:r>
        <w:noBreakHyphen/>
        <w:t>13; amended: Gazette 28 Oct 2005 p. 4885.]</w:t>
      </w:r>
    </w:p>
    <w:p>
      <w:pPr>
        <w:pStyle w:val="Heading5"/>
      </w:pPr>
      <w:bookmarkStart w:id="103" w:name="_Toc52957073"/>
      <w:r>
        <w:rPr>
          <w:rStyle w:val="CharSectno"/>
        </w:rPr>
        <w:t>19J</w:t>
      </w:r>
      <w:r>
        <w:t>.</w:t>
      </w:r>
      <w:r>
        <w:tab/>
        <w:t>Assessment of degree of disability</w:t>
      </w:r>
      <w:bookmarkEnd w:id="103"/>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Gazette 15 Oct 1999 p. 4890</w:t>
      </w:r>
      <w:r>
        <w:noBreakHyphen/>
        <w:t>1; amended: Gazette 14 Dec 1999 p. 6147; 26 Oct 2004 p. 4899; 28 Oct 2005 p. 4886 and 4911.]</w:t>
      </w:r>
    </w:p>
    <w:p>
      <w:pPr>
        <w:pStyle w:val="Heading5"/>
      </w:pPr>
      <w:bookmarkStart w:id="104" w:name="_Toc52957074"/>
      <w:r>
        <w:rPr>
          <w:rStyle w:val="CharSectno"/>
        </w:rPr>
        <w:t>19JA</w:t>
      </w:r>
      <w:r>
        <w:t>.</w:t>
      </w:r>
      <w:r>
        <w:tab/>
        <w:t>Method of referral and notification when Act s. 93EA(3) applies</w:t>
      </w:r>
      <w:bookmarkEnd w:id="104"/>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Gazette 26 Oct 2004 p. 4899</w:t>
      </w:r>
      <w:r>
        <w:noBreakHyphen/>
        <w:t>900; amended: Gazette 28 Oct 2005 p. 4911.]</w:t>
      </w:r>
    </w:p>
    <w:p>
      <w:pPr>
        <w:pStyle w:val="Heading5"/>
        <w:spacing w:before="180"/>
      </w:pPr>
      <w:bookmarkStart w:id="105" w:name="_Toc52957075"/>
      <w:r>
        <w:rPr>
          <w:rStyle w:val="CharSectno"/>
        </w:rPr>
        <w:t>19JB</w:t>
      </w:r>
      <w:r>
        <w:t>.</w:t>
      </w:r>
      <w:r>
        <w:tab/>
        <w:t>Method of referral and notification when Act s. 93EB(3) applies</w:t>
      </w:r>
      <w:bookmarkEnd w:id="105"/>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Gazette 26 Oct 2004 p. 4900</w:t>
      </w:r>
      <w:r>
        <w:noBreakHyphen/>
        <w:t>1; amended: Gazette 28 Oct 2005 p. 4911.]</w:t>
      </w:r>
    </w:p>
    <w:p>
      <w:pPr>
        <w:pStyle w:val="Heading5"/>
      </w:pPr>
      <w:bookmarkStart w:id="106" w:name="_Toc52957076"/>
      <w:r>
        <w:rPr>
          <w:rStyle w:val="CharSectno"/>
        </w:rPr>
        <w:t>19K</w:t>
      </w:r>
      <w:r>
        <w:t>.</w:t>
      </w:r>
      <w:r>
        <w:tab/>
        <w:t>Agreement as to degree of disability</w:t>
      </w:r>
      <w:bookmarkEnd w:id="106"/>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Gazette 15 Oct 1999 p. 4891; amended: Gazette 28 Oct 2005 p. 4886.]</w:t>
      </w:r>
    </w:p>
    <w:p>
      <w:pPr>
        <w:pStyle w:val="Heading5"/>
      </w:pPr>
      <w:bookmarkStart w:id="107" w:name="_Toc52957077"/>
      <w:r>
        <w:rPr>
          <w:rStyle w:val="CharSectno"/>
        </w:rPr>
        <w:t>19L</w:t>
      </w:r>
      <w:r>
        <w:t>.</w:t>
      </w:r>
      <w:r>
        <w:tab/>
        <w:t>Determination of degree of disability</w:t>
      </w:r>
      <w:bookmarkEnd w:id="107"/>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Gazette 15 Oct 1999 p. 4891; amended: Gazette 17 Nov 2000 p. 6313; 28 Oct 2005 p. 4886; 18 Nov 2011 p. 4823.]</w:t>
      </w:r>
    </w:p>
    <w:p>
      <w:pPr>
        <w:pStyle w:val="Heading5"/>
      </w:pPr>
      <w:bookmarkStart w:id="108" w:name="_Toc52957078"/>
      <w:r>
        <w:rPr>
          <w:rStyle w:val="CharSectno"/>
        </w:rPr>
        <w:t>19M</w:t>
      </w:r>
      <w:r>
        <w:t>.</w:t>
      </w:r>
      <w:r>
        <w:tab/>
        <w:t>Election to retain right to seek common law damages</w:t>
      </w:r>
      <w:bookmarkEnd w:id="108"/>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w:t>
      </w:r>
    </w:p>
    <w:p>
      <w:pPr>
        <w:pStyle w:val="Footnotesection"/>
      </w:pPr>
      <w:r>
        <w:tab/>
        <w:t>[Regulation 19M inserted: Gazette 14 Dec 1999 p. 6147</w:t>
      </w:r>
      <w:r>
        <w:noBreakHyphen/>
        <w:t>8; amended: Gazette 17 Nov 2000 p. 6313</w:t>
      </w:r>
      <w:r>
        <w:noBreakHyphen/>
        <w:t>14.]</w:t>
      </w:r>
    </w:p>
    <w:p>
      <w:pPr>
        <w:pStyle w:val="Heading5"/>
      </w:pPr>
      <w:bookmarkStart w:id="109" w:name="_Toc52957079"/>
      <w:r>
        <w:rPr>
          <w:rStyle w:val="CharSectno"/>
        </w:rPr>
        <w:t>19N</w:t>
      </w:r>
      <w:r>
        <w:t>.</w:t>
      </w:r>
      <w:r>
        <w:tab/>
        <w:t>Extension of time to make election under Act s. 93E(3)(b)</w:t>
      </w:r>
      <w:bookmarkEnd w:id="109"/>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Gazette 14 Dec 1999 p. 6149</w:t>
      </w:r>
      <w:r>
        <w:noBreakHyphen/>
        <w:t>50; amended: Gazette 17 Nov 2000 p. 6314</w:t>
      </w:r>
      <w:r>
        <w:noBreakHyphen/>
        <w:t>16; 28 Oct 2005 p. 4911.]</w:t>
      </w:r>
    </w:p>
    <w:p>
      <w:pPr>
        <w:pStyle w:val="Heading5"/>
      </w:pPr>
      <w:bookmarkStart w:id="110" w:name="_Toc52957080"/>
      <w:r>
        <w:rPr>
          <w:rStyle w:val="CharSectno"/>
        </w:rPr>
        <w:t>19O</w:t>
      </w:r>
      <w:r>
        <w:t>.</w:t>
      </w:r>
      <w:r>
        <w:tab/>
        <w:t>Application for compensation</w:t>
      </w:r>
      <w:bookmarkEnd w:id="110"/>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Gazette 15 Oct 1999 p. 4892; amended: Gazette 28 Oct 2005 p. 4886; 18 Nov 2011 p. 4823.]</w:t>
      </w:r>
    </w:p>
    <w:p>
      <w:pPr>
        <w:pStyle w:val="Heading5"/>
      </w:pPr>
      <w:bookmarkStart w:id="111" w:name="_Toc52957081"/>
      <w:r>
        <w:rPr>
          <w:rStyle w:val="CharSectno"/>
        </w:rPr>
        <w:t>19P</w:t>
      </w:r>
      <w:r>
        <w:t>.</w:t>
      </w:r>
      <w:r>
        <w:tab/>
        <w:t>Notification to workers about elections as to common law damages</w:t>
      </w:r>
      <w:bookmarkEnd w:id="111"/>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Gazette 14 Dec 1999 p. 6150</w:t>
      </w:r>
      <w:r>
        <w:noBreakHyphen/>
        <w:t>1; amended: Gazette 17 Nov 2000 p. 6316</w:t>
      </w:r>
      <w:r>
        <w:noBreakHyphen/>
        <w:t>17; 21 Jan 2005 p. 276; 28 Oct 2005 p. 4886.]</w:t>
      </w:r>
    </w:p>
    <w:p>
      <w:pPr>
        <w:pStyle w:val="Heading3"/>
      </w:pPr>
      <w:bookmarkStart w:id="112" w:name="_Toc52869296"/>
      <w:bookmarkStart w:id="113" w:name="_Toc52871274"/>
      <w:bookmarkStart w:id="114" w:name="_Toc52957082"/>
      <w:r>
        <w:rPr>
          <w:rStyle w:val="CharDivNo"/>
        </w:rPr>
        <w:t>Division 2</w:t>
      </w:r>
      <w:r>
        <w:t> — </w:t>
      </w:r>
      <w:r>
        <w:rPr>
          <w:rStyle w:val="CharDivText"/>
        </w:rPr>
        <w:t>2004 scheme</w:t>
      </w:r>
      <w:bookmarkEnd w:id="112"/>
      <w:bookmarkEnd w:id="113"/>
      <w:bookmarkEnd w:id="114"/>
    </w:p>
    <w:p>
      <w:pPr>
        <w:pStyle w:val="Footnoteheading"/>
        <w:tabs>
          <w:tab w:val="left" w:pos="851"/>
        </w:tabs>
      </w:pPr>
      <w:r>
        <w:rPr>
          <w:snapToGrid w:val="0"/>
        </w:rPr>
        <w:tab/>
        <w:t>[</w:t>
      </w:r>
      <w:r>
        <w:t>Heading inserted: Gazette 28 Oct 2005 p. 4887.]</w:t>
      </w:r>
    </w:p>
    <w:p>
      <w:pPr>
        <w:pStyle w:val="Heading5"/>
        <w:spacing w:before="120"/>
      </w:pPr>
      <w:bookmarkStart w:id="115" w:name="_Toc52957083"/>
      <w:r>
        <w:rPr>
          <w:rStyle w:val="CharSectno"/>
        </w:rPr>
        <w:t>20</w:t>
      </w:r>
      <w:r>
        <w:t>.</w:t>
      </w:r>
      <w:r>
        <w:tab/>
        <w:t>Recording agreement</w:t>
      </w:r>
      <w:bookmarkEnd w:id="115"/>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Gazette 28 Oct 2005 p. 4887</w:t>
      </w:r>
      <w:r>
        <w:noBreakHyphen/>
        <w:t>8.]</w:t>
      </w:r>
    </w:p>
    <w:p>
      <w:pPr>
        <w:pStyle w:val="Heading5"/>
      </w:pPr>
      <w:bookmarkStart w:id="116" w:name="_Toc52957084"/>
      <w:r>
        <w:rPr>
          <w:rStyle w:val="CharSectno"/>
        </w:rPr>
        <w:t>21</w:t>
      </w:r>
      <w:r>
        <w:t>.</w:t>
      </w:r>
      <w:r>
        <w:tab/>
        <w:t>Recording assessment</w:t>
      </w:r>
      <w:bookmarkEnd w:id="116"/>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Gazette 28 Oct 2005 p. 4888</w:t>
      </w:r>
      <w:r>
        <w:noBreakHyphen/>
        <w:t>9.]</w:t>
      </w:r>
    </w:p>
    <w:p>
      <w:pPr>
        <w:pStyle w:val="Heading5"/>
      </w:pPr>
      <w:bookmarkStart w:id="117" w:name="_Toc52957085"/>
      <w:r>
        <w:rPr>
          <w:rStyle w:val="CharSectno"/>
        </w:rPr>
        <w:t>22</w:t>
      </w:r>
      <w:r>
        <w:t>.</w:t>
      </w:r>
      <w:r>
        <w:tab/>
        <w:t>Electing to retain right to seek damages</w:t>
      </w:r>
      <w:bookmarkEnd w:id="117"/>
    </w:p>
    <w:p>
      <w:pPr>
        <w:pStyle w:val="Subsection"/>
      </w:pPr>
      <w:r>
        <w:tab/>
        <w:t>(1)</w:t>
      </w:r>
      <w:r>
        <w:tab/>
        <w:t>An election under section 93K(4)(a) of the Act is made by completing an election form in the form of Form 34 in Appendix I and lodging it in accordance with regulation 57.</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as soon as practicable after the election form is lodged;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Gazette 28 Oct 2005 p. 4889; amended: SL 2020/149 r. 6.]</w:t>
      </w:r>
    </w:p>
    <w:p>
      <w:pPr>
        <w:pStyle w:val="Ednotesection"/>
      </w:pPr>
      <w:r>
        <w:t>[</w:t>
      </w:r>
      <w:r>
        <w:rPr>
          <w:b/>
        </w:rPr>
        <w:t>23.</w:t>
      </w:r>
      <w:r>
        <w:tab/>
        <w:t>Deleted: SL 2020/188 r. 14.]</w:t>
      </w:r>
    </w:p>
    <w:p>
      <w:pPr>
        <w:pStyle w:val="Heading5"/>
        <w:spacing w:before="180"/>
      </w:pPr>
      <w:bookmarkStart w:id="118" w:name="_Toc52957086"/>
      <w:r>
        <w:rPr>
          <w:rStyle w:val="CharSectno"/>
        </w:rPr>
        <w:t>24</w:t>
      </w:r>
      <w:r>
        <w:t>.</w:t>
      </w:r>
      <w:r>
        <w:tab/>
        <w:t>Expected time for approved medical specialist to give assessment documents</w:t>
      </w:r>
      <w:bookmarkEnd w:id="118"/>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Gazette 28 Oct 2005 p. 4892.]</w:t>
      </w:r>
    </w:p>
    <w:p>
      <w:pPr>
        <w:pStyle w:val="Heading5"/>
        <w:spacing w:before="180"/>
      </w:pPr>
      <w:bookmarkStart w:id="119" w:name="_Toc52957087"/>
      <w:r>
        <w:rPr>
          <w:rStyle w:val="CharSectno"/>
        </w:rPr>
        <w:t>25</w:t>
      </w:r>
      <w:r>
        <w:t>.</w:t>
      </w:r>
      <w:r>
        <w:tab/>
        <w:t>Employer’s obligation to notify worker</w:t>
      </w:r>
      <w:bookmarkEnd w:id="119"/>
    </w:p>
    <w:p>
      <w:pPr>
        <w:pStyle w:val="Subsection"/>
        <w:keepNext/>
        <w:spacing w:before="120"/>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Gazette 28 Oct 2005 p. 4893.]</w:t>
      </w:r>
    </w:p>
    <w:p>
      <w:pPr>
        <w:pStyle w:val="Heading2"/>
      </w:pPr>
      <w:bookmarkStart w:id="120" w:name="_Toc52869303"/>
      <w:bookmarkStart w:id="121" w:name="_Toc52871280"/>
      <w:bookmarkStart w:id="122" w:name="_Toc52957088"/>
      <w:r>
        <w:rPr>
          <w:rStyle w:val="CharPartNo"/>
        </w:rPr>
        <w:t>Part 4</w:t>
      </w:r>
      <w:r>
        <w:rPr>
          <w:b w:val="0"/>
        </w:rPr>
        <w:t> </w:t>
      </w:r>
      <w:r>
        <w:t>—</w:t>
      </w:r>
      <w:r>
        <w:rPr>
          <w:b w:val="0"/>
        </w:rPr>
        <w:t> </w:t>
      </w:r>
      <w:r>
        <w:rPr>
          <w:rStyle w:val="CharPartText"/>
        </w:rPr>
        <w:t>Registered agents</w:t>
      </w:r>
      <w:bookmarkEnd w:id="120"/>
      <w:bookmarkEnd w:id="121"/>
      <w:bookmarkEnd w:id="122"/>
    </w:p>
    <w:p>
      <w:pPr>
        <w:pStyle w:val="Footnoteheading"/>
        <w:tabs>
          <w:tab w:val="left" w:pos="851"/>
        </w:tabs>
      </w:pPr>
      <w:r>
        <w:rPr>
          <w:snapToGrid w:val="0"/>
        </w:rPr>
        <w:tab/>
        <w:t>[</w:t>
      </w:r>
      <w:r>
        <w:t>Heading inserted: Gazette 28 Oct 2005 p. 4893.]</w:t>
      </w:r>
    </w:p>
    <w:p>
      <w:pPr>
        <w:pStyle w:val="Heading3"/>
      </w:pPr>
      <w:bookmarkStart w:id="123" w:name="_Toc52869304"/>
      <w:bookmarkStart w:id="124" w:name="_Toc52871281"/>
      <w:bookmarkStart w:id="125" w:name="_Toc52957089"/>
      <w:r>
        <w:rPr>
          <w:rStyle w:val="CharDivNo"/>
        </w:rPr>
        <w:t>Division 1</w:t>
      </w:r>
      <w:r>
        <w:t> — </w:t>
      </w:r>
      <w:r>
        <w:rPr>
          <w:rStyle w:val="CharDivText"/>
        </w:rPr>
        <w:t>Preliminary</w:t>
      </w:r>
      <w:bookmarkEnd w:id="123"/>
      <w:bookmarkEnd w:id="124"/>
      <w:bookmarkEnd w:id="125"/>
    </w:p>
    <w:p>
      <w:pPr>
        <w:pStyle w:val="Footnoteheading"/>
        <w:tabs>
          <w:tab w:val="left" w:pos="851"/>
        </w:tabs>
      </w:pPr>
      <w:r>
        <w:rPr>
          <w:snapToGrid w:val="0"/>
        </w:rPr>
        <w:tab/>
        <w:t>[</w:t>
      </w:r>
      <w:r>
        <w:t>Heading inserted: Gazette 28 Oct 2005 p. 4893.]</w:t>
      </w:r>
    </w:p>
    <w:p>
      <w:pPr>
        <w:pStyle w:val="Heading5"/>
      </w:pPr>
      <w:bookmarkStart w:id="126" w:name="_Toc52957090"/>
      <w:r>
        <w:rPr>
          <w:rStyle w:val="CharSectno"/>
        </w:rPr>
        <w:t>26</w:t>
      </w:r>
      <w:r>
        <w:t>.</w:t>
      </w:r>
      <w:r>
        <w:tab/>
        <w:t>Terms used</w:t>
      </w:r>
      <w:bookmarkEnd w:id="126"/>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Gazette 28 Oct 2005 p. 4893; amended: Gazette 9 Dec 2005 p. 5892.]</w:t>
      </w:r>
    </w:p>
    <w:p>
      <w:pPr>
        <w:pStyle w:val="Heading5"/>
      </w:pPr>
      <w:bookmarkStart w:id="127" w:name="_Toc52957091"/>
      <w:r>
        <w:rPr>
          <w:rStyle w:val="CharSectno"/>
        </w:rPr>
        <w:t>27</w:t>
      </w:r>
      <w:r>
        <w:t>.</w:t>
      </w:r>
      <w:r>
        <w:tab/>
        <w:t>Prescribed organisations (Act s. 277(1)(e))</w:t>
      </w:r>
      <w:bookmarkEnd w:id="127"/>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Gazette 9 Dec 2005 p. 5892.]</w:t>
      </w:r>
    </w:p>
    <w:p>
      <w:pPr>
        <w:pStyle w:val="Heading5"/>
      </w:pPr>
      <w:bookmarkStart w:id="128" w:name="_Toc52957092"/>
      <w:r>
        <w:rPr>
          <w:rStyle w:val="CharSectno"/>
        </w:rPr>
        <w:t>27A</w:t>
      </w:r>
      <w:r>
        <w:t>.</w:t>
      </w:r>
      <w:r>
        <w:tab/>
        <w:t>Prescribed classes of persons (Act s. 277(1)(f))</w:t>
      </w:r>
      <w:bookmarkEnd w:id="128"/>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Gazette 9 Dec 2005 p. 5892</w:t>
      </w:r>
      <w:r>
        <w:noBreakHyphen/>
        <w:t>3; amended: Gazette 18 Nov 2011 p. 4823.]</w:t>
      </w:r>
    </w:p>
    <w:p>
      <w:pPr>
        <w:pStyle w:val="Heading3"/>
      </w:pPr>
      <w:bookmarkStart w:id="129" w:name="_Toc52869308"/>
      <w:bookmarkStart w:id="130" w:name="_Toc52871285"/>
      <w:bookmarkStart w:id="131" w:name="_Toc52957093"/>
      <w:r>
        <w:rPr>
          <w:rStyle w:val="CharDivNo"/>
        </w:rPr>
        <w:t>Division 2</w:t>
      </w:r>
      <w:r>
        <w:t xml:space="preserve"> — </w:t>
      </w:r>
      <w:r>
        <w:rPr>
          <w:rStyle w:val="CharDivText"/>
        </w:rPr>
        <w:t>Registration and renewal</w:t>
      </w:r>
      <w:bookmarkEnd w:id="129"/>
      <w:bookmarkEnd w:id="130"/>
      <w:bookmarkEnd w:id="131"/>
    </w:p>
    <w:p>
      <w:pPr>
        <w:pStyle w:val="Footnoteheading"/>
        <w:tabs>
          <w:tab w:val="left" w:pos="851"/>
        </w:tabs>
      </w:pPr>
      <w:r>
        <w:rPr>
          <w:snapToGrid w:val="0"/>
        </w:rPr>
        <w:tab/>
        <w:t>[</w:t>
      </w:r>
      <w:r>
        <w:t>Heading inserted: Gazette 28 Oct 2005 p. 4894.]</w:t>
      </w:r>
    </w:p>
    <w:p>
      <w:pPr>
        <w:pStyle w:val="Heading5"/>
      </w:pPr>
      <w:bookmarkStart w:id="132" w:name="_Toc52957094"/>
      <w:r>
        <w:rPr>
          <w:rStyle w:val="CharSectno"/>
        </w:rPr>
        <w:t>28</w:t>
      </w:r>
      <w:r>
        <w:t>.</w:t>
      </w:r>
      <w:r>
        <w:tab/>
        <w:t>Application for registration</w:t>
      </w:r>
      <w:bookmarkEnd w:id="132"/>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The applicant must provide WorkCover WA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Gazette 28 Oct 2005 p. 4894</w:t>
      </w:r>
      <w:r>
        <w:noBreakHyphen/>
        <w:t>5; amended: Gazette 9 Dec 2005 p. 5893</w:t>
      </w:r>
      <w:r>
        <w:noBreakHyphen/>
        <w:t>4.]</w:t>
      </w:r>
    </w:p>
    <w:p>
      <w:pPr>
        <w:pStyle w:val="Heading5"/>
      </w:pPr>
      <w:bookmarkStart w:id="133" w:name="_Toc52957095"/>
      <w:r>
        <w:rPr>
          <w:rStyle w:val="CharSectno"/>
        </w:rPr>
        <w:t>29</w:t>
      </w:r>
      <w:r>
        <w:t>.</w:t>
      </w:r>
      <w:r>
        <w:tab/>
        <w:t>Registration</w:t>
      </w:r>
      <w:bookmarkEnd w:id="133"/>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Gazette 28 Oct 2005 p. 4895; amended: Gazette 9 Dec 2005 p. 5894</w:t>
      </w:r>
      <w:r>
        <w:noBreakHyphen/>
        <w:t>5.]</w:t>
      </w:r>
    </w:p>
    <w:p>
      <w:pPr>
        <w:pStyle w:val="Heading5"/>
      </w:pPr>
      <w:bookmarkStart w:id="134" w:name="_Toc52957096"/>
      <w:r>
        <w:rPr>
          <w:rStyle w:val="CharSectno"/>
        </w:rPr>
        <w:t>30</w:t>
      </w:r>
      <w:r>
        <w:t>.</w:t>
      </w:r>
      <w:r>
        <w:tab/>
        <w:t>Indemnity and other conditions of registration</w:t>
      </w:r>
      <w:bookmarkEnd w:id="134"/>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Gazette 28 Oct 2005 p. 4895</w:t>
      </w:r>
      <w:r>
        <w:noBreakHyphen/>
        <w:t>6; amended: Gazette 9 Dec 2005 p. 5895.]</w:t>
      </w:r>
    </w:p>
    <w:p>
      <w:pPr>
        <w:pStyle w:val="Heading5"/>
      </w:pPr>
      <w:bookmarkStart w:id="135" w:name="_Toc52957097"/>
      <w:r>
        <w:rPr>
          <w:rStyle w:val="CharSectno"/>
        </w:rPr>
        <w:t>31</w:t>
      </w:r>
      <w:r>
        <w:t>.</w:t>
      </w:r>
      <w:r>
        <w:tab/>
        <w:t>Duration of registration</w:t>
      </w:r>
      <w:bookmarkEnd w:id="135"/>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Gazette 28 Oct 2005 p. 4896.]</w:t>
      </w:r>
    </w:p>
    <w:p>
      <w:pPr>
        <w:pStyle w:val="Heading5"/>
        <w:keepNext w:val="0"/>
        <w:keepLines w:val="0"/>
        <w:spacing w:before="180"/>
      </w:pPr>
      <w:bookmarkStart w:id="136" w:name="_Toc52957098"/>
      <w:r>
        <w:rPr>
          <w:rStyle w:val="CharSectno"/>
        </w:rPr>
        <w:t>32</w:t>
      </w:r>
      <w:r>
        <w:t>.</w:t>
      </w:r>
      <w:r>
        <w:tab/>
        <w:t>Application for renewal of registration</w:t>
      </w:r>
      <w:bookmarkEnd w:id="136"/>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Gazette 28 Oct 2005 p. 4896</w:t>
      </w:r>
      <w:r>
        <w:noBreakHyphen/>
        <w:t>7; amended: Gazette 9 Dec 2005 p. 5895</w:t>
      </w:r>
      <w:r>
        <w:noBreakHyphen/>
        <w:t>6.]</w:t>
      </w:r>
    </w:p>
    <w:p>
      <w:pPr>
        <w:pStyle w:val="Heading5"/>
      </w:pPr>
      <w:bookmarkStart w:id="137" w:name="_Toc52957099"/>
      <w:r>
        <w:rPr>
          <w:rStyle w:val="CharSectno"/>
        </w:rPr>
        <w:t>33</w:t>
      </w:r>
      <w:r>
        <w:t>.</w:t>
      </w:r>
      <w:r>
        <w:tab/>
        <w:t>Certificate of registration</w:t>
      </w:r>
      <w:bookmarkEnd w:id="137"/>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Gazette 28 Oct 2005 p. 4897.]</w:t>
      </w:r>
    </w:p>
    <w:p>
      <w:pPr>
        <w:pStyle w:val="Heading5"/>
      </w:pPr>
      <w:bookmarkStart w:id="138" w:name="_Toc52957100"/>
      <w:r>
        <w:rPr>
          <w:rStyle w:val="CharSectno"/>
        </w:rPr>
        <w:t>34</w:t>
      </w:r>
      <w:r>
        <w:t>.</w:t>
      </w:r>
      <w:r>
        <w:tab/>
        <w:t>False or misleading information</w:t>
      </w:r>
      <w:bookmarkEnd w:id="138"/>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Gazette 28 Oct 2005 p. 4897.]</w:t>
      </w:r>
    </w:p>
    <w:p>
      <w:pPr>
        <w:pStyle w:val="Heading3"/>
      </w:pPr>
      <w:bookmarkStart w:id="139" w:name="_Toc52869316"/>
      <w:bookmarkStart w:id="140" w:name="_Toc52871293"/>
      <w:bookmarkStart w:id="141" w:name="_Toc52957101"/>
      <w:r>
        <w:rPr>
          <w:rStyle w:val="CharDivNo"/>
        </w:rPr>
        <w:t>Division 3</w:t>
      </w:r>
      <w:r>
        <w:t> — </w:t>
      </w:r>
      <w:r>
        <w:rPr>
          <w:rStyle w:val="CharDivText"/>
        </w:rPr>
        <w:t>The register</w:t>
      </w:r>
      <w:bookmarkEnd w:id="139"/>
      <w:bookmarkEnd w:id="140"/>
      <w:bookmarkEnd w:id="141"/>
    </w:p>
    <w:p>
      <w:pPr>
        <w:pStyle w:val="Footnoteheading"/>
        <w:tabs>
          <w:tab w:val="left" w:pos="851"/>
        </w:tabs>
      </w:pPr>
      <w:r>
        <w:rPr>
          <w:snapToGrid w:val="0"/>
        </w:rPr>
        <w:tab/>
        <w:t>[</w:t>
      </w:r>
      <w:r>
        <w:t>Heading inserted: Gazette 28 Oct 2005 p. 4898.]</w:t>
      </w:r>
    </w:p>
    <w:p>
      <w:pPr>
        <w:pStyle w:val="Heading5"/>
      </w:pPr>
      <w:bookmarkStart w:id="142" w:name="_Toc52957102"/>
      <w:r>
        <w:rPr>
          <w:rStyle w:val="CharSectno"/>
        </w:rPr>
        <w:t>35</w:t>
      </w:r>
      <w:r>
        <w:t>.</w:t>
      </w:r>
      <w:r>
        <w:tab/>
        <w:t>Register</w:t>
      </w:r>
      <w:bookmarkEnd w:id="142"/>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Gazette 28 Oct 2005 p. 4898; amended: Gazette 9 Dec 2005 p. 5896.]</w:t>
      </w:r>
    </w:p>
    <w:p>
      <w:pPr>
        <w:pStyle w:val="Heading5"/>
      </w:pPr>
      <w:bookmarkStart w:id="143" w:name="_Toc52957103"/>
      <w:r>
        <w:rPr>
          <w:rStyle w:val="CharSectno"/>
        </w:rPr>
        <w:t>36</w:t>
      </w:r>
      <w:r>
        <w:t>.</w:t>
      </w:r>
      <w:r>
        <w:tab/>
        <w:t>Removal from register</w:t>
      </w:r>
      <w:bookmarkEnd w:id="143"/>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Gazette 28 Oct 2005 p. 4898</w:t>
      </w:r>
      <w:r>
        <w:noBreakHyphen/>
        <w:t>9.]</w:t>
      </w:r>
    </w:p>
    <w:p>
      <w:pPr>
        <w:pStyle w:val="Heading3"/>
      </w:pPr>
      <w:bookmarkStart w:id="144" w:name="_Toc52869319"/>
      <w:bookmarkStart w:id="145" w:name="_Toc52871296"/>
      <w:bookmarkStart w:id="146" w:name="_Toc52957104"/>
      <w:r>
        <w:rPr>
          <w:rStyle w:val="CharDivNo"/>
        </w:rPr>
        <w:t>Division 4</w:t>
      </w:r>
      <w:r>
        <w:t> — </w:t>
      </w:r>
      <w:r>
        <w:rPr>
          <w:rStyle w:val="CharDivText"/>
        </w:rPr>
        <w:t>Disciplinary powers</w:t>
      </w:r>
      <w:bookmarkEnd w:id="144"/>
      <w:bookmarkEnd w:id="145"/>
      <w:bookmarkEnd w:id="146"/>
    </w:p>
    <w:p>
      <w:pPr>
        <w:pStyle w:val="Footnoteheading"/>
        <w:tabs>
          <w:tab w:val="left" w:pos="851"/>
        </w:tabs>
      </w:pPr>
      <w:r>
        <w:rPr>
          <w:snapToGrid w:val="0"/>
        </w:rPr>
        <w:tab/>
        <w:t>[</w:t>
      </w:r>
      <w:r>
        <w:t>Heading inserted: Gazette 28 Oct 2005 p. 4899.]</w:t>
      </w:r>
    </w:p>
    <w:p>
      <w:pPr>
        <w:pStyle w:val="Heading5"/>
      </w:pPr>
      <w:bookmarkStart w:id="147" w:name="_Toc52957105"/>
      <w:r>
        <w:rPr>
          <w:rStyle w:val="CharSectno"/>
        </w:rPr>
        <w:t>37</w:t>
      </w:r>
      <w:r>
        <w:t>.</w:t>
      </w:r>
      <w:r>
        <w:tab/>
        <w:t>Restriction on exercise of powers</w:t>
      </w:r>
      <w:bookmarkEnd w:id="147"/>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Gazette 28 Oct 2005 p. 4899; amended: Gazette 9 Dec 2005 p. 5896.]</w:t>
      </w:r>
    </w:p>
    <w:p>
      <w:pPr>
        <w:pStyle w:val="Heading5"/>
      </w:pPr>
      <w:bookmarkStart w:id="148" w:name="_Toc52957106"/>
      <w:r>
        <w:rPr>
          <w:rStyle w:val="CharSectno"/>
        </w:rPr>
        <w:t>38</w:t>
      </w:r>
      <w:r>
        <w:t>.</w:t>
      </w:r>
      <w:r>
        <w:tab/>
        <w:t>Cancellation of registration</w:t>
      </w:r>
      <w:bookmarkEnd w:id="148"/>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Gazette 28 Oct 2005 p. 4899.]</w:t>
      </w:r>
    </w:p>
    <w:p>
      <w:pPr>
        <w:pStyle w:val="Heading5"/>
      </w:pPr>
      <w:bookmarkStart w:id="149" w:name="_Toc52957107"/>
      <w:r>
        <w:rPr>
          <w:rStyle w:val="CharSectno"/>
        </w:rPr>
        <w:t>39</w:t>
      </w:r>
      <w:r>
        <w:t>.</w:t>
      </w:r>
      <w:r>
        <w:tab/>
        <w:t>Taking disciplinary action</w:t>
      </w:r>
      <w:bookmarkEnd w:id="149"/>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Gazette 28 Oct 2005 p. 4899</w:t>
      </w:r>
      <w:r>
        <w:noBreakHyphen/>
        <w:t>900.]</w:t>
      </w:r>
    </w:p>
    <w:p>
      <w:pPr>
        <w:pStyle w:val="Heading5"/>
      </w:pPr>
      <w:bookmarkStart w:id="150" w:name="_Toc52957108"/>
      <w:r>
        <w:rPr>
          <w:rStyle w:val="CharSectno"/>
        </w:rPr>
        <w:t>40</w:t>
      </w:r>
      <w:r>
        <w:t>.</w:t>
      </w:r>
      <w:r>
        <w:tab/>
        <w:t>Return of certificate of registration</w:t>
      </w:r>
      <w:bookmarkEnd w:id="150"/>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Gazette 28 Oct 2005 p. 4900.]</w:t>
      </w:r>
    </w:p>
    <w:p>
      <w:pPr>
        <w:pStyle w:val="Heading3"/>
      </w:pPr>
      <w:bookmarkStart w:id="151" w:name="_Toc52869324"/>
      <w:bookmarkStart w:id="152" w:name="_Toc52871301"/>
      <w:bookmarkStart w:id="153" w:name="_Toc52957109"/>
      <w:r>
        <w:rPr>
          <w:rStyle w:val="CharDivNo"/>
        </w:rPr>
        <w:t>Division 5</w:t>
      </w:r>
      <w:r>
        <w:t> — </w:t>
      </w:r>
      <w:r>
        <w:rPr>
          <w:rStyle w:val="CharDivText"/>
        </w:rPr>
        <w:t>Review</w:t>
      </w:r>
      <w:bookmarkEnd w:id="151"/>
      <w:bookmarkEnd w:id="152"/>
      <w:bookmarkEnd w:id="153"/>
    </w:p>
    <w:p>
      <w:pPr>
        <w:pStyle w:val="Footnoteheading"/>
        <w:tabs>
          <w:tab w:val="left" w:pos="851"/>
        </w:tabs>
      </w:pPr>
      <w:r>
        <w:rPr>
          <w:snapToGrid w:val="0"/>
        </w:rPr>
        <w:tab/>
        <w:t>[</w:t>
      </w:r>
      <w:r>
        <w:t>Heading inserted: Gazette 28 Oct 2005 p. 4900.]</w:t>
      </w:r>
    </w:p>
    <w:p>
      <w:pPr>
        <w:pStyle w:val="Heading5"/>
      </w:pPr>
      <w:bookmarkStart w:id="154" w:name="_Toc52957110"/>
      <w:r>
        <w:rPr>
          <w:rStyle w:val="CharSectno"/>
        </w:rPr>
        <w:t>41</w:t>
      </w:r>
      <w:r>
        <w:t>.</w:t>
      </w:r>
      <w:r>
        <w:tab/>
        <w:t>Review by SAT</w:t>
      </w:r>
      <w:bookmarkEnd w:id="154"/>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Gazette 28 Oct 2005 p. 4900.]</w:t>
      </w:r>
    </w:p>
    <w:p>
      <w:pPr>
        <w:pStyle w:val="Heading3"/>
      </w:pPr>
      <w:bookmarkStart w:id="155" w:name="_Toc52869326"/>
      <w:bookmarkStart w:id="156" w:name="_Toc52871303"/>
      <w:bookmarkStart w:id="157" w:name="_Toc52957111"/>
      <w:r>
        <w:rPr>
          <w:rStyle w:val="CharDivNo"/>
        </w:rPr>
        <w:t>Division 6</w:t>
      </w:r>
      <w:r>
        <w:t> — </w:t>
      </w:r>
      <w:r>
        <w:rPr>
          <w:rStyle w:val="CharDivText"/>
        </w:rPr>
        <w:t>Miscellaneous</w:t>
      </w:r>
      <w:bookmarkEnd w:id="155"/>
      <w:bookmarkEnd w:id="156"/>
      <w:bookmarkEnd w:id="157"/>
    </w:p>
    <w:p>
      <w:pPr>
        <w:pStyle w:val="Footnoteheading"/>
        <w:tabs>
          <w:tab w:val="left" w:pos="851"/>
        </w:tabs>
      </w:pPr>
      <w:r>
        <w:rPr>
          <w:snapToGrid w:val="0"/>
        </w:rPr>
        <w:tab/>
        <w:t>[</w:t>
      </w:r>
      <w:r>
        <w:t>Heading inserted: Gazette 28 Oct 2005 p. 4901.]</w:t>
      </w:r>
    </w:p>
    <w:p>
      <w:pPr>
        <w:pStyle w:val="Heading5"/>
      </w:pPr>
      <w:bookmarkStart w:id="158" w:name="_Toc52957112"/>
      <w:r>
        <w:rPr>
          <w:rStyle w:val="CharSectno"/>
        </w:rPr>
        <w:t>42</w:t>
      </w:r>
      <w:r>
        <w:t>.</w:t>
      </w:r>
      <w:r>
        <w:tab/>
        <w:t>Evidentiary matters</w:t>
      </w:r>
      <w:bookmarkEnd w:id="15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Gazette 28 Oct 2005 p. 4901.]</w:t>
      </w:r>
    </w:p>
    <w:p>
      <w:pPr>
        <w:pStyle w:val="Ednotesection"/>
      </w:pPr>
      <w:r>
        <w:t>[</w:t>
      </w:r>
      <w:r>
        <w:rPr>
          <w:b/>
        </w:rPr>
        <w:t>43.</w:t>
      </w:r>
      <w:r>
        <w:tab/>
        <w:t xml:space="preserve">Deleted: Gazette 18 Nov 2011 p. 4823.] </w:t>
      </w:r>
    </w:p>
    <w:p>
      <w:pPr>
        <w:pStyle w:val="Heading2"/>
      </w:pPr>
      <w:bookmarkStart w:id="159" w:name="_Toc52869328"/>
      <w:bookmarkStart w:id="160" w:name="_Toc52871305"/>
      <w:bookmarkStart w:id="161" w:name="_Toc52957113"/>
      <w:r>
        <w:rPr>
          <w:rStyle w:val="CharPartNo"/>
        </w:rPr>
        <w:t>Part 5</w:t>
      </w:r>
      <w:r>
        <w:rPr>
          <w:rStyle w:val="CharDivNo"/>
        </w:rPr>
        <w:t> </w:t>
      </w:r>
      <w:r>
        <w:t>—</w:t>
      </w:r>
      <w:r>
        <w:rPr>
          <w:rStyle w:val="CharDivText"/>
        </w:rPr>
        <w:t> </w:t>
      </w:r>
      <w:r>
        <w:rPr>
          <w:rStyle w:val="CharPartText"/>
        </w:rPr>
        <w:t>Injury management</w:t>
      </w:r>
      <w:bookmarkEnd w:id="159"/>
      <w:bookmarkEnd w:id="160"/>
      <w:bookmarkEnd w:id="161"/>
    </w:p>
    <w:p>
      <w:pPr>
        <w:pStyle w:val="Footnoteheading"/>
        <w:tabs>
          <w:tab w:val="left" w:pos="851"/>
        </w:tabs>
      </w:pPr>
      <w:r>
        <w:rPr>
          <w:snapToGrid w:val="0"/>
        </w:rPr>
        <w:tab/>
        <w:t>[</w:t>
      </w:r>
      <w:r>
        <w:t>Heading inserted: Gazette 28 Oct 2005 p. 4903.]</w:t>
      </w:r>
    </w:p>
    <w:p>
      <w:pPr>
        <w:pStyle w:val="Heading5"/>
      </w:pPr>
      <w:bookmarkStart w:id="162" w:name="_Toc52957114"/>
      <w:r>
        <w:rPr>
          <w:rStyle w:val="CharSectno"/>
        </w:rPr>
        <w:t>44</w:t>
      </w:r>
      <w:r>
        <w:t>.</w:t>
      </w:r>
      <w:r>
        <w:tab/>
        <w:t>Vocational rehabilitation services</w:t>
      </w:r>
      <w:bookmarkEnd w:id="162"/>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Gazette 28 Oct 2005 p. 4903</w:t>
      </w:r>
      <w:r>
        <w:noBreakHyphen/>
        <w:t>5.]</w:t>
      </w:r>
    </w:p>
    <w:p>
      <w:pPr>
        <w:pStyle w:val="Heading5"/>
      </w:pPr>
      <w:bookmarkStart w:id="163" w:name="_Toc52957115"/>
      <w:r>
        <w:rPr>
          <w:rStyle w:val="CharSectno"/>
        </w:rPr>
        <w:t>44A</w:t>
      </w:r>
      <w:r>
        <w:t>.</w:t>
      </w:r>
      <w:r>
        <w:tab/>
        <w:t>Counselling psychology</w:t>
      </w:r>
      <w:bookmarkEnd w:id="163"/>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Gazette 15 Dec 2006 p. 5637.]</w:t>
      </w:r>
    </w:p>
    <w:p>
      <w:pPr>
        <w:pStyle w:val="Heading5"/>
      </w:pPr>
      <w:bookmarkStart w:id="164" w:name="_Toc52957116"/>
      <w:r>
        <w:rPr>
          <w:rStyle w:val="CharSectno"/>
        </w:rPr>
        <w:t>44B</w:t>
      </w:r>
      <w:r>
        <w:t>.</w:t>
      </w:r>
      <w:r>
        <w:tab/>
        <w:t>Exercise physiology</w:t>
      </w:r>
      <w:bookmarkEnd w:id="164"/>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Australia.</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Gazette 17 Dec 2008 p. 5333</w:t>
      </w:r>
      <w:r>
        <w:noBreakHyphen/>
        <w:t>4; amended: Gazette 14 Dec 2012 p. 6209.]</w:t>
      </w:r>
    </w:p>
    <w:p>
      <w:pPr>
        <w:pStyle w:val="Heading5"/>
      </w:pPr>
      <w:bookmarkStart w:id="165" w:name="_Toc52957117"/>
      <w:r>
        <w:rPr>
          <w:rStyle w:val="CharSectno"/>
        </w:rPr>
        <w:t>44C</w:t>
      </w:r>
      <w:r>
        <w:t>.</w:t>
      </w:r>
      <w:r>
        <w:tab/>
        <w:t>Acupuncture</w:t>
      </w:r>
      <w:bookmarkEnd w:id="165"/>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Gazette 20 Mar 2015 p. 910</w:t>
      </w:r>
      <w:r>
        <w:noBreakHyphen/>
        <w:t>11.]</w:t>
      </w:r>
    </w:p>
    <w:p>
      <w:pPr>
        <w:pStyle w:val="Heading5"/>
        <w:spacing w:before="240"/>
      </w:pPr>
      <w:bookmarkStart w:id="166" w:name="_Toc52957118"/>
      <w:r>
        <w:rPr>
          <w:rStyle w:val="CharSectno"/>
        </w:rPr>
        <w:t>45</w:t>
      </w:r>
      <w:r>
        <w:t>.</w:t>
      </w:r>
      <w:r>
        <w:tab/>
        <w:t>Insurer to advise of injury management obligations</w:t>
      </w:r>
      <w:bookmarkEnd w:id="166"/>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Gazette 28 Oct 2005 p. 4905</w:t>
      </w:r>
      <w:r>
        <w:noBreakHyphen/>
        <w:t>6.]</w:t>
      </w:r>
    </w:p>
    <w:p>
      <w:pPr>
        <w:pStyle w:val="Ednotesection"/>
      </w:pPr>
      <w:r>
        <w:t>[</w:t>
      </w:r>
      <w:r>
        <w:rPr>
          <w:b/>
        </w:rPr>
        <w:t>46.</w:t>
      </w:r>
      <w:r>
        <w:tab/>
        <w:t xml:space="preserve">Deleted: Gazette 18 Nov 2011 p. 4823.] </w:t>
      </w:r>
    </w:p>
    <w:p>
      <w:pPr>
        <w:pStyle w:val="Heading2"/>
      </w:pPr>
      <w:bookmarkStart w:id="167" w:name="_Toc52869334"/>
      <w:bookmarkStart w:id="168" w:name="_Toc52871311"/>
      <w:bookmarkStart w:id="169" w:name="_Toc52957119"/>
      <w:r>
        <w:rPr>
          <w:rStyle w:val="CharPartNo"/>
        </w:rPr>
        <w:t>Part 6</w:t>
      </w:r>
      <w:r>
        <w:rPr>
          <w:b w:val="0"/>
        </w:rPr>
        <w:t> </w:t>
      </w:r>
      <w:r>
        <w:t>—</w:t>
      </w:r>
      <w:r>
        <w:rPr>
          <w:b w:val="0"/>
        </w:rPr>
        <w:t> </w:t>
      </w:r>
      <w:r>
        <w:rPr>
          <w:rStyle w:val="CharPartText"/>
        </w:rPr>
        <w:t>Specialised retraining programs</w:t>
      </w:r>
      <w:bookmarkEnd w:id="167"/>
      <w:bookmarkEnd w:id="168"/>
      <w:bookmarkEnd w:id="169"/>
    </w:p>
    <w:p>
      <w:pPr>
        <w:pStyle w:val="Footnoteheading"/>
        <w:tabs>
          <w:tab w:val="left" w:pos="851"/>
        </w:tabs>
      </w:pPr>
      <w:r>
        <w:rPr>
          <w:snapToGrid w:val="0"/>
        </w:rPr>
        <w:tab/>
        <w:t>[</w:t>
      </w:r>
      <w:r>
        <w:t>Heading inserted: Gazette 28 Oct 2005 p. 4907.]</w:t>
      </w:r>
    </w:p>
    <w:p>
      <w:pPr>
        <w:pStyle w:val="Heading5"/>
      </w:pPr>
      <w:bookmarkStart w:id="170" w:name="_Toc52957120"/>
      <w:r>
        <w:rPr>
          <w:rStyle w:val="CharSectno"/>
        </w:rPr>
        <w:t>47</w:t>
      </w:r>
      <w:r>
        <w:t>.</w:t>
      </w:r>
      <w:r>
        <w:tab/>
        <w:t>Recording agreement</w:t>
      </w:r>
      <w:bookmarkEnd w:id="170"/>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Gazette 28 Oct 2005 p. 4907</w:t>
      </w:r>
      <w:r>
        <w:noBreakHyphen/>
        <w:t>8.]</w:t>
      </w:r>
    </w:p>
    <w:p>
      <w:pPr>
        <w:pStyle w:val="Heading5"/>
        <w:spacing w:before="180"/>
      </w:pPr>
      <w:bookmarkStart w:id="171" w:name="_Toc52957121"/>
      <w:r>
        <w:rPr>
          <w:rStyle w:val="CharSectno"/>
        </w:rPr>
        <w:t>48</w:t>
      </w:r>
      <w:r>
        <w:t>.</w:t>
      </w:r>
      <w:r>
        <w:tab/>
        <w:t>Extending final day</w:t>
      </w:r>
      <w:bookmarkEnd w:id="171"/>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Gazette 28 Oct 2005 p. 4908</w:t>
      </w:r>
      <w:r>
        <w:noBreakHyphen/>
        <w:t>9.]</w:t>
      </w:r>
    </w:p>
    <w:p>
      <w:pPr>
        <w:pStyle w:val="Heading5"/>
        <w:spacing w:before="180"/>
      </w:pPr>
      <w:bookmarkStart w:id="172" w:name="_Toc52957122"/>
      <w:r>
        <w:rPr>
          <w:rStyle w:val="CharSectno"/>
        </w:rPr>
        <w:t>49</w:t>
      </w:r>
      <w:r>
        <w:t>.</w:t>
      </w:r>
      <w:r>
        <w:tab/>
        <w:t>Request for WorkCover to direct payment</w:t>
      </w:r>
      <w:bookmarkEnd w:id="172"/>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Gazette 28 Oct 2005 p. 4909</w:t>
      </w:r>
      <w:r>
        <w:noBreakHyphen/>
        <w:t>10.]</w:t>
      </w:r>
    </w:p>
    <w:p>
      <w:pPr>
        <w:pStyle w:val="Heading2"/>
      </w:pPr>
      <w:bookmarkStart w:id="173" w:name="_Toc52869338"/>
      <w:bookmarkStart w:id="174" w:name="_Toc52871315"/>
      <w:bookmarkStart w:id="175" w:name="_Toc52957123"/>
      <w:r>
        <w:rPr>
          <w:rStyle w:val="CharPartNo"/>
        </w:rPr>
        <w:t>Part 7</w:t>
      </w:r>
      <w:r>
        <w:rPr>
          <w:b w:val="0"/>
        </w:rPr>
        <w:t> </w:t>
      </w:r>
      <w:r>
        <w:t>—</w:t>
      </w:r>
      <w:r>
        <w:rPr>
          <w:b w:val="0"/>
        </w:rPr>
        <w:t> </w:t>
      </w:r>
      <w:r>
        <w:rPr>
          <w:rStyle w:val="CharPartText"/>
        </w:rPr>
        <w:t>Infringement notices and modified penalties</w:t>
      </w:r>
      <w:bookmarkEnd w:id="173"/>
      <w:bookmarkEnd w:id="174"/>
      <w:bookmarkEnd w:id="175"/>
    </w:p>
    <w:p>
      <w:pPr>
        <w:pStyle w:val="Footnoteheading"/>
        <w:tabs>
          <w:tab w:val="left" w:pos="851"/>
        </w:tabs>
      </w:pPr>
      <w:r>
        <w:rPr>
          <w:snapToGrid w:val="0"/>
        </w:rPr>
        <w:tab/>
        <w:t>[</w:t>
      </w:r>
      <w:r>
        <w:t>Heading inserted: Gazette 28 Oct 2005 p. 4910.]</w:t>
      </w:r>
    </w:p>
    <w:p>
      <w:pPr>
        <w:pStyle w:val="Heading5"/>
      </w:pPr>
      <w:bookmarkStart w:id="176" w:name="_Toc52957124"/>
      <w:r>
        <w:rPr>
          <w:rStyle w:val="CharSectno"/>
        </w:rPr>
        <w:t>50</w:t>
      </w:r>
      <w:r>
        <w:t>.</w:t>
      </w:r>
      <w:r>
        <w:tab/>
        <w:t>Prescribed offences</w:t>
      </w:r>
      <w:bookmarkEnd w:id="176"/>
    </w:p>
    <w:p>
      <w:pPr>
        <w:pStyle w:val="Subsection"/>
      </w:pPr>
      <w:r>
        <w:tab/>
      </w:r>
      <w:r>
        <w:tab/>
        <w:t>The offences described in Appendix V are the offences for which an infringement notice may be given under section 175G(1) of the Act.</w:t>
      </w:r>
    </w:p>
    <w:p>
      <w:pPr>
        <w:pStyle w:val="Footnotesection"/>
      </w:pPr>
      <w:r>
        <w:tab/>
        <w:t>[Regulation 50 inserted: Gazette 28 Oct 2005 p. 4910.]</w:t>
      </w:r>
    </w:p>
    <w:p>
      <w:pPr>
        <w:pStyle w:val="Heading5"/>
      </w:pPr>
      <w:bookmarkStart w:id="177" w:name="_Toc52957125"/>
      <w:r>
        <w:rPr>
          <w:rStyle w:val="CharSectno"/>
        </w:rPr>
        <w:t>51</w:t>
      </w:r>
      <w:r>
        <w:t>.</w:t>
      </w:r>
      <w:r>
        <w:tab/>
        <w:t>Prescribed modified penalties</w:t>
      </w:r>
      <w:bookmarkEnd w:id="177"/>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Gazette 28 Oct 2005 p. 4910.]</w:t>
      </w:r>
    </w:p>
    <w:p>
      <w:pPr>
        <w:pStyle w:val="Heading5"/>
      </w:pPr>
      <w:bookmarkStart w:id="178" w:name="_Toc52957126"/>
      <w:r>
        <w:rPr>
          <w:rStyle w:val="CharSectno"/>
        </w:rPr>
        <w:t>52</w:t>
      </w:r>
      <w:r>
        <w:t>.</w:t>
      </w:r>
      <w:r>
        <w:tab/>
        <w:t>Prescribed form of infringement notice</w:t>
      </w:r>
      <w:bookmarkEnd w:id="178"/>
    </w:p>
    <w:p>
      <w:pPr>
        <w:pStyle w:val="Subsection"/>
      </w:pPr>
      <w:r>
        <w:tab/>
      </w:r>
      <w:r>
        <w:tab/>
        <w:t>The form of an infringement notice is set out in Appendix I Form 40 for the purposes of section 175H(1) of the Act.</w:t>
      </w:r>
    </w:p>
    <w:p>
      <w:pPr>
        <w:pStyle w:val="Footnotesection"/>
      </w:pPr>
      <w:r>
        <w:tab/>
        <w:t>[Regulation 52 inserted: Gazette 28 Oct 2005 p. 4910.]</w:t>
      </w:r>
    </w:p>
    <w:p>
      <w:pPr>
        <w:pStyle w:val="Heading5"/>
      </w:pPr>
      <w:bookmarkStart w:id="179" w:name="_Toc52957127"/>
      <w:r>
        <w:rPr>
          <w:rStyle w:val="CharSectno"/>
        </w:rPr>
        <w:t>53</w:t>
      </w:r>
      <w:r>
        <w:t>.</w:t>
      </w:r>
      <w:r>
        <w:tab/>
        <w:t>Prescribed form of withdrawal of notice</w:t>
      </w:r>
      <w:bookmarkEnd w:id="179"/>
    </w:p>
    <w:p>
      <w:pPr>
        <w:pStyle w:val="Subsection"/>
      </w:pPr>
      <w:r>
        <w:tab/>
      </w:r>
      <w:r>
        <w:tab/>
        <w:t>The form of a notice to withdraw an infringement notice is set out in Appendix I Form 41 for the purposes of section 175J(1) of the Act.</w:t>
      </w:r>
    </w:p>
    <w:p>
      <w:pPr>
        <w:pStyle w:val="Footnotesection"/>
      </w:pPr>
      <w:r>
        <w:tab/>
        <w:t>[Regulation 53 inserted: Gazette 28 Oct 2005 p. 4911.]</w:t>
      </w:r>
    </w:p>
    <w:p>
      <w:pPr>
        <w:pStyle w:val="Heading2"/>
      </w:pPr>
      <w:bookmarkStart w:id="180" w:name="_Toc52869343"/>
      <w:bookmarkStart w:id="181" w:name="_Toc52871320"/>
      <w:bookmarkStart w:id="182" w:name="_Toc52957128"/>
      <w:r>
        <w:rPr>
          <w:rStyle w:val="CharPartNo"/>
        </w:rPr>
        <w:t>Part 8</w:t>
      </w:r>
      <w:r>
        <w:t> — </w:t>
      </w:r>
      <w:r>
        <w:rPr>
          <w:rStyle w:val="CharPartText"/>
        </w:rPr>
        <w:t>Lodging documents</w:t>
      </w:r>
      <w:bookmarkEnd w:id="180"/>
      <w:bookmarkEnd w:id="181"/>
      <w:bookmarkEnd w:id="182"/>
    </w:p>
    <w:p>
      <w:pPr>
        <w:pStyle w:val="Footnoteheading"/>
      </w:pPr>
      <w:r>
        <w:tab/>
        <w:t>[Heading inserted: SL 2020/149 r. 8.]</w:t>
      </w:r>
    </w:p>
    <w:p>
      <w:pPr>
        <w:pStyle w:val="Heading5"/>
      </w:pPr>
      <w:bookmarkStart w:id="183" w:name="_Toc52957129"/>
      <w:r>
        <w:rPr>
          <w:rStyle w:val="CharSectno"/>
        </w:rPr>
        <w:t>54</w:t>
      </w:r>
      <w:r>
        <w:t>.</w:t>
      </w:r>
      <w:r>
        <w:tab/>
        <w:t>Terms used</w:t>
      </w:r>
      <w:bookmarkEnd w:id="183"/>
    </w:p>
    <w:p>
      <w:pPr>
        <w:pStyle w:val="Subsection"/>
      </w:pPr>
      <w:r>
        <w:tab/>
      </w:r>
      <w:r>
        <w:tab/>
        <w:t>In this Part —</w:t>
      </w:r>
    </w:p>
    <w:p>
      <w:pPr>
        <w:pStyle w:val="Defstart"/>
      </w:pPr>
      <w:r>
        <w:tab/>
      </w:r>
      <w:r>
        <w:rPr>
          <w:rStyle w:val="CharDefText"/>
        </w:rPr>
        <w:t>agreement</w:t>
      </w:r>
      <w:r>
        <w:t xml:space="preserve"> means either — </w:t>
      </w:r>
    </w:p>
    <w:p>
      <w:pPr>
        <w:pStyle w:val="Defpara"/>
      </w:pPr>
      <w:r>
        <w:tab/>
        <w:t>(a)</w:t>
      </w:r>
      <w:r>
        <w:tab/>
        <w:t>an agreement referred to in section 76(1) of the Act; or</w:t>
      </w:r>
    </w:p>
    <w:p>
      <w:pPr>
        <w:pStyle w:val="Defpara"/>
      </w:pPr>
      <w:r>
        <w:tab/>
        <w:t>(b)</w:t>
      </w:r>
      <w:r>
        <w:tab/>
        <w:t>an agreement referred to in section 92(f) of the Act;</w:t>
      </w:r>
    </w:p>
    <w:p>
      <w:pPr>
        <w:pStyle w:val="Defstart"/>
      </w:pPr>
      <w:r>
        <w:tab/>
      </w:r>
      <w:r>
        <w:rPr>
          <w:rStyle w:val="CharDefText"/>
        </w:rPr>
        <w:t>application</w:t>
      </w:r>
      <w:r>
        <w:t xml:space="preserve"> means an application or election made for the purposes of Part IV Division 2 of the Act;</w:t>
      </w:r>
    </w:p>
    <w:p>
      <w:pPr>
        <w:pStyle w:val="Defstart"/>
        <w:rPr>
          <w:szCs w:val="24"/>
        </w:rPr>
      </w:pPr>
      <w:r>
        <w:rPr>
          <w:szCs w:val="24"/>
        </w:rPr>
        <w:tab/>
      </w:r>
      <w:r>
        <w:rPr>
          <w:rStyle w:val="CharDefText"/>
          <w:szCs w:val="24"/>
        </w:rPr>
        <w:t>EDS</w:t>
      </w:r>
      <w:r>
        <w:rPr>
          <w:szCs w:val="24"/>
        </w:rPr>
        <w:t xml:space="preserve"> means the electronic document system operated by or on behalf of the Director that, amongst other things, enables Part 8 documents to be lodged with the Director;</w:t>
      </w:r>
    </w:p>
    <w:p>
      <w:pPr>
        <w:pStyle w:val="Defstart"/>
      </w:pPr>
      <w:r>
        <w:tab/>
      </w:r>
      <w:r>
        <w:rPr>
          <w:rStyle w:val="CharDefText"/>
        </w:rPr>
        <w:t>EDS exempt</w:t>
      </w:r>
      <w:r>
        <w:t>, in relation to an agreement or application, has the meaning given in regulation 56;</w:t>
      </w:r>
    </w:p>
    <w:p>
      <w:pPr>
        <w:pStyle w:val="Defstart"/>
      </w:pPr>
      <w:r>
        <w:tab/>
      </w:r>
      <w:r>
        <w:rPr>
          <w:rStyle w:val="CharDefText"/>
        </w:rPr>
        <w:t>Part 8 document</w:t>
      </w:r>
      <w:r>
        <w:t xml:space="preserve"> means any of the following — </w:t>
      </w:r>
    </w:p>
    <w:p>
      <w:pPr>
        <w:pStyle w:val="Defpara"/>
      </w:pPr>
      <w:r>
        <w:tab/>
        <w:t>(a)</w:t>
      </w:r>
      <w:r>
        <w:tab/>
        <w:t xml:space="preserve">an election, determination, agreement, notice, application or other thing in the form of a Form 1, 1A, 2, 2C, 2CA, 14, 15C, 15D, 15E, 34 or 35 in Appendix I; </w:t>
      </w:r>
    </w:p>
    <w:p>
      <w:pPr>
        <w:pStyle w:val="Defpara"/>
      </w:pPr>
      <w:r>
        <w:tab/>
        <w:t>(b)</w:t>
      </w:r>
      <w:r>
        <w:tab/>
        <w:t>written consent referred to in regulation 12(6);</w:t>
      </w:r>
    </w:p>
    <w:p>
      <w:pPr>
        <w:pStyle w:val="Defpara"/>
      </w:pPr>
      <w:r>
        <w:tab/>
        <w:t>(c)</w:t>
      </w:r>
      <w:r>
        <w:tab/>
        <w:t>a written request referred to in regulation 20 or 21;</w:t>
      </w:r>
    </w:p>
    <w:p>
      <w:pPr>
        <w:pStyle w:val="Defpara"/>
      </w:pPr>
      <w:r>
        <w:tab/>
        <w:t>(d)</w:t>
      </w:r>
      <w:r>
        <w:tab/>
        <w:t xml:space="preserve">a memorandum referred to in section 92(f) of the Act; </w:t>
      </w:r>
    </w:p>
    <w:p>
      <w:pPr>
        <w:pStyle w:val="Defpara"/>
      </w:pPr>
      <w:r>
        <w:tab/>
        <w:t>(e)</w:t>
      </w:r>
      <w:r>
        <w:tab/>
        <w:t>any document accompanying a document referred to in paragraphs (a) to (d);</w:t>
      </w:r>
    </w:p>
    <w:p>
      <w:pPr>
        <w:pStyle w:val="Defpara"/>
      </w:pPr>
      <w:r>
        <w:tab/>
        <w:t>(f)</w:t>
      </w:r>
      <w:r>
        <w:tab/>
        <w:t>any document the Director considers relevant to an agreement or application.</w:t>
      </w:r>
    </w:p>
    <w:p>
      <w:pPr>
        <w:pStyle w:val="Footnotesection"/>
      </w:pPr>
      <w:r>
        <w:tab/>
        <w:t>[Regulation 54 inserted: SL 2020/149 r. 8.]</w:t>
      </w:r>
    </w:p>
    <w:p>
      <w:pPr>
        <w:pStyle w:val="Heading5"/>
      </w:pPr>
      <w:bookmarkStart w:id="184" w:name="_Toc52957130"/>
      <w:r>
        <w:rPr>
          <w:rStyle w:val="CharSectno"/>
        </w:rPr>
        <w:t>55</w:t>
      </w:r>
      <w:r>
        <w:t>.</w:t>
      </w:r>
      <w:r>
        <w:tab/>
        <w:t>Completion of documents</w:t>
      </w:r>
      <w:bookmarkEnd w:id="184"/>
    </w:p>
    <w:p>
      <w:pPr>
        <w:pStyle w:val="Subsection"/>
        <w:keepNext/>
      </w:pPr>
      <w:r>
        <w:tab/>
      </w:r>
      <w:r>
        <w:tab/>
        <w:t xml:space="preserve">Every Part 8 document — </w:t>
      </w:r>
    </w:p>
    <w:p>
      <w:pPr>
        <w:pStyle w:val="Indenta"/>
      </w:pPr>
      <w:r>
        <w:tab/>
        <w:t>(a)</w:t>
      </w:r>
      <w:r>
        <w:tab/>
        <w:t>where relevant, must be clearly written, typed or reproduced; and</w:t>
      </w:r>
    </w:p>
    <w:p>
      <w:pPr>
        <w:pStyle w:val="Indenta"/>
      </w:pPr>
      <w:r>
        <w:tab/>
        <w:t>(b)</w:t>
      </w:r>
      <w:r>
        <w:tab/>
        <w:t xml:space="preserve">must be properly completed. </w:t>
      </w:r>
    </w:p>
    <w:p>
      <w:pPr>
        <w:pStyle w:val="Footnotesection"/>
      </w:pPr>
      <w:r>
        <w:tab/>
        <w:t>[Regulation 55 inserted: SL 2020/149 r. 8.]</w:t>
      </w:r>
    </w:p>
    <w:p>
      <w:pPr>
        <w:pStyle w:val="Heading5"/>
      </w:pPr>
      <w:bookmarkStart w:id="185" w:name="_Toc52957131"/>
      <w:r>
        <w:rPr>
          <w:rStyle w:val="CharSectno"/>
        </w:rPr>
        <w:t>56</w:t>
      </w:r>
      <w:r>
        <w:t>.</w:t>
      </w:r>
      <w:r>
        <w:tab/>
        <w:t>EDS exempt</w:t>
      </w:r>
      <w:bookmarkEnd w:id="185"/>
    </w:p>
    <w:p>
      <w:pPr>
        <w:pStyle w:val="Subsection"/>
      </w:pPr>
      <w:r>
        <w:tab/>
        <w:t>(1)</w:t>
      </w:r>
      <w:r>
        <w:tab/>
        <w:t xml:space="preserve">A person is EDS exempt in relation to an agreement or application at a particular time if, at that time — </w:t>
      </w:r>
    </w:p>
    <w:p>
      <w:pPr>
        <w:pStyle w:val="Indenta"/>
      </w:pPr>
      <w:r>
        <w:tab/>
        <w:t>(a)</w:t>
      </w:r>
      <w:r>
        <w:tab/>
        <w:t xml:space="preserve">the person — </w:t>
      </w:r>
    </w:p>
    <w:p>
      <w:pPr>
        <w:pStyle w:val="Indenti"/>
      </w:pPr>
      <w:r>
        <w:tab/>
        <w:t>(i)</w:t>
      </w:r>
      <w:r>
        <w:tab/>
        <w:t xml:space="preserve">is a party to the agreement or the person who lodged the application; and </w:t>
      </w:r>
    </w:p>
    <w:p>
      <w:pPr>
        <w:pStyle w:val="Indenti"/>
      </w:pPr>
      <w:r>
        <w:tab/>
        <w:t>(ii)</w:t>
      </w:r>
      <w:r>
        <w:tab/>
        <w:t>is self</w:t>
      </w:r>
      <w:r>
        <w:noBreakHyphen/>
        <w:t>represented in relation to the agreement or application; and</w:t>
      </w:r>
    </w:p>
    <w:p>
      <w:pPr>
        <w:pStyle w:val="Indenti"/>
      </w:pPr>
      <w:r>
        <w:tab/>
        <w:t>(iii)</w:t>
      </w:r>
      <w:r>
        <w:tab/>
        <w:t>is neither an insurer nor a self</w:t>
      </w:r>
      <w:r>
        <w:noBreakHyphen/>
        <w:t xml:space="preserve">insurer; </w:t>
      </w:r>
    </w:p>
    <w:p>
      <w:pPr>
        <w:pStyle w:val="Indenta"/>
      </w:pPr>
      <w:r>
        <w:tab/>
      </w:r>
      <w:r>
        <w:tab/>
        <w:t>or</w:t>
      </w:r>
    </w:p>
    <w:p>
      <w:pPr>
        <w:pStyle w:val="Indenta"/>
      </w:pPr>
      <w:r>
        <w:tab/>
        <w:t>(b)</w:t>
      </w:r>
      <w:r>
        <w:tab/>
        <w:t>the person is exempt in relation to the agreement or application under subregulation (3).</w:t>
      </w:r>
    </w:p>
    <w:p>
      <w:pPr>
        <w:pStyle w:val="Subsection"/>
      </w:pPr>
      <w:r>
        <w:tab/>
        <w:t>(2)</w:t>
      </w:r>
      <w:r>
        <w:tab/>
        <w:t>A person is self</w:t>
      </w:r>
      <w:r>
        <w:noBreakHyphen/>
        <w:t xml:space="preserve">represented in relation to an agreement or application if — </w:t>
      </w:r>
    </w:p>
    <w:p>
      <w:pPr>
        <w:pStyle w:val="Indenta"/>
      </w:pPr>
      <w:r>
        <w:tab/>
        <w:t>(a)</w:t>
      </w:r>
      <w:r>
        <w:tab/>
        <w:t>in the case of a worker — a legal practitioner is not engaged by or on behalf of the worker in relation to the agreement or application; or</w:t>
      </w:r>
    </w:p>
    <w:p>
      <w:pPr>
        <w:pStyle w:val="Indenta"/>
      </w:pPr>
      <w:r>
        <w:tab/>
        <w:t>(b)</w:t>
      </w:r>
      <w:r>
        <w:tab/>
        <w:t>in the case of an employer — the employer is uninsured.</w:t>
      </w:r>
    </w:p>
    <w:p>
      <w:pPr>
        <w:pStyle w:val="Subsection"/>
      </w:pPr>
      <w:r>
        <w:tab/>
        <w:t>(3)</w:t>
      </w:r>
      <w:r>
        <w:tab/>
        <w:t xml:space="preserve">The Director may exempt a person from a requirement to use the EDS in relation to — </w:t>
      </w:r>
    </w:p>
    <w:p>
      <w:pPr>
        <w:pStyle w:val="Indenta"/>
      </w:pPr>
      <w:r>
        <w:tab/>
        <w:t>(a)</w:t>
      </w:r>
      <w:r>
        <w:tab/>
        <w:t xml:space="preserve">an agreement or application, if satisfied that it would be unreasonable for the person to be required to use the EDS in relation to the agreement or application; or </w:t>
      </w:r>
    </w:p>
    <w:p>
      <w:pPr>
        <w:pStyle w:val="Indenta"/>
      </w:pPr>
      <w:r>
        <w:tab/>
        <w:t>(b)</w:t>
      </w:r>
      <w:r>
        <w:tab/>
        <w:t>all agreements and applications, if satisfied that it would be unreasonable for the person to be required to use the EDS in relation to the agreements and applications.</w:t>
      </w:r>
    </w:p>
    <w:p>
      <w:pPr>
        <w:pStyle w:val="Footnotesection"/>
      </w:pPr>
      <w:r>
        <w:tab/>
        <w:t>[Regulation 56 inserted: SL 2020/149 r. 8.]</w:t>
      </w:r>
    </w:p>
    <w:p>
      <w:pPr>
        <w:pStyle w:val="Heading5"/>
      </w:pPr>
      <w:bookmarkStart w:id="186" w:name="_Toc52957132"/>
      <w:r>
        <w:rPr>
          <w:rStyle w:val="CharSectno"/>
        </w:rPr>
        <w:t>57</w:t>
      </w:r>
      <w:r>
        <w:t>.</w:t>
      </w:r>
      <w:r>
        <w:tab/>
        <w:t>Lodging documents</w:t>
      </w:r>
      <w:bookmarkEnd w:id="186"/>
    </w:p>
    <w:p>
      <w:pPr>
        <w:pStyle w:val="Subsection"/>
      </w:pPr>
      <w:r>
        <w:tab/>
        <w:t>(1)</w:t>
      </w:r>
      <w:r>
        <w:tab/>
        <w:t>A Part 8 document in relation to an agreement or application must be lodged using the EDS unless —</w:t>
      </w:r>
    </w:p>
    <w:p>
      <w:pPr>
        <w:pStyle w:val="Indenta"/>
      </w:pPr>
      <w:r>
        <w:tab/>
        <w:t>(a)</w:t>
      </w:r>
      <w:r>
        <w:tab/>
        <w:t>the person lodging the document is EDS exempt in relation to the agreement or application; or</w:t>
      </w:r>
    </w:p>
    <w:p>
      <w:pPr>
        <w:pStyle w:val="Indenta"/>
      </w:pPr>
      <w:r>
        <w:tab/>
        <w:t>(b)</w:t>
      </w:r>
      <w:r>
        <w:tab/>
        <w:t>the EDS is unavailable at the time of lodging.</w:t>
      </w:r>
    </w:p>
    <w:p>
      <w:pPr>
        <w:pStyle w:val="Subsection"/>
      </w:pPr>
      <w:r>
        <w:tab/>
        <w:t>(2)</w:t>
      </w:r>
      <w:r>
        <w:tab/>
        <w:t xml:space="preserve">A person who is EDS exempt in relation to an agreement or application may lodge a Part 8 document in relation to the agreement or application with the Director in the following manner — </w:t>
      </w:r>
    </w:p>
    <w:p>
      <w:pPr>
        <w:pStyle w:val="Indenta"/>
      </w:pPr>
      <w:r>
        <w:tab/>
        <w:t>(a)</w:t>
      </w:r>
      <w:r>
        <w:tab/>
        <w:t>by presenting it at the office of the Director when the office is open for business; or</w:t>
      </w:r>
    </w:p>
    <w:p>
      <w:pPr>
        <w:pStyle w:val="Indenta"/>
      </w:pPr>
      <w:r>
        <w:tab/>
        <w:t>(b)</w:t>
      </w:r>
      <w:r>
        <w:tab/>
        <w:t>by sending it to the office of the Director by pre</w:t>
      </w:r>
      <w:r>
        <w:noBreakHyphen/>
        <w:t>paid post; or</w:t>
      </w:r>
    </w:p>
    <w:p>
      <w:pPr>
        <w:pStyle w:val="Indenta"/>
      </w:pPr>
      <w:r>
        <w:tab/>
        <w:t>(c)</w:t>
      </w:r>
      <w:r>
        <w:tab/>
        <w:t>by sending it to the Director by email in accordance with regulation 58(2) and (3); or</w:t>
      </w:r>
    </w:p>
    <w:p>
      <w:pPr>
        <w:pStyle w:val="Indenta"/>
      </w:pPr>
      <w:r>
        <w:tab/>
        <w:t>(d)</w:t>
      </w:r>
      <w:r>
        <w:tab/>
        <w:t>by using the EDS.</w:t>
      </w:r>
    </w:p>
    <w:p>
      <w:pPr>
        <w:pStyle w:val="Subsection"/>
      </w:pPr>
      <w:r>
        <w:tab/>
        <w:t>(3)</w:t>
      </w:r>
      <w:r>
        <w:tab/>
        <w:t>While the EDS is unavailable for use a Part 8 document may be lodged in the manner referred to in subregulation (2)(a), (b) or (c).</w:t>
      </w:r>
    </w:p>
    <w:p>
      <w:pPr>
        <w:pStyle w:val="Subsection"/>
      </w:pPr>
      <w:r>
        <w:tab/>
        <w:t>(4)</w:t>
      </w:r>
      <w:r>
        <w:tab/>
        <w:t>The Director may at any time require a person who has lodged a Part 8 document by email or by using the EDS to lodge the document in person or by post.</w:t>
      </w:r>
    </w:p>
    <w:p>
      <w:pPr>
        <w:pStyle w:val="Subsection"/>
      </w:pPr>
      <w:r>
        <w:tab/>
        <w:t>(5)</w:t>
      </w:r>
      <w:r>
        <w:tab/>
        <w:t>A person who lodges an agreement under this regulation must confirm that the agreement has been executed in accordance with the laws of the State.</w:t>
      </w:r>
    </w:p>
    <w:p>
      <w:pPr>
        <w:pStyle w:val="Footnotesection"/>
      </w:pPr>
      <w:r>
        <w:tab/>
        <w:t>[Regulation 57 inserted: SL 2020/149 r. 8.]</w:t>
      </w:r>
    </w:p>
    <w:p>
      <w:pPr>
        <w:pStyle w:val="Heading5"/>
      </w:pPr>
      <w:bookmarkStart w:id="187" w:name="_Toc52957133"/>
      <w:r>
        <w:rPr>
          <w:rStyle w:val="CharSectno"/>
        </w:rPr>
        <w:t>58</w:t>
      </w:r>
      <w:r>
        <w:t>.</w:t>
      </w:r>
      <w:r>
        <w:tab/>
        <w:t>Lodging by email</w:t>
      </w:r>
      <w:bookmarkEnd w:id="187"/>
    </w:p>
    <w:p>
      <w:pPr>
        <w:pStyle w:val="Subsection"/>
      </w:pPr>
      <w:r>
        <w:tab/>
        <w:t>(1)</w:t>
      </w:r>
      <w:r>
        <w:tab/>
        <w:t xml:space="preserve">For the purposes of regulation 57(2)(c), the Director may — </w:t>
      </w:r>
    </w:p>
    <w:p>
      <w:pPr>
        <w:pStyle w:val="Indenta"/>
      </w:pPr>
      <w:r>
        <w:tab/>
        <w:t>(a)</w:t>
      </w:r>
      <w:r>
        <w:tab/>
        <w:t>approve and publish an email address for the lodgment of documents under this regulation; and</w:t>
      </w:r>
    </w:p>
    <w:p>
      <w:pPr>
        <w:pStyle w:val="Indenta"/>
      </w:pPr>
      <w:r>
        <w:tab/>
        <w:t>(b)</w:t>
      </w:r>
      <w:r>
        <w:tab/>
        <w:t>determine and publish requirements as to the permissible format and the maximum size of documents that may be lodged under this regulation.</w:t>
      </w:r>
    </w:p>
    <w:p>
      <w:pPr>
        <w:pStyle w:val="Subsection"/>
      </w:pPr>
      <w:r>
        <w:tab/>
        <w:t>(2)</w:t>
      </w:r>
      <w:r>
        <w:tab/>
        <w:t xml:space="preserve">An email by which documents are lodged under this regulation must — </w:t>
      </w:r>
    </w:p>
    <w:p>
      <w:pPr>
        <w:pStyle w:val="Indenta"/>
      </w:pPr>
      <w:r>
        <w:tab/>
        <w:t>(a)</w:t>
      </w:r>
      <w:r>
        <w:tab/>
        <w:t>state the sender’s name; and</w:t>
      </w:r>
    </w:p>
    <w:p>
      <w:pPr>
        <w:pStyle w:val="Indenta"/>
      </w:pPr>
      <w:r>
        <w:tab/>
        <w:t>(b)</w:t>
      </w:r>
      <w:r>
        <w:tab/>
        <w:t>state a telephone number by which the sender can be contacted; and</w:t>
      </w:r>
    </w:p>
    <w:p>
      <w:pPr>
        <w:pStyle w:val="Indenta"/>
      </w:pPr>
      <w:r>
        <w:tab/>
        <w:t>(c)</w:t>
      </w:r>
      <w:r>
        <w:tab/>
        <w:t>list and describe the documents being lodged by the email.</w:t>
      </w:r>
    </w:p>
    <w:p>
      <w:pPr>
        <w:pStyle w:val="Subsection"/>
      </w:pPr>
      <w:r>
        <w:tab/>
        <w:t>(3)</w:t>
      </w:r>
      <w:r>
        <w:tab/>
        <w:t>Documents lodged under this regulation must comply with any published requirements as to format and size.</w:t>
      </w:r>
    </w:p>
    <w:p>
      <w:pPr>
        <w:pStyle w:val="Footnotesection"/>
      </w:pPr>
      <w:r>
        <w:tab/>
        <w:t>[Regulation 58 inserted: SL 2020/149 r. 8.]</w:t>
      </w:r>
    </w:p>
    <w:p>
      <w:pPr>
        <w:pStyle w:val="Heading5"/>
      </w:pPr>
      <w:bookmarkStart w:id="188" w:name="_Toc52957134"/>
      <w:r>
        <w:rPr>
          <w:rStyle w:val="CharSectno"/>
        </w:rPr>
        <w:t>59</w:t>
      </w:r>
      <w:r>
        <w:t>.</w:t>
      </w:r>
      <w:r>
        <w:tab/>
        <w:t>Day of lodgment</w:t>
      </w:r>
      <w:bookmarkEnd w:id="188"/>
    </w:p>
    <w:p>
      <w:pPr>
        <w:pStyle w:val="Subsection"/>
      </w:pPr>
      <w:r>
        <w:tab/>
        <w:t>(1)</w:t>
      </w:r>
      <w:r>
        <w:tab/>
        <w:t xml:space="preserve">In this regulation — </w:t>
      </w:r>
    </w:p>
    <w:p>
      <w:pPr>
        <w:pStyle w:val="Defstart"/>
      </w:pPr>
      <w:r>
        <w:tab/>
      </w:r>
      <w:r>
        <w:rPr>
          <w:rStyle w:val="CharDefText"/>
        </w:rPr>
        <w:t>working day</w:t>
      </w:r>
      <w:r>
        <w:t xml:space="preserve"> means a day other than a Saturday, a Sunday or a public holiday throughout the State.</w:t>
      </w:r>
    </w:p>
    <w:p>
      <w:pPr>
        <w:pStyle w:val="Subsection"/>
      </w:pPr>
      <w:r>
        <w:tab/>
        <w:t>(2)</w:t>
      </w:r>
      <w:r>
        <w:tab/>
        <w:t xml:space="preserve">A document is taken to have been lodged — </w:t>
      </w:r>
    </w:p>
    <w:p>
      <w:pPr>
        <w:pStyle w:val="Indenta"/>
      </w:pPr>
      <w:r>
        <w:tab/>
        <w:t>(a)</w:t>
      </w:r>
      <w:r>
        <w:tab/>
        <w:t>if the whole document is received before 5 pm on a particular working day, on that day; or</w:t>
      </w:r>
    </w:p>
    <w:p>
      <w:pPr>
        <w:pStyle w:val="Indenta"/>
      </w:pPr>
      <w:r>
        <w:tab/>
        <w:t>(b)</w:t>
      </w:r>
      <w:r>
        <w:tab/>
        <w:t>otherwise, on the next working day.</w:t>
      </w:r>
    </w:p>
    <w:p>
      <w:pPr>
        <w:pStyle w:val="Footnotesection"/>
      </w:pPr>
      <w:r>
        <w:tab/>
        <w:t>[Regulation 59 inserted: SL 2020/149 r. 8.]</w:t>
      </w:r>
    </w:p>
    <w:p>
      <w:pPr>
        <w:pStyle w:val="Heading5"/>
      </w:pPr>
      <w:bookmarkStart w:id="189" w:name="_Toc52957135"/>
      <w:r>
        <w:rPr>
          <w:rStyle w:val="CharSectno"/>
        </w:rPr>
        <w:t>60</w:t>
      </w:r>
      <w:r>
        <w:t>.</w:t>
      </w:r>
      <w:r>
        <w:tab/>
        <w:t>Notification by Director</w:t>
      </w:r>
      <w:bookmarkEnd w:id="189"/>
    </w:p>
    <w:p>
      <w:pPr>
        <w:pStyle w:val="Subsection"/>
        <w:keepNext/>
      </w:pPr>
      <w:r>
        <w:tab/>
        <w:t>(1)</w:t>
      </w:r>
      <w:r>
        <w:tab/>
        <w:t xml:space="preserve">In this regulation — </w:t>
      </w:r>
    </w:p>
    <w:p>
      <w:pPr>
        <w:pStyle w:val="Defstart"/>
      </w:pPr>
      <w:r>
        <w:tab/>
      </w:r>
      <w:r>
        <w:rPr>
          <w:rStyle w:val="CharDefText"/>
        </w:rPr>
        <w:t>electronic notification</w:t>
      </w:r>
      <w:r>
        <w:t>, in relation to a person, includes notification by an email sent to an email address provided by the person;</w:t>
      </w:r>
    </w:p>
    <w:p>
      <w:pPr>
        <w:pStyle w:val="Defstart"/>
      </w:pPr>
      <w:r>
        <w:tab/>
      </w:r>
      <w:r>
        <w:rPr>
          <w:rStyle w:val="CharDefText"/>
        </w:rPr>
        <w:t>notify</w:t>
      </w:r>
      <w:r>
        <w:t xml:space="preserve"> includes to despatch or send a notice to.</w:t>
      </w:r>
    </w:p>
    <w:p>
      <w:pPr>
        <w:pStyle w:val="Subsection"/>
      </w:pPr>
      <w:r>
        <w:tab/>
        <w:t>(2)</w:t>
      </w:r>
      <w:r>
        <w:tab/>
        <w:t>A requirement for the Director to notify a person, or give them a copy of a document, in relation to an agreement or application is satisfied, on a day, if —</w:t>
      </w:r>
    </w:p>
    <w:p>
      <w:pPr>
        <w:pStyle w:val="Indenta"/>
      </w:pPr>
      <w:r>
        <w:tab/>
        <w:t>(a)</w:t>
      </w:r>
      <w:r>
        <w:tab/>
        <w:t xml:space="preserve">before 5 pm on that day — </w:t>
      </w:r>
    </w:p>
    <w:p>
      <w:pPr>
        <w:pStyle w:val="Indenti"/>
      </w:pPr>
      <w:r>
        <w:tab/>
        <w:t>(i)</w:t>
      </w:r>
      <w:r>
        <w:tab/>
        <w:t>the notice or document becomes accessible to the person by using the EDS; and</w:t>
      </w:r>
    </w:p>
    <w:p>
      <w:pPr>
        <w:pStyle w:val="Indenti"/>
      </w:pPr>
      <w:r>
        <w:tab/>
        <w:t>(ii)</w:t>
      </w:r>
      <w:r>
        <w:tab/>
        <w:t xml:space="preserve">electronic notification that the notice or document is accessible is sent to the person; </w:t>
      </w:r>
    </w:p>
    <w:p>
      <w:pPr>
        <w:pStyle w:val="Indenta"/>
      </w:pPr>
      <w:r>
        <w:tab/>
      </w:r>
      <w:r>
        <w:tab/>
        <w:t>or</w:t>
      </w:r>
    </w:p>
    <w:p>
      <w:pPr>
        <w:pStyle w:val="Indenta"/>
      </w:pPr>
      <w:r>
        <w:tab/>
        <w:t>(b)</w:t>
      </w:r>
      <w:r>
        <w:tab/>
        <w:t>the notice or document is sent to the person by pre</w:t>
      </w:r>
      <w:r>
        <w:noBreakHyphen/>
        <w:t>paid post 2 business days before that day; or</w:t>
      </w:r>
    </w:p>
    <w:p>
      <w:pPr>
        <w:pStyle w:val="Indenta"/>
      </w:pPr>
      <w:r>
        <w:tab/>
        <w:t>(c)</w:t>
      </w:r>
      <w:r>
        <w:tab/>
        <w:t>the notice or document is sent to an email address provided by the person before 5 pm on that day.</w:t>
      </w:r>
    </w:p>
    <w:p>
      <w:pPr>
        <w:pStyle w:val="Subsection"/>
      </w:pPr>
      <w:r>
        <w:tab/>
        <w:t>(3)</w:t>
      </w:r>
      <w:r>
        <w:tab/>
        <w:t xml:space="preserve">Subregulation (2)(a) does not apply if the person — </w:t>
      </w:r>
    </w:p>
    <w:p>
      <w:pPr>
        <w:pStyle w:val="Indenta"/>
      </w:pPr>
      <w:r>
        <w:tab/>
        <w:t>(a)</w:t>
      </w:r>
      <w:r>
        <w:tab/>
        <w:t>is EDS exempt in relation to the agreement or application; and</w:t>
      </w:r>
    </w:p>
    <w:p>
      <w:pPr>
        <w:pStyle w:val="Indenta"/>
      </w:pPr>
      <w:r>
        <w:tab/>
        <w:t>(b)</w:t>
      </w:r>
      <w:r>
        <w:tab/>
        <w:t>does not have access to the EDS in relation to the agreement or application.</w:t>
      </w:r>
    </w:p>
    <w:p>
      <w:pPr>
        <w:pStyle w:val="Footnotesection"/>
      </w:pPr>
      <w:r>
        <w:tab/>
        <w:t>[Regulation 60 inserted: SL 2020/149 r. 8.]</w:t>
      </w:r>
    </w:p>
    <w:p>
      <w:pPr>
        <w:pStyle w:val="Heading2"/>
      </w:pPr>
      <w:bookmarkStart w:id="190" w:name="_Toc52871328"/>
      <w:bookmarkStart w:id="191" w:name="_Toc52957136"/>
      <w:r>
        <w:rPr>
          <w:rStyle w:val="CharPartNo"/>
        </w:rPr>
        <w:t>Part 9</w:t>
      </w:r>
      <w:r>
        <w:t> — </w:t>
      </w:r>
      <w:r>
        <w:rPr>
          <w:rStyle w:val="CharPartText"/>
        </w:rPr>
        <w:t>Variation of certain amounts</w:t>
      </w:r>
      <w:bookmarkEnd w:id="190"/>
      <w:bookmarkEnd w:id="191"/>
    </w:p>
    <w:p>
      <w:pPr>
        <w:pStyle w:val="Footnoteheading"/>
      </w:pPr>
      <w:r>
        <w:tab/>
        <w:t>[Heading inserted: SL 2020/188 r. 16.]</w:t>
      </w:r>
    </w:p>
    <w:p>
      <w:pPr>
        <w:pStyle w:val="Heading5"/>
      </w:pPr>
      <w:bookmarkStart w:id="192" w:name="_Toc52957137"/>
      <w:r>
        <w:rPr>
          <w:rStyle w:val="CharSectno"/>
        </w:rPr>
        <w:t>61</w:t>
      </w:r>
      <w:r>
        <w:t>.</w:t>
      </w:r>
      <w:r>
        <w:tab/>
        <w:t>Amount C (Act s. 5A(1A))</w:t>
      </w:r>
      <w:bookmarkEnd w:id="192"/>
    </w:p>
    <w:p>
      <w:pPr>
        <w:pStyle w:val="Subsection"/>
      </w:pPr>
      <w:r>
        <w:tab/>
      </w:r>
      <w:r>
        <w:tab/>
        <w:t xml:space="preserve">For the purposes of paragraph (c) of the definition of </w:t>
      </w:r>
      <w:r>
        <w:rPr>
          <w:b/>
          <w:i/>
        </w:rPr>
        <w:t>Amount C</w:t>
      </w:r>
      <w:r>
        <w:t xml:space="preserve"> in section 5A(1A) of the Act, the amount for a financial year is worked out by multiplying by 2 the average of the amounts that the Australian Statistician published as the all employees average weekly total earnings in Western Australia for pay periods ending in the months of May and November preceding the financial year.</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61 inserted: SL 2020/188 r. 16.]</w:t>
      </w:r>
    </w:p>
    <w:p>
      <w:pPr>
        <w:pStyle w:val="Heading5"/>
      </w:pPr>
      <w:bookmarkStart w:id="193" w:name="_Toc52957138"/>
      <w:r>
        <w:rPr>
          <w:rStyle w:val="CharSectno"/>
        </w:rPr>
        <w:t>62</w:t>
      </w:r>
      <w:r>
        <w:t>.</w:t>
      </w:r>
      <w:r>
        <w:tab/>
        <w:t>Prescribed amount (Act s. 5A(1A))</w:t>
      </w:r>
      <w:bookmarkEnd w:id="193"/>
    </w:p>
    <w:p>
      <w:pPr>
        <w:pStyle w:val="Subsection"/>
      </w:pPr>
      <w:r>
        <w:tab/>
      </w:r>
      <w:r>
        <w:tab/>
        <w:t xml:space="preserve">For the purposes of paragraph (c) of the definition of </w:t>
      </w:r>
      <w:r>
        <w:rPr>
          <w:b/>
          <w:i/>
        </w:rPr>
        <w:t>prescribed amount</w:t>
      </w:r>
      <w:r>
        <w:t xml:space="preserve"> in section 5A(1A) of the Act, the amount for a financial year is worked out by varying the prescribed amount for the previous financial year by the percentage by which the December WPI varies from the previous December WPI.</w:t>
      </w:r>
    </w:p>
    <w:p>
      <w:pPr>
        <w:pStyle w:val="PermNoteHeading"/>
      </w:pPr>
      <w:r>
        <w:tab/>
        <w:t>Note for this regulation:</w:t>
      </w:r>
    </w:p>
    <w:p>
      <w:pPr>
        <w:pStyle w:val="PermNoteText"/>
      </w:pPr>
      <w:r>
        <w:tab/>
      </w:r>
      <w:r>
        <w:tab/>
        <w:t>Under section 5A(5) of the Act a variation that would reduce the amount has no effect.</w:t>
      </w:r>
    </w:p>
    <w:p>
      <w:pPr>
        <w:pStyle w:val="Footnotesection"/>
      </w:pPr>
      <w:r>
        <w:tab/>
        <w:t>[Regulation 62 inserted: SL 2020/188 r. 16.]</w:t>
      </w:r>
    </w:p>
    <w:p>
      <w:pPr>
        <w:pStyle w:val="Heading5"/>
      </w:pPr>
      <w:bookmarkStart w:id="194" w:name="_Toc52957139"/>
      <w:r>
        <w:rPr>
          <w:rStyle w:val="CharSectno"/>
        </w:rPr>
        <w:t>63</w:t>
      </w:r>
      <w:r>
        <w:t>.</w:t>
      </w:r>
      <w:r>
        <w:tab/>
        <w:t>Board and lodging value (Act Sch. 1 cl. 15)</w:t>
      </w:r>
      <w:bookmarkEnd w:id="194"/>
    </w:p>
    <w:p>
      <w:pPr>
        <w:pStyle w:val="Subsection"/>
      </w:pPr>
      <w:r>
        <w:tab/>
        <w:t>(1)</w:t>
      </w:r>
      <w:r>
        <w:tab/>
        <w:t>This regulation has effect for the purposes of assessing the value of board or board and lodging under Schedule 1 clause 15 of the Act for a financial year commencing on or after 1 July 2021.</w:t>
      </w:r>
    </w:p>
    <w:p>
      <w:pPr>
        <w:pStyle w:val="Subsection"/>
      </w:pPr>
      <w:r>
        <w:tab/>
        <w:t>(2)</w:t>
      </w:r>
      <w:r>
        <w:tab/>
        <w:t>For the purposes of section 5A(1)(c) of the Act, the amount, which the sum assessed for the board or board and lodging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$157 per day.</w:t>
      </w:r>
    </w:p>
    <w:p>
      <w:pPr>
        <w:pStyle w:val="PermNoteText"/>
      </w:pPr>
      <w:r>
        <w:tab/>
        <w:t>2.</w:t>
      </w:r>
      <w:r>
        <w:tab/>
        <w:t>Under section 5A(5) of the Act a variation that would reduce the amount has no effect.</w:t>
      </w:r>
    </w:p>
    <w:p>
      <w:pPr>
        <w:pStyle w:val="Footnotesection"/>
      </w:pPr>
      <w:r>
        <w:tab/>
        <w:t>[Regulation 63 inserted: SL 2020/188 r. 16.]</w:t>
      </w:r>
    </w:p>
    <w:p>
      <w:pPr>
        <w:pStyle w:val="Heading5"/>
      </w:pPr>
      <w:bookmarkStart w:id="195" w:name="_Toc52957140"/>
      <w:r>
        <w:rPr>
          <w:rStyle w:val="CharSectno"/>
        </w:rPr>
        <w:t>64</w:t>
      </w:r>
      <w:r>
        <w:t>.</w:t>
      </w:r>
      <w:r>
        <w:tab/>
        <w:t>Wheeled chair or similar appliance expenses (Act Sch. 1 cl. 17(4))</w:t>
      </w:r>
      <w:bookmarkEnd w:id="195"/>
    </w:p>
    <w:p>
      <w:pPr>
        <w:pStyle w:val="Subsection"/>
      </w:pPr>
      <w:r>
        <w:tab/>
        <w:t>(1)</w:t>
      </w:r>
      <w:r>
        <w:tab/>
        <w:t>This regulation has effect for the purposes of assessing the reasonable expenses incurred or likely to be incurred in respect of the purchase or supply of a wheeled chair or similar appliance under Schedule 1 clause 17(4) of the Act for a financial year commencing on or after 1 July 2021.</w:t>
      </w:r>
    </w:p>
    <w:p>
      <w:pPr>
        <w:pStyle w:val="Subsection"/>
      </w:pPr>
      <w:r>
        <w:tab/>
        <w:t>(2)</w:t>
      </w:r>
      <w:r>
        <w:tab/>
        <w:t>For the purposes of section 5A(1)(c) of the Act, the amount, which the sum payable for those expenses is not to exceed, is the amount worked out by varying the amount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$12 180.</w:t>
      </w:r>
    </w:p>
    <w:p>
      <w:pPr>
        <w:pStyle w:val="PermNoteText"/>
      </w:pPr>
      <w:r>
        <w:tab/>
        <w:t>2.</w:t>
      </w:r>
      <w:r>
        <w:tab/>
        <w:t>Under section 5A(5) of the Act a variation that would reduce the amount has no effect.</w:t>
      </w:r>
    </w:p>
    <w:p>
      <w:pPr>
        <w:pStyle w:val="Footnotesection"/>
      </w:pPr>
      <w:r>
        <w:tab/>
        <w:t>[Regulation 64 inserted: SL 2020/188 r. 16.]</w:t>
      </w:r>
    </w:p>
    <w:p>
      <w:pPr>
        <w:pStyle w:val="Heading5"/>
      </w:pPr>
      <w:bookmarkStart w:id="196" w:name="_Toc52957141"/>
      <w:r>
        <w:rPr>
          <w:rStyle w:val="CharSectno"/>
        </w:rPr>
        <w:t>65</w:t>
      </w:r>
      <w:r>
        <w:t>.</w:t>
      </w:r>
      <w:r>
        <w:tab/>
        <w:t>Meals and lodging cost (Act Sch. 1 cl. 19(1))</w:t>
      </w:r>
      <w:bookmarkEnd w:id="196"/>
    </w:p>
    <w:p>
      <w:pPr>
        <w:pStyle w:val="Subsection"/>
      </w:pPr>
      <w:r>
        <w:tab/>
        <w:t>(1)</w:t>
      </w:r>
      <w:r>
        <w:tab/>
        <w:t>This regulation has effect for the purposes of assessing the reasonable costs incurred for meals and lodging under Schedule 1 clause 19(1) of the Act for a financial year commencing on or after 1 July 2021.</w:t>
      </w:r>
    </w:p>
    <w:p>
      <w:pPr>
        <w:pStyle w:val="Subsection"/>
      </w:pPr>
      <w:r>
        <w:tab/>
        <w:t>(2)</w:t>
      </w:r>
      <w:r>
        <w:tab/>
        <w:t>For the purposes of section 5A(1)(c) of the Act, the amount, which the amount payable for those costs is not to exceed, is the amount per day worked out by varying the amount per day for the previous financial year by the percentage by which the March CPI varies from the previous March CPI.</w:t>
      </w:r>
    </w:p>
    <w:p>
      <w:pPr>
        <w:pStyle w:val="PermNoteHeading"/>
      </w:pPr>
      <w:r>
        <w:tab/>
        <w:t>Notes for this regulation:</w:t>
      </w:r>
    </w:p>
    <w:p>
      <w:pPr>
        <w:pStyle w:val="PermNoteText"/>
      </w:pPr>
      <w:r>
        <w:tab/>
        <w:t>1.</w:t>
      </w:r>
      <w:r>
        <w:tab/>
        <w:t>The amount for the financial year commencing on 1 July 2020 is $121 per day.</w:t>
      </w:r>
    </w:p>
    <w:p>
      <w:pPr>
        <w:pStyle w:val="PermNoteText"/>
      </w:pPr>
      <w:r>
        <w:tab/>
        <w:t>2.</w:t>
      </w:r>
      <w:r>
        <w:tab/>
        <w:t>Under section 5A(5) of the Act a variation that would reduce the amount has no effect.</w:t>
      </w:r>
    </w:p>
    <w:p>
      <w:pPr>
        <w:pStyle w:val="Footnotesection"/>
      </w:pPr>
      <w:r>
        <w:tab/>
        <w:t>[Regulation 65 inserted: SL 2020/188 r. 16.]</w:t>
      </w:r>
    </w:p>
    <w:p>
      <w:pPr>
        <w:pStyle w:val="Heading5"/>
      </w:pPr>
      <w:bookmarkStart w:id="197" w:name="_Toc52957142"/>
      <w:r>
        <w:rPr>
          <w:rStyle w:val="CharSectno"/>
        </w:rPr>
        <w:t>66</w:t>
      </w:r>
      <w:r>
        <w:t>.</w:t>
      </w:r>
      <w:r>
        <w:tab/>
        <w:t>Rounding</w:t>
      </w:r>
      <w:bookmarkEnd w:id="197"/>
    </w:p>
    <w:p>
      <w:pPr>
        <w:pStyle w:val="Subsection"/>
      </w:pPr>
      <w:r>
        <w:tab/>
      </w:r>
      <w:r>
        <w:tab/>
        <w:t>An amount worked out under this Part must be rounded to the nearest whole dollar with an amount that is 50 cents more than a whole dollar being rounded up to the next whole dollar.</w:t>
      </w:r>
    </w:p>
    <w:p>
      <w:pPr>
        <w:pStyle w:val="Footnotesection"/>
      </w:pPr>
      <w:r>
        <w:tab/>
        <w:t>[Regulation 66 inserted: SL 2020/188 r. 16.]</w:t>
      </w:r>
    </w:p>
    <w:p>
      <w:pPr>
        <w:pStyle w:val="Heading2"/>
      </w:pPr>
      <w:bookmarkStart w:id="198" w:name="_Toc52871335"/>
      <w:bookmarkStart w:id="199" w:name="_Toc52957143"/>
      <w:r>
        <w:rPr>
          <w:rStyle w:val="CharPartNo"/>
        </w:rPr>
        <w:t>Part 10</w:t>
      </w:r>
      <w:r>
        <w:t> — </w:t>
      </w:r>
      <w:r>
        <w:rPr>
          <w:rStyle w:val="CharPartText"/>
        </w:rPr>
        <w:t>Prescribed diseases: presumption of work</w:t>
      </w:r>
      <w:r>
        <w:rPr>
          <w:rStyle w:val="CharPartText"/>
        </w:rPr>
        <w:noBreakHyphen/>
        <w:t>related injury</w:t>
      </w:r>
      <w:bookmarkEnd w:id="198"/>
      <w:bookmarkEnd w:id="199"/>
    </w:p>
    <w:p>
      <w:pPr>
        <w:pStyle w:val="Footnoteheading"/>
      </w:pPr>
      <w:r>
        <w:tab/>
        <w:t>[Heading inserted: SL 2020/188 r. 16.]</w:t>
      </w:r>
    </w:p>
    <w:p>
      <w:pPr>
        <w:pStyle w:val="Heading5"/>
      </w:pPr>
      <w:bookmarkStart w:id="200" w:name="_Toc52957144"/>
      <w:r>
        <w:rPr>
          <w:rStyle w:val="CharSectno"/>
        </w:rPr>
        <w:t>67</w:t>
      </w:r>
      <w:r>
        <w:t>.</w:t>
      </w:r>
      <w:r>
        <w:tab/>
        <w:t>COVID</w:t>
      </w:r>
      <w:r>
        <w:noBreakHyphen/>
        <w:t>19: prescribed disease and prescribed employment (Act s. 49F)</w:t>
      </w:r>
      <w:bookmarkEnd w:id="200"/>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in a health profession;</w:t>
      </w:r>
    </w:p>
    <w:p>
      <w:pPr>
        <w:pStyle w:val="Defstart"/>
      </w:pPr>
      <w:r>
        <w:tab/>
      </w:r>
      <w:r>
        <w:rPr>
          <w:rStyle w:val="CharDefText"/>
        </w:rPr>
        <w:t>NATA</w:t>
      </w:r>
      <w:r>
        <w:t xml:space="preserve"> means the National Association of Testing Authorities.</w:t>
      </w:r>
    </w:p>
    <w:p>
      <w:pPr>
        <w:pStyle w:val="Subsection"/>
      </w:pPr>
      <w:r>
        <w:tab/>
        <w:t>(2)</w:t>
      </w:r>
      <w:r>
        <w:tab/>
        <w:t>For the purposes of section 49F(1)(a) of the Act, COVID</w:t>
      </w:r>
      <w:r>
        <w:noBreakHyphen/>
        <w:t>19 is specified as a prescribed disease.</w:t>
      </w:r>
    </w:p>
    <w:p>
      <w:pPr>
        <w:pStyle w:val="Subsection"/>
      </w:pPr>
      <w:r>
        <w:tab/>
        <w:t>(3)</w:t>
      </w:r>
      <w:r>
        <w:tab/>
        <w:t>For the purposes of section 49F(1)(b) of the Act, the following kinds of employment are specified as prescribed employment for COVID</w:t>
      </w:r>
      <w:r>
        <w:noBreakHyphen/>
        <w:t xml:space="preserve">19 — </w:t>
      </w:r>
    </w:p>
    <w:p>
      <w:pPr>
        <w:pStyle w:val="Indenta"/>
      </w:pPr>
      <w:r>
        <w:tab/>
        <w:t>(a)</w:t>
      </w:r>
      <w:r>
        <w:tab/>
        <w:t>employment as a health professional;</w:t>
      </w:r>
    </w:p>
    <w:p>
      <w:pPr>
        <w:pStyle w:val="Indenta"/>
      </w:pPr>
      <w:r>
        <w:tab/>
        <w:t>(b)</w:t>
      </w:r>
      <w:r>
        <w:tab/>
        <w:t>employment, of any kind, in a hospital, medical practice, clinic or facility where persons attend for health related screening, testing or treatment;</w:t>
      </w:r>
    </w:p>
    <w:p>
      <w:pPr>
        <w:pStyle w:val="Indenta"/>
      </w:pPr>
      <w:r>
        <w:tab/>
        <w:t>(c)</w:t>
      </w:r>
      <w:r>
        <w:tab/>
        <w:t>employment as an ambulance officer.</w:t>
      </w:r>
    </w:p>
    <w:p>
      <w:pPr>
        <w:pStyle w:val="Subsection"/>
      </w:pPr>
      <w:r>
        <w:tab/>
        <w:t>(4)</w:t>
      </w:r>
      <w:r>
        <w:tab/>
        <w:t>For the purposes of section 49F(3) of the Act, a worker who suffers an injury by contracting COVID</w:t>
      </w:r>
      <w:r>
        <w:noBreakHyphen/>
        <w:t xml:space="preserve">19 is taken to have suffered the injury — </w:t>
      </w:r>
    </w:p>
    <w:p>
      <w:pPr>
        <w:pStyle w:val="Indenta"/>
      </w:pPr>
      <w:r>
        <w:tab/>
        <w:t>(a)</w:t>
      </w:r>
      <w:r>
        <w:tab/>
        <w:t>if paragraph (b) does not apply — on the day on which the worker is diagnosed as having COVID</w:t>
      </w:r>
      <w:r>
        <w:noBreakHyphen/>
        <w:t>19 by a medical practitioner on the basis of a test result described in subregulation (6); or</w:t>
      </w:r>
    </w:p>
    <w:p>
      <w:pPr>
        <w:pStyle w:val="Indenta"/>
      </w:pPr>
      <w:r>
        <w:tab/>
        <w:t>(b)</w:t>
      </w:r>
      <w:r>
        <w:tab/>
        <w:t>if the worker dies as a result of contracting COVID</w:t>
      </w:r>
      <w:r>
        <w:noBreakHyphen/>
        <w:t>19 before they are diagnosed as described in paragraph (a) — on the day on which the worker dies.</w:t>
      </w:r>
    </w:p>
    <w:p>
      <w:pPr>
        <w:pStyle w:val="Subsection"/>
      </w:pPr>
      <w:r>
        <w:tab/>
        <w:t>(5)</w:t>
      </w:r>
      <w:r>
        <w:tab/>
        <w:t>Section 49F(3) of the Act does not apply to a worker who suffers an injury by contracting COVID</w:t>
      </w:r>
      <w:r>
        <w:noBreakHyphen/>
        <w:t xml:space="preserve">19 if — </w:t>
      </w:r>
    </w:p>
    <w:p>
      <w:pPr>
        <w:pStyle w:val="Indenta"/>
      </w:pPr>
      <w:r>
        <w:tab/>
        <w:t>(a)</w:t>
      </w:r>
      <w:r>
        <w:tab/>
        <w:t>the day on which the worker is taken, under subregulation (4), to have suffered the injury is before 16 February 2020; or</w:t>
      </w:r>
    </w:p>
    <w:p>
      <w:pPr>
        <w:pStyle w:val="Indenta"/>
      </w:pPr>
      <w:r>
        <w:tab/>
        <w:t>(b)</w:t>
      </w:r>
      <w:r>
        <w:tab/>
        <w:t>the worker is not in prescribed employment for COVID</w:t>
      </w:r>
      <w:r>
        <w:noBreakHyphen/>
        <w:t>19 on the day on which the worker is taken, under subregulation (4), to have suffered the injury.</w:t>
      </w:r>
    </w:p>
    <w:p>
      <w:pPr>
        <w:pStyle w:val="Subsection"/>
      </w:pPr>
      <w:r>
        <w:tab/>
        <w:t>(6)</w:t>
      </w:r>
      <w:r>
        <w:tab/>
        <w:t xml:space="preserve">For the purposes of subregulation (4)(a), the test results are as follows — </w:t>
      </w:r>
    </w:p>
    <w:p>
      <w:pPr>
        <w:pStyle w:val="Indenta"/>
      </w:pPr>
      <w:r>
        <w:tab/>
        <w:t>(a)</w:t>
      </w:r>
      <w:r>
        <w:tab/>
        <w:t>detection of SARS</w:t>
      </w:r>
      <w:r>
        <w:noBreakHyphen/>
        <w:t>CoV</w:t>
      </w:r>
      <w:r>
        <w:noBreakHyphen/>
        <w:t>2 using a SARS</w:t>
      </w:r>
      <w:r>
        <w:noBreakHyphen/>
        <w:t>CoV</w:t>
      </w:r>
      <w:r>
        <w:noBreakHyphen/>
        <w:t>2 specific nucleic acid test by a NATA accredited laboratory;</w:t>
      </w:r>
    </w:p>
    <w:p>
      <w:pPr>
        <w:pStyle w:val="Indenta"/>
      </w:pPr>
      <w:r>
        <w:tab/>
        <w:t>(b)</w:t>
      </w:r>
      <w:r>
        <w:tab/>
        <w:t>isolation of SARS</w:t>
      </w:r>
      <w:r>
        <w:noBreakHyphen/>
        <w:t>CoV</w:t>
      </w:r>
      <w:r>
        <w:noBreakHyphen/>
        <w:t>2 in a cell culture, with confirmation using a SARS</w:t>
      </w:r>
      <w:r>
        <w:noBreakHyphen/>
        <w:t>CoV</w:t>
      </w:r>
      <w:r>
        <w:noBreakHyphen/>
        <w:t>2 specific nucleic acid test, by a NATA accredited laboratory;</w:t>
      </w:r>
    </w:p>
    <w:p>
      <w:pPr>
        <w:pStyle w:val="Indenta"/>
      </w:pPr>
      <w:r>
        <w:tab/>
        <w:t>(c)</w:t>
      </w:r>
      <w:r>
        <w:tab/>
        <w:t>confirmation of SARS</w:t>
      </w:r>
      <w:r>
        <w:noBreakHyphen/>
        <w:t>CoV</w:t>
      </w:r>
      <w:r>
        <w:noBreakHyphen/>
        <w:t>2 specific antibodies by a NATA accredited laboratory.</w:t>
      </w:r>
    </w:p>
    <w:p>
      <w:pPr>
        <w:pStyle w:val="Footnotesection"/>
      </w:pPr>
      <w:r>
        <w:tab/>
        <w:t>[Regulation 67 inserted: SL 2020/188 r. 16.]</w:t>
      </w:r>
    </w:p>
    <w:p>
      <w:pPr>
        <w:rPr>
          <w:i/>
        </w:r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01" w:name="_Toc52869351"/>
      <w:bookmarkStart w:id="202" w:name="_Toc52871337"/>
      <w:bookmarkStart w:id="203" w:name="_Toc52957145"/>
      <w:r>
        <w:rPr>
          <w:rStyle w:val="CharSchNo"/>
          <w:rFonts w:ascii="Times" w:hAnsi="Times"/>
        </w:rPr>
        <w:t>Appendix I</w:t>
      </w:r>
      <w:bookmarkEnd w:id="201"/>
      <w:bookmarkEnd w:id="202"/>
      <w:bookmarkEnd w:id="203"/>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Gazette 28 Oct 2005 p. 4913</w:t>
      </w:r>
      <w:r>
        <w:noBreakHyphen/>
        <w:t>14.]</w:t>
      </w:r>
    </w:p>
    <w:p>
      <w:pPr>
        <w:pStyle w:val="yMiscellaneousHeading"/>
        <w:keepLines/>
        <w:pageBreakBefore/>
        <w:spacing w:before="0"/>
      </w:pPr>
      <w:r>
        <w:rPr>
          <w:rStyle w:val="CharSClsNo"/>
          <w:b/>
          <w:bCs/>
        </w:rPr>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Gazette 8 Mar 1991 p. 1076; 24 Dec 1993 p. 6845</w:t>
      </w:r>
      <w:r>
        <w:noBreakHyphen/>
        <w:t>6; 17 Nov 2000 p. 6320; 21 Jan 2005 p. 276; 18 Nov 2011 p. 4823.]</w:t>
      </w:r>
    </w:p>
    <w:p>
      <w:pPr>
        <w:pStyle w:val="yEdnotesection"/>
        <w:spacing w:before="80"/>
        <w:outlineLvl w:val="9"/>
        <w:rPr>
          <w:i w:val="0"/>
        </w:rPr>
      </w:pPr>
      <w:r>
        <w:tab/>
        <w:t>[Form 2A deleted: Gazette 15 Oct 1999 p. 4900.]</w:t>
      </w:r>
    </w:p>
    <w:p>
      <w:pPr>
        <w:pStyle w:val="yMiscellaneousHeading"/>
        <w:pageBreakBefore/>
        <w:spacing w:before="0"/>
      </w:pPr>
      <w:r>
        <w:rPr>
          <w:rStyle w:val="CharSClsNo"/>
          <w:b/>
          <w:bCs/>
        </w:rPr>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WorkCover WA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Gazette 10 Sep 2010 p. 4352-7; amended: Gazette 18 Nov 2011 p. 4824; 25 Mar 2014 p. 822.]</w:t>
      </w:r>
    </w:p>
    <w:p>
      <w:pPr>
        <w:pStyle w:val="yMiscellaneousHeading"/>
        <w:pageBreakBefore/>
        <w:spacing w:before="0"/>
      </w:pPr>
      <w:r>
        <w:rPr>
          <w:rStyle w:val="CharSClsNo"/>
          <w:b/>
          <w:bCs/>
        </w:rPr>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Gazette 25 Aug 1995 p. 3885</w:t>
      </w:r>
      <w:r>
        <w:noBreakHyphen/>
        <w:t>7; amended: Gazette 17 Nov 2000 p. 6320; 21 Jan 2005 p. 276; 28 Oct 2005 p. 4915</w:t>
      </w:r>
      <w:r>
        <w:noBreakHyphen/>
        <w:t>16; 18 Nov 2011 p. 4824.]</w:t>
      </w:r>
    </w:p>
    <w:p>
      <w:pPr>
        <w:pStyle w:val="yMiscellaneousHeading"/>
        <w:pageBreakBefore/>
        <w:spacing w:before="0"/>
      </w:pPr>
      <w:r>
        <w:rPr>
          <w:rStyle w:val="CharSClsNo"/>
          <w:b/>
          <w:bCs/>
        </w:rPr>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Gazette 28 Oct 2005 p. 4916</w:t>
      </w:r>
      <w:r>
        <w:noBreakHyphen/>
        <w:t>19.]</w:t>
      </w:r>
    </w:p>
    <w:p>
      <w:pPr>
        <w:pStyle w:val="yEdnotesection"/>
      </w:pPr>
      <w:r>
        <w:t>[Form 2D deleted: Gazette 29 Jun 2018 p. 2446.]</w:t>
      </w:r>
    </w:p>
    <w:p>
      <w:pPr>
        <w:pStyle w:val="yMiscellaneousHeading"/>
        <w:pageBreakBefore/>
        <w:spacing w:before="0"/>
        <w:rPr>
          <w:b/>
          <w:szCs w:val="22"/>
        </w:rPr>
      </w:pPr>
      <w:r>
        <w:rPr>
          <w:rStyle w:val="CharSClsNo"/>
          <w:b/>
          <w:bCs/>
        </w:rPr>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Gazette 25 Mar 2014 p. 822-4.]</w:t>
      </w:r>
    </w:p>
    <w:p>
      <w:pPr>
        <w:pStyle w:val="yMiscellaneousHeading"/>
        <w:pageBreakBefore/>
        <w:spacing w:before="0"/>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Gazette 14 Dec 1999 p. 6151; amended: Gazette 21 Jan 2005 p. 276; 28 Oct 2005 p. 4920.]</w:t>
      </w:r>
    </w:p>
    <w:p>
      <w:pPr>
        <w:pStyle w:val="yMiscellaneousHeading"/>
        <w:pageBreakBefore/>
        <w:spacing w:before="0"/>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Gazette 8 Mar 1991 p. 1074; amended: Gazette 5 Feb 1993 p. 1059; 18 Feb 1994 p. 662; 21 Jan 2005 p. 276; 28 Oct 2005 p. 4921-2; 18 Nov 2011 p. 4824.]</w:t>
      </w:r>
    </w:p>
    <w:p>
      <w:pPr>
        <w:pStyle w:val="yMiscellaneousHeading"/>
        <w:pageBreakBefore/>
        <w:spacing w:before="0"/>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Gazette 8 Mar 1991 p. 1075; amended: Gazette 5 Feb 1993 p. 1059; 18 Feb 1994 p. 662; 21 Jan 2005 p. 276; 28 Oct 2005 p. 4922-3; 18 Nov 2011 p. 4824.]</w:t>
      </w:r>
    </w:p>
    <w:p>
      <w:pPr>
        <w:pStyle w:val="yMiscellaneousHeading"/>
        <w:pageBreakBefore/>
        <w:spacing w:before="0"/>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Gazette 8 Mar 1991 p. 1075; amended: Gazette 5 Feb 1993 p. 1059; 18 Feb 1994 p. 662; 21 Jan 2005 p. 276; 28 Oct 2005 p. 4923-4; 18 Nov 2011 p. 4824.]</w:t>
      </w:r>
    </w:p>
    <w:p>
      <w:pPr>
        <w:pStyle w:val="yMiscellaneousHeading"/>
        <w:pageBreakBefore/>
        <w:spacing w:before="0"/>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seek advice in relation to the dispute from WorkCover WA;</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Gazette 8 Mar 1991 p. 1075</w:t>
      </w:r>
      <w:r>
        <w:noBreakHyphen/>
        <w:t>6; amended: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Gazette 25 Mar 2014 p. 824-5.]</w:t>
      </w:r>
    </w:p>
    <w:p>
      <w:pPr>
        <w:pStyle w:val="yMiscellaneousHeading"/>
        <w:pageBreakBefore/>
        <w:spacing w:before="0"/>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Gazette 25 Mar 2014 p. 826-8.]</w:t>
      </w:r>
    </w:p>
    <w:p>
      <w:pPr>
        <w:pStyle w:val="yMiscellaneousHeading"/>
        <w:pageBreakBefore/>
        <w:spacing w:before="0"/>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Gazette 23 Apr 1982 p. 1384; amended: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t>Form 6</w:t>
      </w:r>
    </w:p>
    <w:p>
      <w:pPr>
        <w:pStyle w:val="yShoulderClause"/>
        <w:keepNext/>
      </w:pPr>
      <w:r>
        <w:t>[r. 10(1)]</w:t>
      </w:r>
    </w:p>
    <w:p>
      <w:pPr>
        <w:pStyle w:val="yFootnoteheading"/>
        <w:keepNext/>
      </w:pPr>
      <w:r>
        <w:tab/>
        <w:t>[Heading inserted: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rPr>
                <w:rFonts w:eastAsia="Arial"/>
                <w:sz w:val="17"/>
                <w:szCs w:val="17"/>
              </w:rPr>
            </w:pPr>
            <w:r>
              <w:rPr>
                <w:rFonts w:eastAsia="Tahoma"/>
                <w:sz w:val="17"/>
                <w:szCs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rPr>
                <w:rFonts w:eastAsia="Tahoma"/>
                <w:sz w:val="18"/>
                <w:szCs w:val="18"/>
              </w:rPr>
            </w:pPr>
            <w:r>
              <w:rPr>
                <w:rFonts w:eastAsia="Tahoma"/>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 xml:space="preserve">Referral to specialist or hospital </w:t>
            </w:r>
            <w:r>
              <w:rPr>
                <w:rFonts w:eastAsia="Tahoma"/>
                <w:i/>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38" w:type="dxa"/>
            <w:gridSpan w:val="4"/>
            <w:tcBorders>
              <w:top w:val="nil"/>
              <w:left w:val="single" w:sz="4" w:space="0" w:color="auto"/>
              <w:bottom w:val="nil"/>
              <w:right w:val="single" w:sz="4" w:space="0" w:color="auto"/>
            </w:tcBorders>
          </w:tcPr>
          <w:p>
            <w:pPr>
              <w:pStyle w:val="yTableNAm"/>
              <w:rPr>
                <w:rFonts w:eastAsia="Tahoma"/>
                <w:sz w:val="18"/>
                <w:szCs w:val="18"/>
              </w:rPr>
            </w:pPr>
            <w:r>
              <w:rPr>
                <w:rFonts w:eastAsia="Tahoma"/>
                <w:sz w:val="18"/>
                <w:szCs w:val="18"/>
              </w:rPr>
              <w:t>Approved health treatments (</w:t>
            </w:r>
            <w:r>
              <w:rPr>
                <w:rFonts w:eastAsia="Tahoma"/>
                <w:i/>
                <w:sz w:val="18"/>
                <w:szCs w:val="18"/>
              </w:rPr>
              <w:t>specify type and number of sessions</w:t>
            </w:r>
            <w:r>
              <w:rPr>
                <w:rFonts w:eastAsia="Tahoma"/>
                <w:sz w:val="18"/>
                <w:szCs w:val="18"/>
              </w:rPr>
              <w:t>)</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Gazette 4 Oct 2016 p. 4243-5.]</w:t>
      </w:r>
    </w:p>
    <w:p>
      <w:pPr>
        <w:pStyle w:val="yEdnotedivision"/>
      </w:pPr>
      <w:r>
        <w:t>[Form 7 deleted: Gazette 18 Nov 2011 p. 4825.]</w:t>
      </w:r>
    </w:p>
    <w:p>
      <w:pPr>
        <w:pStyle w:val="yEdnotedivision"/>
      </w:pPr>
      <w:r>
        <w:t>[Forms 8</w:t>
      </w:r>
      <w:r>
        <w:noBreakHyphen/>
        <w:t>11 deleted: Gazette 8 Mar 1991 p. 1076.]</w:t>
      </w:r>
    </w:p>
    <w:p>
      <w:pPr>
        <w:pStyle w:val="yEdnotedivision"/>
      </w:pPr>
      <w:r>
        <w:t>[Form 12 deleted: Gazette 18 Feb 1994 p. 663.]</w:t>
      </w:r>
    </w:p>
    <w:p>
      <w:pPr>
        <w:pStyle w:val="yEdnotedivision"/>
      </w:pPr>
      <w:r>
        <w:t>[Form 13 deleted</w:t>
      </w:r>
      <w:r>
        <w:rPr>
          <w:iCs/>
          <w:sz w:val="16"/>
        </w:rPr>
        <w:t xml:space="preserve">: </w:t>
      </w:r>
      <w:r>
        <w:t>Gazette 28 Oct 2005 p. 4928.]</w:t>
      </w:r>
    </w:p>
    <w:p>
      <w:pPr>
        <w:pStyle w:val="yMiscellaneousHeading"/>
        <w:pageBreakBefore/>
        <w:spacing w:before="0"/>
      </w:pPr>
      <w:r>
        <w:rPr>
          <w:rStyle w:val="CharSClsNo"/>
          <w:b/>
          <w:bCs/>
        </w:rPr>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Gazette 8 Mar 1991 p. 1076; 24 Dec 1993 p. 6850; 17 Nov 2000 p. 6320; 21 Jan 2005 p. 276; 28 Oct 2005 p. 4928; 29 Jun 2018 p. 2446.]</w:t>
      </w:r>
    </w:p>
    <w:p>
      <w:pPr>
        <w:pStyle w:val="yMiscellaneousHeading"/>
        <w:pageBreakBefore/>
        <w:spacing w:before="0"/>
      </w:pPr>
      <w:r>
        <w:rPr>
          <w:rStyle w:val="CharSClsNo"/>
          <w:b/>
          <w:bCs/>
        </w:rPr>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w:t>
      </w:r>
      <w:r>
        <w:rPr>
          <w:sz w:val="16"/>
          <w:szCs w:val="16"/>
        </w:rPr>
        <w:t>Schedule 1A</w:t>
      </w:r>
      <w:r>
        <w:rPr>
          <w:sz w:val="16"/>
        </w:rPr>
        <w:t xml:space="preserve">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Gazette 8 Mar 1991 p. 1076; 24 Dec 1993 p. 6850; 17 Nov 2000 p. 6320; 30 Jun 2003 p. 2637</w:t>
      </w:r>
      <w:r>
        <w:noBreakHyphen/>
        <w:t>8; 21 Jan 2005 p. 276; 28 Oct 2005 p. 4928</w:t>
      </w:r>
      <w:r>
        <w:noBreakHyphen/>
        <w:t>9; 29 Jun 2018 p. 2446.]</w:t>
      </w:r>
    </w:p>
    <w:p>
      <w:pPr>
        <w:pStyle w:val="yMiscellaneousHeading"/>
        <w:pageBreakBefore/>
        <w:spacing w:before="0"/>
      </w:pPr>
      <w:r>
        <w:rPr>
          <w:rStyle w:val="CharSClsNo"/>
          <w:b/>
          <w:bCs/>
        </w:rPr>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 xml:space="preserve">NOTICE OF MEMORANDUM </w:t>
      </w:r>
      <w:r>
        <w:rPr>
          <w:b/>
        </w:rPr>
        <w:t>OF AGREEMENT</w:t>
      </w:r>
      <w:r>
        <w:rPr>
          <w:b/>
          <w:bCs/>
        </w:rPr>
        <w:t xml:space="preserve">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of Agreement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Gazette 18 Feb 1994 p. 663; amended: Gazette 21 Jan 2005 p. 276; 28 Oct 2005 p. 4929; 18 Nov 2011 p. 4825; SL 2020/149 r. 9(1).]</w:t>
      </w:r>
    </w:p>
    <w:p>
      <w:pPr>
        <w:pStyle w:val="yMiscellaneousHeading"/>
        <w:pageBreakBefore/>
        <w:spacing w:before="0"/>
      </w:pPr>
      <w:r>
        <w:rPr>
          <w:rStyle w:val="CharSClsNo"/>
          <w:b/>
          <w:bCs/>
        </w:rPr>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Gazette 18 Feb 1994 p. 664; amended: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r>
        <w:rPr>
          <w:sz w:val="16"/>
        </w:rPr>
        <w:t>Perth, Western Australia</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injury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injury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injury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injury to the worker referred to in this Agreement.</w:t>
      </w:r>
    </w:p>
    <w:p>
      <w:pPr>
        <w:pStyle w:val="yMiscellaneousBody"/>
        <w:spacing w:before="120"/>
        <w:rPr>
          <w:sz w:val="16"/>
        </w:rPr>
      </w:pPr>
      <w:r>
        <w:rPr>
          <w:sz w:val="16"/>
        </w:rPr>
        <w:t>SIGNED by the worker:</w:t>
      </w:r>
    </w:p>
    <w:p>
      <w:pPr>
        <w:pStyle w:val="yMiscellaneousBody"/>
        <w:spacing w:before="0"/>
        <w:rPr>
          <w:sz w:val="16"/>
        </w:rPr>
      </w:pPr>
    </w:p>
    <w:p>
      <w:pPr>
        <w:pStyle w:val="yMiscellaneousBody"/>
        <w:spacing w:before="120"/>
        <w:rPr>
          <w:sz w:val="16"/>
        </w:rPr>
      </w:pPr>
      <w:r>
        <w:rPr>
          <w:sz w:val="16"/>
        </w:rPr>
        <w:t>SIGNED by or on behalf of the employer:</w:t>
      </w:r>
    </w:p>
    <w:p>
      <w:pPr>
        <w:pStyle w:val="yMiscellaneousBody"/>
        <w:spacing w:before="0"/>
        <w:rPr>
          <w:sz w:val="16"/>
        </w:rPr>
      </w:pP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Gazette 15 Oct 1999 p. 4907</w:t>
      </w:r>
      <w:r>
        <w:noBreakHyphen/>
        <w:t>10; amended: Gazette 17 Nov 2000 p. 6321; 21 Jan 2005 p. 276; 28 Oct 2005 p. 4929</w:t>
      </w:r>
      <w:r>
        <w:noBreakHyphen/>
        <w:t>31; 18 Nov 2011 p. 4825; SL 2020/149 r. 9(2).]</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Gazette 15 Oct 1999 p. 4910; amended: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Gazette 15 Oct 1999 p. 4911; amended: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Gazette 15 Oct 1999 p. 4911</w:t>
      </w:r>
      <w:r>
        <w:noBreakHyphen/>
        <w:t>12; amended: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“WorkCover WA”,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Note that the date on which the dismissal is effective cannot be before a period of 28 days has passed after this notice is given to the worker and WorkCover WA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WorkCover WA</w:t>
            </w:r>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Gazette 26 Feb 1991 p. 940; amended: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Chief executive officer, WorkCover WA.</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Gazette 3 Apr 1992 p. 1542</w:t>
      </w:r>
      <w:r>
        <w:noBreakHyphen/>
        <w:t>3; amended: Gazette 21 Jan 2005 p. 276 and 277.]</w:t>
      </w:r>
    </w:p>
    <w:p>
      <w:pPr>
        <w:pStyle w:val="yMiscellaneousHeading"/>
        <w:pageBreakBefore/>
      </w:pPr>
      <w:r>
        <w:rPr>
          <w:rStyle w:val="CharSClsNo"/>
          <w:b/>
          <w:bCs/>
        </w:rPr>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Chief executive officer, WorkCover WA.</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Gazette 3 Apr 1992 p. 1544</w:t>
      </w:r>
      <w:r>
        <w:noBreakHyphen/>
        <w:t>5; amended: Gazette 21 Jan 2005 p. 276 and 277.]</w:t>
      </w:r>
    </w:p>
    <w:p>
      <w:pPr>
        <w:pStyle w:val="yEdnotesection"/>
        <w:spacing w:before="80"/>
        <w:outlineLvl w:val="9"/>
      </w:pPr>
      <w:r>
        <w:t>[Form 20 deleted: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Chief executive officer, WorkCover WA</w:t>
      </w:r>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Gazette 26 Feb 1991 p. 946; amended: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t xml:space="preserve">WorkCover WA </w:t>
            </w:r>
          </w:p>
          <w:p>
            <w:pPr>
              <w:pStyle w:val="yTableNAm"/>
              <w:spacing w:before="0"/>
              <w:rPr>
                <w:sz w:val="16"/>
              </w:rPr>
            </w:pPr>
            <w:r>
              <w:rPr>
                <w:sz w:val="16"/>
              </w:rPr>
              <w:tab/>
              <w:t>Perth, Western Australia</w:t>
            </w:r>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Gazette 14 Dec 1999 p. 6153</w:t>
      </w:r>
      <w:r>
        <w:noBreakHyphen/>
        <w:t>4; amended: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t xml:space="preserve">WorkCover WA </w:t>
            </w:r>
          </w:p>
          <w:p>
            <w:pPr>
              <w:pStyle w:val="yTableNAm"/>
              <w:spacing w:before="0" w:after="100"/>
              <w:rPr>
                <w:b/>
                <w:bCs/>
                <w:sz w:val="16"/>
              </w:rPr>
            </w:pPr>
            <w:r>
              <w:rPr>
                <w:sz w:val="16"/>
              </w:rPr>
              <w:tab/>
              <w:t>Perth, Western Australia</w:t>
            </w:r>
          </w:p>
        </w:tc>
      </w:tr>
    </w:tbl>
    <w:p>
      <w:pPr>
        <w:pStyle w:val="yFootnotesection"/>
      </w:pPr>
      <w:r>
        <w:tab/>
        <w:t>[Form 22A inserted: Gazette 26 Oct 2004 p. 4902</w:t>
      </w:r>
      <w:r>
        <w:noBreakHyphen/>
        <w:t>5; amended: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 xml:space="preserve">WorkCover WA </w:t>
            </w:r>
          </w:p>
          <w:p>
            <w:pPr>
              <w:pStyle w:val="yTableNAm"/>
              <w:spacing w:before="60"/>
              <w:rPr>
                <w:b/>
                <w:bCs/>
                <w:sz w:val="16"/>
              </w:rPr>
            </w:pPr>
            <w:r>
              <w:rPr>
                <w:sz w:val="16"/>
              </w:rPr>
              <w:tab/>
              <w:t>Perth, Western Australia</w:t>
            </w:r>
          </w:p>
        </w:tc>
      </w:tr>
    </w:tbl>
    <w:p>
      <w:pPr>
        <w:pStyle w:val="yFootnotesection"/>
      </w:pPr>
      <w:r>
        <w:tab/>
        <w:t>[Form 22B inserted: Gazette 26 Oct 2004 p. 4905</w:t>
      </w:r>
      <w:r>
        <w:noBreakHyphen/>
        <w:t>8; amended: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Gazette 14 Dec 1999 p. 6154</w:t>
      </w:r>
      <w:r>
        <w:noBreakHyphen/>
        <w:t>5; amended: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Gazette 26 Oct 2004 p. 4908</w:t>
      </w:r>
      <w:r>
        <w:noBreakHyphen/>
        <w:t>10; amended: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Gazette 26 Oct 2004 p. 4911</w:t>
      </w:r>
      <w:r>
        <w:noBreakHyphen/>
        <w:t>13; amended: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Gazette 14 Dec 1999 p. 6156</w:t>
      </w:r>
      <w:r>
        <w:noBreakHyphen/>
        <w:t>7; amended: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Gazette 14 Dec 1999 p. 6157</w:t>
      </w:r>
      <w:r>
        <w:noBreakHyphen/>
        <w:t>9; amended: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Gazette 14 Dec 1999 p. 6159</w:t>
      </w:r>
      <w:r>
        <w:noBreakHyphen/>
        <w:t>61; amended: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Gazette 14 Dec 1999 p. 6161</w:t>
      </w:r>
      <w:r>
        <w:noBreakHyphen/>
        <w:t>3; amended: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t>WorkCover WA</w:t>
            </w:r>
          </w:p>
          <w:p>
            <w:pPr>
              <w:pStyle w:val="yTableNAm"/>
              <w:spacing w:before="60"/>
              <w:rPr>
                <w:sz w:val="16"/>
              </w:rPr>
            </w:pPr>
            <w:r>
              <w:rPr>
                <w:sz w:val="16"/>
              </w:rPr>
              <w:tab/>
              <w:t>Perth, Western Australia</w:t>
            </w:r>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Gazette 17 Nov 2000 p. 6317</w:t>
      </w:r>
      <w:r>
        <w:noBreakHyphen/>
        <w:t>19; amended: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and (5), Schedule 8 clause 10)</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Gazette 28 Oct 2005 p. 4939</w:t>
      </w:r>
      <w:r>
        <w:noBreakHyphen/>
        <w:t>40; amended: Gazette 18 Nov 2011 p. 4825; 29 Jun 2018 p. 2446.]</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and (5), Schedule 8 clause 10)</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Gazette 28 Oct 2005 p. 4941; amended: Gazette 29 Jun 2018 p. 2446.]</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r>
              <w:rPr>
                <w:sz w:val="16"/>
              </w:rPr>
              <w:t>WorkCover WA</w:t>
            </w:r>
          </w:p>
          <w:p>
            <w:pPr>
              <w:pStyle w:val="yTableNAm"/>
              <w:spacing w:before="60"/>
              <w:ind w:left="359"/>
              <w:rPr>
                <w:sz w:val="16"/>
              </w:rPr>
            </w:pPr>
            <w:r>
              <w:rPr>
                <w:sz w:val="16"/>
              </w:rPr>
              <w:t>Perth, WA</w:t>
            </w:r>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Gazette 28 Oct 2005 p. 4942</w:t>
      </w:r>
      <w:r>
        <w:noBreakHyphen/>
        <w:t>4; amended: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pPr>
      <w:r>
        <w:rPr>
          <w:b/>
          <w:u w:val="single"/>
        </w:rPr>
        <w:t>WARNING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8"/>
      </w:tblGrid>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spacing w:before="60"/>
              <w:rPr>
                <w:sz w:val="16"/>
                <w:szCs w:val="16"/>
              </w:rPr>
            </w:pPr>
            <w:r>
              <w:rPr>
                <w:sz w:val="16"/>
                <w:szCs w:val="16"/>
              </w:rPr>
              <w:t>An election cannot be withdrawn after the Director registers it and a subsequent election cannot be made in respect of the same injury or injuries (see section 93L(6) of the Act).</w:t>
            </w:r>
          </w:p>
          <w:p>
            <w:pPr>
              <w:pStyle w:val="yTableNAm"/>
              <w:spacing w:before="60"/>
              <w:rPr>
                <w:sz w:val="16"/>
                <w:szCs w:val="16"/>
              </w:rPr>
            </w:pPr>
            <w:r>
              <w:rPr>
                <w:sz w:val="16"/>
                <w:szCs w:val="16"/>
              </w:rPr>
              <w:t xml:space="preserve">Registration of an election may affect your entitlement to statutory compensation under the </w:t>
            </w:r>
            <w:r>
              <w:rPr>
                <w:i/>
                <w:iCs/>
                <w:sz w:val="16"/>
                <w:szCs w:val="16"/>
              </w:rPr>
              <w:t>Workers’ Compensation and Injury Management Act 1981</w:t>
            </w:r>
            <w:r>
              <w:rPr>
                <w:sz w:val="16"/>
                <w:szCs w:val="16"/>
              </w:rPr>
              <w:t>.</w:t>
            </w:r>
          </w:p>
        </w:tc>
      </w:tr>
      <w:tr>
        <w:trPr>
          <w:cantSplit/>
          <w:trHeight w:val="269"/>
        </w:trPr>
        <w:tc>
          <w:tcPr>
            <w:tcW w:w="6808" w:type="dxa"/>
            <w:tcBorders>
              <w:top w:val="single" w:sz="4" w:space="0" w:color="auto"/>
              <w:left w:val="single" w:sz="4" w:space="0" w:color="auto"/>
              <w:bottom w:val="single" w:sz="4" w:space="0" w:color="auto"/>
              <w:right w:val="single" w:sz="4" w:space="0" w:color="auto"/>
            </w:tcBorders>
            <w:hideMark/>
          </w:tcPr>
          <w:p>
            <w:pPr>
              <w:pStyle w:val="yTableNAm"/>
              <w:jc w:val="center"/>
              <w:rPr>
                <w:sz w:val="16"/>
                <w:szCs w:val="16"/>
              </w:rPr>
            </w:pPr>
            <w:r>
              <w:rPr>
                <w:b/>
                <w:bCs/>
                <w:sz w:val="16"/>
                <w:szCs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34 inserted: Gazette 28 Oct 2005 p. 4948</w:t>
      </w:r>
      <w:r>
        <w:noBreakHyphen/>
        <w:t>50; amended: SL 2020/188 r. 17(1).]</w:t>
      </w:r>
    </w:p>
    <w:p>
      <w:pPr>
        <w:pStyle w:val="yEdnotedivision"/>
      </w:pPr>
      <w:r>
        <w:t>[Forms 35 and 36 deleted: SL 2020/188 r. 17(2).]</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r>
              <w:rPr>
                <w:sz w:val="16"/>
              </w:rPr>
              <w:t>WorkCover WA</w:t>
            </w:r>
          </w:p>
          <w:p>
            <w:pPr>
              <w:pStyle w:val="yTableNAm"/>
              <w:spacing w:before="40"/>
              <w:rPr>
                <w:sz w:val="16"/>
              </w:rPr>
            </w:pPr>
            <w:r>
              <w:rPr>
                <w:sz w:val="16"/>
              </w:rPr>
              <w:t>Perth, WA</w:t>
            </w:r>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Gazette 28 Oct 2005 p. 4959</w:t>
      </w:r>
      <w:r>
        <w:noBreakHyphen/>
        <w:t>61; amended: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Gazette 25 Feb 2014 p. 507</w:t>
      </w:r>
      <w:r>
        <w:noBreakHyphen/>
        <w:t>8.]</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205" w:name="_Toc52869352"/>
      <w:bookmarkStart w:id="206" w:name="_Toc52871338"/>
      <w:bookmarkStart w:id="207" w:name="_Toc52957146"/>
      <w:r>
        <w:rPr>
          <w:rStyle w:val="CharSchNo"/>
        </w:rPr>
        <w:t>Appendix II</w:t>
      </w:r>
      <w:bookmarkEnd w:id="205"/>
      <w:bookmarkEnd w:id="206"/>
      <w:bookmarkEnd w:id="207"/>
    </w:p>
    <w:p>
      <w:pPr>
        <w:pStyle w:val="yShoulderClause"/>
        <w:rPr>
          <w:sz w:val="20"/>
        </w:rPr>
      </w:pPr>
      <w:r>
        <w:rPr>
          <w:sz w:val="20"/>
        </w:rPr>
        <w:t>[r. 9]</w:t>
      </w:r>
    </w:p>
    <w:p>
      <w:pPr>
        <w:pStyle w:val="yFootnotesection"/>
        <w:tabs>
          <w:tab w:val="clear" w:pos="893"/>
          <w:tab w:val="left" w:pos="426"/>
        </w:tabs>
        <w:ind w:left="426" w:hanging="426"/>
      </w:pPr>
      <w:r>
        <w:tab/>
        <w:t>[Heading deleted: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Gazette 17 Nov 2000 p. 6322; 21 Jan 2005 p. 277.]</w:t>
      </w:r>
    </w:p>
    <w:p>
      <w:pPr>
        <w:pStyle w:val="yScheduleHeading"/>
      </w:pPr>
      <w:bookmarkStart w:id="208" w:name="_Toc52869353"/>
      <w:bookmarkStart w:id="209" w:name="_Toc52871339"/>
      <w:bookmarkStart w:id="210" w:name="_Toc52957147"/>
      <w:r>
        <w:rPr>
          <w:rStyle w:val="CharSchNo"/>
        </w:rPr>
        <w:t>Appendix III</w:t>
      </w:r>
      <w:bookmarkEnd w:id="208"/>
      <w:bookmarkEnd w:id="209"/>
      <w:bookmarkEnd w:id="210"/>
    </w:p>
    <w:p>
      <w:pPr>
        <w:pStyle w:val="yShoulderClause"/>
        <w:rPr>
          <w:sz w:val="20"/>
        </w:rPr>
      </w:pPr>
      <w:r>
        <w:rPr>
          <w:sz w:val="20"/>
        </w:rPr>
        <w:t>[r. 19E]</w:t>
      </w:r>
    </w:p>
    <w:p>
      <w:pPr>
        <w:pStyle w:val="yFootnoteheading"/>
      </w:pPr>
      <w:r>
        <w:tab/>
        <w:t>[Heading inserted: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Gazette 26 Feb 1991 p. 947</w:t>
      </w:r>
      <w:r>
        <w:noBreakHyphen/>
        <w:t>56.]</w:t>
      </w:r>
    </w:p>
    <w:p>
      <w:pPr>
        <w:pStyle w:val="yScheduleHeading"/>
        <w:tabs>
          <w:tab w:val="left" w:pos="567"/>
          <w:tab w:val="left" w:leader="dot" w:pos="3328"/>
        </w:tabs>
        <w:spacing w:before="40" w:after="40"/>
        <w:outlineLvl w:val="9"/>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211" w:name="_Toc52869354"/>
      <w:bookmarkStart w:id="212" w:name="_Toc52871340"/>
      <w:bookmarkStart w:id="213" w:name="_Toc52957148"/>
      <w:r>
        <w:rPr>
          <w:rStyle w:val="CharSchNo"/>
        </w:rPr>
        <w:t>Appendix IV</w:t>
      </w:r>
      <w:r>
        <w:rPr>
          <w:rStyle w:val="CharSDivNo"/>
        </w:rPr>
        <w:t> </w:t>
      </w:r>
      <w:r>
        <w:t>—</w:t>
      </w:r>
      <w:r>
        <w:rPr>
          <w:rStyle w:val="CharSDivText"/>
        </w:rPr>
        <w:t> </w:t>
      </w:r>
      <w:r>
        <w:rPr>
          <w:rStyle w:val="CharSchText"/>
        </w:rPr>
        <w:t>Registered agents code of conduct</w:t>
      </w:r>
      <w:bookmarkEnd w:id="211"/>
      <w:bookmarkEnd w:id="212"/>
      <w:bookmarkEnd w:id="213"/>
    </w:p>
    <w:p>
      <w:pPr>
        <w:pStyle w:val="yShoulderClause"/>
      </w:pPr>
      <w:r>
        <w:t>[r. 26]</w:t>
      </w:r>
    </w:p>
    <w:p>
      <w:pPr>
        <w:pStyle w:val="yFootnoteheading"/>
      </w:pPr>
      <w:r>
        <w:tab/>
        <w:t>[Heading inserted: Gazette 28 Oct 2005 p. 4964.]</w:t>
      </w:r>
    </w:p>
    <w:p>
      <w:pPr>
        <w:pStyle w:val="yHeading5"/>
      </w:pPr>
      <w:bookmarkStart w:id="214" w:name="_Toc52957149"/>
      <w:r>
        <w:rPr>
          <w:rStyle w:val="CharSClsNo"/>
        </w:rPr>
        <w:t>1</w:t>
      </w:r>
      <w:r>
        <w:t>.</w:t>
      </w:r>
      <w:r>
        <w:rPr>
          <w:b w:val="0"/>
        </w:rPr>
        <w:tab/>
      </w:r>
      <w:r>
        <w:t>Duties of registered agent</w:t>
      </w:r>
      <w:bookmarkEnd w:id="214"/>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Gazette 28 Oct 2005 p. 4964.]</w:t>
      </w:r>
    </w:p>
    <w:p>
      <w:pPr>
        <w:pStyle w:val="yHeading5"/>
      </w:pPr>
      <w:bookmarkStart w:id="215" w:name="_Toc52957150"/>
      <w:r>
        <w:rPr>
          <w:rStyle w:val="CharSClsNo"/>
        </w:rPr>
        <w:t>2</w:t>
      </w:r>
      <w:r>
        <w:t>.</w:t>
      </w:r>
      <w:r>
        <w:rPr>
          <w:b w:val="0"/>
        </w:rPr>
        <w:tab/>
      </w:r>
      <w:r>
        <w:t>Integrity and diligence</w:t>
      </w:r>
      <w:bookmarkEnd w:id="215"/>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Gazette 28 Oct 2005 p. 4964</w:t>
      </w:r>
      <w:r>
        <w:noBreakHyphen/>
        <w:t>5.]</w:t>
      </w:r>
    </w:p>
    <w:p>
      <w:pPr>
        <w:pStyle w:val="yHeading5"/>
      </w:pPr>
      <w:bookmarkStart w:id="216" w:name="_Toc52957151"/>
      <w:r>
        <w:rPr>
          <w:rStyle w:val="CharSClsNo"/>
        </w:rPr>
        <w:t>3</w:t>
      </w:r>
      <w:r>
        <w:t>.</w:t>
      </w:r>
      <w:r>
        <w:rPr>
          <w:b w:val="0"/>
        </w:rPr>
        <w:tab/>
      </w:r>
      <w:r>
        <w:t>Confidentiality</w:t>
      </w:r>
      <w:bookmarkEnd w:id="216"/>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Gazette 28 Oct 2005 p. 4965</w:t>
      </w:r>
      <w:r>
        <w:noBreakHyphen/>
        <w:t>6.]</w:t>
      </w:r>
    </w:p>
    <w:p>
      <w:pPr>
        <w:pStyle w:val="yHeading5"/>
      </w:pPr>
      <w:bookmarkStart w:id="217" w:name="_Toc52957152"/>
      <w:r>
        <w:rPr>
          <w:rStyle w:val="CharSClsNo"/>
        </w:rPr>
        <w:t>4</w:t>
      </w:r>
      <w:r>
        <w:t>.</w:t>
      </w:r>
      <w:r>
        <w:rPr>
          <w:b w:val="0"/>
        </w:rPr>
        <w:tab/>
      </w:r>
      <w:r>
        <w:t>Conflict of interest</w:t>
      </w:r>
      <w:bookmarkEnd w:id="217"/>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Gazette 28 Oct 2005 p. 4966.]</w:t>
      </w:r>
    </w:p>
    <w:p>
      <w:pPr>
        <w:pStyle w:val="yHeading5"/>
      </w:pPr>
      <w:bookmarkStart w:id="218" w:name="_Toc52957153"/>
      <w:r>
        <w:rPr>
          <w:rStyle w:val="CharSClsNo"/>
        </w:rPr>
        <w:t>5</w:t>
      </w:r>
      <w:r>
        <w:t>.</w:t>
      </w:r>
      <w:r>
        <w:rPr>
          <w:b w:val="0"/>
        </w:rPr>
        <w:tab/>
      </w:r>
      <w:r>
        <w:t>Proceedings</w:t>
      </w:r>
      <w:bookmarkEnd w:id="218"/>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Director, the Registrar, an officer of the Conciliation Service or the Arbitration Service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Gazette 28 Oct 2005 p. 4966</w:t>
      </w:r>
      <w:r>
        <w:noBreakHyphen/>
        <w:t>7; amended: Gazette 18 Nov 2011 p. 4826.]</w:t>
      </w:r>
    </w:p>
    <w:p>
      <w:pPr>
        <w:pStyle w:val="yHeading5"/>
      </w:pPr>
      <w:bookmarkStart w:id="219" w:name="_Toc52957154"/>
      <w:r>
        <w:rPr>
          <w:rStyle w:val="CharSClsNo"/>
        </w:rPr>
        <w:t>6</w:t>
      </w:r>
      <w:r>
        <w:t>.</w:t>
      </w:r>
      <w:r>
        <w:rPr>
          <w:b w:val="0"/>
        </w:rPr>
        <w:tab/>
      </w:r>
      <w:r>
        <w:t>Advertising</w:t>
      </w:r>
      <w:bookmarkEnd w:id="219"/>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Gazette 28 Oct 2005 p. 4967.]</w:t>
      </w:r>
    </w:p>
    <w:p>
      <w:pPr>
        <w:pStyle w:val="yHeading5"/>
      </w:pPr>
      <w:bookmarkStart w:id="220" w:name="_Toc52957155"/>
      <w:r>
        <w:rPr>
          <w:rStyle w:val="CharSClsNo"/>
        </w:rPr>
        <w:t>7</w:t>
      </w:r>
      <w:r>
        <w:t>.</w:t>
      </w:r>
      <w:r>
        <w:rPr>
          <w:b w:val="0"/>
        </w:rPr>
        <w:tab/>
      </w:r>
      <w:r>
        <w:t>Withdrawal</w:t>
      </w:r>
      <w:bookmarkEnd w:id="220"/>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Gazette 28 Oct 2005 p. 4967</w:t>
      </w:r>
      <w:r>
        <w:noBreakHyphen/>
        <w:t>9.]</w:t>
      </w:r>
    </w:p>
    <w:p>
      <w:pPr>
        <w:pStyle w:val="yHeading5"/>
      </w:pPr>
      <w:bookmarkStart w:id="221" w:name="_Toc52957156"/>
      <w:r>
        <w:rPr>
          <w:rStyle w:val="CharSClsNo"/>
        </w:rPr>
        <w:t>8</w:t>
      </w:r>
      <w:r>
        <w:t>.</w:t>
      </w:r>
      <w:r>
        <w:rPr>
          <w:b w:val="0"/>
        </w:rPr>
        <w:tab/>
      </w:r>
      <w:r>
        <w:t>Fees</w:t>
      </w:r>
      <w:bookmarkEnd w:id="221"/>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Gazette 28 Oct 2005 p. 4969.]</w:t>
      </w:r>
    </w:p>
    <w:p>
      <w:pPr>
        <w:pStyle w:val="yHeading5"/>
      </w:pPr>
      <w:bookmarkStart w:id="222" w:name="_Toc52957157"/>
      <w:r>
        <w:rPr>
          <w:rStyle w:val="CharSClsNo"/>
        </w:rPr>
        <w:t>9</w:t>
      </w:r>
      <w:r>
        <w:t>.</w:t>
      </w:r>
      <w:r>
        <w:rPr>
          <w:b w:val="0"/>
        </w:rPr>
        <w:tab/>
      </w:r>
      <w:r>
        <w:t>Records</w:t>
      </w:r>
      <w:bookmarkEnd w:id="222"/>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Gazette 28 Oct 2005 p. 4969.]</w:t>
      </w:r>
    </w:p>
    <w:p>
      <w:pPr>
        <w:pStyle w:val="yHeading5"/>
      </w:pPr>
      <w:bookmarkStart w:id="223" w:name="_Toc52957158"/>
      <w:r>
        <w:rPr>
          <w:rStyle w:val="CharSClsNo"/>
        </w:rPr>
        <w:t>10</w:t>
      </w:r>
      <w:r>
        <w:t>.</w:t>
      </w:r>
      <w:r>
        <w:rPr>
          <w:b w:val="0"/>
        </w:rPr>
        <w:tab/>
      </w:r>
      <w:r>
        <w:t>Trust moneys</w:t>
      </w:r>
      <w:bookmarkEnd w:id="223"/>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Gazette 28 Oct 2005 p. 4970.]</w:t>
      </w:r>
    </w:p>
    <w:p>
      <w:pPr>
        <w:pStyle w:val="yHeading5"/>
      </w:pPr>
      <w:bookmarkStart w:id="224" w:name="_Toc52957159"/>
      <w:r>
        <w:rPr>
          <w:rStyle w:val="CharSClsNo"/>
        </w:rPr>
        <w:t>11</w:t>
      </w:r>
      <w:r>
        <w:t>.</w:t>
      </w:r>
      <w:r>
        <w:rPr>
          <w:b w:val="0"/>
        </w:rPr>
        <w:tab/>
      </w:r>
      <w:r>
        <w:t>Costs</w:t>
      </w:r>
      <w:bookmarkEnd w:id="224"/>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Gazette 28 Oct 2005 p. 4970.]</w:t>
      </w:r>
    </w:p>
    <w:p>
      <w:pPr>
        <w:pStyle w:val="yScheduleHeading"/>
        <w:outlineLvl w:val="9"/>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yScheduleHeading"/>
      </w:pPr>
      <w:bookmarkStart w:id="225" w:name="_Toc52869366"/>
      <w:bookmarkStart w:id="226" w:name="_Toc52871352"/>
      <w:bookmarkStart w:id="227" w:name="_Toc52957160"/>
      <w:r>
        <w:rPr>
          <w:rStyle w:val="CharSchNo"/>
        </w:rPr>
        <w:t>Appendix V</w:t>
      </w:r>
      <w:r>
        <w:t xml:space="preserve"> — </w:t>
      </w:r>
      <w:r>
        <w:rPr>
          <w:rStyle w:val="CharSchText"/>
        </w:rPr>
        <w:t>Prescribed offences and modified penalties</w:t>
      </w:r>
      <w:bookmarkEnd w:id="225"/>
      <w:bookmarkEnd w:id="226"/>
      <w:bookmarkEnd w:id="227"/>
    </w:p>
    <w:p>
      <w:pPr>
        <w:pStyle w:val="yShoulderClause"/>
      </w:pPr>
      <w:r>
        <w:t>[r. 50, 51]</w:t>
      </w:r>
    </w:p>
    <w:p>
      <w:pPr>
        <w:pStyle w:val="yFootnoteheading"/>
        <w:spacing w:after="120"/>
      </w:pPr>
      <w:r>
        <w:tab/>
        <w:t>[Heading inserted: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Gazette 28 Oct 2005 p. 4970</w:t>
      </w:r>
      <w:r>
        <w:noBreakHyphen/>
        <w:t>2; amended: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pPr>
      <w:bookmarkStart w:id="228" w:name="_Toc52869367"/>
      <w:bookmarkStart w:id="229" w:name="_Toc52871353"/>
      <w:bookmarkStart w:id="230" w:name="_Toc52957161"/>
      <w:r>
        <w:t>Notes</w:t>
      </w:r>
      <w:bookmarkEnd w:id="228"/>
      <w:bookmarkEnd w:id="229"/>
      <w:bookmarkEnd w:id="230"/>
    </w:p>
    <w:p>
      <w:pPr>
        <w:pStyle w:val="nStatement"/>
      </w:pPr>
      <w:r>
        <w:t xml:space="preserve">This is a compilation of the </w:t>
      </w:r>
      <w:r>
        <w:rPr>
          <w:i/>
          <w:noProof/>
        </w:rPr>
        <w:t>Workers’ Compensation and Injury Management Regulations 1982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1" w:name="_Toc52957162"/>
      <w:r>
        <w:t>Compilation table</w:t>
      </w:r>
      <w:bookmarkEnd w:id="231"/>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vertAlign w:val="superscript"/>
              </w:rPr>
            </w:pPr>
            <w:r>
              <w:rPr>
                <w:i/>
              </w:rPr>
              <w:t>Workers’ Compensation and Assistance Regulations 1982</w:t>
            </w:r>
            <w:r>
              <w:rPr>
                <w:vertAlign w:val="superscript"/>
              </w:rPr>
              <w:t xml:space="preserve"> 4</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bCs/>
                <w:snapToGrid w:val="0"/>
                <w:spacing w:val="-2"/>
              </w:rPr>
              <w:t>r. 1 and 2: 4 Oct 2016 (see r. 2(a));</w:t>
            </w:r>
            <w:r>
              <w:rPr>
                <w:bCs/>
                <w:snapToGrid w:val="0"/>
                <w:spacing w:val="-2"/>
              </w:rPr>
              <w:br/>
              <w:t>Regulations other than r. 1 and 2: 17 Oct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8: The </w:t>
            </w:r>
            <w:r>
              <w:rPr>
                <w:b/>
                <w:bCs/>
                <w:i/>
                <w:noProof/>
                <w:snapToGrid w:val="0"/>
                <w:spacing w:val="-2"/>
              </w:rPr>
              <w:t>Workers’ Compensation and Injury Management Regulations 1982</w:t>
            </w:r>
            <w:r>
              <w:rPr>
                <w:b/>
                <w:bCs/>
                <w:snapToGrid w:val="0"/>
                <w:spacing w:val="-2"/>
              </w:rPr>
              <w:t xml:space="preserve"> as at</w:t>
            </w:r>
            <w:r>
              <w:rPr>
                <w:b/>
                <w:bCs/>
                <w:snapToGrid w:val="0"/>
                <w:spacing w:val="-2"/>
              </w:rPr>
              <w:br/>
              <w:t>19 May 2017</w:t>
            </w:r>
            <w:r>
              <w:rPr>
                <w:bCs/>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2018</w:t>
            </w:r>
          </w:p>
        </w:tc>
        <w:tc>
          <w:tcPr>
            <w:tcW w:w="1276" w:type="dxa"/>
            <w:tcBorders>
              <w:top w:val="nil"/>
              <w:bottom w:val="nil"/>
            </w:tcBorders>
          </w:tcPr>
          <w:p>
            <w:pPr>
              <w:pStyle w:val="nTable"/>
              <w:spacing w:after="40"/>
            </w:pPr>
            <w:r>
              <w:t>29 Jun 2018 p. 2442</w:t>
            </w:r>
            <w:r>
              <w:noBreakHyphen/>
              <w:t>6</w:t>
            </w:r>
          </w:p>
        </w:tc>
        <w:tc>
          <w:tcPr>
            <w:tcW w:w="2693" w:type="dxa"/>
            <w:tcBorders>
              <w:top w:val="nil"/>
              <w:bottom w:val="nil"/>
            </w:tcBorders>
          </w:tcPr>
          <w:p>
            <w:pPr>
              <w:pStyle w:val="nTable"/>
              <w:spacing w:after="40"/>
              <w:rPr>
                <w:snapToGrid w:val="0"/>
                <w:spacing w:val="-2"/>
              </w:rPr>
            </w:pPr>
            <w:r>
              <w:rPr>
                <w:bCs/>
                <w:snapToGrid w:val="0"/>
                <w:spacing w:val="-2"/>
              </w:rPr>
              <w:t>r. 1 and 2: 29 Jun 2018 (see r. 2(a));</w:t>
            </w:r>
            <w:r>
              <w:rPr>
                <w:bCs/>
                <w:snapToGrid w:val="0"/>
                <w:spacing w:val="-2"/>
              </w:rPr>
              <w:br/>
              <w:t xml:space="preserve">Regulations other than r. 1 and 2: 1 Jul 2018 (see r. 2(b) and </w:t>
            </w:r>
            <w:r>
              <w:rPr>
                <w:bCs/>
                <w:i/>
                <w:snapToGrid w:val="0"/>
                <w:spacing w:val="-2"/>
              </w:rPr>
              <w:t xml:space="preserve">Gazette </w:t>
            </w:r>
            <w:r>
              <w:rPr>
                <w:bCs/>
                <w:snapToGrid w:val="0"/>
                <w:spacing w:val="-2"/>
              </w:rPr>
              <w:t>29 Jun 2018 p. 2433)</w:t>
            </w:r>
          </w:p>
        </w:tc>
      </w:tr>
      <w:tr>
        <w:trPr>
          <w:cantSplit/>
        </w:trPr>
        <w:tc>
          <w:tcPr>
            <w:tcW w:w="3119" w:type="dxa"/>
            <w:tcBorders>
              <w:top w:val="nil"/>
              <w:bottom w:val="nil"/>
            </w:tcBorders>
          </w:tcPr>
          <w:p>
            <w:pPr>
              <w:pStyle w:val="nTable"/>
              <w:spacing w:after="40"/>
              <w:ind w:right="113"/>
              <w:rPr>
                <w:i/>
              </w:rPr>
            </w:pPr>
            <w:r>
              <w:rPr>
                <w:i/>
              </w:rPr>
              <w:t>Workers’ Compensation and Injury Management Amendment Regulations 2020</w:t>
            </w:r>
          </w:p>
        </w:tc>
        <w:tc>
          <w:tcPr>
            <w:tcW w:w="1276" w:type="dxa"/>
            <w:tcBorders>
              <w:top w:val="nil"/>
              <w:bottom w:val="nil"/>
            </w:tcBorders>
          </w:tcPr>
          <w:p>
            <w:pPr>
              <w:pStyle w:val="nTable"/>
              <w:spacing w:after="40"/>
            </w:pPr>
            <w:r>
              <w:t>SL 2020/149 1 Sep 2020</w:t>
            </w:r>
          </w:p>
        </w:tc>
        <w:tc>
          <w:tcPr>
            <w:tcW w:w="2693" w:type="dxa"/>
            <w:tcBorders>
              <w:top w:val="nil"/>
              <w:bottom w:val="nil"/>
            </w:tcBorders>
          </w:tcPr>
          <w:p>
            <w:pPr>
              <w:pStyle w:val="nTable"/>
              <w:spacing w:after="40"/>
              <w:rPr>
                <w:bCs/>
                <w:snapToGrid w:val="0"/>
                <w:spacing w:val="-2"/>
              </w:rPr>
            </w:pPr>
            <w:r>
              <w:rPr>
                <w:bCs/>
                <w:snapToGrid w:val="0"/>
                <w:spacing w:val="-2"/>
              </w:rPr>
              <w:t>r. 1 and 2: 1 Sep 2020 (see r. 2(a));</w:t>
            </w:r>
            <w:r>
              <w:rPr>
                <w:bCs/>
                <w:snapToGrid w:val="0"/>
                <w:spacing w:val="-2"/>
              </w:rPr>
              <w:br/>
              <w:t>Regulations other than r. 1 and 2: 2 Sep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pPr>
            <w:r>
              <w:rPr>
                <w:i/>
              </w:rPr>
              <w:t>Workers’ Compensation and Injury Management Amendment Regulations (No. 2) 2020</w:t>
            </w:r>
            <w:r>
              <w:t xml:space="preserve"> (other than r. 15)</w:t>
            </w:r>
          </w:p>
        </w:tc>
        <w:tc>
          <w:tcPr>
            <w:tcW w:w="1276" w:type="dxa"/>
            <w:tcBorders>
              <w:bottom w:val="single" w:sz="4" w:space="0" w:color="auto"/>
            </w:tcBorders>
          </w:tcPr>
          <w:p>
            <w:pPr>
              <w:pStyle w:val="nTable"/>
              <w:spacing w:after="40"/>
            </w:pPr>
            <w:r>
              <w:t>SL 2020/188 9 Oct 2020</w:t>
            </w:r>
          </w:p>
        </w:tc>
        <w:tc>
          <w:tcPr>
            <w:tcW w:w="2693" w:type="dxa"/>
            <w:tcBorders>
              <w:bottom w:val="single" w:sz="4" w:space="0" w:color="auto"/>
            </w:tcBorders>
          </w:tcPr>
          <w:p>
            <w:pPr>
              <w:pStyle w:val="nTable"/>
              <w:spacing w:after="40"/>
              <w:rPr>
                <w:bCs/>
                <w:snapToGrid w:val="0"/>
                <w:spacing w:val="-2"/>
              </w:rPr>
            </w:pPr>
            <w:r>
              <w:rPr>
                <w:bCs/>
                <w:snapToGrid w:val="0"/>
                <w:spacing w:val="-2"/>
              </w:rPr>
              <w:t>r. 1 and 2: 9 Oct 2020 (see r. 2(a));</w:t>
            </w:r>
            <w:r>
              <w:rPr>
                <w:bCs/>
                <w:snapToGrid w:val="0"/>
                <w:spacing w:val="-2"/>
              </w:rPr>
              <w:br/>
              <w:t>Regulations other than r. 1, 2 and 15: 12 Oct 2020 (see r. 2(c) and SL 2020/187 cl. 2)</w:t>
            </w:r>
          </w:p>
        </w:tc>
      </w:tr>
    </w:tbl>
    <w:p>
      <w:pPr>
        <w:pStyle w:val="nHeading3"/>
      </w:pPr>
      <w:bookmarkStart w:id="232" w:name="_Toc52957163"/>
      <w:r>
        <w:t>Uncommenced provisions table</w:t>
      </w:r>
      <w:bookmarkEnd w:id="232"/>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Workers’ Compensation and Injury Management Amendment Regulations (No. 2) 2020</w:t>
            </w:r>
            <w:r>
              <w:t xml:space="preserve"> r. 15</w:t>
            </w:r>
          </w:p>
        </w:tc>
        <w:tc>
          <w:tcPr>
            <w:tcW w:w="1276" w:type="dxa"/>
          </w:tcPr>
          <w:p>
            <w:pPr>
              <w:pStyle w:val="nTable"/>
              <w:spacing w:after="40"/>
            </w:pPr>
            <w:r>
              <w:t>SL 2020/188 9 Oct 2020</w:t>
            </w:r>
          </w:p>
        </w:tc>
        <w:tc>
          <w:tcPr>
            <w:tcW w:w="2693" w:type="dxa"/>
          </w:tcPr>
          <w:p>
            <w:pPr>
              <w:pStyle w:val="nTable"/>
              <w:spacing w:after="40"/>
            </w:pPr>
            <w:r>
              <w:t>16 Nov 2020 (see r. 2(b))</w:t>
            </w:r>
          </w:p>
        </w:tc>
      </w:tr>
    </w:tbl>
    <w:p>
      <w:pPr>
        <w:pStyle w:val="nHeading3"/>
      </w:pPr>
      <w:bookmarkStart w:id="233" w:name="_Toc52957164"/>
      <w:r>
        <w:t>Other notes</w:t>
      </w:r>
      <w:bookmarkEnd w:id="233"/>
    </w:p>
    <w:p>
      <w:pPr>
        <w:pStyle w:val="nNote"/>
        <w:spacing w:before="200"/>
      </w:pPr>
      <w:r>
        <w:rPr>
          <w:vertAlign w:val="superscript"/>
        </w:rPr>
        <w:t>1</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Note"/>
      </w:pPr>
      <w:r>
        <w:rPr>
          <w:vertAlign w:val="superscript"/>
        </w:rPr>
        <w:t>2</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Note"/>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Note"/>
      </w:pPr>
      <w:r>
        <w:rPr>
          <w:vertAlign w:val="superscript"/>
        </w:rPr>
        <w:t>4</w:t>
      </w:r>
      <w:r>
        <w:tab/>
        <w:t xml:space="preserve">Now known as the </w:t>
      </w:r>
      <w:r>
        <w:rPr>
          <w:i/>
        </w:rPr>
        <w:t>Workers’ Compensation and Injury Management Regulations 1982</w:t>
      </w:r>
      <w:r>
        <w:t>; citation changed (see note under r. 1).</w:t>
      </w:r>
    </w:p>
    <w:p/>
    <w:p>
      <w:pPr>
        <w:sectPr>
          <w:headerReference w:type="even" r:id="rId39"/>
          <w:headerReference w:type="default" r:id="rId40"/>
          <w:pgSz w:w="11907" w:h="16840" w:code="9"/>
          <w:pgMar w:top="2376" w:right="2404" w:bottom="3544" w:left="2404" w:header="720" w:footer="3380" w:gutter="0"/>
          <w:cols w:space="720"/>
          <w:noEndnote/>
          <w:docGrid w:linePitch="326"/>
        </w:sectPr>
      </w:pPr>
    </w:p>
    <w:p>
      <w:pPr>
        <w:pStyle w:val="nHeading2"/>
        <w:rPr>
          <w:sz w:val="28"/>
        </w:rPr>
      </w:pPr>
      <w:bookmarkStart w:id="235" w:name="_Toc52957165"/>
      <w:r>
        <w:rPr>
          <w:sz w:val="28"/>
        </w:rPr>
        <w:t>Defined terms</w:t>
      </w:r>
      <w:bookmarkEnd w:id="2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level</w:t>
      </w:r>
      <w:r>
        <w:tab/>
        <w:t>19I(2)</w:t>
      </w:r>
    </w:p>
    <w:p>
      <w:pPr>
        <w:pStyle w:val="DefinedTerms"/>
      </w:pPr>
      <w:r>
        <w:t>actual total cost</w:t>
      </w:r>
      <w:r>
        <w:tab/>
        <w:t>13(3)</w:t>
      </w:r>
    </w:p>
    <w:p>
      <w:pPr>
        <w:pStyle w:val="DefinedTerms"/>
      </w:pPr>
      <w:r>
        <w:t>acupuncturist</w:t>
      </w:r>
      <w:r>
        <w:tab/>
        <w:t>44C(1)</w:t>
      </w:r>
    </w:p>
    <w:p>
      <w:pPr>
        <w:pStyle w:val="DefinedTerms"/>
      </w:pPr>
      <w:r>
        <w:t>agent service</w:t>
      </w:r>
      <w:r>
        <w:tab/>
        <w:t>18B</w:t>
      </w:r>
    </w:p>
    <w:p>
      <w:pPr>
        <w:pStyle w:val="DefinedTerms"/>
      </w:pPr>
      <w:r>
        <w:t>agreement</w:t>
      </w:r>
      <w:r>
        <w:tab/>
        <w:t>54</w:t>
      </w:r>
    </w:p>
    <w:p>
      <w:pPr>
        <w:pStyle w:val="DefinedTerms"/>
      </w:pPr>
      <w:r>
        <w:t>applicant</w:t>
      </w:r>
      <w:r>
        <w:tab/>
        <w:t>18B, 26</w:t>
      </w:r>
    </w:p>
    <w:p>
      <w:pPr>
        <w:pStyle w:val="DefinedTerms"/>
      </w:pPr>
      <w:r>
        <w:t>application</w:t>
      </w:r>
      <w:r>
        <w:tab/>
        <w:t>18B, 54</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approved treatment</w:t>
      </w:r>
      <w:r>
        <w:tab/>
        <w:t>44C(2)</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counselling psychologist</w:t>
      </w:r>
      <w:r>
        <w:tab/>
        <w:t>44A(1)</w:t>
      </w:r>
    </w:p>
    <w:p>
      <w:pPr>
        <w:pStyle w:val="DefinedTerms"/>
      </w:pPr>
      <w:r>
        <w:t>CPI</w:t>
      </w:r>
      <w:r>
        <w:tab/>
        <w:t>2AAA</w:t>
      </w:r>
    </w:p>
    <w:p>
      <w:pPr>
        <w:pStyle w:val="DefinedTerms"/>
      </w:pPr>
      <w:r>
        <w:t>criminal record check</w:t>
      </w:r>
      <w:r>
        <w:tab/>
        <w:t>28(6)</w:t>
      </w:r>
    </w:p>
    <w:p>
      <w:pPr>
        <w:pStyle w:val="DefinedTerms"/>
      </w:pPr>
      <w:r>
        <w:t>December WPI</w:t>
      </w:r>
      <w:r>
        <w:tab/>
        <w:t>2AAA</w:t>
      </w:r>
    </w:p>
    <w:p>
      <w:pPr>
        <w:pStyle w:val="DefinedTerms"/>
      </w:pPr>
      <w:r>
        <w:t>dispute resolution authority</w:t>
      </w:r>
      <w:r>
        <w:tab/>
        <w:t>18B</w:t>
      </w:r>
    </w:p>
    <w:p>
      <w:pPr>
        <w:pStyle w:val="DefinedTerms"/>
      </w:pPr>
      <w:r>
        <w:t>EDS</w:t>
      </w:r>
      <w:r>
        <w:tab/>
        <w:t>54</w:t>
      </w:r>
    </w:p>
    <w:p>
      <w:pPr>
        <w:pStyle w:val="DefinedTerms"/>
      </w:pPr>
      <w:r>
        <w:t>EDS exempt</w:t>
      </w:r>
      <w:r>
        <w:tab/>
        <w:t>54</w:t>
      </w:r>
    </w:p>
    <w:p>
      <w:pPr>
        <w:pStyle w:val="DefinedTerms"/>
      </w:pPr>
      <w:r>
        <w:t>electronic notification</w:t>
      </w:r>
      <w:r>
        <w:tab/>
        <w:t>60(1)</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health professional</w:t>
      </w:r>
      <w:r>
        <w:tab/>
        <w:t>67(1)</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lodge</w:t>
      </w:r>
      <w:r>
        <w:tab/>
        <w:t>12(1AA)</w:t>
      </w:r>
    </w:p>
    <w:p>
      <w:pPr>
        <w:pStyle w:val="DefinedTerms"/>
      </w:pPr>
      <w:r>
        <w:t>March CPI</w:t>
      </w:r>
      <w:r>
        <w:tab/>
        <w:t>2AAA</w:t>
      </w:r>
    </w:p>
    <w:p>
      <w:pPr>
        <w:pStyle w:val="DefinedTerms"/>
      </w:pPr>
      <w:r>
        <w:t>MBS item</w:t>
      </w:r>
      <w:r>
        <w:tab/>
        <w:t>17AB(3)</w:t>
      </w:r>
    </w:p>
    <w:p>
      <w:pPr>
        <w:pStyle w:val="DefinedTerms"/>
      </w:pPr>
      <w:r>
        <w:t>NATA</w:t>
      </w:r>
      <w:r>
        <w:tab/>
        <w:t>67(1)</w:t>
      </w:r>
    </w:p>
    <w:p>
      <w:pPr>
        <w:pStyle w:val="DefinedTerms"/>
      </w:pPr>
      <w:r>
        <w:t>notify</w:t>
      </w:r>
      <w:r>
        <w:tab/>
        <w:t>60(1)</w:t>
      </w:r>
    </w:p>
    <w:p>
      <w:pPr>
        <w:pStyle w:val="DefinedTerms"/>
      </w:pPr>
      <w:r>
        <w:t>Part 8 document</w:t>
      </w:r>
      <w:r>
        <w:tab/>
        <w:t>54</w:t>
      </w:r>
    </w:p>
    <w:p>
      <w:pPr>
        <w:pStyle w:val="DefinedTerms"/>
      </w:pPr>
      <w:r>
        <w:t>pending application</w:t>
      </w:r>
      <w:r>
        <w:tab/>
        <w:t>18LA(1)</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 11A(1)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Pr>
        <w:pStyle w:val="DefinedTerms"/>
      </w:pPr>
      <w:r>
        <w:t>working day</w:t>
      </w:r>
      <w:r>
        <w:tab/>
        <w:t>59(1)</w:t>
      </w:r>
    </w:p>
    <w:p>
      <w:pPr>
        <w:pStyle w:val="DefinedTerms"/>
      </w:pPr>
      <w:r>
        <w:t>WPI</w:t>
      </w:r>
      <w:r>
        <w:tab/>
        <w:t>2AAA</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04" w:name="Schedule"/>
    <w:bookmarkEnd w:id="2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6" w:name="DefinedTerms"/>
    <w:bookmarkEnd w:id="236"/>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7" w:name="Coversheet"/>
    <w:bookmarkEnd w:id="2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06093047"/>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 w:name="WAFER_20180628151102" w:val="RemoveTocBookmarks,RemoveUnusedBookmarks,RemoveLanguageTags,UsedStyles,ResetPageSize"/>
    <w:docVar w:name="WAFER_20180628151102_GUID" w:val="df650785-8934-4e45-b59b-7377dfe3ae86"/>
    <w:docVar w:name="WAFER_20200831151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31151450_GUID" w:val="5713081e-28ea-4f8f-98d4-86ba6fe1a227"/>
    <w:docVar w:name="WAFER_202008311534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53450_GUID" w:val="06823d82-01ae-4ccb-94d2-d0ab62f98724"/>
    <w:docVar w:name="WAFER_20201006093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6093047_GUID" w:val="6a309d1c-4168-4ecd-93bd-2a0087fa98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link w:val="Heading5Char"/>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link w:val="Heading5Char"/>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4032">
      <w:bodyDiv w:val="1"/>
      <w:marLeft w:val="0"/>
      <w:marRight w:val="0"/>
      <w:marTop w:val="0"/>
      <w:marBottom w:val="0"/>
      <w:divBdr>
        <w:top w:val="none" w:sz="0" w:space="0" w:color="auto"/>
        <w:left w:val="none" w:sz="0" w:space="0" w:color="auto"/>
        <w:bottom w:val="none" w:sz="0" w:space="0" w:color="auto"/>
        <w:right w:val="none" w:sz="0" w:space="0" w:color="auto"/>
      </w:divBdr>
    </w:div>
    <w:div w:id="543098091">
      <w:bodyDiv w:val="1"/>
      <w:marLeft w:val="0"/>
      <w:marRight w:val="0"/>
      <w:marTop w:val="0"/>
      <w:marBottom w:val="0"/>
      <w:divBdr>
        <w:top w:val="none" w:sz="0" w:space="0" w:color="auto"/>
        <w:left w:val="none" w:sz="0" w:space="0" w:color="auto"/>
        <w:bottom w:val="none" w:sz="0" w:space="0" w:color="auto"/>
        <w:right w:val="none" w:sz="0" w:space="0" w:color="auto"/>
      </w:divBdr>
    </w:div>
    <w:div w:id="689913334">
      <w:bodyDiv w:val="1"/>
      <w:marLeft w:val="0"/>
      <w:marRight w:val="0"/>
      <w:marTop w:val="0"/>
      <w:marBottom w:val="0"/>
      <w:divBdr>
        <w:top w:val="none" w:sz="0" w:space="0" w:color="auto"/>
        <w:left w:val="none" w:sz="0" w:space="0" w:color="auto"/>
        <w:bottom w:val="none" w:sz="0" w:space="0" w:color="auto"/>
        <w:right w:val="none" w:sz="0" w:space="0" w:color="auto"/>
      </w:divBdr>
    </w:div>
    <w:div w:id="720178807">
      <w:bodyDiv w:val="1"/>
      <w:marLeft w:val="0"/>
      <w:marRight w:val="0"/>
      <w:marTop w:val="0"/>
      <w:marBottom w:val="0"/>
      <w:divBdr>
        <w:top w:val="none" w:sz="0" w:space="0" w:color="auto"/>
        <w:left w:val="none" w:sz="0" w:space="0" w:color="auto"/>
        <w:bottom w:val="none" w:sz="0" w:space="0" w:color="auto"/>
        <w:right w:val="none" w:sz="0" w:space="0" w:color="auto"/>
      </w:divBdr>
    </w:div>
    <w:div w:id="13482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5.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D6B05-96DB-4488-A934-EEFC9096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254</Pages>
  <Words>54503</Words>
  <Characters>267069</Characters>
  <Application>Microsoft Office Word</Application>
  <DocSecurity>0</DocSecurity>
  <Lines>19076</Lines>
  <Paragraphs>11484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1982 - 08-d0-00</dc:title>
  <dc:subject/>
  <dc:creator/>
  <cp:keywords/>
  <dc:description/>
  <cp:lastModifiedBy>svcMRProcess</cp:lastModifiedBy>
  <cp:revision>4</cp:revision>
  <cp:lastPrinted>2017-05-22T08:09:00Z</cp:lastPrinted>
  <dcterms:created xsi:type="dcterms:W3CDTF">2020-10-08T08:41:00Z</dcterms:created>
  <dcterms:modified xsi:type="dcterms:W3CDTF">2020-10-08T08:41:00Z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edAsAt">
    <vt:filetime>2017-05-18T16:00:00Z</vt:filetime>
  </property>
  <property fmtid="{D5CDD505-2E9C-101B-9397-08002B2CF9AE}" pid="7" name="ReprintNo">
    <vt:lpwstr>8</vt:lpwstr>
  </property>
  <property fmtid="{D5CDD505-2E9C-101B-9397-08002B2CF9AE}" pid="8" name="AsAtDate">
    <vt:lpwstr>12 Oct 2020</vt:lpwstr>
  </property>
  <property fmtid="{D5CDD505-2E9C-101B-9397-08002B2CF9AE}" pid="9" name="Suffix">
    <vt:lpwstr>08-d0-00</vt:lpwstr>
  </property>
  <property fmtid="{D5CDD505-2E9C-101B-9397-08002B2CF9AE}" pid="10" name="CommencementDate">
    <vt:lpwstr>20201012</vt:lpwstr>
  </property>
</Properties>
</file>