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B4" w:rsidRDefault="003B33B4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19F0D8" wp14:editId="1E3941A6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B33B4" w:rsidRDefault="003B33B4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87698">
        <w:rPr>
          <w:noProof/>
        </w:rPr>
        <w:t>Appropriation (Recurrent 2020-21) Act 2020</w:t>
      </w:r>
      <w:r>
        <w:fldChar w:fldCharType="end"/>
      </w:r>
    </w:p>
    <w:p w:rsidR="003B33B4" w:rsidRDefault="003B33B4">
      <w:pPr>
        <w:jc w:val="center"/>
        <w:sectPr w:rsidR="003B33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3B33B4" w:rsidRDefault="003B33B4">
      <w:pPr>
        <w:pStyle w:val="WA"/>
        <w:outlineLvl w:val="0"/>
      </w:pPr>
      <w:r>
        <w:lastRenderedPageBreak/>
        <w:t>Western Australia</w:t>
      </w:r>
    </w:p>
    <w:p w:rsidR="003B33B4" w:rsidRDefault="003B33B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87698">
        <w:rPr>
          <w:noProof/>
        </w:rPr>
        <w:t>Appropriation (Recurrent 2020-21) Act 2020</w:t>
      </w:r>
      <w:r>
        <w:fldChar w:fldCharType="end"/>
      </w:r>
    </w:p>
    <w:p w:rsidR="003B33B4" w:rsidRDefault="003B33B4">
      <w:pPr>
        <w:pStyle w:val="Arrangement"/>
      </w:pPr>
      <w:r>
        <w:t>Contents</w:t>
      </w:r>
    </w:p>
    <w:p w:rsidR="00A81E21" w:rsidRDefault="003B33B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A81E21">
        <w:t>1.</w:t>
      </w:r>
      <w:r w:rsidR="00A81E21">
        <w:tab/>
        <w:t>Short title</w:t>
      </w:r>
      <w:r w:rsidR="00A81E21">
        <w:tab/>
      </w:r>
      <w:r w:rsidR="00A81E21">
        <w:fldChar w:fldCharType="begin"/>
      </w:r>
      <w:r w:rsidR="00A81E21">
        <w:instrText xml:space="preserve"> PAGEREF _Toc57709541 \h </w:instrText>
      </w:r>
      <w:r w:rsidR="00A81E21">
        <w:fldChar w:fldCharType="separate"/>
      </w:r>
      <w:r w:rsidR="00287698">
        <w:t>2</w:t>
      </w:r>
      <w:r w:rsidR="00A81E21">
        <w:fldChar w:fldCharType="end"/>
      </w:r>
    </w:p>
    <w:p w:rsidR="00A81E21" w:rsidRDefault="00A81E2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_Toc57709542 \h </w:instrText>
      </w:r>
      <w:r>
        <w:fldChar w:fldCharType="separate"/>
      </w:r>
      <w:r w:rsidR="00287698">
        <w:t>2</w:t>
      </w:r>
      <w:r>
        <w:fldChar w:fldCharType="end"/>
      </w:r>
    </w:p>
    <w:p w:rsidR="00A81E21" w:rsidRDefault="00A81E2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_Toc57709543 \h </w:instrText>
      </w:r>
      <w:r>
        <w:fldChar w:fldCharType="separate"/>
      </w:r>
      <w:r w:rsidR="00287698">
        <w:t>2</w:t>
      </w:r>
      <w:r>
        <w:fldChar w:fldCharType="end"/>
      </w:r>
    </w:p>
    <w:p w:rsidR="00A81E21" w:rsidRDefault="00A81E2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_Toc57709544 \h </w:instrText>
      </w:r>
      <w:r>
        <w:fldChar w:fldCharType="separate"/>
      </w:r>
      <w:r w:rsidR="00287698">
        <w:t>2</w:t>
      </w:r>
      <w:r>
        <w:fldChar w:fldCharType="end"/>
      </w:r>
    </w:p>
    <w:p w:rsidR="00A81E21" w:rsidRDefault="00A81E21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2021</w:t>
      </w:r>
    </w:p>
    <w:p w:rsidR="003B33B4" w:rsidRDefault="003B33B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3B33B4" w:rsidRDefault="003B33B4">
      <w:pPr>
        <w:pStyle w:val="NoteHeading"/>
        <w:sectPr w:rsidR="003B33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B77960" w:rsidRDefault="00E179C8">
      <w:pPr>
        <w:pStyle w:val="WA"/>
        <w:suppressLineNumbers/>
        <w:spacing w:after="480"/>
        <w:outlineLvl w:val="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FFB">
        <w:t>Western Australia</w:t>
      </w:r>
    </w:p>
    <w:p w:rsidR="00B77960" w:rsidRDefault="006032CC">
      <w:pPr>
        <w:pStyle w:val="NameofActReg"/>
        <w:suppressLineNumbers/>
      </w:pPr>
      <w:r>
        <w:t>Appropriation (Recurrent 2020</w:t>
      </w:r>
      <w:r>
        <w:noBreakHyphen/>
        <w:t>21) Act 2020</w:t>
      </w:r>
    </w:p>
    <w:p w:rsidR="00B77960" w:rsidRDefault="00E179C8" w:rsidP="00E179C8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6032CC">
        <w:t>42 of 2020</w:t>
      </w:r>
    </w:p>
    <w:p w:rsidR="00B77960" w:rsidRDefault="005D3FFB">
      <w:pPr>
        <w:pStyle w:val="LongTitle"/>
        <w:suppressLineNumbers/>
      </w:pPr>
      <w:r>
        <w:t>An Act to grant supply and to appropriate and apply out of the Consolidated Account certain sums for the recurrent services and purposes of the year ending 30 June 2021.</w:t>
      </w:r>
    </w:p>
    <w:p w:rsidR="00E179C8" w:rsidRDefault="00E179C8" w:rsidP="00AD4CDB">
      <w:pPr>
        <w:pStyle w:val="AssentNote"/>
      </w:pPr>
      <w:r>
        <w:t xml:space="preserve">[Assented to </w:t>
      </w:r>
      <w:r w:rsidR="00761683">
        <w:t>30 November 2020</w:t>
      </w:r>
      <w:r>
        <w:t>]</w:t>
      </w:r>
    </w:p>
    <w:p w:rsidR="00B77960" w:rsidRDefault="005D3FFB" w:rsidP="00AD4CDB">
      <w:pPr>
        <w:pStyle w:val="Enactment"/>
      </w:pPr>
      <w:r>
        <w:t>The Parliament of Western Australia enacts as follows:</w:t>
      </w:r>
    </w:p>
    <w:p w:rsidR="00B77960" w:rsidRDefault="00B77960">
      <w:pPr>
        <w:sectPr w:rsidR="00B77960" w:rsidSect="00AB359A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B77960" w:rsidRDefault="003B3AF5">
      <w:pPr>
        <w:pStyle w:val="Heading5"/>
      </w:pPr>
      <w:bookmarkStart w:id="4" w:name="_Toc57706200"/>
      <w:bookmarkStart w:id="5" w:name="_Toc57709541"/>
      <w:r>
        <w:rPr>
          <w:rStyle w:val="CharSectno"/>
        </w:rPr>
        <w:lastRenderedPageBreak/>
        <w:t>1</w:t>
      </w:r>
      <w:r w:rsidR="005D3FFB">
        <w:t>.</w:t>
      </w:r>
      <w:r w:rsidR="005D3FFB">
        <w:tab/>
        <w:t>Short title</w:t>
      </w:r>
      <w:bookmarkEnd w:id="4"/>
      <w:bookmarkEnd w:id="5"/>
    </w:p>
    <w:p w:rsidR="00B77960" w:rsidRDefault="005D3FFB">
      <w:pPr>
        <w:pStyle w:val="Subsection"/>
      </w:pPr>
      <w:r>
        <w:tab/>
      </w:r>
      <w:r>
        <w:tab/>
        <w:t xml:space="preserve">This is the </w:t>
      </w:r>
      <w:r w:rsidR="006032CC">
        <w:rPr>
          <w:i/>
        </w:rPr>
        <w:t>Appropriation (Recurrent 2020</w:t>
      </w:r>
      <w:r w:rsidR="006032CC">
        <w:rPr>
          <w:i/>
        </w:rPr>
        <w:noBreakHyphen/>
        <w:t>21) Act 2020</w:t>
      </w:r>
      <w:r>
        <w:t>.</w:t>
      </w:r>
    </w:p>
    <w:p w:rsidR="00B77960" w:rsidRDefault="003B3AF5">
      <w:pPr>
        <w:pStyle w:val="Heading5"/>
      </w:pPr>
      <w:bookmarkStart w:id="6" w:name="_Toc57706201"/>
      <w:bookmarkStart w:id="7" w:name="_Toc57709542"/>
      <w:r>
        <w:rPr>
          <w:rStyle w:val="CharSectno"/>
        </w:rPr>
        <w:t>2</w:t>
      </w:r>
      <w:r w:rsidR="005D3FFB">
        <w:t>.</w:t>
      </w:r>
      <w:r w:rsidR="005D3FFB">
        <w:tab/>
        <w:t>Commencement</w:t>
      </w:r>
      <w:bookmarkEnd w:id="6"/>
      <w:bookmarkEnd w:id="7"/>
    </w:p>
    <w:p w:rsidR="00B77960" w:rsidRDefault="005D3FFB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 w:rsidR="00B77960" w:rsidRDefault="005D3FFB">
      <w:pPr>
        <w:pStyle w:val="Indenta"/>
      </w:pPr>
      <w:r>
        <w:tab/>
      </w:r>
      <w:r w:rsidR="003B3AF5">
        <w:t>(a)</w:t>
      </w:r>
      <w:r>
        <w:tab/>
        <w:t>sections </w:t>
      </w:r>
      <w:r w:rsidR="00761683">
        <w:t>1</w:t>
      </w:r>
      <w:r>
        <w:t xml:space="preserve"> and </w:t>
      </w:r>
      <w:r w:rsidR="00761683">
        <w:t>2</w:t>
      </w:r>
      <w:r>
        <w:t> — on the day on which this Act receives the Royal Assent;</w:t>
      </w:r>
    </w:p>
    <w:p w:rsidR="00B77960" w:rsidRDefault="005D3FFB">
      <w:pPr>
        <w:pStyle w:val="Indenta"/>
      </w:pPr>
      <w:r>
        <w:tab/>
      </w:r>
      <w:r w:rsidR="003B3AF5">
        <w:t>(b)</w:t>
      </w:r>
      <w:r>
        <w:tab/>
        <w:t>the rest of the Act — on the day after that day.</w:t>
      </w:r>
    </w:p>
    <w:p w:rsidR="00B77960" w:rsidRDefault="003B3AF5">
      <w:pPr>
        <w:pStyle w:val="Heading5"/>
      </w:pPr>
      <w:bookmarkStart w:id="8" w:name="_Toc57706202"/>
      <w:bookmarkStart w:id="9" w:name="_Toc57709543"/>
      <w:r>
        <w:rPr>
          <w:rStyle w:val="CharSectno"/>
        </w:rPr>
        <w:t>3</w:t>
      </w:r>
      <w:r w:rsidR="005D3FFB">
        <w:t>.</w:t>
      </w:r>
      <w:r w:rsidR="005D3FFB">
        <w:tab/>
        <w:t>Issue and application of moneys</w:t>
      </w:r>
      <w:bookmarkEnd w:id="8"/>
      <w:bookmarkEnd w:id="9"/>
    </w:p>
    <w:p w:rsidR="00B77960" w:rsidRDefault="005D3FFB">
      <w:pPr>
        <w:pStyle w:val="Subsection"/>
      </w:pPr>
      <w:r>
        <w:tab/>
      </w:r>
      <w:r w:rsidR="003B3AF5">
        <w:t>(1)</w:t>
      </w:r>
      <w:r>
        <w:tab/>
        <w:t>The sum of $11 273 016 500 is to be issued and may be applied out of the Consolidated Account as supply granted for the year beginning on 1 July 2020 and ending on 30 June 2021.</w:t>
      </w:r>
    </w:p>
    <w:p w:rsidR="00B77960" w:rsidRDefault="005D3FFB">
      <w:pPr>
        <w:pStyle w:val="Subsection"/>
      </w:pPr>
      <w:r>
        <w:tab/>
      </w:r>
      <w:r w:rsidR="003B3AF5">
        <w:t>(2)</w:t>
      </w:r>
      <w:r>
        <w:tab/>
        <w:t xml:space="preserve">The sum referred to in subsection (1) is additional to supply granted by the </w:t>
      </w:r>
      <w:r>
        <w:rPr>
          <w:i/>
        </w:rPr>
        <w:t>Supply Act 2020</w:t>
      </w:r>
      <w:r>
        <w:t xml:space="preserve"> and the </w:t>
      </w:r>
      <w:r>
        <w:rPr>
          <w:i/>
        </w:rPr>
        <w:t>Appropriation (Capital 2020</w:t>
      </w:r>
      <w:r>
        <w:rPr>
          <w:i/>
        </w:rPr>
        <w:noBreakHyphen/>
        <w:t>21) Act 2020</w:t>
      </w:r>
      <w:r>
        <w:t>.</w:t>
      </w:r>
    </w:p>
    <w:p w:rsidR="00B77960" w:rsidRDefault="003B3AF5">
      <w:pPr>
        <w:pStyle w:val="Heading5"/>
      </w:pPr>
      <w:bookmarkStart w:id="10" w:name="_Toc57706203"/>
      <w:bookmarkStart w:id="11" w:name="_Toc57709544"/>
      <w:r>
        <w:rPr>
          <w:rStyle w:val="CharSectno"/>
        </w:rPr>
        <w:t>4</w:t>
      </w:r>
      <w:r w:rsidR="005D3FFB">
        <w:t>.</w:t>
      </w:r>
      <w:r w:rsidR="005D3FFB">
        <w:tab/>
        <w:t>Appropriation for recurrent services and purposes</w:t>
      </w:r>
      <w:bookmarkEnd w:id="10"/>
      <w:bookmarkEnd w:id="11"/>
    </w:p>
    <w:p w:rsidR="00B77960" w:rsidRDefault="005D3FFB">
      <w:pPr>
        <w:pStyle w:val="Subsection"/>
      </w:pPr>
      <w:r>
        <w:tab/>
      </w:r>
      <w:r>
        <w:tab/>
        <w:t xml:space="preserve">The sum of $22 774 038 000 comprising — </w:t>
      </w:r>
    </w:p>
    <w:p w:rsidR="00B77960" w:rsidRDefault="005D3FFB">
      <w:pPr>
        <w:pStyle w:val="Indenta"/>
      </w:pPr>
      <w:r>
        <w:tab/>
      </w:r>
      <w:r w:rsidR="003B3AF5">
        <w:t>(a)</w:t>
      </w:r>
      <w:r>
        <w:tab/>
        <w:t>the sum granted by section </w:t>
      </w:r>
      <w:r w:rsidR="00761683">
        <w:t>3(1)</w:t>
      </w:r>
      <w:r>
        <w:t xml:space="preserve"> as supply; and</w:t>
      </w:r>
    </w:p>
    <w:p w:rsidR="00B77960" w:rsidRDefault="005D3FFB">
      <w:pPr>
        <w:pStyle w:val="Indenta"/>
      </w:pPr>
      <w:r>
        <w:tab/>
      </w:r>
      <w:r w:rsidR="003B3AF5">
        <w:t>(b)</w:t>
      </w:r>
      <w:r>
        <w:tab/>
        <w:t xml:space="preserve">the sum of $11 501 021 500 referred to in the </w:t>
      </w:r>
      <w:r>
        <w:rPr>
          <w:i/>
        </w:rPr>
        <w:t>Supply Act 2020</w:t>
      </w:r>
      <w:r>
        <w:t xml:space="preserve"> section 3(1)(a) and granted by that Act as supply,</w:t>
      </w:r>
    </w:p>
    <w:p w:rsidR="00B77960" w:rsidRDefault="005D3FFB">
      <w:pPr>
        <w:pStyle w:val="Subsection"/>
      </w:pPr>
      <w:r>
        <w:tab/>
      </w:r>
      <w:r>
        <w:tab/>
        <w:t>is appropriated from the Consolidated Account for the recurrent services and purposes expressed in Schedule 1 and detailed in the Agency Information in Support of the Estimates for the year.</w:t>
      </w:r>
    </w:p>
    <w:p w:rsidR="00B77960" w:rsidRDefault="00B77960">
      <w:pPr>
        <w:pStyle w:val="Subsection"/>
        <w:sectPr w:rsidR="00B77960" w:rsidSect="00E179C8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B77960" w:rsidRDefault="005D3FFB">
      <w:pPr>
        <w:pStyle w:val="yScheduleHeading"/>
      </w:pPr>
      <w:bookmarkStart w:id="12" w:name="_Toc57706199"/>
      <w:bookmarkStart w:id="13" w:name="_Toc57706204"/>
      <w:bookmarkStart w:id="14" w:name="_Toc57707111"/>
      <w:bookmarkStart w:id="15" w:name="_Toc57708918"/>
      <w:bookmarkStart w:id="16" w:name="_Toc57709545"/>
      <w:r>
        <w:rPr>
          <w:rStyle w:val="CharSchNo"/>
        </w:rPr>
        <w:lastRenderedPageBreak/>
        <w:t xml:space="preserve">Schedule </w:t>
      </w:r>
      <w:r w:rsidR="003B3AF5"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2021</w:t>
      </w:r>
      <w:bookmarkEnd w:id="12"/>
      <w:bookmarkEnd w:id="13"/>
      <w:bookmarkEnd w:id="14"/>
      <w:bookmarkEnd w:id="15"/>
      <w:bookmarkEnd w:id="16"/>
    </w:p>
    <w:p w:rsidR="00B77960" w:rsidRDefault="005D3FFB">
      <w:pPr>
        <w:pStyle w:val="yShoulderClause"/>
        <w:spacing w:after="60"/>
      </w:pPr>
      <w:r>
        <w:t>[s. 4]</w:t>
      </w: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</w:tblGrid>
      <w:tr w:rsidR="00B77960"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7960" w:rsidRDefault="005D3FFB">
            <w:pPr>
              <w:pStyle w:val="yTableNAm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7960" w:rsidRDefault="005D3FFB">
            <w:pPr>
              <w:pStyle w:val="yTableNAm"/>
              <w:tabs>
                <w:tab w:val="clear" w:pos="567"/>
                <w:tab w:val="left" w:pos="88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  <w:t>$</w:t>
            </w:r>
          </w:p>
        </w:tc>
      </w:tr>
      <w:tr w:rsidR="00B77960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PARLIAMENT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Legislative Council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6 568 000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Legislative Assembly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5 996 000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18 142 000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Commissioner for Administrative Investigations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7 376 000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GOVERNMENT ADMINISTRATION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Premier and Cabinet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148 365 000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Premier and Cabinet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12 900 000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Public Sector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25 047 000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Governor’s Establishment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2 103 000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Electoral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25 372 000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Salaries and Allowances Tribunal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1 012 000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for Equal Opportunity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2 872 000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for Children and Young People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2 596 000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Information Commissioner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1 867 000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Registrar, Western Australian Industrial Relations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9 476 000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 ADMINISTRATION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Treasury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48 707 000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keepNext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keepNext/>
              <w:keepLines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Treasury Administered</w:t>
            </w: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keepNext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keepLines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Bunbury 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726 000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Busselton 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670 000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Electricity Generation and Retail Corporation (Synergy)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890 989 000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Forest Products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Kimberley Ports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2 706 000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Public Transport Authority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1 088 211 000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Regional Power Corporation (Horizon Power)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40 174 000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Southern Ports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21 529 000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216 924 000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Australian Land Authority (DevelopmentWA)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328 241 000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Western Australian Land Authority (DevelopmentWA) — Perth City Deal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50 000 000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Department of Justice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6 375 000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Gaming and Wagering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3 800 000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Goods and Services Tax (GST) Administration Costs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70 700 000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Department of 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4 110 000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Resolution of Native Title in the South West of Western Australia (Settlement)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60 000 000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Business Case Development Fund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13 002 000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Unfunded Liabilities in the Government Insurance Fund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Voluntary Targeted Separation Scheme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25 640 000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Refund of Past Years Revenue Collections — Public Corporations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Royalties for Regions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761 645 000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State Property — Emergency Services Levy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19 249 000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WA Health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957 000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Treasury — All Other Grants, Subsidies and Transfer Payments, comprising:</w:t>
            </w: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Acts of Grace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Incidentals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240 000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Interest on Public Moneys Held in Participating Trust Fund Accounts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2 150 000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Administration Costs — National Tax Equivalent Regime Scheme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Australian Land Information Authority — Valuation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170 000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Australian Treasury Corporation Management Fees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650 000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Auditor General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10 573 000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Finance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219 458 000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Finance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524 367 000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JOBS AND ECONOMIC DEVELOPMENT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b/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236 309 000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Jobs, Tourism, Science and Innovation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22 970 000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Primary Industries and Regional Development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218 824 000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Primary Industries and Regional Development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1 550 000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Mines, Industry Regulation and Safety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142 968 000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Mines, Industry Regulation and Safety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112 672 000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Small Business Development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15 065 000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Rural Business Development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233 000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Economic Regulation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2 388 000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Energy Policy WA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17 349 000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Infrastructure WA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4 740 000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 w:rsidP="007E52AA">
            <w:pPr>
              <w:pStyle w:val="yTableNAm"/>
              <w:spacing w:before="60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 w:rsidP="007E52AA">
            <w:pPr>
              <w:pStyle w:val="yTableNAm"/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HEALTH</w:t>
            </w:r>
          </w:p>
        </w:tc>
        <w:tc>
          <w:tcPr>
            <w:tcW w:w="1701" w:type="dxa"/>
          </w:tcPr>
          <w:p w:rsidR="00B77960" w:rsidRDefault="00B77960" w:rsidP="007E52AA">
            <w:pPr>
              <w:pStyle w:val="yTableNAm"/>
              <w:spacing w:before="60"/>
              <w:jc w:val="right"/>
              <w:rPr>
                <w:b/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WA Health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 5 183 118 000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 760 210 000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Mental Health Advocacy Service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 2 858 000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Mental Health Tribunal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 2 740 000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Office of the Chief Psychiatrist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 3 272 000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678" w:type="dxa"/>
          </w:tcPr>
          <w:p w:rsidR="00B77960" w:rsidRDefault="005D3FFB" w:rsidP="007E52AA">
            <w:pPr>
              <w:pStyle w:val="yTableNAm"/>
              <w:tabs>
                <w:tab w:val="right" w:leader="dot" w:pos="4820"/>
              </w:tabs>
              <w:spacing w:before="100"/>
              <w:rPr>
                <w:szCs w:val="22"/>
              </w:rPr>
            </w:pPr>
            <w:r>
              <w:rPr>
                <w:szCs w:val="22"/>
              </w:rPr>
              <w:t xml:space="preserve">Health and Disability Services Complaints Office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2 578 000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 w:rsidP="007E52AA">
            <w:pPr>
              <w:pStyle w:val="yTableNAm"/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EDUCATION AND TRAINING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678" w:type="dxa"/>
          </w:tcPr>
          <w:p w:rsidR="00B77960" w:rsidRDefault="005D3FFB" w:rsidP="007E52AA">
            <w:pPr>
              <w:pStyle w:val="yTableNAm"/>
              <w:tabs>
                <w:tab w:val="right" w:leader="dot" w:pos="4820"/>
              </w:tabs>
              <w:spacing w:before="80"/>
              <w:rPr>
                <w:szCs w:val="22"/>
              </w:rPr>
            </w:pPr>
            <w:r>
              <w:rPr>
                <w:szCs w:val="22"/>
              </w:rPr>
              <w:t>Education</w:t>
            </w:r>
            <w:r>
              <w:t xml:space="preserve"> </w:t>
            </w:r>
            <w: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4 255 548 000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Education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449 968 000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Training and Workforce Development</w:t>
            </w:r>
            <w:r>
              <w:t xml:space="preserve"> </w:t>
            </w:r>
            <w: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418 356 000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SAFETY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 Police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1 417 591 000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Justice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1 305 700 000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Fire and Emergency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67 517 000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Fire and Emergency Services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85 000 000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Director of Public Prosecutions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39 407 000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Corruption and Crime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26 882 000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Chemistry Centre (WA)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6 788 000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Inspector of Custodial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3 275 000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Inspector of the Corruption and Crime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480 000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SERVICES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Communities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1 830 364 000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151 554 000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35 793 000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Art Gallery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8 497 000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Contribution to Community Sporting and Recreation Facilities Fund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18 000 000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Library Board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28 736 000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Perth Theatre Trust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12 736 000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Western Australian Museum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38 044 000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Sports Centre Trust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120 183 000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keepNext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keepNext/>
              <w:rPr>
                <w:b/>
                <w:szCs w:val="22"/>
              </w:rPr>
            </w:pPr>
            <w:r>
              <w:rPr>
                <w:b/>
                <w:szCs w:val="22"/>
              </w:rPr>
              <w:t>TRANSPORT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keepNext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Transport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96 817 000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Transport — Western Australian Coastal Shipping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of Main Roads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368 402 000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ENVIRONMENT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Water and Environmental Regulation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105 223 000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Biodiversity, Conservation and Attractions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265 586 000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PLANNING AND LAND USE</w:t>
            </w:r>
          </w:p>
        </w:tc>
        <w:tc>
          <w:tcPr>
            <w:tcW w:w="1701" w:type="dxa"/>
          </w:tcPr>
          <w:p w:rsidR="00B77960" w:rsidRDefault="00B77960">
            <w:pPr>
              <w:pStyle w:val="yTableNAm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Planning, Lands and Heritage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114 730 000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Planning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28 350 000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Land Information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32</w:t>
            </w:r>
            <w:r>
              <w:t> 478</w:t>
            </w:r>
            <w:r>
              <w:rPr>
                <w:szCs w:val="22"/>
              </w:rPr>
              <w:t>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Heritage Council of Western 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1 377 000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5D3FFB"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National Trust of Australia (WA)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3 457 000</w:t>
            </w: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 w:rsidP="006032CC"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B77960" w:rsidP="006032CC"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77960" w:rsidRDefault="00B77960" w:rsidP="006032CC">
            <w:pPr>
              <w:pStyle w:val="yTableNAm"/>
              <w:spacing w:before="0"/>
              <w:jc w:val="right"/>
              <w:rPr>
                <w:szCs w:val="22"/>
              </w:rPr>
            </w:pPr>
          </w:p>
        </w:tc>
      </w:tr>
      <w:tr w:rsidR="00B77960">
        <w:trPr>
          <w:cantSplit/>
        </w:trPr>
        <w:tc>
          <w:tcPr>
            <w:tcW w:w="709" w:type="dxa"/>
          </w:tcPr>
          <w:p w:rsidR="00B77960" w:rsidRDefault="00B77960"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 w:rsidR="00B77960" w:rsidRDefault="005D3FFB">
            <w:pPr>
              <w:pStyle w:val="yTableNAm"/>
              <w:tabs>
                <w:tab w:val="right" w:leader="dot" w:pos="4820"/>
              </w:tabs>
              <w:ind w:left="317" w:hanging="317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  <w:t>GRAND TOTAL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B77960" w:rsidRDefault="005D3FFB">
            <w:pPr>
              <w:pStyle w:val="yTableNAm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22 774 038 000</w:t>
            </w:r>
          </w:p>
        </w:tc>
      </w:tr>
    </w:tbl>
    <w:p w:rsidR="00B77960" w:rsidRDefault="005D3FFB" w:rsidP="006032CC">
      <w:pPr>
        <w:pStyle w:val="CentredBaseLine"/>
        <w:spacing w:before="120"/>
        <w:jc w:val="center"/>
      </w:pPr>
      <w:r>
        <w:rPr>
          <w:noProof/>
          <w:lang w:val="en-US" w:eastAsia="en-US"/>
        </w:rPr>
        <w:drawing>
          <wp:inline distT="0" distB="0" distL="0" distR="0" wp14:anchorId="45227CB3" wp14:editId="5716A90E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0" w:rsidRDefault="00B77960">
      <w:pPr>
        <w:pStyle w:val="Subsection"/>
        <w:ind w:left="0" w:firstLine="0"/>
        <w:outlineLvl w:val="0"/>
        <w:sectPr w:rsidR="00B77960" w:rsidSect="00E179C8"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AD4CDB" w:rsidRDefault="00A81E21"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BF32" wp14:editId="4CF7A2E0">
                <wp:simplePos x="0" y="0"/>
                <wp:positionH relativeFrom="page">
                  <wp:posOffset>1431026</wp:posOffset>
                </wp:positionH>
                <wp:positionV relativeFrom="page">
                  <wp:posOffset>7825105</wp:posOffset>
                </wp:positionV>
                <wp:extent cx="46482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21" w:rsidRDefault="00A81E21" w:rsidP="00A81E21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 w:rsidR="00A81E21" w:rsidRDefault="00A81E21" w:rsidP="00A81E21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81E21" w:rsidRDefault="00A81E21" w:rsidP="00A81E21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 w:rsidR="00A81E21" w:rsidRDefault="00A81E21" w:rsidP="00A81E21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7pt;margin-top:616.15pt;width:36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" stroked="f">
                <v:stroke joinstyle="round"/>
                <v:path arrowok="t"/>
                <v:textbox inset="7.09pt,3.69pt,7.09pt,3.69pt">
                  <w:txbxContent>
                    <w:p w:rsidR="00A81E21" w:rsidRDefault="00A81E21" w:rsidP="00A81E21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A81E21" w:rsidRDefault="00A81E21" w:rsidP="00A81E21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A81E21" w:rsidRDefault="00A81E21" w:rsidP="00A81E21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A81E21" w:rsidRDefault="00A81E21" w:rsidP="00A81E21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4CDB" w:rsidSect="00AB359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B4" w:rsidRDefault="003B33B4">
      <w:pPr>
        <w:rPr>
          <w:b/>
          <w:sz w:val="28"/>
        </w:rPr>
      </w:pPr>
      <w:r>
        <w:rPr>
          <w:b/>
          <w:sz w:val="28"/>
        </w:rPr>
        <w:t>Endnotes</w:t>
      </w:r>
    </w:p>
    <w:p w:rsidR="003B33B4" w:rsidRDefault="003B33B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3B33B4" w:rsidRDefault="003B33B4">
      <w:pPr>
        <w:pStyle w:val="Footer"/>
      </w:pPr>
    </w:p>
  </w:endnote>
  <w:endnote w:type="continuationNotice" w:id="1">
    <w:p w:rsidR="003B33B4" w:rsidRDefault="003B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8769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87698">
      <w:rPr>
        <w:noProof/>
        <w:sz w:val="20"/>
      </w:rPr>
      <w:t>3</w:t>
    </w:r>
    <w:r>
      <w:rPr>
        <w:sz w:val="20"/>
      </w:rPr>
      <w:fldChar w:fldCharType="end"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B" w:rsidRDefault="00AD4CDB">
    <w:pPr>
      <w:pStyle w:val="Footer"/>
      <w:pBdr>
        <w:bottom w:val="single" w:sz="4" w:space="1" w:color="auto"/>
      </w:pBdr>
      <w:rPr>
        <w:sz w:val="20"/>
      </w:rPr>
    </w:pPr>
  </w:p>
  <w:p w:rsidR="00AD4CDB" w:rsidRDefault="00AD4CD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87698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287698">
      <w:rPr>
        <w:sz w:val="20"/>
      </w:rPr>
      <w:t>No. 42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87698">
      <w:rPr>
        <w:noProof/>
        <w:sz w:val="20"/>
      </w:rPr>
      <w:t>1</w:t>
    </w:r>
    <w:r>
      <w:rPr>
        <w:sz w:val="20"/>
      </w:rPr>
      <w:fldChar w:fldCharType="end"/>
    </w:r>
  </w:p>
  <w:p w:rsidR="00AD4CDB" w:rsidRDefault="00AD4CD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B4" w:rsidRDefault="003B33B4">
      <w:r>
        <w:separator/>
      </w:r>
    </w:p>
  </w:footnote>
  <w:footnote w:type="continuationSeparator" w:id="0">
    <w:p w:rsidR="003B33B4" w:rsidRDefault="003B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8" w:rsidRDefault="002876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B33B4">
      <w:tc>
        <w:tcPr>
          <w:tcW w:w="7263" w:type="dxa"/>
          <w:gridSpan w:val="2"/>
        </w:tcPr>
        <w:p w:rsidR="003B33B4" w:rsidRDefault="003B33B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B33B4"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8769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3B33B4"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8769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B33B4">
      <w:trPr>
        <w:cantSplit/>
      </w:trPr>
      <w:tc>
        <w:tcPr>
          <w:tcW w:w="7258" w:type="dxa"/>
          <w:gridSpan w:val="2"/>
        </w:tcPr>
        <w:p w:rsidR="003B33B4" w:rsidRDefault="003B33B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3B33B4">
      <w:tc>
        <w:tcPr>
          <w:tcW w:w="7258" w:type="dxa"/>
          <w:gridSpan w:val="2"/>
        </w:tcPr>
        <w:p w:rsidR="003B33B4" w:rsidRDefault="003B33B4">
          <w:pPr>
            <w:pStyle w:val="Header"/>
            <w:spacing w:before="40"/>
          </w:pP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5715" w:type="dxa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3B33B4">
      <w:tc>
        <w:tcPr>
          <w:tcW w:w="5715" w:type="dxa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3B33B4"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  <w:ind w:right="17"/>
            <w:jc w:val="right"/>
          </w:pPr>
        </w:p>
      </w:tc>
    </w:tr>
  </w:tbl>
  <w:p w:rsidR="003B33B4" w:rsidRDefault="003B33B4"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Pr="00AB359A" w:rsidRDefault="003B33B4" w:rsidP="00AB359A"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8" w:rsidRDefault="00287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Default="003B33B4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B33B4">
      <w:trPr>
        <w:cantSplit/>
      </w:trPr>
      <w:tc>
        <w:tcPr>
          <w:tcW w:w="7258" w:type="dxa"/>
          <w:gridSpan w:val="2"/>
        </w:tcPr>
        <w:p w:rsidR="003B33B4" w:rsidRDefault="003B33B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</w:p>
      </w:tc>
      <w:tc>
        <w:tcPr>
          <w:tcW w:w="5715" w:type="dxa"/>
        </w:tcPr>
        <w:p w:rsidR="003B33B4" w:rsidRDefault="003B33B4">
          <w:pPr>
            <w:pStyle w:val="Header"/>
            <w:spacing w:before="40"/>
          </w:pP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</w:p>
      </w:tc>
      <w:tc>
        <w:tcPr>
          <w:tcW w:w="5715" w:type="dxa"/>
        </w:tcPr>
        <w:p w:rsidR="003B33B4" w:rsidRDefault="003B33B4">
          <w:pPr>
            <w:pStyle w:val="Header"/>
            <w:spacing w:before="40"/>
          </w:pPr>
        </w:p>
      </w:tc>
    </w:tr>
    <w:tr w:rsidR="003B33B4">
      <w:trPr>
        <w:cantSplit/>
      </w:trPr>
      <w:tc>
        <w:tcPr>
          <w:tcW w:w="7258" w:type="dxa"/>
          <w:gridSpan w:val="2"/>
        </w:tcPr>
        <w:p w:rsidR="003B33B4" w:rsidRDefault="003B33B4">
          <w:pPr>
            <w:pStyle w:val="Header"/>
            <w:spacing w:before="40"/>
          </w:pPr>
          <w:r>
            <w:t>Contents</w:t>
          </w: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B33B4">
      <w:trPr>
        <w:cantSplit/>
      </w:trPr>
      <w:tc>
        <w:tcPr>
          <w:tcW w:w="7258" w:type="dxa"/>
          <w:gridSpan w:val="2"/>
        </w:tcPr>
        <w:p w:rsidR="003B33B4" w:rsidRDefault="003B33B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5715" w:type="dxa"/>
        </w:tcPr>
        <w:p w:rsidR="003B33B4" w:rsidRDefault="003B33B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</w:p>
      </w:tc>
    </w:tr>
    <w:tr w:rsidR="003B33B4">
      <w:tc>
        <w:tcPr>
          <w:tcW w:w="5715" w:type="dxa"/>
        </w:tcPr>
        <w:p w:rsidR="003B33B4" w:rsidRDefault="003B33B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</w:p>
      </w:tc>
    </w:tr>
    <w:tr w:rsidR="003B33B4">
      <w:trPr>
        <w:cantSplit/>
      </w:trPr>
      <w:tc>
        <w:tcPr>
          <w:tcW w:w="7258" w:type="dxa"/>
          <w:gridSpan w:val="2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3B33B4" w:rsidRDefault="003B33B4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Default="003B33B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B33B4">
      <w:tc>
        <w:tcPr>
          <w:tcW w:w="1548" w:type="dxa"/>
        </w:tcPr>
        <w:p w:rsidR="003B33B4" w:rsidRDefault="003B33B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</w:pP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87698">
            <w:rPr>
              <w:b/>
              <w:i/>
            </w:rPr>
            <w:t>Appropriation (Recurrent 2020-21) Act 2020</w:t>
          </w:r>
          <w:r>
            <w:rPr>
              <w:b/>
              <w:i/>
            </w:rPr>
            <w:fldChar w:fldCharType="end"/>
          </w:r>
        </w:p>
      </w:tc>
    </w:tr>
    <w:tr w:rsidR="003B33B4"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3B33B4">
      <w:tc>
        <w:tcPr>
          <w:tcW w:w="5715" w:type="dxa"/>
          <w:vAlign w:val="bottom"/>
        </w:tcPr>
        <w:p w:rsidR="003B33B4" w:rsidRDefault="003B33B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B33B4" w:rsidRDefault="003B33B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D4CDB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3B33B4">
      <w:trPr>
        <w:cantSplit/>
      </w:trPr>
      <w:tc>
        <w:tcPr>
          <w:tcW w:w="7263" w:type="dxa"/>
          <w:gridSpan w:val="2"/>
        </w:tcPr>
        <w:p w:rsidR="003B33B4" w:rsidRDefault="003B33B4">
          <w:pPr>
            <w:pStyle w:val="Header"/>
            <w:spacing w:before="40"/>
            <w:ind w:right="17"/>
            <w:jc w:val="right"/>
          </w:pPr>
        </w:p>
      </w:tc>
    </w:tr>
  </w:tbl>
  <w:p w:rsidR="003B33B4" w:rsidRDefault="003B33B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4" w:rsidRDefault="003B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ame" w:val="magenta"/>
    <w:docVar w:name="WAFER" w:val="2020120109075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10011521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1152144_GUID" w:val="89be338c-466b-4135-99a4-e140eb13c159"/>
    <w:docVar w:name="WAFER_202010050941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5094118_GUID" w:val="f7665a4c-30d6-49a7-94e5-d79e40f5965a"/>
    <w:docVar w:name="WAFER_202012010907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90752_GUID" w:val="8c4d9159-867f-4c43-a93d-a3c86a545632"/>
  </w:docVars>
  <w:rsids>
    <w:rsidRoot w:val="00B77960"/>
    <w:rsid w:val="000E522C"/>
    <w:rsid w:val="00287698"/>
    <w:rsid w:val="002C172B"/>
    <w:rsid w:val="002D5981"/>
    <w:rsid w:val="002E1493"/>
    <w:rsid w:val="002F4D27"/>
    <w:rsid w:val="003B33B4"/>
    <w:rsid w:val="003B3AF5"/>
    <w:rsid w:val="003F3E50"/>
    <w:rsid w:val="00522F15"/>
    <w:rsid w:val="005D3FFB"/>
    <w:rsid w:val="006032CC"/>
    <w:rsid w:val="006B3AC2"/>
    <w:rsid w:val="006F62C9"/>
    <w:rsid w:val="00761683"/>
    <w:rsid w:val="007E52AA"/>
    <w:rsid w:val="00A81E21"/>
    <w:rsid w:val="00AB359A"/>
    <w:rsid w:val="00AD4CDB"/>
    <w:rsid w:val="00B77960"/>
    <w:rsid w:val="00DA0255"/>
    <w:rsid w:val="00E179C8"/>
    <w:rsid w:val="00EC4EB1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B33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B33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jpg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30CE-CD8F-492F-BA7E-F32149A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1390</Words>
  <Characters>7163</Characters>
  <Application>Microsoft Office Word</Application>
  <DocSecurity>0</DocSecurity>
  <Lines>551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8126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2020-21) Act 2020 - 00-00-00</dc:title>
  <dc:subject/>
  <dc:creator/>
  <cp:keywords/>
  <dc:description/>
  <cp:lastModifiedBy>Master Repository Process</cp:lastModifiedBy>
  <cp:revision>4</cp:revision>
  <cp:lastPrinted>2020-12-01T00:52:00Z</cp:lastPrinted>
  <dcterms:created xsi:type="dcterms:W3CDTF">2020-12-01T02:49:00Z</dcterms:created>
  <dcterms:modified xsi:type="dcterms:W3CDTF">2020-12-01T02:49:00Z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2908</vt:lpwstr>
  </property>
  <property fmtid="{D5CDD505-2E9C-101B-9397-08002B2CF9AE}" pid="3" name="ActNo">
    <vt:lpwstr>42 of 2020</vt:lpwstr>
  </property>
  <property fmtid="{D5CDD505-2E9C-101B-9397-08002B2CF9AE}" pid="4" name="DocumentType">
    <vt:lpwstr>Act</vt:lpwstr>
  </property>
  <property fmtid="{D5CDD505-2E9C-101B-9397-08002B2CF9AE}" pid="5" name="AsAtDate">
    <vt:lpwstr>30 Nov 2020</vt:lpwstr>
  </property>
  <property fmtid="{D5CDD505-2E9C-101B-9397-08002B2CF9AE}" pid="6" name="Suffix">
    <vt:lpwstr>00-00-00</vt:lpwstr>
  </property>
  <property fmtid="{D5CDD505-2E9C-101B-9397-08002B2CF9AE}" pid="7" name="ActNoFooter">
    <vt:lpwstr>No. 42 of 2020</vt:lpwstr>
  </property>
  <property fmtid="{D5CDD505-2E9C-101B-9397-08002B2CF9AE}" pid="8" name="CommencementDate">
    <vt:lpwstr>20201130</vt:lpwstr>
  </property>
</Properties>
</file>