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A" w:rsidRDefault="000762FF">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402FA" w:rsidRDefault="000762FF">
      <w:pPr>
        <w:pStyle w:val="NameofActRegPage1"/>
        <w:spacing w:before="1500" w:after="2200"/>
        <w:ind w:left="284" w:right="434"/>
        <w:outlineLvl w:val="0"/>
      </w:pPr>
      <w:r>
        <w:fldChar w:fldCharType="begin"/>
      </w:r>
      <w:r>
        <w:instrText xml:space="preserve"> STYLEREF "Name Of Act/Reg"</w:instrText>
      </w:r>
      <w:r>
        <w:fldChar w:fldCharType="separate"/>
      </w:r>
      <w:r>
        <w:rPr>
          <w:noProof/>
        </w:rPr>
        <w:t>Mutual Recognition (Western Australia) Act 2010</w:t>
      </w:r>
      <w:r>
        <w:fldChar w:fldCharType="end"/>
      </w:r>
    </w:p>
    <w:p w:rsidR="00A402FA" w:rsidRDefault="000762FF">
      <w:pPr>
        <w:pStyle w:val="Subsection"/>
      </w:pPr>
      <w:r>
        <w:tab/>
      </w:r>
      <w:r>
        <w:tab/>
        <w:t xml:space="preserve">This Act expired on 28 Feb 2021 (see s. 6(3)). </w:t>
      </w:r>
    </w:p>
    <w:p w:rsidR="00A402FA" w:rsidRDefault="00A402FA"/>
    <w:p w:rsidR="00A402FA" w:rsidRDefault="00A402FA">
      <w:pPr>
        <w:jc w:val="center"/>
        <w:sectPr w:rsidR="00A402F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402FA" w:rsidRDefault="000762FF">
      <w:pPr>
        <w:pStyle w:val="WA"/>
        <w:outlineLvl w:val="0"/>
      </w:pPr>
      <w:r>
        <w:lastRenderedPageBreak/>
        <w:t>Western Australia</w:t>
      </w:r>
    </w:p>
    <w:p w:rsidR="00A402FA" w:rsidRDefault="000762FF">
      <w:pPr>
        <w:pStyle w:val="NameofActRegPage1"/>
        <w:ind w:left="284" w:right="424"/>
      </w:pPr>
      <w:r>
        <w:fldChar w:fldCharType="begin"/>
      </w:r>
      <w:r>
        <w:instrText xml:space="preserve"> STYLEREF "Name Of Act/Reg"</w:instrText>
      </w:r>
      <w:r>
        <w:fldChar w:fldCharType="separate"/>
      </w:r>
      <w:r>
        <w:rPr>
          <w:noProof/>
        </w:rPr>
        <w:t>Mutual Recognition (Western Australia) Act 2010</w:t>
      </w:r>
      <w:r>
        <w:fldChar w:fldCharType="end"/>
      </w:r>
    </w:p>
    <w:p w:rsidR="00A402FA" w:rsidRDefault="000762FF">
      <w:pPr>
        <w:pStyle w:val="Arrangement"/>
      </w:pPr>
      <w:r>
        <w:t>Contents</w:t>
      </w:r>
    </w:p>
    <w:p w:rsidR="00A402FA" w:rsidRDefault="000762F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tab/>
      </w:r>
      <w:r>
        <w:rPr>
          <w:snapToGrid w:val="0"/>
        </w:rPr>
        <w:t>Short title</w:t>
      </w:r>
      <w:r>
        <w:tab/>
      </w:r>
      <w:r>
        <w:fldChar w:fldCharType="begin"/>
      </w:r>
      <w:r>
        <w:instrText xml:space="preserve"> PAGEREF _Toc65140532 \h </w:instrText>
      </w:r>
      <w:r>
        <w:fldChar w:fldCharType="separate"/>
      </w:r>
      <w:r>
        <w:t>1</w:t>
      </w:r>
      <w:r>
        <w:fldChar w:fldCharType="end"/>
      </w:r>
    </w:p>
    <w:p w:rsidR="00A402FA" w:rsidRDefault="000762FF">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_Toc65140533 \h </w:instrText>
      </w:r>
      <w:r>
        <w:fldChar w:fldCharType="separate"/>
      </w:r>
      <w:r>
        <w:t>1</w:t>
      </w:r>
      <w:r>
        <w:fldChar w:fldCharType="end"/>
      </w:r>
    </w:p>
    <w:p w:rsidR="00A402FA" w:rsidRDefault="000762FF">
      <w:pPr>
        <w:pStyle w:val="TOC8"/>
        <w:rPr>
          <w:rFonts w:asciiTheme="minorHAnsi" w:eastAsiaTheme="minorEastAsia" w:hAnsiTheme="minorHAnsi" w:cstheme="minorBidi"/>
          <w:szCs w:val="22"/>
        </w:rPr>
      </w:pPr>
      <w:r>
        <w:t>3.</w:t>
      </w:r>
      <w:r>
        <w:tab/>
        <w:t>Terms used</w:t>
      </w:r>
      <w:r>
        <w:tab/>
      </w:r>
      <w:r>
        <w:fldChar w:fldCharType="begin"/>
      </w:r>
      <w:r>
        <w:instrText xml:space="preserve"> PAGEREF _Toc65140534 \h </w:instrText>
      </w:r>
      <w:r>
        <w:fldChar w:fldCharType="separate"/>
      </w:r>
      <w:r>
        <w:t>1</w:t>
      </w:r>
      <w:r>
        <w:fldChar w:fldCharType="end"/>
      </w:r>
    </w:p>
    <w:p w:rsidR="00A402FA" w:rsidRDefault="000762FF">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_Toc65140535 \h </w:instrText>
      </w:r>
      <w:r>
        <w:fldChar w:fldCharType="separate"/>
      </w:r>
      <w:r>
        <w:t>2</w:t>
      </w:r>
      <w:r>
        <w:fldChar w:fldCharType="end"/>
      </w:r>
    </w:p>
    <w:p w:rsidR="00A402FA" w:rsidRDefault="000762FF">
      <w:pPr>
        <w:pStyle w:val="TOC8"/>
        <w:rPr>
          <w:rFonts w:asciiTheme="minorHAnsi" w:eastAsiaTheme="minorEastAsia" w:hAnsiTheme="minorHAnsi" w:cstheme="minorBidi"/>
          <w:szCs w:val="22"/>
        </w:rPr>
      </w:pPr>
      <w:r>
        <w:t>5.</w:t>
      </w:r>
      <w:r>
        <w:tab/>
        <w:t>Regulations for temporary exemption for goods</w:t>
      </w:r>
      <w:r>
        <w:tab/>
      </w:r>
      <w:r>
        <w:fldChar w:fldCharType="begin"/>
      </w:r>
      <w:r>
        <w:instrText xml:space="preserve"> PAGEREF _Toc65140536 \h </w:instrText>
      </w:r>
      <w:r>
        <w:fldChar w:fldCharType="separate"/>
      </w:r>
      <w:r>
        <w:t>2</w:t>
      </w:r>
      <w:r>
        <w:fldChar w:fldCharType="end"/>
      </w:r>
    </w:p>
    <w:p w:rsidR="00A402FA" w:rsidRDefault="000762FF">
      <w:pPr>
        <w:pStyle w:val="TOC8"/>
        <w:rPr>
          <w:rFonts w:asciiTheme="minorHAnsi" w:eastAsiaTheme="minorEastAsia" w:hAnsiTheme="minorHAnsi" w:cstheme="minorBidi"/>
          <w:szCs w:val="22"/>
        </w:rPr>
      </w:pPr>
      <w:r>
        <w:t>6.</w:t>
      </w:r>
      <w:r>
        <w:tab/>
        <w:t>Termination of adoption</w:t>
      </w:r>
      <w:r>
        <w:tab/>
      </w:r>
      <w:r>
        <w:fldChar w:fldCharType="begin"/>
      </w:r>
      <w:r>
        <w:instrText xml:space="preserve"> PAGEREF _Toc65140537 \h </w:instrText>
      </w:r>
      <w:r>
        <w:fldChar w:fldCharType="separate"/>
      </w:r>
      <w:r>
        <w:t>2</w:t>
      </w:r>
      <w:r>
        <w:fldChar w:fldCharType="end"/>
      </w:r>
    </w:p>
    <w:p w:rsidR="00A402FA" w:rsidRDefault="000762FF">
      <w:pPr>
        <w:pStyle w:val="TOC2"/>
        <w:tabs>
          <w:tab w:val="right" w:leader="dot" w:pos="7077"/>
        </w:tabs>
        <w:rPr>
          <w:rFonts w:asciiTheme="minorHAnsi" w:eastAsiaTheme="minorEastAsia" w:hAnsiTheme="minorHAnsi" w:cstheme="minorBidi"/>
          <w:b w:val="0"/>
          <w:sz w:val="22"/>
          <w:szCs w:val="22"/>
        </w:rPr>
      </w:pPr>
      <w:r>
        <w:t>Notes</w:t>
      </w:r>
    </w:p>
    <w:p w:rsidR="00A402FA" w:rsidRDefault="000762FF">
      <w:pPr>
        <w:pStyle w:val="TOC8"/>
        <w:rPr>
          <w:rFonts w:asciiTheme="minorHAnsi" w:eastAsiaTheme="minorEastAsia" w:hAnsiTheme="minorHAnsi" w:cstheme="minorBidi"/>
          <w:szCs w:val="22"/>
        </w:rPr>
      </w:pPr>
      <w:r>
        <w:tab/>
        <w:t>Compilation table</w:t>
      </w:r>
      <w:r>
        <w:tab/>
      </w:r>
      <w:r>
        <w:fldChar w:fldCharType="begin"/>
      </w:r>
      <w:r>
        <w:instrText xml:space="preserve"> PAGEREF _Toc65140539 \h </w:instrText>
      </w:r>
      <w:r>
        <w:fldChar w:fldCharType="separate"/>
      </w:r>
      <w:r>
        <w:t>4</w:t>
      </w:r>
      <w:r>
        <w:fldChar w:fldCharType="end"/>
      </w:r>
    </w:p>
    <w:p w:rsidR="00A402FA" w:rsidRDefault="000762FF">
      <w:pPr>
        <w:pStyle w:val="TOC8"/>
        <w:rPr>
          <w:rFonts w:asciiTheme="minorHAnsi" w:eastAsiaTheme="minorEastAsia" w:hAnsiTheme="minorHAnsi" w:cstheme="minorBidi"/>
          <w:szCs w:val="22"/>
        </w:rPr>
      </w:pPr>
      <w:r>
        <w:tab/>
        <w:t>Other notes</w:t>
      </w:r>
      <w:r>
        <w:tab/>
      </w:r>
      <w:r>
        <w:fldChar w:fldCharType="begin"/>
      </w:r>
      <w:r>
        <w:instrText xml:space="preserve"> PAGEREF _Toc65140540 \h </w:instrText>
      </w:r>
      <w:r>
        <w:fldChar w:fldCharType="separate"/>
      </w:r>
      <w:r>
        <w:t>4</w:t>
      </w:r>
      <w:r>
        <w:fldChar w:fldCharType="end"/>
      </w:r>
    </w:p>
    <w:p w:rsidR="00A402FA" w:rsidRDefault="000762FF">
      <w:pPr>
        <w:pStyle w:val="TOC2"/>
        <w:tabs>
          <w:tab w:val="right" w:leader="dot" w:pos="7077"/>
        </w:tabs>
        <w:rPr>
          <w:rFonts w:asciiTheme="minorHAnsi" w:eastAsiaTheme="minorEastAsia" w:hAnsiTheme="minorHAnsi" w:cstheme="minorBidi"/>
          <w:b w:val="0"/>
          <w:sz w:val="22"/>
          <w:szCs w:val="22"/>
        </w:rPr>
      </w:pPr>
      <w:r>
        <w:t>Defined terms</w:t>
      </w:r>
    </w:p>
    <w:p w:rsidR="00A402FA" w:rsidRDefault="000762F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402FA" w:rsidRDefault="00A402FA">
      <w:pPr>
        <w:pStyle w:val="NoteHeading"/>
        <w:sectPr w:rsidR="00A402F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402FA" w:rsidRDefault="000762FF">
      <w:pPr>
        <w:pStyle w:val="WA"/>
      </w:pPr>
      <w:r>
        <w:lastRenderedPageBreak/>
        <w:t>Western Australia</w:t>
      </w:r>
    </w:p>
    <w:p w:rsidR="00A402FA" w:rsidRDefault="000762FF">
      <w:pPr>
        <w:pStyle w:val="NameofActReg"/>
        <w:suppressLineNumbers/>
        <w:ind w:right="566" w:firstLine="567"/>
      </w:pPr>
      <w:r>
        <w:t>Mutual Recognition (Western Australia) Act 2010</w:t>
      </w:r>
    </w:p>
    <w:p w:rsidR="00A402FA" w:rsidRDefault="000762FF">
      <w:pPr>
        <w:pStyle w:val="LongTitle"/>
        <w:suppressLineNumbers/>
        <w:rPr>
          <w:snapToGrid w:val="0"/>
        </w:rPr>
      </w:pPr>
      <w:bookmarkStart w:id="3" w:name="BillCited"/>
      <w:bookmarkEnd w:id="3"/>
      <w:r>
        <w:rPr>
          <w:snapToGrid w:val="0"/>
        </w:rPr>
        <w:t>An Act to continue the adop</w:t>
      </w:r>
      <w:r>
        <w:rPr>
          <w:snapToGrid w:val="0"/>
        </w:rPr>
        <w:t xml:space="preserve">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w:t>
      </w:r>
      <w:r>
        <w:rPr>
          <w:snapToGrid w:val="0"/>
        </w:rPr>
        <w:t>opted elsewhere in Australia regarding goods and occupations, and for related purposes.</w:t>
      </w:r>
    </w:p>
    <w:p w:rsidR="00A402FA" w:rsidRDefault="000762FF">
      <w:pPr>
        <w:pStyle w:val="Heading5"/>
      </w:pPr>
      <w:bookmarkStart w:id="4" w:name="_Toc65140532"/>
      <w:r>
        <w:rPr>
          <w:rStyle w:val="CharSectno"/>
        </w:rPr>
        <w:t>1</w:t>
      </w:r>
      <w:r>
        <w:t>.</w:t>
      </w:r>
      <w:r>
        <w:tab/>
      </w:r>
      <w:r>
        <w:rPr>
          <w:snapToGrid w:val="0"/>
        </w:rPr>
        <w:t>Short title</w:t>
      </w:r>
      <w:bookmarkEnd w:id="4"/>
    </w:p>
    <w:p w:rsidR="00A402FA" w:rsidRDefault="000762FF">
      <w:pPr>
        <w:pStyle w:val="Subsection"/>
      </w:pPr>
      <w:r>
        <w:tab/>
      </w:r>
      <w:r>
        <w:tab/>
        <w:t>This</w:t>
      </w:r>
      <w:r>
        <w:rPr>
          <w:snapToGrid w:val="0"/>
        </w:rPr>
        <w:t xml:space="preserve"> is the</w:t>
      </w:r>
      <w:r>
        <w:rPr>
          <w:i/>
          <w:snapToGrid w:val="0"/>
        </w:rPr>
        <w:t xml:space="preserve"> Mutual Recognition (Western Australia) Act 2010</w:t>
      </w:r>
      <w:r>
        <w:rPr>
          <w:snapToGrid w:val="0"/>
        </w:rPr>
        <w:t>.</w:t>
      </w:r>
    </w:p>
    <w:p w:rsidR="00A402FA" w:rsidRDefault="000762FF">
      <w:pPr>
        <w:pStyle w:val="Heading5"/>
        <w:rPr>
          <w:snapToGrid w:val="0"/>
        </w:rPr>
      </w:pPr>
      <w:bookmarkStart w:id="5" w:name="_Toc65140533"/>
      <w:r>
        <w:rPr>
          <w:rStyle w:val="CharSectno"/>
        </w:rPr>
        <w:t>2</w:t>
      </w:r>
      <w:r>
        <w:rPr>
          <w:snapToGrid w:val="0"/>
        </w:rPr>
        <w:t>.</w:t>
      </w:r>
      <w:r>
        <w:rPr>
          <w:snapToGrid w:val="0"/>
        </w:rPr>
        <w:tab/>
      </w:r>
      <w:r>
        <w:t>Commencement</w:t>
      </w:r>
      <w:bookmarkEnd w:id="5"/>
    </w:p>
    <w:p w:rsidR="00A402FA" w:rsidRDefault="000762FF">
      <w:pPr>
        <w:pStyle w:val="Subsection"/>
      </w:pPr>
      <w:r>
        <w:tab/>
      </w:r>
      <w:r>
        <w:tab/>
        <w:t>This Act comes into operation as follows —</w:t>
      </w:r>
    </w:p>
    <w:p w:rsidR="00A402FA" w:rsidRDefault="000762FF">
      <w:pPr>
        <w:pStyle w:val="Indenta"/>
      </w:pPr>
      <w:r>
        <w:tab/>
        <w:t>(a)</w:t>
      </w:r>
      <w:r>
        <w:tab/>
        <w:t>sections 1 and 2 — on th</w:t>
      </w:r>
      <w:r>
        <w:t>e day on which this Act receives the Royal Assent;</w:t>
      </w:r>
    </w:p>
    <w:p w:rsidR="00A402FA" w:rsidRDefault="000762FF">
      <w:pPr>
        <w:pStyle w:val="Indenta"/>
      </w:pPr>
      <w:r>
        <w:tab/>
        <w:t>(b)</w:t>
      </w:r>
      <w:r>
        <w:tab/>
        <w:t>the rest of the Act — on 1 March 2011.</w:t>
      </w:r>
    </w:p>
    <w:p w:rsidR="00A402FA" w:rsidRDefault="000762FF">
      <w:pPr>
        <w:pStyle w:val="Heading5"/>
      </w:pPr>
      <w:bookmarkStart w:id="6" w:name="_Toc65140534"/>
      <w:r>
        <w:rPr>
          <w:rStyle w:val="CharSectno"/>
        </w:rPr>
        <w:t>3</w:t>
      </w:r>
      <w:r>
        <w:t>.</w:t>
      </w:r>
      <w:r>
        <w:tab/>
        <w:t>Terms used</w:t>
      </w:r>
      <w:bookmarkEnd w:id="6"/>
    </w:p>
    <w:p w:rsidR="00A402FA" w:rsidRDefault="000762FF">
      <w:pPr>
        <w:pStyle w:val="Subsection"/>
      </w:pPr>
      <w:r>
        <w:tab/>
      </w:r>
      <w:r>
        <w:tab/>
        <w:t xml:space="preserve">In this Act — </w:t>
      </w:r>
    </w:p>
    <w:p w:rsidR="00A402FA" w:rsidRDefault="000762FF">
      <w:pPr>
        <w:pStyle w:val="Defstart"/>
      </w:pPr>
      <w:r>
        <w:tab/>
      </w:r>
      <w:r>
        <w:rPr>
          <w:rStyle w:val="CharDefText"/>
        </w:rPr>
        <w:t>adopt</w:t>
      </w:r>
      <w:r>
        <w:t xml:space="preserve"> has the same meaning as in the Constitution of the Commonwealth section 51(xxxvii);</w:t>
      </w:r>
    </w:p>
    <w:p w:rsidR="00A402FA" w:rsidRDefault="000762FF">
      <w:pPr>
        <w:pStyle w:val="Defstart"/>
      </w:pPr>
      <w:r>
        <w:tab/>
      </w:r>
      <w:r>
        <w:rPr>
          <w:rStyle w:val="CharDefText"/>
        </w:rPr>
        <w:t>Commonwealth Act</w:t>
      </w:r>
      <w:r>
        <w:t xml:space="preserve"> means the </w:t>
      </w:r>
      <w:r>
        <w:rPr>
          <w:i/>
        </w:rPr>
        <w:t>Mutual Reco</w:t>
      </w:r>
      <w:r>
        <w:rPr>
          <w:i/>
        </w:rPr>
        <w:t>gnition Act 1992</w:t>
      </w:r>
      <w:r>
        <w:rPr>
          <w:iCs/>
        </w:rPr>
        <w:t xml:space="preserve"> (Commonwealth)</w:t>
      </w:r>
      <w:r>
        <w:t>.</w:t>
      </w:r>
    </w:p>
    <w:p w:rsidR="00A402FA" w:rsidRDefault="000762FF">
      <w:pPr>
        <w:pStyle w:val="Heading5"/>
      </w:pPr>
      <w:bookmarkStart w:id="7" w:name="_Toc65140535"/>
      <w:r>
        <w:rPr>
          <w:rStyle w:val="CharSectno"/>
        </w:rPr>
        <w:t>4</w:t>
      </w:r>
      <w:r>
        <w:t>.</w:t>
      </w:r>
      <w:r>
        <w:tab/>
        <w:t>Adoption of Commonwealth Act</w:t>
      </w:r>
      <w:bookmarkEnd w:id="7"/>
    </w:p>
    <w:p w:rsidR="00A402FA" w:rsidRDefault="000762FF">
      <w:pPr>
        <w:pStyle w:val="Subsection"/>
      </w:pPr>
      <w:r>
        <w:tab/>
        <w:t>(1)</w:t>
      </w:r>
      <w:r>
        <w:tab/>
        <w:t>The State of Western Australia adopts the Commonwealth Act as originally enacted and any amendments made to it before this Act receives the Royal Assent.</w:t>
      </w:r>
    </w:p>
    <w:p w:rsidR="00A402FA" w:rsidRDefault="000762FF">
      <w:pPr>
        <w:pStyle w:val="Subsection"/>
      </w:pPr>
      <w:r>
        <w:tab/>
        <w:t>(2)</w:t>
      </w:r>
      <w:r>
        <w:tab/>
        <w:t>The adoption of the Commonw</w:t>
      </w:r>
      <w:r>
        <w:t>ealth Act under this Act does not operate so as to give effect to any adopted provision before that provision commences as a law of the Commonwealth.</w:t>
      </w:r>
    </w:p>
    <w:p w:rsidR="00A402FA" w:rsidRDefault="000762FF">
      <w:pPr>
        <w:pStyle w:val="Subsection"/>
      </w:pPr>
      <w:r>
        <w:tab/>
        <w:t>(3)</w:t>
      </w:r>
      <w:r>
        <w:tab/>
        <w:t xml:space="preserve">To avoid doubt, it is the intention of the Parliament of the State that a Schedule to the </w:t>
      </w:r>
      <w:r>
        <w:t>Commonwealth Act as adopted under this Act may be amended from time to time by regulations made under the Commonwealth Act.</w:t>
      </w:r>
    </w:p>
    <w:p w:rsidR="00A402FA" w:rsidRDefault="000762FF">
      <w:pPr>
        <w:pStyle w:val="Subsection"/>
      </w:pPr>
      <w:r>
        <w:tab/>
        <w:t>(4)</w:t>
      </w:r>
      <w:r>
        <w:tab/>
        <w:t>The Minister is to cause a copy of any regulations referred to in subsection (3) to be laid before each House of Parliament wit</w:t>
      </w:r>
      <w:r>
        <w:t>hin 14 sitting days of that House after the registration of the regulations in the Federal Register of Legislative Instruments</w:t>
      </w:r>
      <w:r>
        <w:rPr>
          <w:vertAlign w:val="superscript"/>
        </w:rPr>
        <w:t> 1</w:t>
      </w:r>
      <w:r>
        <w:t xml:space="preserve"> maintained under the </w:t>
      </w:r>
      <w:r>
        <w:rPr>
          <w:i/>
        </w:rPr>
        <w:t>Legislative Instruments Act 2003</w:t>
      </w:r>
      <w:r>
        <w:rPr>
          <w:vertAlign w:val="superscript"/>
        </w:rPr>
        <w:t> 2</w:t>
      </w:r>
      <w:r>
        <w:t xml:space="preserve"> (Commonwealth).</w:t>
      </w:r>
    </w:p>
    <w:p w:rsidR="00A402FA" w:rsidRDefault="000762FF">
      <w:pPr>
        <w:pStyle w:val="Heading5"/>
      </w:pPr>
      <w:bookmarkStart w:id="8" w:name="_Toc65140536"/>
      <w:r>
        <w:rPr>
          <w:rStyle w:val="CharSectno"/>
        </w:rPr>
        <w:t>5</w:t>
      </w:r>
      <w:r>
        <w:t>.</w:t>
      </w:r>
      <w:r>
        <w:tab/>
        <w:t>Regulations for temporary exemption for goods</w:t>
      </w:r>
      <w:bookmarkEnd w:id="8"/>
    </w:p>
    <w:p w:rsidR="00A402FA" w:rsidRDefault="000762FF">
      <w:pPr>
        <w:pStyle w:val="Subsection"/>
      </w:pPr>
      <w:r>
        <w:tab/>
      </w:r>
      <w:r>
        <w:tab/>
      </w:r>
      <w:r>
        <w:t>Without limiting any other power to make regulations under any other Act, the Governor may make regulations for the purposes mentioned in the Commonwealth Act section 15 as adopted under this Act.</w:t>
      </w:r>
    </w:p>
    <w:p w:rsidR="00A402FA" w:rsidRDefault="000762FF">
      <w:pPr>
        <w:pStyle w:val="Heading5"/>
      </w:pPr>
      <w:bookmarkStart w:id="9" w:name="_Toc65140537"/>
      <w:r>
        <w:rPr>
          <w:rStyle w:val="CharSectno"/>
        </w:rPr>
        <w:t>6</w:t>
      </w:r>
      <w:r>
        <w:t>.</w:t>
      </w:r>
      <w:r>
        <w:tab/>
        <w:t>Termination of adoption</w:t>
      </w:r>
      <w:bookmarkEnd w:id="9"/>
    </w:p>
    <w:p w:rsidR="00A402FA" w:rsidRDefault="000762FF">
      <w:pPr>
        <w:pStyle w:val="Subsection"/>
      </w:pPr>
      <w:r>
        <w:tab/>
        <w:t>(1)</w:t>
      </w:r>
      <w:r>
        <w:tab/>
        <w:t>The adoption of the Commonw</w:t>
      </w:r>
      <w:r>
        <w:t xml:space="preserve">ealth Act under this Act ends on — </w:t>
      </w:r>
    </w:p>
    <w:p w:rsidR="00A402FA" w:rsidRDefault="000762FF">
      <w:pPr>
        <w:pStyle w:val="Indenta"/>
      </w:pPr>
      <w:r>
        <w:tab/>
        <w:t>(a)</w:t>
      </w:r>
      <w:r>
        <w:tab/>
        <w:t>28 February 2021; or</w:t>
      </w:r>
    </w:p>
    <w:p w:rsidR="00A402FA" w:rsidRDefault="000762FF">
      <w:pPr>
        <w:pStyle w:val="Indenta"/>
      </w:pPr>
      <w:r>
        <w:tab/>
        <w:t>(b)</w:t>
      </w:r>
      <w:r>
        <w:tab/>
        <w:t>if an earlier date is fixed under subsection (2), that earlier day.</w:t>
      </w:r>
    </w:p>
    <w:p w:rsidR="00A402FA" w:rsidRDefault="000762FF">
      <w:pPr>
        <w:pStyle w:val="Subsection"/>
      </w:pPr>
      <w:r>
        <w:tab/>
        <w:t>(2)</w:t>
      </w:r>
      <w:r>
        <w:tab/>
        <w:t xml:space="preserve">The Governor may, by proclamation, fix a day that is earlier than 28 February 2021 as the day on which the adoption </w:t>
      </w:r>
      <w:r>
        <w:t>of the Commonwealth Act under this Act ends.</w:t>
      </w:r>
    </w:p>
    <w:p w:rsidR="00A402FA" w:rsidRDefault="000762FF">
      <w:pPr>
        <w:pStyle w:val="Subsection"/>
      </w:pPr>
      <w:r>
        <w:tab/>
        <w:t>(3)</w:t>
      </w:r>
      <w:r>
        <w:tab/>
        <w:t>This Act expires when the adoption of the Commonwealth Act ends under subsection (1).</w:t>
      </w:r>
    </w:p>
    <w:p w:rsidR="00A402FA" w:rsidRDefault="00A402FA">
      <w:pPr>
        <w:sectPr w:rsidR="00A402FA">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A402FA" w:rsidRDefault="000762FF">
      <w:pPr>
        <w:pStyle w:val="nHeading2"/>
      </w:pPr>
      <w:bookmarkStart w:id="10" w:name="_Toc65140456"/>
      <w:bookmarkStart w:id="11" w:name="_Toc65140538"/>
      <w:r>
        <w:t>Notes</w:t>
      </w:r>
      <w:bookmarkEnd w:id="10"/>
      <w:bookmarkEnd w:id="11"/>
    </w:p>
    <w:p w:rsidR="00A402FA" w:rsidRDefault="000762FF">
      <w:pPr>
        <w:pStyle w:val="nStatement"/>
      </w:pPr>
      <w:r>
        <w:t xml:space="preserve">This is a compilation of the </w:t>
      </w:r>
      <w:r>
        <w:rPr>
          <w:i/>
          <w:noProof/>
        </w:rPr>
        <w:t>Mutual Recognition (Western Australia) Act 2010</w:t>
      </w:r>
      <w:r>
        <w:t>.  For provisions that have come into operation see the compilation table.</w:t>
      </w:r>
    </w:p>
    <w:p w:rsidR="00A402FA" w:rsidRDefault="000762FF">
      <w:pPr>
        <w:pStyle w:val="nHeading3"/>
      </w:pPr>
      <w:bookmarkStart w:id="12" w:name="_Toc65140539"/>
      <w:r>
        <w:t>Compilation table</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402FA">
        <w:trPr>
          <w:tblHeader/>
        </w:trPr>
        <w:tc>
          <w:tcPr>
            <w:tcW w:w="2268" w:type="dxa"/>
          </w:tcPr>
          <w:p w:rsidR="00A402FA" w:rsidRDefault="000762FF">
            <w:pPr>
              <w:pStyle w:val="nTable"/>
              <w:spacing w:after="40"/>
              <w:rPr>
                <w:b/>
              </w:rPr>
            </w:pPr>
            <w:r>
              <w:rPr>
                <w:b/>
              </w:rPr>
              <w:t>Short title</w:t>
            </w:r>
          </w:p>
        </w:tc>
        <w:tc>
          <w:tcPr>
            <w:tcW w:w="1134" w:type="dxa"/>
          </w:tcPr>
          <w:p w:rsidR="00A402FA" w:rsidRDefault="000762FF">
            <w:pPr>
              <w:pStyle w:val="nTable"/>
              <w:spacing w:after="40"/>
              <w:rPr>
                <w:b/>
              </w:rPr>
            </w:pPr>
            <w:r>
              <w:rPr>
                <w:b/>
              </w:rPr>
              <w:t>Number and year</w:t>
            </w:r>
          </w:p>
        </w:tc>
        <w:tc>
          <w:tcPr>
            <w:tcW w:w="1134" w:type="dxa"/>
          </w:tcPr>
          <w:p w:rsidR="00A402FA" w:rsidRDefault="000762FF">
            <w:pPr>
              <w:pStyle w:val="nTable"/>
              <w:spacing w:after="40"/>
              <w:rPr>
                <w:b/>
              </w:rPr>
            </w:pPr>
            <w:r>
              <w:rPr>
                <w:b/>
              </w:rPr>
              <w:t>Assent</w:t>
            </w:r>
          </w:p>
        </w:tc>
        <w:tc>
          <w:tcPr>
            <w:tcW w:w="2552" w:type="dxa"/>
          </w:tcPr>
          <w:p w:rsidR="00A402FA" w:rsidRDefault="000762FF">
            <w:pPr>
              <w:pStyle w:val="nTable"/>
              <w:spacing w:after="40"/>
              <w:rPr>
                <w:b/>
              </w:rPr>
            </w:pPr>
            <w:r>
              <w:rPr>
                <w:b/>
              </w:rPr>
              <w:t>Commencement</w:t>
            </w:r>
          </w:p>
        </w:tc>
      </w:tr>
      <w:tr w:rsidR="00A402FA">
        <w:tc>
          <w:tcPr>
            <w:tcW w:w="2268" w:type="dxa"/>
            <w:tcBorders>
              <w:bottom w:val="nil"/>
            </w:tcBorders>
          </w:tcPr>
          <w:p w:rsidR="00A402FA" w:rsidRDefault="000762FF">
            <w:pPr>
              <w:pStyle w:val="nTable"/>
              <w:spacing w:after="40"/>
              <w:rPr>
                <w:iCs/>
              </w:rPr>
            </w:pPr>
            <w:r>
              <w:rPr>
                <w:i/>
                <w:noProof/>
                <w:snapToGrid w:val="0"/>
              </w:rPr>
              <w:t>Mutual Recognition (Western Australia) Act 2010</w:t>
            </w:r>
            <w:r>
              <w:rPr>
                <w:iCs/>
                <w:noProof/>
                <w:snapToGrid w:val="0"/>
              </w:rPr>
              <w:t xml:space="preserve"> </w:t>
            </w:r>
          </w:p>
        </w:tc>
        <w:tc>
          <w:tcPr>
            <w:tcW w:w="1134" w:type="dxa"/>
            <w:tcBorders>
              <w:bottom w:val="nil"/>
            </w:tcBorders>
          </w:tcPr>
          <w:p w:rsidR="00A402FA" w:rsidRDefault="000762FF">
            <w:pPr>
              <w:pStyle w:val="nTable"/>
              <w:spacing w:after="40"/>
            </w:pPr>
            <w:r>
              <w:t>52 of 2010</w:t>
            </w:r>
          </w:p>
        </w:tc>
        <w:tc>
          <w:tcPr>
            <w:tcW w:w="1134" w:type="dxa"/>
            <w:tcBorders>
              <w:bottom w:val="nil"/>
            </w:tcBorders>
          </w:tcPr>
          <w:p w:rsidR="00A402FA" w:rsidRDefault="000762FF">
            <w:pPr>
              <w:pStyle w:val="nTable"/>
              <w:spacing w:after="40"/>
            </w:pPr>
            <w:r>
              <w:t>8 Dec 2010</w:t>
            </w:r>
          </w:p>
        </w:tc>
        <w:tc>
          <w:tcPr>
            <w:tcW w:w="2552" w:type="dxa"/>
            <w:tcBorders>
              <w:bottom w:val="nil"/>
            </w:tcBorders>
          </w:tcPr>
          <w:p w:rsidR="00A402FA" w:rsidRDefault="000762FF">
            <w:pPr>
              <w:pStyle w:val="nTable"/>
              <w:spacing w:after="40"/>
            </w:pPr>
            <w:r>
              <w:rPr>
                <w:iCs/>
                <w:noProof/>
                <w:snapToGrid w:val="0"/>
              </w:rPr>
              <w:t xml:space="preserve">s. 1 and 2: </w:t>
            </w:r>
            <w:r>
              <w:t>8 Dec 2010 (see s. 2(a))</w:t>
            </w:r>
            <w:r>
              <w:br/>
              <w:t>Act other than s. 1 and 2: 1 Mar 2011 (see s. 2(b))</w:t>
            </w:r>
          </w:p>
        </w:tc>
      </w:tr>
      <w:tr w:rsidR="00A402FA">
        <w:tc>
          <w:tcPr>
            <w:tcW w:w="7088" w:type="dxa"/>
            <w:gridSpan w:val="4"/>
            <w:tcBorders>
              <w:top w:val="nil"/>
            </w:tcBorders>
          </w:tcPr>
          <w:p w:rsidR="00A402FA" w:rsidRDefault="000762FF">
            <w:pPr>
              <w:pStyle w:val="nTable"/>
              <w:spacing w:after="40"/>
              <w:rPr>
                <w:iCs/>
                <w:noProof/>
                <w:snapToGrid w:val="0"/>
              </w:rPr>
            </w:pPr>
            <w:r>
              <w:rPr>
                <w:b/>
                <w:color w:val="FF0000"/>
              </w:rPr>
              <w:t>This Act expired on 28 Feb 2021 (see s. 6(3))</w:t>
            </w:r>
          </w:p>
        </w:tc>
      </w:tr>
    </w:tbl>
    <w:p w:rsidR="00A402FA" w:rsidRDefault="000762FF">
      <w:pPr>
        <w:pStyle w:val="nHeading3"/>
      </w:pPr>
      <w:bookmarkStart w:id="13" w:name="_Toc65140540"/>
      <w:r>
        <w:t>Other notes</w:t>
      </w:r>
      <w:bookmarkEnd w:id="13"/>
    </w:p>
    <w:p w:rsidR="00A402FA" w:rsidRDefault="000762FF">
      <w:pPr>
        <w:pStyle w:val="nNote"/>
      </w:pPr>
      <w:r>
        <w:rPr>
          <w:vertAlign w:val="superscript"/>
        </w:rPr>
        <w:t>1</w:t>
      </w:r>
      <w:r>
        <w:tab/>
        <w:t>Now known as the Federal Register of Legislation.</w:t>
      </w:r>
    </w:p>
    <w:p w:rsidR="00A402FA" w:rsidRDefault="000762FF">
      <w:pPr>
        <w:pStyle w:val="nNote"/>
      </w:pPr>
      <w:r>
        <w:rPr>
          <w:vertAlign w:val="superscript"/>
        </w:rPr>
        <w:t>2</w:t>
      </w:r>
      <w:r>
        <w:tab/>
        <w:t xml:space="preserve">Now known as the </w:t>
      </w:r>
      <w:r>
        <w:rPr>
          <w:i/>
        </w:rPr>
        <w:t>Legislation Act 2003</w:t>
      </w:r>
      <w:r>
        <w:t>.</w:t>
      </w:r>
    </w:p>
    <w:p w:rsidR="00A402FA" w:rsidRDefault="00A402FA">
      <w:pPr>
        <w:sectPr w:rsidR="00A402FA">
          <w:headerReference w:type="even" r:id="rId24"/>
          <w:headerReference w:type="default" r:id="rId25"/>
          <w:pgSz w:w="11907" w:h="16840" w:code="9"/>
          <w:pgMar w:top="2376" w:right="2405" w:bottom="3542" w:left="2405" w:header="706" w:footer="3380" w:gutter="0"/>
          <w:cols w:space="720"/>
          <w:noEndnote/>
          <w:docGrid w:linePitch="326"/>
        </w:sectPr>
      </w:pPr>
    </w:p>
    <w:p w:rsidR="00A402FA" w:rsidRDefault="000762FF">
      <w:pPr>
        <w:pStyle w:val="nHeading2"/>
        <w:rPr>
          <w:sz w:val="28"/>
        </w:rPr>
      </w:pPr>
      <w:bookmarkStart w:id="15" w:name="_Toc65140459"/>
      <w:bookmarkStart w:id="16" w:name="_Toc65140541"/>
      <w:r>
        <w:rPr>
          <w:sz w:val="28"/>
        </w:rPr>
        <w:t>Defined terms</w:t>
      </w:r>
      <w:bookmarkEnd w:id="15"/>
      <w:bookmarkEnd w:id="16"/>
    </w:p>
    <w:p w:rsidR="00A402FA" w:rsidRDefault="00A402FA">
      <w:pPr>
        <w:ind w:left="850" w:right="850"/>
        <w:jc w:val="center"/>
        <w:rPr>
          <w:i/>
          <w:sz w:val="18"/>
        </w:rPr>
      </w:pPr>
    </w:p>
    <w:p w:rsidR="00A402FA" w:rsidRDefault="000762FF">
      <w:pPr>
        <w:ind w:left="850" w:right="850"/>
        <w:jc w:val="center"/>
        <w:rPr>
          <w:i/>
          <w:sz w:val="18"/>
        </w:rPr>
      </w:pPr>
      <w:r>
        <w:rPr>
          <w:i/>
          <w:sz w:val="18"/>
        </w:rPr>
        <w:t xml:space="preserve">[This is a list of terms defined and </w:t>
      </w:r>
      <w:r>
        <w:rPr>
          <w:i/>
          <w:sz w:val="18"/>
        </w:rPr>
        <w:t>the provisions where they are defined.  The list is not part of the law.]</w:t>
      </w:r>
    </w:p>
    <w:p w:rsidR="00A402FA" w:rsidRDefault="000762FF">
      <w:pPr>
        <w:pBdr>
          <w:bottom w:val="single" w:sz="4" w:space="1" w:color="auto"/>
        </w:pBdr>
        <w:tabs>
          <w:tab w:val="right" w:pos="7070"/>
        </w:tabs>
        <w:ind w:left="578"/>
        <w:rPr>
          <w:b/>
          <w:sz w:val="20"/>
        </w:rPr>
      </w:pPr>
      <w:r>
        <w:rPr>
          <w:b/>
          <w:sz w:val="20"/>
        </w:rPr>
        <w:t>Defined term</w:t>
      </w:r>
      <w:r>
        <w:rPr>
          <w:b/>
          <w:sz w:val="20"/>
        </w:rPr>
        <w:tab/>
        <w:t>Provision(s)</w:t>
      </w:r>
    </w:p>
    <w:p w:rsidR="00A402FA" w:rsidRDefault="000762FF">
      <w:pPr>
        <w:pStyle w:val="DefinedTerms"/>
      </w:pPr>
      <w:r>
        <w:t>adopt</w:t>
      </w:r>
      <w:r>
        <w:tab/>
        <w:t>3</w:t>
      </w:r>
    </w:p>
    <w:p w:rsidR="00A402FA" w:rsidRDefault="000762FF">
      <w:pPr>
        <w:pStyle w:val="DefinedTerms"/>
      </w:pPr>
      <w:r>
        <w:t>Commonwealth Act</w:t>
      </w:r>
      <w:r>
        <w:tab/>
        <w:t>3</w:t>
      </w:r>
    </w:p>
    <w:p w:rsidR="00A402FA" w:rsidRDefault="00A402FA">
      <w:pPr>
        <w:pStyle w:val="DefinedTerms"/>
        <w:sectPr w:rsidR="00A402FA">
          <w:headerReference w:type="even" r:id="rId26"/>
          <w:headerReference w:type="default" r:id="rId27"/>
          <w:pgSz w:w="11907" w:h="16840" w:code="9"/>
          <w:pgMar w:top="2381" w:right="2409" w:bottom="3543" w:left="2409" w:header="720" w:footer="3380" w:gutter="0"/>
          <w:cols w:space="720"/>
          <w:noEndnote/>
          <w:docGrid w:linePitch="326"/>
        </w:sectPr>
      </w:pPr>
    </w:p>
    <w:p w:rsidR="00A402FA" w:rsidRDefault="00A402FA"/>
    <w:sectPr w:rsidR="00A402FA">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FA" w:rsidRDefault="000762FF">
      <w:pPr>
        <w:rPr>
          <w:b/>
          <w:sz w:val="28"/>
        </w:rPr>
      </w:pPr>
      <w:r>
        <w:rPr>
          <w:b/>
          <w:sz w:val="28"/>
        </w:rPr>
        <w:t>Endnotes</w:t>
      </w:r>
    </w:p>
    <w:p w:rsidR="00A402FA" w:rsidRDefault="000762FF">
      <w:pPr>
        <w:spacing w:after="240"/>
        <w:rPr>
          <w:rFonts w:ascii="Times" w:hAnsi="Times"/>
          <w:sz w:val="18"/>
        </w:rPr>
      </w:pPr>
      <w:r>
        <w:rPr>
          <w:sz w:val="20"/>
        </w:rPr>
        <w:t>[For ease of reference detach these notes and read them alongside the draft.]</w:t>
      </w:r>
    </w:p>
  </w:endnote>
  <w:endnote w:type="continuationSeparator" w:id="0">
    <w:p w:rsidR="00A402FA" w:rsidRDefault="00A402FA">
      <w:pPr>
        <w:pStyle w:val="Footer"/>
      </w:pPr>
    </w:p>
  </w:endnote>
  <w:endnote w:type="continuationNotice" w:id="1">
    <w:p w:rsidR="00A402FA" w:rsidRDefault="00A40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Bdr>
        <w:bottom w:val="single" w:sz="4" w:space="1" w:color="auto"/>
      </w:pBdr>
      <w:rPr>
        <w:sz w:val="20"/>
      </w:rPr>
    </w:pPr>
  </w:p>
  <w:p w:rsidR="00A402FA" w:rsidRDefault="000762F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Feb 2021</w:t>
    </w:r>
    <w:r>
      <w:rPr>
        <w:sz w:val="20"/>
      </w:rPr>
      <w:fldChar w:fldCharType="end"/>
    </w:r>
  </w:p>
  <w:p w:rsidR="00A402FA" w:rsidRDefault="000762F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Bdr>
        <w:bottom w:val="single" w:sz="4" w:space="1" w:color="auto"/>
      </w:pBdr>
      <w:rPr>
        <w:sz w:val="20"/>
      </w:rPr>
    </w:pPr>
  </w:p>
  <w:p w:rsidR="00A402FA" w:rsidRDefault="000762F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rsidR="00A402FA" w:rsidRDefault="000762F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Bdr>
        <w:bottom w:val="single" w:sz="4" w:space="1" w:color="auto"/>
      </w:pBdr>
      <w:rPr>
        <w:sz w:val="20"/>
      </w:rPr>
    </w:pPr>
  </w:p>
  <w:p w:rsidR="00A402FA" w:rsidRDefault="000762F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w:instrText>
    </w:r>
    <w:r>
      <w:rPr>
        <w:sz w:val="20"/>
      </w:rPr>
      <w:instrText xml:space="preserve">e" </w:instrText>
    </w:r>
    <w:r>
      <w:rPr>
        <w:sz w:val="20"/>
      </w:rPr>
      <w:fldChar w:fldCharType="separate"/>
    </w:r>
    <w:r>
      <w:rPr>
        <w:sz w:val="20"/>
      </w:rPr>
      <w:t>28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rsidR="00A402FA" w:rsidRDefault="000762F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Bdr>
        <w:bottom w:val="single" w:sz="4" w:space="1" w:color="auto"/>
      </w:pBdr>
      <w:rPr>
        <w:sz w:val="20"/>
      </w:rPr>
    </w:pPr>
  </w:p>
  <w:p w:rsidR="00A402FA" w:rsidRDefault="000762F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2021</w:t>
    </w:r>
    <w:r>
      <w:rPr>
        <w:sz w:val="20"/>
      </w:rPr>
      <w:fldChar w:fldCharType="end"/>
    </w:r>
  </w:p>
  <w:p w:rsidR="00A402FA" w:rsidRDefault="000762F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Bdr>
        <w:bottom w:val="single" w:sz="4" w:space="1" w:color="auto"/>
      </w:pBdr>
      <w:rPr>
        <w:sz w:val="20"/>
      </w:rPr>
    </w:pPr>
  </w:p>
  <w:p w:rsidR="00A402FA" w:rsidRDefault="000762F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A402FA" w:rsidRDefault="000762F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Bdr>
        <w:bottom w:val="single" w:sz="4" w:space="1" w:color="auto"/>
      </w:pBdr>
      <w:rPr>
        <w:sz w:val="20"/>
      </w:rPr>
    </w:pPr>
  </w:p>
  <w:p w:rsidR="00A402FA" w:rsidRDefault="000762F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402FA" w:rsidRDefault="000762F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FA" w:rsidRDefault="000762FF">
      <w:r>
        <w:separator/>
      </w:r>
    </w:p>
  </w:footnote>
  <w:footnote w:type="continuationSeparator" w:id="0">
    <w:p w:rsidR="00A402FA" w:rsidRDefault="00076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F" w:rsidRDefault="000762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02FA">
      <w:trPr>
        <w:cantSplit/>
      </w:trPr>
      <w:tc>
        <w:tcPr>
          <w:tcW w:w="7312" w:type="dxa"/>
          <w:gridSpan w:val="2"/>
        </w:tcPr>
        <w:p w:rsidR="00A402FA" w:rsidRDefault="000762FF">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1548" w:type="dxa"/>
        </w:tcPr>
        <w:p w:rsidR="00A402FA" w:rsidRDefault="000762FF">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A402FA" w:rsidRDefault="000762FF">
          <w:pPr>
            <w:pStyle w:val="Header"/>
            <w:spacing w:before="40"/>
          </w:pPr>
          <w:r>
            <w:fldChar w:fldCharType="begin"/>
          </w:r>
          <w:r>
            <w:instrText xml:space="preserve"> STYLEREF "nHeading 3" </w:instrText>
          </w:r>
          <w:r>
            <w:fldChar w:fldCharType="separate"/>
          </w:r>
          <w:r>
            <w:t>Compilation table</w:t>
          </w:r>
          <w:r>
            <w:fldChar w:fldCharType="end"/>
          </w:r>
        </w:p>
      </w:tc>
    </w:tr>
    <w:tr w:rsidR="00A402FA">
      <w:tc>
        <w:tcPr>
          <w:tcW w:w="1548" w:type="dxa"/>
        </w:tcPr>
        <w:p w:rsidR="00A402FA" w:rsidRDefault="00A402FA">
          <w:pPr>
            <w:pStyle w:val="Header"/>
            <w:spacing w:before="40"/>
          </w:pPr>
        </w:p>
      </w:tc>
      <w:tc>
        <w:tcPr>
          <w:tcW w:w="5764" w:type="dxa"/>
        </w:tcPr>
        <w:p w:rsidR="00A402FA" w:rsidRDefault="00A402FA">
          <w:pPr>
            <w:pStyle w:val="Header"/>
            <w:spacing w:before="40"/>
          </w:pPr>
        </w:p>
      </w:tc>
    </w:tr>
    <w:tr w:rsidR="00A402FA">
      <w:trPr>
        <w:cantSplit/>
      </w:trPr>
      <w:tc>
        <w:tcPr>
          <w:tcW w:w="7312" w:type="dxa"/>
          <w:gridSpan w:val="2"/>
        </w:tcPr>
        <w:p w:rsidR="00A402FA" w:rsidRDefault="00A402FA">
          <w:pPr>
            <w:pStyle w:val="Header"/>
            <w:spacing w:before="40"/>
          </w:pPr>
        </w:p>
      </w:tc>
    </w:tr>
  </w:tbl>
  <w:p w:rsidR="00A402FA" w:rsidRDefault="00A402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02FA">
      <w:trPr>
        <w:cantSplit/>
      </w:trPr>
      <w:tc>
        <w:tcPr>
          <w:tcW w:w="7312" w:type="dxa"/>
          <w:gridSpan w:val="2"/>
        </w:tcPr>
        <w:p w:rsidR="00A402FA" w:rsidRDefault="000762FF">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5760" w:type="dxa"/>
        </w:tcPr>
        <w:p w:rsidR="00A402FA" w:rsidRDefault="000762FF">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A402FA" w:rsidRDefault="000762FF">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A402FA">
      <w:tc>
        <w:tcPr>
          <w:tcW w:w="5760" w:type="dxa"/>
        </w:tcPr>
        <w:p w:rsidR="00A402FA" w:rsidRDefault="00A402FA">
          <w:pPr>
            <w:pStyle w:val="Header"/>
            <w:spacing w:before="40"/>
            <w:jc w:val="right"/>
          </w:pPr>
        </w:p>
      </w:tc>
      <w:tc>
        <w:tcPr>
          <w:tcW w:w="1552" w:type="dxa"/>
        </w:tcPr>
        <w:p w:rsidR="00A402FA" w:rsidRDefault="00A402FA">
          <w:pPr>
            <w:pStyle w:val="Header"/>
            <w:spacing w:before="40"/>
            <w:ind w:right="17"/>
            <w:jc w:val="right"/>
          </w:pPr>
        </w:p>
      </w:tc>
    </w:tr>
    <w:tr w:rsidR="00A402FA">
      <w:trPr>
        <w:cantSplit/>
      </w:trPr>
      <w:tc>
        <w:tcPr>
          <w:tcW w:w="7312" w:type="dxa"/>
          <w:gridSpan w:val="2"/>
        </w:tcPr>
        <w:p w:rsidR="00A402FA" w:rsidRDefault="00A402FA">
          <w:pPr>
            <w:pStyle w:val="Header"/>
            <w:spacing w:before="40"/>
            <w:ind w:right="17"/>
            <w:jc w:val="right"/>
          </w:pPr>
        </w:p>
      </w:tc>
    </w:tr>
  </w:tbl>
  <w:p w:rsidR="00A402FA" w:rsidRDefault="00A402FA">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402FA">
      <w:trPr>
        <w:cantSplit/>
      </w:trPr>
      <w:tc>
        <w:tcPr>
          <w:tcW w:w="7263" w:type="dxa"/>
          <w:gridSpan w:val="2"/>
        </w:tcPr>
        <w:p w:rsidR="00A402FA" w:rsidRDefault="000762FF">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1348" w:type="dxa"/>
        </w:tcPr>
        <w:p w:rsidR="00A402FA" w:rsidRDefault="00A402FA">
          <w:pPr>
            <w:pStyle w:val="Header"/>
            <w:spacing w:before="40"/>
          </w:pPr>
        </w:p>
      </w:tc>
      <w:tc>
        <w:tcPr>
          <w:tcW w:w="5915" w:type="dxa"/>
        </w:tcPr>
        <w:p w:rsidR="00A402FA" w:rsidRDefault="00A402FA">
          <w:pPr>
            <w:pStyle w:val="Header"/>
            <w:spacing w:before="40"/>
          </w:pPr>
        </w:p>
      </w:tc>
    </w:tr>
    <w:tr w:rsidR="00A402FA">
      <w:tc>
        <w:tcPr>
          <w:tcW w:w="1348" w:type="dxa"/>
        </w:tcPr>
        <w:p w:rsidR="00A402FA" w:rsidRDefault="00A402FA">
          <w:pPr>
            <w:pStyle w:val="Header"/>
            <w:spacing w:before="40"/>
          </w:pPr>
        </w:p>
      </w:tc>
      <w:tc>
        <w:tcPr>
          <w:tcW w:w="5915" w:type="dxa"/>
        </w:tcPr>
        <w:p w:rsidR="00A402FA" w:rsidRDefault="00A402FA">
          <w:pPr>
            <w:pStyle w:val="Header"/>
            <w:spacing w:before="40"/>
          </w:pPr>
        </w:p>
      </w:tc>
    </w:tr>
    <w:tr w:rsidR="00A402FA">
      <w:trPr>
        <w:cantSplit/>
      </w:trPr>
      <w:tc>
        <w:tcPr>
          <w:tcW w:w="7263" w:type="dxa"/>
          <w:gridSpan w:val="2"/>
        </w:tcPr>
        <w:p w:rsidR="00A402FA" w:rsidRDefault="000762FF">
          <w:pPr>
            <w:pStyle w:val="Header"/>
            <w:spacing w:before="40"/>
          </w:pPr>
          <w:r>
            <w:t>Defined terms</w:t>
          </w:r>
        </w:p>
      </w:tc>
    </w:tr>
  </w:tbl>
  <w:p w:rsidR="00A402FA" w:rsidRDefault="00A402F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402FA">
      <w:trPr>
        <w:cantSplit/>
      </w:trPr>
      <w:tc>
        <w:tcPr>
          <w:tcW w:w="7263" w:type="dxa"/>
          <w:gridSpan w:val="2"/>
        </w:tcPr>
        <w:p w:rsidR="00A402FA" w:rsidRDefault="000762FF">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5884" w:type="dxa"/>
        </w:tcPr>
        <w:p w:rsidR="00A402FA" w:rsidRDefault="00A402FA">
          <w:pPr>
            <w:pStyle w:val="Header"/>
            <w:spacing w:before="40"/>
            <w:jc w:val="right"/>
          </w:pPr>
        </w:p>
      </w:tc>
      <w:tc>
        <w:tcPr>
          <w:tcW w:w="1379" w:type="dxa"/>
        </w:tcPr>
        <w:p w:rsidR="00A402FA" w:rsidRDefault="00A402FA">
          <w:pPr>
            <w:pStyle w:val="Header"/>
            <w:spacing w:before="40"/>
            <w:ind w:right="17"/>
            <w:jc w:val="right"/>
          </w:pPr>
        </w:p>
      </w:tc>
    </w:tr>
    <w:tr w:rsidR="00A402FA">
      <w:tc>
        <w:tcPr>
          <w:tcW w:w="5884" w:type="dxa"/>
        </w:tcPr>
        <w:p w:rsidR="00A402FA" w:rsidRDefault="00A402FA">
          <w:pPr>
            <w:pStyle w:val="Header"/>
            <w:spacing w:before="40"/>
            <w:jc w:val="right"/>
          </w:pPr>
        </w:p>
      </w:tc>
      <w:tc>
        <w:tcPr>
          <w:tcW w:w="1379" w:type="dxa"/>
        </w:tcPr>
        <w:p w:rsidR="00A402FA" w:rsidRDefault="00A402FA">
          <w:pPr>
            <w:pStyle w:val="Header"/>
            <w:spacing w:before="40"/>
            <w:ind w:right="17"/>
            <w:jc w:val="right"/>
          </w:pPr>
        </w:p>
      </w:tc>
    </w:tr>
    <w:tr w:rsidR="00A402FA">
      <w:trPr>
        <w:cantSplit/>
      </w:trPr>
      <w:tc>
        <w:tcPr>
          <w:tcW w:w="7263" w:type="dxa"/>
          <w:gridSpan w:val="2"/>
        </w:tcPr>
        <w:p w:rsidR="00A402FA" w:rsidRDefault="000762FF">
          <w:pPr>
            <w:pStyle w:val="Header"/>
            <w:spacing w:before="40"/>
            <w:ind w:right="17"/>
            <w:jc w:val="right"/>
          </w:pPr>
          <w:r>
            <w:t>Defined terms</w:t>
          </w:r>
        </w:p>
      </w:tc>
    </w:tr>
  </w:tbl>
  <w:p w:rsidR="00A402FA" w:rsidRDefault="00A402FA">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F" w:rsidRDefault="00076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02FA">
      <w:trPr>
        <w:cantSplit/>
      </w:trPr>
      <w:tc>
        <w:tcPr>
          <w:tcW w:w="7258" w:type="dxa"/>
          <w:gridSpan w:val="2"/>
        </w:tcPr>
        <w:p w:rsidR="00A402FA" w:rsidRDefault="000762FF">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1548" w:type="dxa"/>
        </w:tcPr>
        <w:p w:rsidR="00A402FA" w:rsidRDefault="00A402FA">
          <w:pPr>
            <w:pStyle w:val="Header"/>
            <w:spacing w:before="40"/>
          </w:pPr>
        </w:p>
      </w:tc>
      <w:tc>
        <w:tcPr>
          <w:tcW w:w="5715" w:type="dxa"/>
        </w:tcPr>
        <w:p w:rsidR="00A402FA" w:rsidRDefault="00A402FA">
          <w:pPr>
            <w:pStyle w:val="Header"/>
            <w:spacing w:before="40"/>
          </w:pPr>
        </w:p>
      </w:tc>
    </w:tr>
    <w:tr w:rsidR="00A402FA">
      <w:tc>
        <w:tcPr>
          <w:tcW w:w="1548" w:type="dxa"/>
        </w:tcPr>
        <w:p w:rsidR="00A402FA" w:rsidRDefault="00A402FA">
          <w:pPr>
            <w:pStyle w:val="Header"/>
            <w:spacing w:before="40"/>
          </w:pPr>
        </w:p>
      </w:tc>
      <w:tc>
        <w:tcPr>
          <w:tcW w:w="5715" w:type="dxa"/>
        </w:tcPr>
        <w:p w:rsidR="00A402FA" w:rsidRDefault="00A402FA">
          <w:pPr>
            <w:pStyle w:val="Header"/>
            <w:spacing w:before="40"/>
          </w:pPr>
        </w:p>
      </w:tc>
    </w:tr>
    <w:tr w:rsidR="00A402FA">
      <w:trPr>
        <w:cantSplit/>
      </w:trPr>
      <w:tc>
        <w:tcPr>
          <w:tcW w:w="7258" w:type="dxa"/>
          <w:gridSpan w:val="2"/>
        </w:tcPr>
        <w:p w:rsidR="00A402FA" w:rsidRDefault="000762FF">
          <w:pPr>
            <w:pStyle w:val="Header"/>
            <w:spacing w:before="40"/>
          </w:pPr>
          <w:r>
            <w:t>Contents</w:t>
          </w:r>
        </w:p>
      </w:tc>
    </w:tr>
  </w:tbl>
  <w:p w:rsidR="00A402FA" w:rsidRDefault="00A402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02FA">
      <w:trPr>
        <w:cantSplit/>
      </w:trPr>
      <w:tc>
        <w:tcPr>
          <w:tcW w:w="7258" w:type="dxa"/>
          <w:gridSpan w:val="2"/>
        </w:tcPr>
        <w:p w:rsidR="00A402FA" w:rsidRDefault="000762FF">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5715" w:type="dxa"/>
        </w:tcPr>
        <w:p w:rsidR="00A402FA" w:rsidRDefault="00A402FA">
          <w:pPr>
            <w:pStyle w:val="Header"/>
            <w:spacing w:before="40"/>
            <w:jc w:val="right"/>
          </w:pPr>
        </w:p>
      </w:tc>
      <w:tc>
        <w:tcPr>
          <w:tcW w:w="1548" w:type="dxa"/>
        </w:tcPr>
        <w:p w:rsidR="00A402FA" w:rsidRDefault="00A402FA">
          <w:pPr>
            <w:pStyle w:val="Header"/>
            <w:spacing w:before="40"/>
            <w:ind w:right="17"/>
            <w:jc w:val="right"/>
          </w:pPr>
        </w:p>
      </w:tc>
    </w:tr>
    <w:tr w:rsidR="00A402FA">
      <w:tc>
        <w:tcPr>
          <w:tcW w:w="5715" w:type="dxa"/>
        </w:tcPr>
        <w:p w:rsidR="00A402FA" w:rsidRDefault="00A402FA">
          <w:pPr>
            <w:pStyle w:val="Header"/>
            <w:spacing w:before="40"/>
            <w:jc w:val="right"/>
          </w:pPr>
        </w:p>
      </w:tc>
      <w:tc>
        <w:tcPr>
          <w:tcW w:w="1548" w:type="dxa"/>
        </w:tcPr>
        <w:p w:rsidR="00A402FA" w:rsidRDefault="00A402FA">
          <w:pPr>
            <w:pStyle w:val="Header"/>
            <w:spacing w:before="40"/>
            <w:ind w:right="17"/>
            <w:jc w:val="right"/>
          </w:pPr>
        </w:p>
      </w:tc>
    </w:tr>
    <w:tr w:rsidR="00A402FA">
      <w:trPr>
        <w:cantSplit/>
      </w:trPr>
      <w:tc>
        <w:tcPr>
          <w:tcW w:w="7258" w:type="dxa"/>
          <w:gridSpan w:val="2"/>
        </w:tcPr>
        <w:p w:rsidR="00A402FA" w:rsidRDefault="000762FF">
          <w:pPr>
            <w:pStyle w:val="Header"/>
            <w:spacing w:before="40"/>
            <w:ind w:right="17"/>
            <w:jc w:val="right"/>
          </w:pPr>
          <w:r>
            <w:t>Contents</w:t>
          </w:r>
        </w:p>
      </w:tc>
    </w:tr>
  </w:tbl>
  <w:p w:rsidR="00A402FA" w:rsidRDefault="00A402F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02FA">
      <w:trPr>
        <w:cantSplit/>
      </w:trPr>
      <w:tc>
        <w:tcPr>
          <w:tcW w:w="7263" w:type="dxa"/>
          <w:gridSpan w:val="2"/>
        </w:tcPr>
        <w:p w:rsidR="00A402FA" w:rsidRDefault="000762FF">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1548" w:type="dxa"/>
        </w:tcPr>
        <w:p w:rsidR="00A402FA" w:rsidRDefault="000762FF">
          <w:pPr>
            <w:pStyle w:val="Header"/>
            <w:spacing w:before="40"/>
          </w:pPr>
          <w:r>
            <w:rPr>
              <w:b/>
            </w:rPr>
            <w:fldChar w:fldCharType="begin"/>
          </w:r>
          <w:r>
            <w:rPr>
              <w:b/>
            </w:rPr>
            <w:instrText>STYLEREF CharPartNo</w:instrText>
          </w:r>
          <w:r>
            <w:rPr>
              <w:b/>
            </w:rPr>
            <w:fldChar w:fldCharType="end"/>
          </w:r>
        </w:p>
      </w:tc>
      <w:tc>
        <w:tcPr>
          <w:tcW w:w="5715" w:type="dxa"/>
          <w:vAlign w:val="bottom"/>
        </w:tcPr>
        <w:p w:rsidR="00A402FA" w:rsidRDefault="000762FF">
          <w:pPr>
            <w:pStyle w:val="Header"/>
            <w:spacing w:before="40"/>
          </w:pPr>
          <w:r>
            <w:fldChar w:fldCharType="begin"/>
          </w:r>
          <w:r>
            <w:instrText xml:space="preserve"> styleref CharPart</w:instrText>
          </w:r>
          <w:r>
            <w:instrText xml:space="preserve">Text </w:instrText>
          </w:r>
          <w:r>
            <w:fldChar w:fldCharType="end"/>
          </w:r>
        </w:p>
      </w:tc>
    </w:tr>
    <w:tr w:rsidR="00A402FA">
      <w:tc>
        <w:tcPr>
          <w:tcW w:w="1548" w:type="dxa"/>
        </w:tcPr>
        <w:p w:rsidR="00A402FA" w:rsidRDefault="000762FF">
          <w:pPr>
            <w:pStyle w:val="Header"/>
            <w:spacing w:before="40"/>
          </w:pPr>
          <w:r>
            <w:rPr>
              <w:b/>
            </w:rPr>
            <w:fldChar w:fldCharType="begin"/>
          </w:r>
          <w:r>
            <w:rPr>
              <w:b/>
            </w:rPr>
            <w:instrText>STYLEREF CharDivNo</w:instrText>
          </w:r>
          <w:r>
            <w:rPr>
              <w:b/>
            </w:rPr>
            <w:fldChar w:fldCharType="end"/>
          </w:r>
        </w:p>
      </w:tc>
      <w:tc>
        <w:tcPr>
          <w:tcW w:w="5715" w:type="dxa"/>
        </w:tcPr>
        <w:p w:rsidR="00A402FA" w:rsidRDefault="000762FF">
          <w:pPr>
            <w:pStyle w:val="Header"/>
            <w:spacing w:before="40"/>
          </w:pPr>
          <w:r>
            <w:fldChar w:fldCharType="begin"/>
          </w:r>
          <w:r>
            <w:instrText xml:space="preserve"> styleref CharDivText </w:instrText>
          </w:r>
          <w:r>
            <w:fldChar w:fldCharType="end"/>
          </w:r>
        </w:p>
      </w:tc>
    </w:tr>
    <w:tr w:rsidR="00A402FA">
      <w:trPr>
        <w:cantSplit/>
      </w:trPr>
      <w:tc>
        <w:tcPr>
          <w:tcW w:w="7263" w:type="dxa"/>
          <w:gridSpan w:val="2"/>
        </w:tcPr>
        <w:p w:rsidR="00A402FA" w:rsidRDefault="000762FF">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A402FA" w:rsidRDefault="00A402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02FA">
      <w:trPr>
        <w:cantSplit/>
      </w:trPr>
      <w:tc>
        <w:tcPr>
          <w:tcW w:w="7263" w:type="dxa"/>
          <w:gridSpan w:val="2"/>
        </w:tcPr>
        <w:p w:rsidR="00A402FA" w:rsidRDefault="000762FF">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rsidR="00A402FA">
      <w:tc>
        <w:tcPr>
          <w:tcW w:w="5715" w:type="dxa"/>
          <w:vAlign w:val="bottom"/>
        </w:tcPr>
        <w:p w:rsidR="00A402FA" w:rsidRDefault="000762FF">
          <w:pPr>
            <w:pStyle w:val="Header"/>
            <w:spacing w:before="40"/>
            <w:jc w:val="right"/>
          </w:pPr>
          <w:r>
            <w:fldChar w:fldCharType="begin"/>
          </w:r>
          <w:r>
            <w:instrText xml:space="preserve"> styleref CharPartText </w:instrText>
          </w:r>
          <w:r>
            <w:fldChar w:fldCharType="end"/>
          </w:r>
        </w:p>
      </w:tc>
      <w:tc>
        <w:tcPr>
          <w:tcW w:w="1548" w:type="dxa"/>
        </w:tcPr>
        <w:p w:rsidR="00A402FA" w:rsidRDefault="000762FF">
          <w:pPr>
            <w:pStyle w:val="Header"/>
            <w:spacing w:before="40"/>
            <w:ind w:right="17"/>
            <w:jc w:val="right"/>
          </w:pPr>
          <w:r>
            <w:rPr>
              <w:b/>
            </w:rPr>
            <w:fldChar w:fldCharType="begin"/>
          </w:r>
          <w:r>
            <w:rPr>
              <w:b/>
            </w:rPr>
            <w:instrText>STYLEREF CharPartNo</w:instrText>
          </w:r>
          <w:r>
            <w:rPr>
              <w:b/>
            </w:rPr>
            <w:fldChar w:fldCharType="end"/>
          </w:r>
        </w:p>
      </w:tc>
    </w:tr>
    <w:tr w:rsidR="00A402FA">
      <w:tc>
        <w:tcPr>
          <w:tcW w:w="5715" w:type="dxa"/>
        </w:tcPr>
        <w:p w:rsidR="00A402FA" w:rsidRDefault="000762FF">
          <w:pPr>
            <w:pStyle w:val="Header"/>
            <w:spacing w:before="40"/>
            <w:jc w:val="right"/>
          </w:pPr>
          <w:r>
            <w:fldChar w:fldCharType="begin"/>
          </w:r>
          <w:r>
            <w:instrText xml:space="preserve"> styleref CharDivText </w:instrText>
          </w:r>
          <w:r>
            <w:fldChar w:fldCharType="end"/>
          </w:r>
        </w:p>
      </w:tc>
      <w:tc>
        <w:tcPr>
          <w:tcW w:w="1548" w:type="dxa"/>
        </w:tcPr>
        <w:p w:rsidR="00A402FA" w:rsidRDefault="000762FF">
          <w:pPr>
            <w:pStyle w:val="Header"/>
            <w:spacing w:before="40"/>
            <w:ind w:right="17"/>
            <w:jc w:val="right"/>
          </w:pPr>
          <w:r>
            <w:rPr>
              <w:b/>
            </w:rPr>
            <w:fldChar w:fldCharType="begin"/>
          </w:r>
          <w:r>
            <w:rPr>
              <w:b/>
            </w:rPr>
            <w:instrText xml:space="preserve">STYLEREF </w:instrText>
          </w:r>
          <w:r>
            <w:rPr>
              <w:b/>
            </w:rPr>
            <w:instrText>CharDivNo</w:instrText>
          </w:r>
          <w:r>
            <w:rPr>
              <w:b/>
            </w:rPr>
            <w:fldChar w:fldCharType="end"/>
          </w:r>
        </w:p>
      </w:tc>
    </w:tr>
    <w:tr w:rsidR="00A402FA">
      <w:trPr>
        <w:cantSplit/>
      </w:trPr>
      <w:tc>
        <w:tcPr>
          <w:tcW w:w="7263" w:type="dxa"/>
          <w:gridSpan w:val="2"/>
        </w:tcPr>
        <w:p w:rsidR="00A402FA" w:rsidRDefault="000762F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A402FA" w:rsidRDefault="00A402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FA" w:rsidRDefault="00A4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5100352"/>
    <w:docVar w:name="WAFER_20140109160600" w:val="RemoveTocBookmarks,RemoveUnusedBookmarks,RemoveLanguageTags,UsedStyles,ResetPageSize,UpdateArrangement"/>
    <w:docVar w:name="WAFER_20140109160600_GUID" w:val="103ddbd0-f1aa-4551-8b07-06dbab42556d"/>
    <w:docVar w:name="WAFER_20140109161352" w:val="RemoveTocBookmarks,RunningHeaders"/>
    <w:docVar w:name="WAFER_20140109161352_GUID" w:val="6bcc3b32-4771-41ce-a62d-3a72b1eec697"/>
    <w:docVar w:name="WAFER_20150608172751" w:val="ResetPageSize,UpdateArrangement,UpdateNTable"/>
    <w:docVar w:name="WAFER_20150608172751_GUID" w:val="5ba11a29-e5f5-4a46-8a22-af9e3888644b"/>
    <w:docVar w:name="WAFER_20151106161512" w:val="UpdateStyles,UsedStyles"/>
    <w:docVar w:name="WAFER_20151106161512_GUID" w:val="ad17fcaa-211a-46e5-abb9-3a52a6790557"/>
    <w:docVar w:name="WAFER_20151130172516" w:val="RemoveTrackChanges"/>
    <w:docVar w:name="WAFER_20151130172516_GUID" w:val="4ec8545a-ceaa-46e7-86fd-f5b8f31e4228"/>
    <w:docVar w:name="WAFER_202102251003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5100352_GUID" w:val="2ab0798f-4dd6-4c69-b71b-870e8be6f22d"/>
  </w:docVars>
  <w:rsids>
    <w:rsidRoot w:val="00A402FA"/>
    <w:rsid w:val="000762FF"/>
    <w:rsid w:val="00A402FA"/>
    <w:rsid w:val="00EC2D49"/>
    <w:rsid w:val="00FE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726</Words>
  <Characters>3548</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2010 - 00-c0-00</dc:title>
  <dc:subject/>
  <dc:creator/>
  <cp:keywords/>
  <dc:description/>
  <cp:lastModifiedBy>Master Repository Process</cp:lastModifiedBy>
  <cp:revision>4</cp:revision>
  <cp:lastPrinted>2010-10-12T04:41:00Z</cp:lastPrinted>
  <dcterms:created xsi:type="dcterms:W3CDTF">2021-02-26T07:27:00Z</dcterms:created>
  <dcterms:modified xsi:type="dcterms:W3CDTF">2021-02-26T07:27:00Z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2010</vt:lpwstr>
  </property>
  <property fmtid="{D5CDD505-2E9C-101B-9397-08002B2CF9AE}" pid="3" name="DocumentType">
    <vt:lpwstr>Act</vt:lpwstr>
  </property>
  <property fmtid="{D5CDD505-2E9C-101B-9397-08002B2CF9AE}" pid="4" name="CommencementDate">
    <vt:lpwstr>20210228</vt:lpwstr>
  </property>
  <property fmtid="{D5CDD505-2E9C-101B-9397-08002B2CF9AE}" pid="5" name="AsAtDate">
    <vt:lpwstr>28 Feb 2021</vt:lpwstr>
  </property>
  <property fmtid="{D5CDD505-2E9C-101B-9397-08002B2CF9AE}" pid="6" name="Suffix">
    <vt:lpwstr>00-c0-00</vt:lpwstr>
  </property>
  <property fmtid="{D5CDD505-2E9C-101B-9397-08002B2CF9AE}" pid="7" name="Status">
    <vt:lpwstr>NIF</vt:lpwstr>
  </property>
</Properties>
</file>