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57" w:rsidRDefault="003B771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C5B57" w:rsidRDefault="003B7717">
      <w:pPr>
        <w:pStyle w:val="PrincipalActRegPage1"/>
      </w:pPr>
      <w:r>
        <w:fldChar w:fldCharType="begin"/>
      </w:r>
      <w:r>
        <w:instrText xml:space="preserve"> STYLEREF "PrincipalAct_Reg"</w:instrText>
      </w:r>
      <w:r>
        <w:fldChar w:fldCharType="separate"/>
      </w:r>
      <w:r w:rsidR="00F45FBD">
        <w:rPr>
          <w:noProof/>
        </w:rPr>
        <w:t>Racing Bets Levy Act 2009</w:t>
      </w:r>
      <w:r>
        <w:fldChar w:fldCharType="end"/>
      </w:r>
    </w:p>
    <w:p w:rsidR="00CC5B57" w:rsidRDefault="003B7717">
      <w:pPr>
        <w:pStyle w:val="NameofActRegPage1"/>
        <w:spacing w:before="1800" w:after="4200"/>
        <w:outlineLvl w:val="0"/>
      </w:pPr>
      <w:r>
        <w:fldChar w:fldCharType="begin"/>
      </w:r>
      <w:r>
        <w:instrText xml:space="preserve"> STYLEREF "Name Of Act/Reg"</w:instrText>
      </w:r>
      <w:r>
        <w:fldChar w:fldCharType="separate"/>
      </w:r>
      <w:r w:rsidR="00F45FBD">
        <w:rPr>
          <w:noProof/>
        </w:rPr>
        <w:t>Racing Bets Levy Regulations 2009</w:t>
      </w:r>
      <w:r>
        <w:fldChar w:fldCharType="end"/>
      </w:r>
    </w:p>
    <w:p w:rsidR="00CC5B57" w:rsidRDefault="00CC5B57">
      <w:pPr>
        <w:jc w:val="center"/>
        <w:sectPr w:rsidR="00CC5B5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B572E" w:rsidRDefault="005B572E">
      <w:pPr>
        <w:pStyle w:val="WA"/>
      </w:pPr>
      <w:r>
        <w:lastRenderedPageBreak/>
        <w:t>Western Australia</w:t>
      </w:r>
    </w:p>
    <w:p w:rsidR="00CC5B57" w:rsidRDefault="003B7717">
      <w:pPr>
        <w:pStyle w:val="NameofActRegPage1"/>
      </w:pPr>
      <w:r>
        <w:fldChar w:fldCharType="begin"/>
      </w:r>
      <w:r>
        <w:instrText xml:space="preserve"> STYLEREF "Name Of Act/Reg"</w:instrText>
      </w:r>
      <w:r>
        <w:fldChar w:fldCharType="separate"/>
      </w:r>
      <w:r w:rsidR="00F45FBD">
        <w:rPr>
          <w:noProof/>
        </w:rPr>
        <w:t>Racing Bets Levy Regulations 2009</w:t>
      </w:r>
      <w:r>
        <w:fldChar w:fldCharType="end"/>
      </w:r>
    </w:p>
    <w:p w:rsidR="00CC5B57" w:rsidRDefault="003B7717">
      <w:pPr>
        <w:pStyle w:val="Arrangement"/>
      </w:pPr>
      <w:r>
        <w:t>Contents</w:t>
      </w:r>
    </w:p>
    <w:p w:rsidR="00417807" w:rsidRDefault="003B771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17807">
        <w:t>1.</w:t>
      </w:r>
      <w:r w:rsidR="00417807">
        <w:tab/>
        <w:t>Citation</w:t>
      </w:r>
      <w:r w:rsidR="00417807">
        <w:tab/>
      </w:r>
      <w:r w:rsidR="00417807">
        <w:fldChar w:fldCharType="begin"/>
      </w:r>
      <w:r w:rsidR="00417807">
        <w:instrText xml:space="preserve"> PAGEREF _Toc70586857 \h </w:instrText>
      </w:r>
      <w:r w:rsidR="00417807">
        <w:fldChar w:fldCharType="separate"/>
      </w:r>
      <w:r w:rsidR="00F45FBD">
        <w:t>1</w:t>
      </w:r>
      <w:r w:rsidR="00417807">
        <w:fldChar w:fldCharType="end"/>
      </w:r>
    </w:p>
    <w:p w:rsidR="00417807" w:rsidRDefault="00417807">
      <w:pPr>
        <w:pStyle w:val="TOC8"/>
        <w:rPr>
          <w:rFonts w:asciiTheme="minorHAnsi" w:eastAsiaTheme="minorEastAsia" w:hAnsiTheme="minorHAnsi" w:cstheme="minorBidi"/>
          <w:szCs w:val="22"/>
        </w:rPr>
      </w:pPr>
      <w:r>
        <w:t>2</w:t>
      </w:r>
      <w:r w:rsidRPr="006523ED">
        <w:rPr>
          <w:spacing w:val="-2"/>
        </w:rPr>
        <w:t>.</w:t>
      </w:r>
      <w:r w:rsidRPr="006523ED">
        <w:rPr>
          <w:spacing w:val="-2"/>
        </w:rPr>
        <w:tab/>
        <w:t>Commencement</w:t>
      </w:r>
      <w:r>
        <w:tab/>
      </w:r>
      <w:r>
        <w:fldChar w:fldCharType="begin"/>
      </w:r>
      <w:r>
        <w:instrText xml:space="preserve"> PAGEREF _Toc70586858 \h </w:instrText>
      </w:r>
      <w:r>
        <w:fldChar w:fldCharType="separate"/>
      </w:r>
      <w:r w:rsidR="00F45FBD">
        <w:t>1</w:t>
      </w:r>
      <w:r>
        <w:fldChar w:fldCharType="end"/>
      </w:r>
    </w:p>
    <w:p w:rsidR="00417807" w:rsidRDefault="00417807">
      <w:pPr>
        <w:pStyle w:val="TOC8"/>
        <w:rPr>
          <w:rFonts w:asciiTheme="minorHAnsi" w:eastAsiaTheme="minorEastAsia" w:hAnsiTheme="minorHAnsi" w:cstheme="minorBidi"/>
          <w:szCs w:val="22"/>
        </w:rPr>
      </w:pPr>
      <w:r>
        <w:t>3.</w:t>
      </w:r>
      <w:r>
        <w:tab/>
        <w:t>Terms used</w:t>
      </w:r>
      <w:r>
        <w:tab/>
      </w:r>
      <w:r>
        <w:fldChar w:fldCharType="begin"/>
      </w:r>
      <w:r>
        <w:instrText xml:space="preserve"> PAGEREF _Toc70586859 \h </w:instrText>
      </w:r>
      <w:r>
        <w:fldChar w:fldCharType="separate"/>
      </w:r>
      <w:r w:rsidR="00F45FBD">
        <w:t>1</w:t>
      </w:r>
      <w:r>
        <w:fldChar w:fldCharType="end"/>
      </w:r>
    </w:p>
    <w:p w:rsidR="00417807" w:rsidRDefault="00417807">
      <w:pPr>
        <w:pStyle w:val="TOC8"/>
        <w:rPr>
          <w:rFonts w:asciiTheme="minorHAnsi" w:eastAsiaTheme="minorEastAsia" w:hAnsiTheme="minorHAnsi" w:cstheme="minorBidi"/>
          <w:szCs w:val="22"/>
        </w:rPr>
      </w:pPr>
      <w:r>
        <w:t>4.</w:t>
      </w:r>
      <w:r>
        <w:tab/>
        <w:t>Levy amount: bets placed or accepted before 1 October 2014</w:t>
      </w:r>
      <w:r>
        <w:tab/>
      </w:r>
      <w:r>
        <w:fldChar w:fldCharType="begin"/>
      </w:r>
      <w:r>
        <w:instrText xml:space="preserve"> PAGEREF _Toc70586860 \h </w:instrText>
      </w:r>
      <w:r>
        <w:fldChar w:fldCharType="separate"/>
      </w:r>
      <w:r w:rsidR="00F45FBD">
        <w:t>2</w:t>
      </w:r>
      <w:r>
        <w:fldChar w:fldCharType="end"/>
      </w:r>
    </w:p>
    <w:p w:rsidR="00417807" w:rsidRDefault="00417807">
      <w:pPr>
        <w:pStyle w:val="TOC8"/>
        <w:rPr>
          <w:rFonts w:asciiTheme="minorHAnsi" w:eastAsiaTheme="minorEastAsia" w:hAnsiTheme="minorHAnsi" w:cstheme="minorBidi"/>
          <w:szCs w:val="22"/>
        </w:rPr>
      </w:pPr>
      <w:r>
        <w:t>5.</w:t>
      </w:r>
      <w:r>
        <w:tab/>
        <w:t>Levy amount: bets placed or accepted on or after 1 October 2014 but before 1 August 2018</w:t>
      </w:r>
      <w:r>
        <w:tab/>
      </w:r>
      <w:r>
        <w:fldChar w:fldCharType="begin"/>
      </w:r>
      <w:r>
        <w:instrText xml:space="preserve"> PAGEREF _Toc70586861 \h </w:instrText>
      </w:r>
      <w:r>
        <w:fldChar w:fldCharType="separate"/>
      </w:r>
      <w:r w:rsidR="00F45FBD">
        <w:t>4</w:t>
      </w:r>
      <w:r>
        <w:fldChar w:fldCharType="end"/>
      </w:r>
    </w:p>
    <w:p w:rsidR="00417807" w:rsidRDefault="00417807">
      <w:pPr>
        <w:pStyle w:val="TOC8"/>
        <w:rPr>
          <w:rFonts w:asciiTheme="minorHAnsi" w:eastAsiaTheme="minorEastAsia" w:hAnsiTheme="minorHAnsi" w:cstheme="minorBidi"/>
          <w:szCs w:val="22"/>
        </w:rPr>
      </w:pPr>
      <w:r>
        <w:t>6.</w:t>
      </w:r>
      <w:r>
        <w:tab/>
        <w:t>Levy amount: bets (other than certain betting exchange bets) placed or accepted on or after 1 August 2018</w:t>
      </w:r>
      <w:r>
        <w:tab/>
      </w:r>
      <w:r>
        <w:fldChar w:fldCharType="begin"/>
      </w:r>
      <w:r>
        <w:instrText xml:space="preserve"> PAGEREF _Toc70586862 \h </w:instrText>
      </w:r>
      <w:r>
        <w:fldChar w:fldCharType="separate"/>
      </w:r>
      <w:r w:rsidR="00F45FBD">
        <w:t>5</w:t>
      </w:r>
      <w:r>
        <w:fldChar w:fldCharType="end"/>
      </w:r>
    </w:p>
    <w:p w:rsidR="00417807" w:rsidRDefault="00417807">
      <w:pPr>
        <w:pStyle w:val="TOC8"/>
        <w:rPr>
          <w:rFonts w:asciiTheme="minorHAnsi" w:eastAsiaTheme="minorEastAsia" w:hAnsiTheme="minorHAnsi" w:cstheme="minorBidi"/>
          <w:szCs w:val="22"/>
        </w:rPr>
      </w:pPr>
      <w:r>
        <w:t>7.</w:t>
      </w:r>
      <w:r>
        <w:tab/>
        <w:t>Levy amount: betting exchange bets placed or accepted on or after 1 May 2021</w:t>
      </w:r>
      <w:r>
        <w:tab/>
      </w:r>
      <w:r>
        <w:fldChar w:fldCharType="begin"/>
      </w:r>
      <w:r>
        <w:instrText xml:space="preserve"> PAGEREF _Toc70586863 \h </w:instrText>
      </w:r>
      <w:r>
        <w:fldChar w:fldCharType="separate"/>
      </w:r>
      <w:r w:rsidR="00F45FBD">
        <w:t>7</w:t>
      </w:r>
      <w:r>
        <w:fldChar w:fldCharType="end"/>
      </w:r>
    </w:p>
    <w:p w:rsidR="00417807" w:rsidRDefault="00417807">
      <w:pPr>
        <w:pStyle w:val="TOC2"/>
        <w:tabs>
          <w:tab w:val="right" w:leader="dot" w:pos="7077"/>
        </w:tabs>
        <w:rPr>
          <w:rFonts w:asciiTheme="minorHAnsi" w:eastAsiaTheme="minorEastAsia" w:hAnsiTheme="minorHAnsi" w:cstheme="minorBidi"/>
          <w:b w:val="0"/>
          <w:sz w:val="22"/>
          <w:szCs w:val="22"/>
        </w:rPr>
      </w:pPr>
      <w:r>
        <w:t>Notes</w:t>
      </w:r>
    </w:p>
    <w:p w:rsidR="00417807" w:rsidRDefault="00417807" w:rsidP="00417807">
      <w:pPr>
        <w:pStyle w:val="TOC8"/>
        <w:rPr>
          <w:rFonts w:asciiTheme="minorHAnsi" w:eastAsiaTheme="minorEastAsia" w:hAnsiTheme="minorHAnsi" w:cstheme="minorBidi"/>
          <w:szCs w:val="22"/>
        </w:rPr>
      </w:pPr>
      <w:r>
        <w:tab/>
        <w:t>Compilation table</w:t>
      </w:r>
      <w:r>
        <w:tab/>
      </w:r>
      <w:r>
        <w:fldChar w:fldCharType="begin"/>
      </w:r>
      <w:r>
        <w:instrText xml:space="preserve"> PAGEREF _Toc70586865 \h </w:instrText>
      </w:r>
      <w:r>
        <w:fldChar w:fldCharType="separate"/>
      </w:r>
      <w:r w:rsidR="00F45FBD">
        <w:t>9</w:t>
      </w:r>
      <w:r>
        <w:fldChar w:fldCharType="end"/>
      </w:r>
    </w:p>
    <w:p w:rsidR="00417807" w:rsidRDefault="00417807">
      <w:pPr>
        <w:pStyle w:val="TOC2"/>
        <w:tabs>
          <w:tab w:val="right" w:leader="dot" w:pos="7077"/>
        </w:tabs>
        <w:rPr>
          <w:rFonts w:asciiTheme="minorHAnsi" w:eastAsiaTheme="minorEastAsia" w:hAnsiTheme="minorHAnsi" w:cstheme="minorBidi"/>
          <w:b w:val="0"/>
          <w:sz w:val="22"/>
          <w:szCs w:val="22"/>
        </w:rPr>
      </w:pPr>
      <w:r>
        <w:t>Defined terms</w:t>
      </w:r>
    </w:p>
    <w:p w:rsidR="00CC5B57" w:rsidRDefault="003B771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C5B57" w:rsidRDefault="00CC5B57">
      <w:pPr>
        <w:pStyle w:val="NoteHeading"/>
        <w:sectPr w:rsidR="00CC5B5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C5B57" w:rsidRDefault="003B7717">
      <w:pPr>
        <w:pStyle w:val="PrincipalActReg"/>
      </w:pPr>
      <w:r>
        <w:lastRenderedPageBreak/>
        <w:t>Racing Bets Levy Act 2009</w:t>
      </w:r>
    </w:p>
    <w:p w:rsidR="00CC5B57" w:rsidRDefault="003B7717">
      <w:pPr>
        <w:pStyle w:val="NameofActReg"/>
      </w:pPr>
      <w:r>
        <w:t>Racing Bets Levy Regulations 2009</w:t>
      </w:r>
    </w:p>
    <w:p w:rsidR="00CC5B57" w:rsidRDefault="003B7717">
      <w:pPr>
        <w:pStyle w:val="Heading5"/>
      </w:pPr>
      <w:bookmarkStart w:id="3" w:name="_Toc70586857"/>
      <w:r>
        <w:rPr>
          <w:rStyle w:val="CharSectno"/>
        </w:rPr>
        <w:t>1</w:t>
      </w:r>
      <w:r>
        <w:t>.</w:t>
      </w:r>
      <w:r>
        <w:tab/>
        <w:t>Citation</w:t>
      </w:r>
      <w:bookmarkEnd w:id="3"/>
    </w:p>
    <w:p w:rsidR="00CC5B57" w:rsidRDefault="003B7717">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Racing Bets Levy Regulations 2009</w:t>
      </w:r>
      <w:r>
        <w:t>.</w:t>
      </w:r>
    </w:p>
    <w:p w:rsidR="00CC5B57" w:rsidRDefault="003B7717">
      <w:pPr>
        <w:pStyle w:val="Heading5"/>
        <w:rPr>
          <w:spacing w:val="-2"/>
        </w:rPr>
      </w:pPr>
      <w:bookmarkStart w:id="5" w:name="_Toc70586858"/>
      <w:r>
        <w:rPr>
          <w:rStyle w:val="CharSectno"/>
        </w:rPr>
        <w:t>2</w:t>
      </w:r>
      <w:r>
        <w:rPr>
          <w:spacing w:val="-2"/>
        </w:rPr>
        <w:t>.</w:t>
      </w:r>
      <w:r>
        <w:rPr>
          <w:spacing w:val="-2"/>
        </w:rPr>
        <w:tab/>
        <w:t>Commencement</w:t>
      </w:r>
      <w:bookmarkEnd w:id="5"/>
    </w:p>
    <w:p w:rsidR="00CC5B57" w:rsidRDefault="003B7717">
      <w:pPr>
        <w:pStyle w:val="Subsection"/>
      </w:pPr>
      <w:r>
        <w:tab/>
      </w:r>
      <w:r>
        <w:tab/>
        <w:t xml:space="preserve">These regulations come into operation as follows — </w:t>
      </w:r>
    </w:p>
    <w:p w:rsidR="00CC5B57" w:rsidRDefault="003B7717">
      <w:pPr>
        <w:pStyle w:val="Indenta"/>
      </w:pPr>
      <w:r>
        <w:tab/>
        <w:t>(a)</w:t>
      </w:r>
      <w:r>
        <w:tab/>
        <w:t xml:space="preserve">regulations 1 and 2 — on the day on which these regulations are published in the </w:t>
      </w:r>
      <w:r>
        <w:rPr>
          <w:i/>
          <w:iCs/>
        </w:rPr>
        <w:t>Gazette</w:t>
      </w:r>
      <w:r>
        <w:t>;</w:t>
      </w:r>
    </w:p>
    <w:p w:rsidR="00CC5B57" w:rsidRDefault="003B7717">
      <w:pPr>
        <w:pStyle w:val="Indenta"/>
      </w:pPr>
      <w:r>
        <w:tab/>
        <w:t>(b)</w:t>
      </w:r>
      <w:r>
        <w:tab/>
        <w:t>the rest of the regulations — on the day after that day.</w:t>
      </w:r>
    </w:p>
    <w:p w:rsidR="00CC5B57" w:rsidRDefault="003B7717">
      <w:pPr>
        <w:pStyle w:val="Heading5"/>
      </w:pPr>
      <w:bookmarkStart w:id="6" w:name="_Toc70586859"/>
      <w:r>
        <w:rPr>
          <w:rStyle w:val="CharSectno"/>
        </w:rPr>
        <w:t>3</w:t>
      </w:r>
      <w:r>
        <w:t>.</w:t>
      </w:r>
      <w:r>
        <w:tab/>
        <w:t>Terms used</w:t>
      </w:r>
      <w:bookmarkEnd w:id="6"/>
    </w:p>
    <w:p w:rsidR="00CC5B57" w:rsidRDefault="003B7717">
      <w:pPr>
        <w:pStyle w:val="Subsection"/>
      </w:pPr>
      <w:r>
        <w:tab/>
      </w:r>
      <w:r>
        <w:tab/>
        <w:t xml:space="preserve">In these regulations — </w:t>
      </w:r>
    </w:p>
    <w:p w:rsidR="00CC5B57" w:rsidRDefault="003B7717">
      <w:pPr>
        <w:pStyle w:val="Defstart"/>
      </w:pPr>
      <w:r>
        <w:tab/>
      </w:r>
      <w:r>
        <w:rPr>
          <w:rStyle w:val="CharDefText"/>
        </w:rPr>
        <w:t>betting exchange bet</w:t>
      </w:r>
      <w:r>
        <w:t xml:space="preserve"> means a bet of the type referred to in paragraph (b) of the definition of </w:t>
      </w:r>
      <w:r>
        <w:rPr>
          <w:b/>
          <w:i/>
        </w:rPr>
        <w:t>racing bet</w:t>
      </w:r>
      <w:r>
        <w:t>;</w:t>
      </w:r>
    </w:p>
    <w:p w:rsidR="00CC5B57" w:rsidRDefault="003B7717">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rsidR="00CC5B57" w:rsidRDefault="003B7717">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rsidR="00CC5B57" w:rsidRDefault="003B7717">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rsidR="00CC5B57" w:rsidRDefault="003B7717">
      <w:pPr>
        <w:pStyle w:val="Defstart"/>
      </w:pPr>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p>
    <w:p w:rsidR="00CC5B57" w:rsidRDefault="003B7717">
      <w:pPr>
        <w:pStyle w:val="Defstart"/>
      </w:pPr>
      <w:r>
        <w:lastRenderedPageBreak/>
        <w:tab/>
      </w:r>
      <w:r>
        <w:rPr>
          <w:rStyle w:val="CharDefText"/>
        </w:rPr>
        <w:t>premium race meeting</w:t>
      </w:r>
      <w:r>
        <w:t xml:space="preserve"> means a race meeting that includes at least one race in respect of which the total amount of the stakes paid (excluding trophies) is at least as follows — </w:t>
      </w:r>
    </w:p>
    <w:p w:rsidR="00CC5B57" w:rsidRDefault="003B7717">
      <w:pPr>
        <w:pStyle w:val="Defpara"/>
      </w:pPr>
      <w:r>
        <w:tab/>
        <w:t>(a)</w:t>
      </w:r>
      <w:r>
        <w:tab/>
        <w:t>in the case of a thoroughbred race meeting — $100 000;</w:t>
      </w:r>
    </w:p>
    <w:p w:rsidR="00CC5B57" w:rsidRDefault="003B7717">
      <w:pPr>
        <w:pStyle w:val="Defpara"/>
      </w:pPr>
      <w:r>
        <w:tab/>
        <w:t>(b)</w:t>
      </w:r>
      <w:r>
        <w:tab/>
        <w:t xml:space="preserve">in the case of a harness race meeting — </w:t>
      </w:r>
    </w:p>
    <w:p w:rsidR="00CC5B57" w:rsidRDefault="003B7717">
      <w:pPr>
        <w:pStyle w:val="Defsubpara"/>
      </w:pPr>
      <w:r>
        <w:tab/>
        <w:t>(i)</w:t>
      </w:r>
      <w:r>
        <w:tab/>
        <w:t>if the meeting occurs before 1 August 2018 — $50 000; or</w:t>
      </w:r>
    </w:p>
    <w:p w:rsidR="00CC5B57" w:rsidRDefault="003B7717">
      <w:pPr>
        <w:pStyle w:val="Defsubpara"/>
      </w:pPr>
      <w:r>
        <w:tab/>
        <w:t>(ii)</w:t>
      </w:r>
      <w:r>
        <w:tab/>
        <w:t>if the meeting occurs on or after 1 August 2018 — $30 000;</w:t>
      </w:r>
    </w:p>
    <w:p w:rsidR="00CC5B57" w:rsidRDefault="003B7717">
      <w:pPr>
        <w:pStyle w:val="Defpara"/>
      </w:pPr>
      <w:r>
        <w:tab/>
        <w:t>(c)</w:t>
      </w:r>
      <w:r>
        <w:tab/>
        <w:t>in the case of a greyhound race meeting — $30 000;</w:t>
      </w:r>
    </w:p>
    <w:p w:rsidR="00CC5B57" w:rsidRDefault="003B7717">
      <w:pPr>
        <w:pStyle w:val="Defstart"/>
      </w:pPr>
      <w:r>
        <w:tab/>
      </w:r>
      <w:r>
        <w:rPr>
          <w:rStyle w:val="CharDefText"/>
        </w:rPr>
        <w:t>premium thoroughbred racing season</w:t>
      </w:r>
      <w:r>
        <w:t xml:space="preserve"> means the period beginning on 1 November in any year and ending on 1 January in the next year;</w:t>
      </w:r>
    </w:p>
    <w:p w:rsidR="00CC5B57" w:rsidRDefault="003B7717">
      <w:pPr>
        <w:pStyle w:val="Defstart"/>
      </w:pPr>
      <w:r>
        <w:tab/>
      </w:r>
      <w:r>
        <w:rPr>
          <w:rStyle w:val="CharDefText"/>
        </w:rPr>
        <w:t>race meeting</w:t>
      </w:r>
      <w:r>
        <w:t xml:space="preserve"> has the meaning given in the </w:t>
      </w:r>
      <w:r>
        <w:rPr>
          <w:i/>
        </w:rPr>
        <w:t>Betting Control Act 1954</w:t>
      </w:r>
      <w:r>
        <w:t xml:space="preserve"> section 4(1);</w:t>
      </w:r>
    </w:p>
    <w:p w:rsidR="00CC5B57" w:rsidRDefault="003B7717">
      <w:pPr>
        <w:pStyle w:val="Defstart"/>
      </w:pPr>
      <w:r>
        <w:tab/>
      </w:r>
      <w:r>
        <w:rPr>
          <w:rStyle w:val="CharDefText"/>
        </w:rPr>
        <w:t>racing year</w:t>
      </w:r>
      <w:r>
        <w:t xml:space="preserve"> means the 12 months beginning on 1 August in any year and ending on 31 July in the next year;</w:t>
      </w:r>
    </w:p>
    <w:p w:rsidR="00CC5B57" w:rsidRDefault="003B7717">
      <w:pPr>
        <w:pStyle w:val="Defstart"/>
      </w:pPr>
      <w:r>
        <w:tab/>
      </w:r>
      <w:r>
        <w:rPr>
          <w:rStyle w:val="CharDefText"/>
        </w:rPr>
        <w:t>standard race meeting</w:t>
      </w:r>
      <w:r>
        <w:t xml:space="preserve"> means a race meeting that is not a premium race meeting;</w:t>
      </w:r>
    </w:p>
    <w:p w:rsidR="00CC5B57" w:rsidRDefault="003B7717">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rsidR="00CC5B57" w:rsidRDefault="003B7717">
      <w:pPr>
        <w:pStyle w:val="Defstart"/>
      </w:pPr>
      <w:r>
        <w:tab/>
      </w:r>
      <w:r>
        <w:rPr>
          <w:rStyle w:val="CharDefText"/>
        </w:rPr>
        <w:t>thoroughbred racing</w:t>
      </w:r>
      <w:r>
        <w:t xml:space="preserve"> has the meaning given in the </w:t>
      </w:r>
      <w:r>
        <w:rPr>
          <w:i/>
        </w:rPr>
        <w:t>Racing and Wagering Western Australia Act 2003</w:t>
      </w:r>
      <w:r>
        <w:t xml:space="preserve"> section 3(1).</w:t>
      </w:r>
    </w:p>
    <w:p w:rsidR="00CC5B57" w:rsidRDefault="003B7717">
      <w:pPr>
        <w:pStyle w:val="Footnotesection"/>
      </w:pPr>
      <w:r>
        <w:tab/>
        <w:t>[Regulation 3 inserted: Gazette 15 Feb 2013 p. 957-8; amended: Gazette 9 Sep 2014 p. 3241; 6 Jul 2018 p. 2543.]</w:t>
      </w:r>
    </w:p>
    <w:p w:rsidR="00CC5B57" w:rsidRDefault="003B7717">
      <w:pPr>
        <w:pStyle w:val="Heading5"/>
      </w:pPr>
      <w:bookmarkStart w:id="7" w:name="_Toc70586860"/>
      <w:r>
        <w:rPr>
          <w:rStyle w:val="CharSectno"/>
        </w:rPr>
        <w:t>4</w:t>
      </w:r>
      <w:r>
        <w:t>.</w:t>
      </w:r>
      <w:r>
        <w:tab/>
        <w:t>Levy amount: bets placed or accepted before 1 October 2014</w:t>
      </w:r>
      <w:bookmarkEnd w:id="7"/>
    </w:p>
    <w:p w:rsidR="00CC5B57" w:rsidRDefault="003B7717">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rsidR="00CC5B57" w:rsidRDefault="003B7717">
      <w:pPr>
        <w:pStyle w:val="Indenta"/>
      </w:pPr>
      <w:r>
        <w:tab/>
        <w:t>(a)</w:t>
      </w:r>
      <w:r>
        <w:tab/>
        <w:t>1.5% of turnover for each month beginning with September 2008; or</w:t>
      </w:r>
    </w:p>
    <w:p w:rsidR="00CC5B57" w:rsidRDefault="003B7717">
      <w:pPr>
        <w:pStyle w:val="Indenta"/>
      </w:pPr>
      <w:r>
        <w:lastRenderedPageBreak/>
        <w:tab/>
        <w:t>(b)</w:t>
      </w:r>
      <w:r>
        <w:tab/>
        <w:t>either 20% of gross revenue for each month or 0.2% of turnover for each month beginning with September 2008, whichever is the greater, or if the amounts are equal, that amount.</w:t>
      </w:r>
    </w:p>
    <w:p w:rsidR="00CC5B57" w:rsidRDefault="003B7717">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rsidR="00CC5B57" w:rsidRDefault="003B7717">
      <w:pPr>
        <w:pStyle w:val="Indenta"/>
      </w:pPr>
      <w:r>
        <w:tab/>
        <w:t>(a)</w:t>
      </w:r>
      <w:r>
        <w:tab/>
        <w:t>in the case of racing bets placed or accepted on thoroughbred racing occurring during the premium thoroughbred racing season, 2% of turnover for each month beginning with November 2012;</w:t>
      </w:r>
    </w:p>
    <w:p w:rsidR="00CC5B57" w:rsidRDefault="003B7717">
      <w:pPr>
        <w:pStyle w:val="Indenta"/>
      </w:pPr>
      <w:r>
        <w:tab/>
        <w:t>(b)</w:t>
      </w:r>
      <w:r>
        <w:tab/>
        <w:t>in the case of all other racing bets, 1.5% of turnover for each month beginning with November 2012.</w:t>
      </w:r>
    </w:p>
    <w:p w:rsidR="00CC5B57" w:rsidRDefault="003B7717">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rsidR="00CC5B57" w:rsidRDefault="003B7717">
      <w:pPr>
        <w:pStyle w:val="Indenta"/>
      </w:pPr>
      <w:r>
        <w:tab/>
        <w:t>(a)</w:t>
      </w:r>
      <w:r>
        <w:tab/>
        <w:t>1% of turnover for each month beginning with April 2013, unless paragraph (b) applies;</w:t>
      </w:r>
    </w:p>
    <w:p w:rsidR="00CC5B57" w:rsidRDefault="003B7717">
      <w:pPr>
        <w:pStyle w:val="Indenta"/>
      </w:pPr>
      <w:r>
        <w:tab/>
        <w:t>(b)</w:t>
      </w:r>
      <w:r>
        <w:tab/>
        <w:t>if turnover reaches $833 333, calculated from the 1 April 2013, 1.5% of turnover for each month, or part of a month, after turnover reaches $833 333,</w:t>
      </w:r>
    </w:p>
    <w:p w:rsidR="00CC5B57" w:rsidRDefault="003B7717">
      <w:pPr>
        <w:pStyle w:val="Subsection"/>
      </w:pPr>
      <w:r>
        <w:tab/>
      </w:r>
      <w:r>
        <w:tab/>
        <w:t>but no amount by way of levy is to be paid for any month during which turnover does not reach $1 000.</w:t>
      </w:r>
    </w:p>
    <w:p w:rsidR="00CC5B57" w:rsidRDefault="003B7717">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follows — </w:t>
      </w:r>
    </w:p>
    <w:p w:rsidR="00CC5B57" w:rsidRDefault="003B7717">
      <w:pPr>
        <w:pStyle w:val="Indenta"/>
      </w:pPr>
      <w:r>
        <w:tab/>
        <w:t>(a)</w:t>
      </w:r>
      <w:r>
        <w:tab/>
        <w:t>1% of turnover for each month beginning with August 2013, unless paragraph (b) applies;</w:t>
      </w:r>
    </w:p>
    <w:p w:rsidR="00CC5B57" w:rsidRDefault="003B7717">
      <w:pPr>
        <w:pStyle w:val="Indenta"/>
        <w:keepNext/>
      </w:pPr>
      <w:r>
        <w:lastRenderedPageBreak/>
        <w:tab/>
        <w:t>(b)</w:t>
      </w:r>
      <w:r>
        <w:tab/>
        <w:t xml:space="preserve">if turnover reaches $2 500 000, calculated from the beginning of the racing year — </w:t>
      </w:r>
    </w:p>
    <w:p w:rsidR="00CC5B57" w:rsidRDefault="003B7717">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rsidR="00CC5B57" w:rsidRDefault="003B7717">
      <w:pPr>
        <w:pStyle w:val="Indenti"/>
      </w:pPr>
      <w:r>
        <w:tab/>
        <w:t>(ii)</w:t>
      </w:r>
      <w:r>
        <w:tab/>
        <w:t>in the case of all other racing bets, 1.5% of turnover for each month, or part of a month, after turnover reaches $2 500 000,</w:t>
      </w:r>
    </w:p>
    <w:p w:rsidR="00CC5B57" w:rsidRDefault="003B7717">
      <w:pPr>
        <w:pStyle w:val="Subsection"/>
      </w:pPr>
      <w:r>
        <w:tab/>
      </w:r>
      <w:r>
        <w:tab/>
        <w:t>but no amount by way of levy is to be paid for any month during which turnover does not reach $1 000.</w:t>
      </w:r>
    </w:p>
    <w:p w:rsidR="00CC5B57" w:rsidRDefault="003B7717">
      <w:pPr>
        <w:pStyle w:val="Footnotesection"/>
      </w:pPr>
      <w:r>
        <w:tab/>
        <w:t>[Regulation 4 amended: Gazette 12 Oct 2012 p. 4851</w:t>
      </w:r>
      <w:r>
        <w:noBreakHyphen/>
        <w:t>2; 15 Feb 2013 p. 958-9; 9 Sep 2014 p. 3241.]</w:t>
      </w:r>
    </w:p>
    <w:p w:rsidR="00CC5B57" w:rsidRDefault="003B7717">
      <w:pPr>
        <w:pStyle w:val="Heading5"/>
      </w:pPr>
      <w:bookmarkStart w:id="8" w:name="_Toc70586861"/>
      <w:r>
        <w:rPr>
          <w:rStyle w:val="CharSectno"/>
        </w:rPr>
        <w:t>5</w:t>
      </w:r>
      <w:r>
        <w:t>.</w:t>
      </w:r>
      <w:r>
        <w:tab/>
        <w:t>Levy amount: bets placed or accepted on or after 1 October 2014 but before 1 August 2018</w:t>
      </w:r>
      <w:bookmarkEnd w:id="8"/>
    </w:p>
    <w:p w:rsidR="00CC5B57" w:rsidRDefault="003B7717">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but before 1 August 2018 is set out in this regulation.</w:t>
      </w:r>
    </w:p>
    <w:p w:rsidR="00CC5B57" w:rsidRDefault="003B7717">
      <w:pPr>
        <w:pStyle w:val="Subsection"/>
      </w:pPr>
      <w:r>
        <w:tab/>
        <w:t>(2)</w:t>
      </w:r>
      <w:r>
        <w:tab/>
        <w:t>The amount is 1% of turnover for each month beginning with October 2014 unless subregulation (3) or (4) applies.</w:t>
      </w:r>
    </w:p>
    <w:p w:rsidR="00CC5B57" w:rsidRDefault="003B7717">
      <w:pPr>
        <w:pStyle w:val="Subsection"/>
      </w:pPr>
      <w:r>
        <w:tab/>
        <w:t>(3)</w:t>
      </w:r>
      <w:r>
        <w:tab/>
        <w:t xml:space="preserve">If turnover (calculated from the beginning of the racing year) reaches $3 000 000, the amount is as follows — </w:t>
      </w:r>
    </w:p>
    <w:p w:rsidR="00CC5B57" w:rsidRDefault="003B7717">
      <w:pPr>
        <w:pStyle w:val="Indenta"/>
      </w:pPr>
      <w:r>
        <w:tab/>
        <w:t>(a)</w:t>
      </w:r>
      <w:r>
        <w:tab/>
        <w:t>in the case of pari</w:t>
      </w:r>
      <w:r>
        <w:noBreakHyphen/>
        <w:t>mutuel bets placed or accepted on premium race meetings — 2.5% of turnover for each month, or part of a month, after turnover reaches $3 000 000;</w:t>
      </w:r>
    </w:p>
    <w:p w:rsidR="00CC5B57" w:rsidRDefault="003B7717">
      <w:pPr>
        <w:pStyle w:val="Indenta"/>
      </w:pPr>
      <w:r>
        <w:tab/>
        <w:t>(b)</w:t>
      </w:r>
      <w:r>
        <w:tab/>
        <w:t>in the case of pari</w:t>
      </w:r>
      <w:r>
        <w:noBreakHyphen/>
        <w:t>mutuel bets placed or accepted on standard race meetings — 1.5% of turnover for each month, or part of a month, after turnover reaches $3 000 000;</w:t>
      </w:r>
    </w:p>
    <w:p w:rsidR="00CC5B57" w:rsidRDefault="003B7717">
      <w:pPr>
        <w:pStyle w:val="Indenta"/>
      </w:pPr>
      <w:r>
        <w:lastRenderedPageBreak/>
        <w:tab/>
        <w:t>(c)</w:t>
      </w:r>
      <w:r>
        <w:tab/>
        <w:t>in the case of betting exchange bets placed or accepted on premium race meetings — 2.5% of turnover for each month, or part of a month, after turnover reaches $3 000 000;</w:t>
      </w:r>
    </w:p>
    <w:p w:rsidR="00CC5B57" w:rsidRDefault="003B7717">
      <w:pPr>
        <w:pStyle w:val="Indenta"/>
      </w:pPr>
      <w:r>
        <w:tab/>
        <w:t>(d)</w:t>
      </w:r>
      <w:r>
        <w:tab/>
        <w:t>in the case of betting exchange bets placed or accepted on standard race meetings — 1.5% of turnover for each month, or part of a month, after turnover reaches $3 000 000;</w:t>
      </w:r>
    </w:p>
    <w:p w:rsidR="00CC5B57" w:rsidRDefault="003B7717">
      <w:pPr>
        <w:pStyle w:val="Indenta"/>
      </w:pPr>
      <w:r>
        <w:tab/>
        <w:t>(e)</w:t>
      </w:r>
      <w:r>
        <w:tab/>
        <w:t>in the case of non</w:t>
      </w:r>
      <w:r>
        <w:noBreakHyphen/>
        <w:t>exchange fixed odds bets placed or accepted on premium race meetings — 3% of turnover for each month, or part of a month, after turnover reaches $3 000 000;</w:t>
      </w:r>
    </w:p>
    <w:p w:rsidR="00CC5B57" w:rsidRDefault="003B7717">
      <w:pPr>
        <w:pStyle w:val="Indenta"/>
      </w:pPr>
      <w:r>
        <w:tab/>
        <w:t>(f)</w:t>
      </w:r>
      <w:r>
        <w:tab/>
        <w:t>in the case of non</w:t>
      </w:r>
      <w:r>
        <w:noBreakHyphen/>
        <w:t>exchange fixed odds bets placed or accepted on standard race meetings — 2% of turnover for each month, or part of a month, after turnover reaches $3 000 000.</w:t>
      </w:r>
    </w:p>
    <w:p w:rsidR="00CC5B57" w:rsidRDefault="003B7717">
      <w:pPr>
        <w:pStyle w:val="Subsection"/>
      </w:pPr>
      <w:r>
        <w:tab/>
        <w:t>(4)</w:t>
      </w:r>
      <w:r>
        <w:tab/>
        <w:t>No amount is payable for any month during which turnover does not reach $1 000.</w:t>
      </w:r>
    </w:p>
    <w:p w:rsidR="00CC5B57" w:rsidRDefault="003B7717">
      <w:pPr>
        <w:pStyle w:val="Footnotesection"/>
      </w:pPr>
      <w:r>
        <w:tab/>
        <w:t>[Regulation 5 inserted: Gazette 9 Sep 2014 p. 3242; amended: Gazette 6 Jul 2018 p. 2543.]</w:t>
      </w:r>
    </w:p>
    <w:p w:rsidR="00CC5B57" w:rsidRDefault="003B7717">
      <w:pPr>
        <w:pStyle w:val="Heading5"/>
      </w:pPr>
      <w:bookmarkStart w:id="9" w:name="_Toc70586862"/>
      <w:r>
        <w:rPr>
          <w:rStyle w:val="CharSectno"/>
        </w:rPr>
        <w:t>6</w:t>
      </w:r>
      <w:r>
        <w:t>.</w:t>
      </w:r>
      <w:r>
        <w:tab/>
      </w:r>
      <w:r w:rsidR="00B54563">
        <w:t>Levy amount: bets (other than certain betting exchange bets) placed or accepted on or after 1 August 2018</w:t>
      </w:r>
      <w:bookmarkEnd w:id="9"/>
    </w:p>
    <w:p w:rsidR="005B572E" w:rsidRDefault="005B572E" w:rsidP="005B572E">
      <w:pPr>
        <w:pStyle w:val="Subsection"/>
      </w:pPr>
      <w:r>
        <w:tab/>
        <w:t>(1A)</w:t>
      </w:r>
      <w:r>
        <w:tab/>
        <w:t>This regulation does not apply in respect of betting exchange bets placed or accepted on a race meeting occurring on or after 1 May 2021.</w:t>
      </w:r>
    </w:p>
    <w:p w:rsidR="00CC5B57" w:rsidRDefault="003B7717">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August 2018 is set out in this regulation.</w:t>
      </w:r>
    </w:p>
    <w:p w:rsidR="00CC5B57" w:rsidRDefault="003B7717">
      <w:pPr>
        <w:pStyle w:val="Subsection"/>
      </w:pPr>
      <w:r>
        <w:tab/>
        <w:t>(2)</w:t>
      </w:r>
      <w:r>
        <w:tab/>
        <w:t>The amount is 1% of turnover for each month beginning with August 2018 unless subregulation (3) or (6) applies.</w:t>
      </w:r>
    </w:p>
    <w:p w:rsidR="00CC5B57" w:rsidRDefault="003B7717">
      <w:pPr>
        <w:pStyle w:val="Subsection"/>
      </w:pPr>
      <w:r>
        <w:lastRenderedPageBreak/>
        <w:tab/>
        <w:t>(3)</w:t>
      </w:r>
      <w:r>
        <w:tab/>
        <w:t xml:space="preserve">If turnover (calculated from the beginning of the racing year) reaches $3 000 000, the amount is as follows — </w:t>
      </w:r>
    </w:p>
    <w:p w:rsidR="00CC5B57" w:rsidRDefault="003B7717">
      <w:pPr>
        <w:pStyle w:val="Indenta"/>
      </w:pPr>
      <w:r>
        <w:tab/>
        <w:t>(a)</w:t>
      </w:r>
      <w:r>
        <w:tab/>
        <w:t>in the case of pari</w:t>
      </w:r>
      <w:r>
        <w:noBreakHyphen/>
        <w:t>mutuel bets placed or accepted on premium race meetings — 2.5% of turnover for each month, or part of a month, after turnover reaches $3 000 000;</w:t>
      </w:r>
    </w:p>
    <w:p w:rsidR="00CC5B57" w:rsidRDefault="003B7717">
      <w:pPr>
        <w:pStyle w:val="Indenta"/>
      </w:pPr>
      <w:r>
        <w:tab/>
        <w:t>(b)</w:t>
      </w:r>
      <w:r>
        <w:tab/>
        <w:t>in the case of pari</w:t>
      </w:r>
      <w:r>
        <w:noBreakHyphen/>
        <w:t>mutuel bets placed or accepted on standard race meetings — 2% of turnover for each month, or part of a month, after turnover reaches $3 000 000;</w:t>
      </w:r>
    </w:p>
    <w:p w:rsidR="00CC5B57" w:rsidRDefault="003B7717">
      <w:pPr>
        <w:pStyle w:val="Indenta"/>
      </w:pPr>
      <w:r>
        <w:tab/>
        <w:t>(c)</w:t>
      </w:r>
      <w:r>
        <w:tab/>
        <w:t>in the case of betting exchange bets placed or accepted on premium race meetings — 2.5% of turnover for each month, or part of a month, after turnover reaches $3 000 000;</w:t>
      </w:r>
    </w:p>
    <w:p w:rsidR="00CC5B57" w:rsidRDefault="003B7717">
      <w:pPr>
        <w:pStyle w:val="Indenta"/>
      </w:pPr>
      <w:r>
        <w:tab/>
        <w:t>(d)</w:t>
      </w:r>
      <w:r>
        <w:tab/>
        <w:t>in the case of betting exchange bets placed or accepted on standard race meetings — 1.5% of turnover for each month, or part of a month, after turnover reaches $3 000 000;</w:t>
      </w:r>
    </w:p>
    <w:p w:rsidR="00CC5B57" w:rsidRDefault="003B7717">
      <w:pPr>
        <w:pStyle w:val="Indenta"/>
      </w:pPr>
      <w:r>
        <w:tab/>
        <w:t>(e)</w:t>
      </w:r>
      <w:r>
        <w:tab/>
        <w:t>in the case of non</w:t>
      </w:r>
      <w:r>
        <w:noBreakHyphen/>
        <w:t>exchange fixed odds bets placed or accepted on premium race meetings — for each month, or part of a month, after turnover reaches $3 000 000, the aggregate of the race meeting amounts calculated under subregulation (4), for the betting operator, in respect of premium race meetings occurring in the month or the part of the month;</w:t>
      </w:r>
    </w:p>
    <w:p w:rsidR="00CC5B57" w:rsidRDefault="003B7717">
      <w:pPr>
        <w:pStyle w:val="Indenta"/>
      </w:pPr>
      <w:r>
        <w:tab/>
        <w:t>(f)</w:t>
      </w:r>
      <w:r>
        <w:tab/>
        <w:t>in the case of non</w:t>
      </w:r>
      <w:r>
        <w:noBreakHyphen/>
        <w:t>exchange fixed odds bets placed or accepted on standard race meetings — for each month, or part of a month, after turnover reaches $3 000 000, the aggregate of the race meeting amounts calculated under subregulation (5), for the betting operator, in respect of standard race meetings occurring in the month or the part of the month.</w:t>
      </w:r>
    </w:p>
    <w:p w:rsidR="00CC5B57" w:rsidRDefault="003B7717">
      <w:pPr>
        <w:pStyle w:val="Subsection"/>
        <w:keepNext/>
      </w:pPr>
      <w:r>
        <w:lastRenderedPageBreak/>
        <w:tab/>
        <w:t>(4)</w:t>
      </w:r>
      <w:r>
        <w:tab/>
        <w:t xml:space="preserve">For the purposes of subregulation (3)(e), the race meeting amount for a betting operator in respect of a premium race meeting is the greater of the following amounts — </w:t>
      </w:r>
    </w:p>
    <w:p w:rsidR="00CC5B57" w:rsidRDefault="003B7717">
      <w:pPr>
        <w:pStyle w:val="Indenta"/>
      </w:pPr>
      <w:r>
        <w:tab/>
        <w:t>(a)</w:t>
      </w:r>
      <w:r>
        <w:tab/>
        <w:t>22.7% of the betting operator’s gross revenue in relation to non</w:t>
      </w:r>
      <w:r>
        <w:noBreakHyphen/>
        <w:t xml:space="preserve">exchange fixed odds bets placed or accepted on the race meeting; </w:t>
      </w:r>
    </w:p>
    <w:p w:rsidR="00CC5B57" w:rsidRDefault="003B7717">
      <w:pPr>
        <w:pStyle w:val="Indenta"/>
      </w:pPr>
      <w:r>
        <w:tab/>
        <w:t>(b)</w:t>
      </w:r>
      <w:r>
        <w:tab/>
        <w:t>2.5% of the betting operator’s turnover in relation to non</w:t>
      </w:r>
      <w:r>
        <w:noBreakHyphen/>
        <w:t>exchange fixed odds bets placed or accepted on the race meeting.</w:t>
      </w:r>
    </w:p>
    <w:p w:rsidR="00CC5B57" w:rsidRDefault="003B7717">
      <w:pPr>
        <w:pStyle w:val="Subsection"/>
      </w:pPr>
      <w:r>
        <w:tab/>
        <w:t>(5)</w:t>
      </w:r>
      <w:r>
        <w:tab/>
        <w:t xml:space="preserve">For the purposes of subregulation (3)(f), the race meeting amount for a betting operator in respect of a standard race meeting is the greater of the following amounts — </w:t>
      </w:r>
    </w:p>
    <w:p w:rsidR="00CC5B57" w:rsidRDefault="003B7717">
      <w:pPr>
        <w:pStyle w:val="Indenta"/>
      </w:pPr>
      <w:r>
        <w:tab/>
        <w:t>(a)</w:t>
      </w:r>
      <w:r>
        <w:tab/>
        <w:t>13.6% of the betting operator’s gross revenue in relation to non</w:t>
      </w:r>
      <w:r>
        <w:noBreakHyphen/>
        <w:t>exchange fixed odds bets placed or accepted on the race meeting;</w:t>
      </w:r>
    </w:p>
    <w:p w:rsidR="00CC5B57" w:rsidRDefault="003B7717">
      <w:pPr>
        <w:pStyle w:val="Indenta"/>
      </w:pPr>
      <w:r>
        <w:tab/>
        <w:t>(b)</w:t>
      </w:r>
      <w:r>
        <w:tab/>
        <w:t>2% of the betting operator’s turnover in relation to non</w:t>
      </w:r>
      <w:r>
        <w:noBreakHyphen/>
        <w:t xml:space="preserve">exchange fixed odds bets placed or accepted on the race meeting. </w:t>
      </w:r>
    </w:p>
    <w:p w:rsidR="00CC5B57" w:rsidRDefault="003B7717">
      <w:pPr>
        <w:pStyle w:val="Subsection"/>
      </w:pPr>
      <w:r>
        <w:tab/>
        <w:t>(6)</w:t>
      </w:r>
      <w:r>
        <w:tab/>
        <w:t>No amount is payable for any month during which turnover does not reach $1 000.</w:t>
      </w:r>
    </w:p>
    <w:p w:rsidR="00CC5B57" w:rsidRDefault="003B7717">
      <w:pPr>
        <w:pStyle w:val="Footnotesection"/>
      </w:pPr>
      <w:r>
        <w:tab/>
        <w:t>[Regulation 6 inserted: Gazette 6 Jul 2018 p. 2543</w:t>
      </w:r>
      <w:r>
        <w:noBreakHyphen/>
        <w:t>4</w:t>
      </w:r>
      <w:r w:rsidR="00534247">
        <w:t>; amended: SL 2021/39 r. 4</w:t>
      </w:r>
      <w:r>
        <w:t>.]</w:t>
      </w:r>
    </w:p>
    <w:p w:rsidR="00534247" w:rsidRDefault="00534247" w:rsidP="00534247">
      <w:pPr>
        <w:pStyle w:val="Heading5"/>
      </w:pPr>
      <w:bookmarkStart w:id="10" w:name="_Toc70586863"/>
      <w:r w:rsidRPr="00417807">
        <w:rPr>
          <w:rStyle w:val="CharSectno"/>
        </w:rPr>
        <w:t>7</w:t>
      </w:r>
      <w:r>
        <w:t>.</w:t>
      </w:r>
      <w:r>
        <w:tab/>
        <w:t>Levy amount: betting exchange bets placed or accepted on or after 1 May 2021</w:t>
      </w:r>
      <w:bookmarkEnd w:id="10"/>
    </w:p>
    <w:p w:rsidR="00534247" w:rsidRDefault="00534247" w:rsidP="00534247">
      <w:pPr>
        <w:pStyle w:val="Subsection"/>
      </w:pPr>
      <w:r>
        <w:tab/>
        <w:t>(1)</w:t>
      </w:r>
      <w:r>
        <w:tab/>
        <w:t xml:space="preserve">The amount by way of levy to be paid under the </w:t>
      </w:r>
      <w:r w:rsidRPr="00885E04">
        <w:rPr>
          <w:i/>
        </w:rPr>
        <w:t>Betting Control Act 1954</w:t>
      </w:r>
      <w:r>
        <w:t xml:space="preserve"> </w:t>
      </w:r>
      <w:r w:rsidRPr="006629FF">
        <w:t>section</w:t>
      </w:r>
      <w:r>
        <w:t xml:space="preserve"> 14A(2) by a betting operator in respect of betting exchange bets placed or accepted on a race meeting occurring on or after 1 May 2021 is set out in this regulation.</w:t>
      </w:r>
    </w:p>
    <w:p w:rsidR="00534247" w:rsidRDefault="00534247" w:rsidP="00534247">
      <w:pPr>
        <w:pStyle w:val="Subsection"/>
      </w:pPr>
      <w:r>
        <w:tab/>
        <w:t>(2)</w:t>
      </w:r>
      <w:r>
        <w:tab/>
        <w:t>The amount is 1% of turnover for each month beginning with May 2021 unless subregulation (3) or (4) applies.</w:t>
      </w:r>
    </w:p>
    <w:p w:rsidR="00534247" w:rsidRDefault="00534247" w:rsidP="00534247">
      <w:pPr>
        <w:pStyle w:val="Subsection"/>
      </w:pPr>
      <w:r>
        <w:tab/>
        <w:t>(3)</w:t>
      </w:r>
      <w:r>
        <w:tab/>
        <w:t xml:space="preserve">If turnover (calculated from the beginning of the racing year) reaches $3 000 000, the amount is 31.8% of gross revenue for </w:t>
      </w:r>
      <w:r>
        <w:lastRenderedPageBreak/>
        <w:t>each month, or part of a month, after turnover reaches $3 000 000.</w:t>
      </w:r>
    </w:p>
    <w:p w:rsidR="00534247" w:rsidRDefault="00534247" w:rsidP="00534247">
      <w:pPr>
        <w:pStyle w:val="Subsection"/>
      </w:pPr>
      <w:r>
        <w:tab/>
        <w:t>(4)</w:t>
      </w:r>
      <w:r>
        <w:tab/>
        <w:t>No amount is payable for any month during which turnover does not reach $1 000.</w:t>
      </w:r>
    </w:p>
    <w:p w:rsidR="006339C0" w:rsidRDefault="006339C0" w:rsidP="006339C0">
      <w:pPr>
        <w:pStyle w:val="Footnotesection"/>
      </w:pPr>
      <w:r>
        <w:tab/>
        <w:t>[Regulation 7 inserted: SL 2021/39 r. 5.]</w:t>
      </w:r>
    </w:p>
    <w:p w:rsidR="0044392F" w:rsidRDefault="0044392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CC5B57" w:rsidRDefault="00CC5B57">
      <w:pPr>
        <w:sectPr w:rsidR="00CC5B57">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CC5B57" w:rsidRDefault="003B7717">
      <w:pPr>
        <w:pStyle w:val="nHeading2"/>
      </w:pPr>
      <w:bookmarkStart w:id="11" w:name="_Toc70514295"/>
      <w:bookmarkStart w:id="12" w:name="_Toc70517311"/>
      <w:bookmarkStart w:id="13" w:name="_Toc70586864"/>
      <w:r>
        <w:lastRenderedPageBreak/>
        <w:t>Notes</w:t>
      </w:r>
      <w:bookmarkEnd w:id="11"/>
      <w:bookmarkEnd w:id="12"/>
      <w:bookmarkEnd w:id="13"/>
    </w:p>
    <w:p w:rsidR="00B91696" w:rsidRDefault="00B91696">
      <w:pPr>
        <w:pStyle w:val="nStatement"/>
      </w:pPr>
      <w:r>
        <w:t xml:space="preserve">This is a compilation of the </w:t>
      </w:r>
      <w:r>
        <w:rPr>
          <w:i/>
          <w:noProof/>
        </w:rPr>
        <w:t>Racing Bets Levy Regulations 2009</w:t>
      </w:r>
      <w:r>
        <w:t xml:space="preserve"> and includes amendments made by other written laws. For provisions that have come into operation see the compilation table.</w:t>
      </w:r>
    </w:p>
    <w:p w:rsidR="00CC5B57" w:rsidRDefault="003B7717">
      <w:pPr>
        <w:pStyle w:val="nHeading3"/>
      </w:pPr>
      <w:bookmarkStart w:id="14" w:name="_Toc70586865"/>
      <w:r>
        <w:t>Compilation table</w:t>
      </w:r>
      <w:bookmarkEnd w:id="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C5B57">
        <w:trPr>
          <w:tblHeader/>
        </w:trPr>
        <w:tc>
          <w:tcPr>
            <w:tcW w:w="3118" w:type="dxa"/>
          </w:tcPr>
          <w:p w:rsidR="00CC5B57" w:rsidRDefault="003B7717">
            <w:pPr>
              <w:pStyle w:val="nTable"/>
              <w:spacing w:after="40"/>
              <w:rPr>
                <w:b/>
              </w:rPr>
            </w:pPr>
            <w:r>
              <w:rPr>
                <w:b/>
              </w:rPr>
              <w:t>Citation</w:t>
            </w:r>
          </w:p>
        </w:tc>
        <w:tc>
          <w:tcPr>
            <w:tcW w:w="1276" w:type="dxa"/>
          </w:tcPr>
          <w:p w:rsidR="00CC5B57" w:rsidRDefault="003B7717">
            <w:pPr>
              <w:pStyle w:val="nTable"/>
              <w:spacing w:after="40"/>
              <w:rPr>
                <w:b/>
              </w:rPr>
            </w:pPr>
            <w:r>
              <w:rPr>
                <w:b/>
              </w:rPr>
              <w:t>Published</w:t>
            </w:r>
          </w:p>
        </w:tc>
        <w:tc>
          <w:tcPr>
            <w:tcW w:w="2693" w:type="dxa"/>
          </w:tcPr>
          <w:p w:rsidR="00CC5B57" w:rsidRDefault="003B7717">
            <w:pPr>
              <w:pStyle w:val="nTable"/>
              <w:spacing w:after="40"/>
              <w:rPr>
                <w:b/>
              </w:rPr>
            </w:pPr>
            <w:r>
              <w:rPr>
                <w:b/>
              </w:rPr>
              <w:t>Commencement</w:t>
            </w:r>
          </w:p>
        </w:tc>
      </w:tr>
      <w:tr w:rsidR="00CC5B57">
        <w:tc>
          <w:tcPr>
            <w:tcW w:w="3118" w:type="dxa"/>
            <w:tcBorders>
              <w:top w:val="single" w:sz="4" w:space="0" w:color="auto"/>
              <w:bottom w:val="nil"/>
            </w:tcBorders>
          </w:tcPr>
          <w:p w:rsidR="00CC5B57" w:rsidRDefault="003B7717">
            <w:pPr>
              <w:pStyle w:val="nTable"/>
              <w:spacing w:after="40"/>
            </w:pPr>
            <w:r>
              <w:rPr>
                <w:i/>
              </w:rPr>
              <w:t>Racing Bets Levy Regulations 2009</w:t>
            </w:r>
          </w:p>
        </w:tc>
        <w:tc>
          <w:tcPr>
            <w:tcW w:w="1276" w:type="dxa"/>
            <w:tcBorders>
              <w:top w:val="single" w:sz="4" w:space="0" w:color="auto"/>
              <w:bottom w:val="nil"/>
            </w:tcBorders>
          </w:tcPr>
          <w:p w:rsidR="00CC5B57" w:rsidRDefault="003B7717">
            <w:pPr>
              <w:pStyle w:val="nTable"/>
              <w:spacing w:after="40"/>
            </w:pPr>
            <w:r>
              <w:t>8 Jan 2010 p. 27</w:t>
            </w:r>
            <w:r>
              <w:noBreakHyphen/>
              <w:t>8</w:t>
            </w:r>
          </w:p>
        </w:tc>
        <w:tc>
          <w:tcPr>
            <w:tcW w:w="2693" w:type="dxa"/>
            <w:tcBorders>
              <w:top w:val="single" w:sz="4" w:space="0" w:color="auto"/>
              <w:bottom w:val="nil"/>
            </w:tcBorders>
          </w:tcPr>
          <w:p w:rsidR="00CC5B57" w:rsidRDefault="003B7717">
            <w:pPr>
              <w:pStyle w:val="nTable"/>
              <w:spacing w:after="40"/>
            </w:pPr>
            <w:r>
              <w:rPr>
                <w:snapToGrid w:val="0"/>
              </w:rPr>
              <w:t>r. 1 and 2: 8 Jan 2010 (see r. 2(a));</w:t>
            </w:r>
            <w:r>
              <w:rPr>
                <w:snapToGrid w:val="0"/>
              </w:rPr>
              <w:br/>
              <w:t>Regulations other than r. 1 and 2: 9 Jan 2010 (see r. 2(b))</w:t>
            </w:r>
          </w:p>
        </w:tc>
      </w:tr>
      <w:tr w:rsidR="00CC5B57">
        <w:tc>
          <w:tcPr>
            <w:tcW w:w="3118" w:type="dxa"/>
            <w:tcBorders>
              <w:top w:val="nil"/>
              <w:bottom w:val="nil"/>
            </w:tcBorders>
          </w:tcPr>
          <w:p w:rsidR="00CC5B57" w:rsidRDefault="003B7717">
            <w:pPr>
              <w:pStyle w:val="nTable"/>
              <w:spacing w:after="40"/>
              <w:rPr>
                <w:i/>
              </w:rPr>
            </w:pPr>
            <w:r>
              <w:rPr>
                <w:i/>
              </w:rPr>
              <w:t>Racing Bets Levy Amendment Regulations 2012</w:t>
            </w:r>
          </w:p>
        </w:tc>
        <w:tc>
          <w:tcPr>
            <w:tcW w:w="1276" w:type="dxa"/>
            <w:tcBorders>
              <w:top w:val="nil"/>
              <w:bottom w:val="nil"/>
            </w:tcBorders>
          </w:tcPr>
          <w:p w:rsidR="00CC5B57" w:rsidRDefault="003B7717">
            <w:pPr>
              <w:pStyle w:val="nTable"/>
              <w:spacing w:after="40"/>
            </w:pPr>
            <w:r>
              <w:t>12 Oct 2012 p. 4851</w:t>
            </w:r>
            <w:r>
              <w:noBreakHyphen/>
              <w:t>2</w:t>
            </w:r>
          </w:p>
        </w:tc>
        <w:tc>
          <w:tcPr>
            <w:tcW w:w="2693" w:type="dxa"/>
            <w:tcBorders>
              <w:top w:val="nil"/>
              <w:bottom w:val="nil"/>
            </w:tcBorders>
          </w:tcPr>
          <w:p w:rsidR="00CC5B57" w:rsidRDefault="003B7717">
            <w:pPr>
              <w:pStyle w:val="nTable"/>
              <w:spacing w:after="40"/>
              <w:rPr>
                <w:snapToGrid w:val="0"/>
              </w:rPr>
            </w:pPr>
            <w:r>
              <w:rPr>
                <w:snapToGrid w:val="0"/>
              </w:rPr>
              <w:t>r. 1 and 2: 12 Oct 2012 (see r. 2(a));</w:t>
            </w:r>
            <w:r>
              <w:rPr>
                <w:snapToGrid w:val="0"/>
              </w:rPr>
              <w:br/>
              <w:t>Regulations other than r. 1 and 2: 13 Oct 2012 (see r. 2(b))</w:t>
            </w:r>
          </w:p>
        </w:tc>
      </w:tr>
      <w:tr w:rsidR="00CC5B57">
        <w:tc>
          <w:tcPr>
            <w:tcW w:w="3118" w:type="dxa"/>
            <w:tcBorders>
              <w:top w:val="nil"/>
              <w:bottom w:val="nil"/>
            </w:tcBorders>
          </w:tcPr>
          <w:p w:rsidR="00CC5B57" w:rsidRDefault="003B7717">
            <w:pPr>
              <w:pStyle w:val="nTable"/>
              <w:spacing w:after="40"/>
              <w:rPr>
                <w:i/>
              </w:rPr>
            </w:pPr>
            <w:r>
              <w:rPr>
                <w:i/>
              </w:rPr>
              <w:t>Racing Bets Levy Amendment Regulations 2013</w:t>
            </w:r>
          </w:p>
        </w:tc>
        <w:tc>
          <w:tcPr>
            <w:tcW w:w="1276" w:type="dxa"/>
            <w:tcBorders>
              <w:top w:val="nil"/>
              <w:bottom w:val="nil"/>
            </w:tcBorders>
          </w:tcPr>
          <w:p w:rsidR="00CC5B57" w:rsidRDefault="003B7717">
            <w:pPr>
              <w:pStyle w:val="nTable"/>
              <w:spacing w:after="40"/>
            </w:pPr>
            <w:r>
              <w:t>15 Feb 2013 p. 957-9</w:t>
            </w:r>
          </w:p>
        </w:tc>
        <w:tc>
          <w:tcPr>
            <w:tcW w:w="2693" w:type="dxa"/>
            <w:tcBorders>
              <w:top w:val="nil"/>
              <w:bottom w:val="nil"/>
            </w:tcBorders>
          </w:tcPr>
          <w:p w:rsidR="00CC5B57" w:rsidRDefault="003B7717">
            <w:pPr>
              <w:pStyle w:val="nTable"/>
              <w:spacing w:after="40"/>
              <w:rPr>
                <w:snapToGrid w:val="0"/>
              </w:rPr>
            </w:pPr>
            <w:r>
              <w:rPr>
                <w:snapToGrid w:val="0"/>
              </w:rPr>
              <w:t>r. 1 and 2: 15 Feb 2013 (see r. 2(a));</w:t>
            </w:r>
            <w:r>
              <w:rPr>
                <w:snapToGrid w:val="0"/>
              </w:rPr>
              <w:br/>
              <w:t>Regulations other than r. 1 and 2: 1 Apr 2013 (see r. 2(b))</w:t>
            </w:r>
          </w:p>
        </w:tc>
      </w:tr>
      <w:tr w:rsidR="00CC5B57">
        <w:tc>
          <w:tcPr>
            <w:tcW w:w="3118" w:type="dxa"/>
            <w:tcBorders>
              <w:top w:val="nil"/>
              <w:bottom w:val="nil"/>
            </w:tcBorders>
          </w:tcPr>
          <w:p w:rsidR="00CC5B57" w:rsidRDefault="003B7717">
            <w:pPr>
              <w:pStyle w:val="nTable"/>
              <w:spacing w:after="40"/>
              <w:rPr>
                <w:i/>
              </w:rPr>
            </w:pPr>
            <w:r>
              <w:rPr>
                <w:i/>
              </w:rPr>
              <w:t>Racing Bets Levy Amendment Regulations 2014</w:t>
            </w:r>
          </w:p>
        </w:tc>
        <w:tc>
          <w:tcPr>
            <w:tcW w:w="1276" w:type="dxa"/>
            <w:tcBorders>
              <w:top w:val="nil"/>
              <w:bottom w:val="nil"/>
            </w:tcBorders>
          </w:tcPr>
          <w:p w:rsidR="00CC5B57" w:rsidRDefault="003B7717">
            <w:pPr>
              <w:pStyle w:val="nTable"/>
              <w:spacing w:after="40"/>
            </w:pPr>
            <w:r>
              <w:t>9 Sep 2014 p. 3240</w:t>
            </w:r>
            <w:r>
              <w:noBreakHyphen/>
              <w:t>2</w:t>
            </w:r>
          </w:p>
        </w:tc>
        <w:tc>
          <w:tcPr>
            <w:tcW w:w="2693" w:type="dxa"/>
            <w:tcBorders>
              <w:top w:val="nil"/>
              <w:bottom w:val="nil"/>
            </w:tcBorders>
          </w:tcPr>
          <w:p w:rsidR="00CC5B57" w:rsidRDefault="003B7717">
            <w:pPr>
              <w:pStyle w:val="nTable"/>
              <w:spacing w:after="40"/>
              <w:rPr>
                <w:snapToGrid w:val="0"/>
              </w:rPr>
            </w:pPr>
            <w:r>
              <w:rPr>
                <w:snapToGrid w:val="0"/>
              </w:rPr>
              <w:t>r. 1 and 2: 9 Sep 2014 (see r. 2(a));</w:t>
            </w:r>
            <w:r>
              <w:rPr>
                <w:snapToGrid w:val="0"/>
              </w:rPr>
              <w:br/>
              <w:t>Regulations other than r. 1 and 2: 1 Oct 2014 (see r. 2(b))</w:t>
            </w:r>
          </w:p>
        </w:tc>
      </w:tr>
      <w:tr w:rsidR="00CC5B57" w:rsidTr="00417807">
        <w:tc>
          <w:tcPr>
            <w:tcW w:w="3118" w:type="dxa"/>
            <w:tcBorders>
              <w:top w:val="nil"/>
              <w:bottom w:val="nil"/>
            </w:tcBorders>
          </w:tcPr>
          <w:p w:rsidR="00CC5B57" w:rsidRDefault="003B7717">
            <w:pPr>
              <w:pStyle w:val="nTable"/>
              <w:spacing w:after="40"/>
              <w:rPr>
                <w:i/>
              </w:rPr>
            </w:pPr>
            <w:r>
              <w:rPr>
                <w:i/>
              </w:rPr>
              <w:t>Racing Bets Levy Amendment Regulations 2018</w:t>
            </w:r>
          </w:p>
        </w:tc>
        <w:tc>
          <w:tcPr>
            <w:tcW w:w="1276" w:type="dxa"/>
            <w:tcBorders>
              <w:top w:val="nil"/>
              <w:bottom w:val="nil"/>
            </w:tcBorders>
          </w:tcPr>
          <w:p w:rsidR="00CC5B57" w:rsidRDefault="003B7717">
            <w:pPr>
              <w:pStyle w:val="nTable"/>
              <w:spacing w:after="40"/>
            </w:pPr>
            <w:r>
              <w:t>6 Jul 2018 p. 2542</w:t>
            </w:r>
            <w:r>
              <w:noBreakHyphen/>
              <w:t>4</w:t>
            </w:r>
          </w:p>
        </w:tc>
        <w:tc>
          <w:tcPr>
            <w:tcW w:w="2693" w:type="dxa"/>
            <w:tcBorders>
              <w:top w:val="nil"/>
              <w:bottom w:val="nil"/>
            </w:tcBorders>
          </w:tcPr>
          <w:p w:rsidR="00CC5B57" w:rsidRDefault="003B7717">
            <w:pPr>
              <w:pStyle w:val="nTable"/>
              <w:spacing w:after="40"/>
              <w:rPr>
                <w:snapToGrid w:val="0"/>
              </w:rPr>
            </w:pPr>
            <w:r>
              <w:rPr>
                <w:snapToGrid w:val="0"/>
              </w:rPr>
              <w:t>r. 1 and 2: 6 Jul 2018 (see r. 2(a));</w:t>
            </w:r>
            <w:r>
              <w:rPr>
                <w:snapToGrid w:val="0"/>
              </w:rPr>
              <w:br/>
              <w:t>Regulations other than r. 1 and 2: 7 Jul 2018 (see r. 2(b))</w:t>
            </w:r>
          </w:p>
        </w:tc>
      </w:tr>
      <w:tr w:rsidR="00B91696">
        <w:tc>
          <w:tcPr>
            <w:tcW w:w="3118" w:type="dxa"/>
            <w:tcBorders>
              <w:top w:val="nil"/>
              <w:bottom w:val="single" w:sz="4" w:space="0" w:color="auto"/>
            </w:tcBorders>
          </w:tcPr>
          <w:p w:rsidR="00B91696" w:rsidRDefault="00B91696" w:rsidP="00B91696">
            <w:pPr>
              <w:pStyle w:val="nTable"/>
              <w:spacing w:after="40"/>
              <w:rPr>
                <w:i/>
              </w:rPr>
            </w:pPr>
            <w:r>
              <w:rPr>
                <w:i/>
              </w:rPr>
              <w:t>Racing Bets Levy Amendment Regulations 2021</w:t>
            </w:r>
          </w:p>
        </w:tc>
        <w:tc>
          <w:tcPr>
            <w:tcW w:w="1276" w:type="dxa"/>
            <w:tcBorders>
              <w:top w:val="nil"/>
              <w:bottom w:val="single" w:sz="4" w:space="0" w:color="auto"/>
            </w:tcBorders>
          </w:tcPr>
          <w:p w:rsidR="00B91696" w:rsidRDefault="00B91696" w:rsidP="00B91696">
            <w:pPr>
              <w:pStyle w:val="nTable"/>
              <w:spacing w:after="40"/>
            </w:pPr>
            <w:r>
              <w:t>SL 2021/39</w:t>
            </w:r>
          </w:p>
          <w:p w:rsidR="00B91696" w:rsidRDefault="00B91696" w:rsidP="00B91696">
            <w:pPr>
              <w:pStyle w:val="nTable"/>
              <w:spacing w:after="40"/>
            </w:pPr>
            <w:r>
              <w:t>9 Apr 2021</w:t>
            </w:r>
          </w:p>
        </w:tc>
        <w:tc>
          <w:tcPr>
            <w:tcW w:w="2693" w:type="dxa"/>
            <w:tcBorders>
              <w:top w:val="nil"/>
              <w:bottom w:val="single" w:sz="4" w:space="0" w:color="auto"/>
            </w:tcBorders>
          </w:tcPr>
          <w:p w:rsidR="00B91696" w:rsidRDefault="00B91696" w:rsidP="00B91696">
            <w:pPr>
              <w:pStyle w:val="nTable"/>
              <w:spacing w:after="40"/>
              <w:rPr>
                <w:snapToGrid w:val="0"/>
              </w:rPr>
            </w:pPr>
            <w:r>
              <w:rPr>
                <w:snapToGrid w:val="0"/>
              </w:rPr>
              <w:t xml:space="preserve">r. 1 and 2: </w:t>
            </w:r>
            <w:r>
              <w:t>9 Apr 2021</w:t>
            </w:r>
            <w:r>
              <w:rPr>
                <w:snapToGrid w:val="0"/>
              </w:rPr>
              <w:t xml:space="preserve"> (see r. 2(a));</w:t>
            </w:r>
            <w:r>
              <w:rPr>
                <w:snapToGrid w:val="0"/>
              </w:rPr>
              <w:br/>
              <w:t>Regulations other than r. 1 and 2: 1 May 2021 (see r. 2(b))</w:t>
            </w:r>
          </w:p>
        </w:tc>
      </w:tr>
    </w:tbl>
    <w:p w:rsidR="00CC5B57" w:rsidRDefault="00CC5B57"/>
    <w:p w:rsidR="00CC5B57" w:rsidRDefault="00CC5B57">
      <w:pPr>
        <w:sectPr w:rsidR="00CC5B57">
          <w:headerReference w:type="even" r:id="rId25"/>
          <w:headerReference w:type="default" r:id="rId26"/>
          <w:pgSz w:w="11907" w:h="16840" w:code="9"/>
          <w:pgMar w:top="2376" w:right="2404" w:bottom="3544" w:left="2404" w:header="720" w:footer="3380" w:gutter="0"/>
          <w:cols w:space="720"/>
          <w:noEndnote/>
          <w:docGrid w:linePitch="326"/>
        </w:sectPr>
      </w:pPr>
    </w:p>
    <w:p w:rsidR="00417807" w:rsidRDefault="00417807">
      <w:pPr>
        <w:pStyle w:val="nHeading2"/>
        <w:rPr>
          <w:sz w:val="28"/>
        </w:rPr>
      </w:pPr>
      <w:bookmarkStart w:id="16" w:name="_Toc70586866"/>
      <w:r>
        <w:rPr>
          <w:sz w:val="28"/>
        </w:rPr>
        <w:lastRenderedPageBreak/>
        <w:t>Defined terms</w:t>
      </w:r>
      <w:bookmarkEnd w:id="16"/>
    </w:p>
    <w:p w:rsidR="00417807" w:rsidRDefault="00417807">
      <w:pPr>
        <w:ind w:left="850" w:right="850"/>
        <w:jc w:val="center"/>
        <w:rPr>
          <w:i/>
          <w:sz w:val="18"/>
        </w:rPr>
      </w:pPr>
    </w:p>
    <w:p w:rsidR="00417807" w:rsidRDefault="00417807">
      <w:pPr>
        <w:ind w:left="850" w:right="850"/>
        <w:jc w:val="center"/>
        <w:rPr>
          <w:i/>
          <w:sz w:val="18"/>
        </w:rPr>
      </w:pPr>
      <w:r>
        <w:rPr>
          <w:i/>
          <w:sz w:val="18"/>
        </w:rPr>
        <w:t>[This is a list of terms defined and the provisions where they are defined.  The list is not part of the law.]</w:t>
      </w:r>
    </w:p>
    <w:p w:rsidR="00417807" w:rsidRDefault="00417807">
      <w:pPr>
        <w:pBdr>
          <w:bottom w:val="single" w:sz="4" w:space="1" w:color="auto"/>
        </w:pBdr>
        <w:tabs>
          <w:tab w:val="right" w:pos="7070"/>
        </w:tabs>
        <w:ind w:left="578"/>
        <w:rPr>
          <w:b/>
          <w:sz w:val="20"/>
        </w:rPr>
      </w:pPr>
      <w:r>
        <w:rPr>
          <w:b/>
          <w:sz w:val="20"/>
        </w:rPr>
        <w:t>Defined term</w:t>
      </w:r>
      <w:r>
        <w:rPr>
          <w:b/>
          <w:sz w:val="20"/>
        </w:rPr>
        <w:tab/>
        <w:t>Provision(s)</w:t>
      </w:r>
    </w:p>
    <w:p w:rsidR="00CC5B57" w:rsidRDefault="00417807" w:rsidP="00417807">
      <w:pPr>
        <w:pStyle w:val="DefinedTerms"/>
      </w:pPr>
      <w:r>
        <w:t>betting exchange bet</w:t>
      </w:r>
      <w:r>
        <w:tab/>
        <w:t>3</w:t>
      </w:r>
    </w:p>
    <w:p w:rsidR="00417807" w:rsidRDefault="00417807" w:rsidP="00417807">
      <w:pPr>
        <w:pStyle w:val="DefinedTerms"/>
      </w:pPr>
      <w:r>
        <w:t>greyhound race meeting</w:t>
      </w:r>
      <w:r>
        <w:tab/>
        <w:t>3</w:t>
      </w:r>
    </w:p>
    <w:p w:rsidR="00417807" w:rsidRDefault="00417807" w:rsidP="00417807">
      <w:pPr>
        <w:pStyle w:val="DefinedTerms"/>
      </w:pPr>
      <w:r>
        <w:t>harness race meeting</w:t>
      </w:r>
      <w:r>
        <w:tab/>
        <w:t>3</w:t>
      </w:r>
    </w:p>
    <w:p w:rsidR="00417807" w:rsidRDefault="00417807" w:rsidP="00417807">
      <w:pPr>
        <w:pStyle w:val="DefinedTerms"/>
      </w:pPr>
      <w:r>
        <w:t>non-exchange fixed odds bet</w:t>
      </w:r>
      <w:r>
        <w:tab/>
        <w:t>3</w:t>
      </w:r>
    </w:p>
    <w:p w:rsidR="00417807" w:rsidRDefault="00417807" w:rsidP="00417807">
      <w:pPr>
        <w:pStyle w:val="DefinedTerms"/>
      </w:pPr>
      <w:r>
        <w:t>pari-mutuel bet</w:t>
      </w:r>
      <w:r>
        <w:tab/>
        <w:t>3</w:t>
      </w:r>
    </w:p>
    <w:p w:rsidR="00417807" w:rsidRDefault="00417807" w:rsidP="00417807">
      <w:pPr>
        <w:pStyle w:val="DefinedTerms"/>
      </w:pPr>
      <w:r>
        <w:t>premium race meeting</w:t>
      </w:r>
      <w:r>
        <w:tab/>
        <w:t>3</w:t>
      </w:r>
    </w:p>
    <w:p w:rsidR="00417807" w:rsidRDefault="00417807" w:rsidP="00417807">
      <w:pPr>
        <w:pStyle w:val="DefinedTerms"/>
      </w:pPr>
      <w:r>
        <w:t>premium thoroughbred racing season</w:t>
      </w:r>
      <w:r>
        <w:tab/>
        <w:t>3</w:t>
      </w:r>
    </w:p>
    <w:p w:rsidR="00417807" w:rsidRDefault="00417807" w:rsidP="00417807">
      <w:pPr>
        <w:pStyle w:val="DefinedTerms"/>
      </w:pPr>
      <w:r>
        <w:t>race meeting</w:t>
      </w:r>
      <w:r>
        <w:tab/>
        <w:t>3</w:t>
      </w:r>
    </w:p>
    <w:p w:rsidR="00417807" w:rsidRDefault="00417807" w:rsidP="00417807">
      <w:pPr>
        <w:pStyle w:val="DefinedTerms"/>
      </w:pPr>
      <w:r>
        <w:t>racing year</w:t>
      </w:r>
      <w:r>
        <w:tab/>
        <w:t>3</w:t>
      </w:r>
    </w:p>
    <w:p w:rsidR="00417807" w:rsidRDefault="00417807" w:rsidP="00417807">
      <w:pPr>
        <w:pStyle w:val="DefinedTerms"/>
      </w:pPr>
      <w:r>
        <w:t>standard race meeting</w:t>
      </w:r>
      <w:r>
        <w:tab/>
        <w:t>3</w:t>
      </w:r>
    </w:p>
    <w:p w:rsidR="00417807" w:rsidRDefault="00417807" w:rsidP="00417807">
      <w:pPr>
        <w:pStyle w:val="DefinedTerms"/>
      </w:pPr>
      <w:r>
        <w:t>thoroughbred race meeting</w:t>
      </w:r>
      <w:r>
        <w:tab/>
        <w:t>3</w:t>
      </w:r>
    </w:p>
    <w:p w:rsidR="00417807" w:rsidRDefault="00417807" w:rsidP="00417807">
      <w:pPr>
        <w:pStyle w:val="DefinedTerms"/>
      </w:pPr>
      <w:r>
        <w:t>thoroughbred racing</w:t>
      </w:r>
      <w:r>
        <w:tab/>
        <w:t>3</w:t>
      </w:r>
    </w:p>
    <w:p w:rsidR="00417807" w:rsidRDefault="00417807" w:rsidP="00417807"/>
    <w:p w:rsidR="00417807" w:rsidRDefault="00417807">
      <w:pPr>
        <w:sectPr w:rsidR="00417807">
          <w:headerReference w:type="even" r:id="rId27"/>
          <w:headerReference w:type="default" r:id="rId28"/>
          <w:pgSz w:w="11907" w:h="16840" w:code="9"/>
          <w:pgMar w:top="2381" w:right="2409" w:bottom="3543" w:left="2409" w:header="720" w:footer="3380" w:gutter="0"/>
          <w:cols w:space="720"/>
          <w:noEndnote/>
          <w:docGrid w:linePitch="326"/>
        </w:sectPr>
      </w:pPr>
    </w:p>
    <w:p w:rsidR="00CC5B57" w:rsidRDefault="00CC5B57"/>
    <w:sectPr w:rsidR="00CC5B57">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57" w:rsidRDefault="003B7717">
      <w:pPr>
        <w:rPr>
          <w:b/>
          <w:sz w:val="28"/>
        </w:rPr>
      </w:pPr>
      <w:r>
        <w:rPr>
          <w:b/>
          <w:sz w:val="28"/>
        </w:rPr>
        <w:t>Endnotes</w:t>
      </w:r>
    </w:p>
    <w:p w:rsidR="00CC5B57" w:rsidRDefault="003B7717">
      <w:pPr>
        <w:spacing w:after="240"/>
        <w:rPr>
          <w:rFonts w:ascii="Times" w:hAnsi="Times"/>
          <w:sz w:val="18"/>
        </w:rPr>
      </w:pPr>
      <w:r>
        <w:rPr>
          <w:sz w:val="20"/>
        </w:rPr>
        <w:t>[For ease of reference detach these notes and read them alongside the draft.]</w:t>
      </w:r>
    </w:p>
    <w:p w:rsidR="00CC5B57" w:rsidRDefault="00CC5B57"/>
  </w:endnote>
  <w:endnote w:type="continuationSeparator" w:id="0">
    <w:p w:rsidR="00CC5B57" w:rsidRDefault="00CC5B57">
      <w:pPr>
        <w:pStyle w:val="Footer"/>
      </w:pPr>
    </w:p>
    <w:p w:rsidR="00CC5B57" w:rsidRDefault="00CC5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Bdr>
        <w:bottom w:val="single" w:sz="4" w:space="1" w:color="auto"/>
      </w:pBdr>
      <w:rPr>
        <w:sz w:val="20"/>
      </w:rPr>
    </w:pPr>
  </w:p>
  <w:p w:rsidR="00CC5B57" w:rsidRDefault="003B771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5FBD">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5FBD">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C5B57" w:rsidRDefault="003B771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57" w:rsidRDefault="003B7717">
      <w:r>
        <w:separator/>
      </w:r>
    </w:p>
  </w:footnote>
  <w:footnote w:type="continuationSeparator" w:id="0">
    <w:p w:rsidR="00CC5B57" w:rsidRDefault="003B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BD" w:rsidRDefault="00F45F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5B57">
      <w:trPr>
        <w:cantSplit/>
        <w:jc w:val="center"/>
      </w:trPr>
      <w:tc>
        <w:tcPr>
          <w:tcW w:w="7258" w:type="dxa"/>
          <w:gridSpan w:val="2"/>
        </w:tcPr>
        <w:p w:rsidR="00CC5B57" w:rsidRDefault="003B7717">
          <w:pPr>
            <w:pStyle w:val="Header"/>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1548" w:type="dxa"/>
        </w:tcPr>
        <w:p w:rsidR="00CC5B57" w:rsidRDefault="003B7717">
          <w:pPr>
            <w:pStyle w:val="Header"/>
            <w:spacing w:before="40"/>
          </w:pPr>
          <w:r>
            <w:rPr>
              <w:b/>
            </w:rPr>
            <w:fldChar w:fldCharType="begin"/>
          </w:r>
          <w:r>
            <w:rPr>
              <w:b/>
            </w:rPr>
            <w:instrText xml:space="preserve"> STYLEREF "nHeading 2" </w:instrText>
          </w:r>
          <w:r>
            <w:rPr>
              <w:b/>
            </w:rPr>
            <w:fldChar w:fldCharType="separate"/>
          </w:r>
          <w:r w:rsidR="00F45FBD">
            <w:rPr>
              <w:b/>
            </w:rPr>
            <w:t>Notes</w:t>
          </w:r>
          <w:r>
            <w:rPr>
              <w:b/>
            </w:rPr>
            <w:fldChar w:fldCharType="end"/>
          </w:r>
        </w:p>
      </w:tc>
      <w:tc>
        <w:tcPr>
          <w:tcW w:w="5715" w:type="dxa"/>
        </w:tcPr>
        <w:p w:rsidR="00CC5B57" w:rsidRDefault="003B7717">
          <w:pPr>
            <w:pStyle w:val="Header"/>
            <w:spacing w:before="40"/>
          </w:pPr>
          <w:r>
            <w:fldChar w:fldCharType="begin"/>
          </w:r>
          <w:r>
            <w:instrText xml:space="preserve"> STYLEREF "nHeading 3" </w:instrText>
          </w:r>
          <w:r>
            <w:fldChar w:fldCharType="separate"/>
          </w:r>
          <w:r w:rsidR="00F45FBD">
            <w:t>Compilation table</w:t>
          </w:r>
          <w:r>
            <w:fldChar w:fldCharType="end"/>
          </w:r>
        </w:p>
      </w:tc>
    </w:tr>
    <w:tr w:rsidR="00CC5B57">
      <w:trPr>
        <w:jc w:val="center"/>
      </w:trPr>
      <w:tc>
        <w:tcPr>
          <w:tcW w:w="1548" w:type="dxa"/>
        </w:tcPr>
        <w:p w:rsidR="00CC5B57" w:rsidRDefault="00CC5B57">
          <w:pPr>
            <w:pStyle w:val="Header"/>
            <w:spacing w:before="40"/>
          </w:pPr>
        </w:p>
      </w:tc>
      <w:tc>
        <w:tcPr>
          <w:tcW w:w="5715" w:type="dxa"/>
        </w:tcPr>
        <w:p w:rsidR="00CC5B57" w:rsidRDefault="00CC5B57">
          <w:pPr>
            <w:pStyle w:val="Header"/>
            <w:spacing w:before="40"/>
          </w:pPr>
        </w:p>
      </w:tc>
    </w:tr>
    <w:tr w:rsidR="00CC5B57">
      <w:trPr>
        <w:cantSplit/>
        <w:jc w:val="center"/>
      </w:trPr>
      <w:tc>
        <w:tcPr>
          <w:tcW w:w="7258" w:type="dxa"/>
          <w:gridSpan w:val="2"/>
        </w:tcPr>
        <w:p w:rsidR="00CC5B57" w:rsidRDefault="00CC5B57">
          <w:pPr>
            <w:pStyle w:val="Header"/>
            <w:spacing w:before="40"/>
          </w:pPr>
        </w:p>
      </w:tc>
    </w:tr>
  </w:tbl>
  <w:p w:rsidR="00CC5B57" w:rsidRDefault="00CC5B5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5B57">
      <w:trPr>
        <w:cantSplit/>
        <w:jc w:val="center"/>
      </w:trPr>
      <w:tc>
        <w:tcPr>
          <w:tcW w:w="7258" w:type="dxa"/>
          <w:gridSpan w:val="2"/>
        </w:tcPr>
        <w:p w:rsidR="00CC5B57" w:rsidRDefault="003B7717">
          <w:pPr>
            <w:pStyle w:val="Header"/>
            <w:ind w:right="17"/>
            <w:jc w:val="right"/>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5715" w:type="dxa"/>
        </w:tcPr>
        <w:p w:rsidR="00CC5B57" w:rsidRDefault="003B7717">
          <w:pPr>
            <w:pStyle w:val="Header"/>
            <w:spacing w:before="40"/>
            <w:jc w:val="right"/>
          </w:pPr>
          <w:r>
            <w:fldChar w:fldCharType="begin"/>
          </w:r>
          <w:r>
            <w:instrText xml:space="preserve"> STYLEREF "nHeading 3" </w:instrText>
          </w:r>
          <w:r>
            <w:fldChar w:fldCharType="separate"/>
          </w:r>
          <w:r w:rsidR="00F45FBD">
            <w:t>Compilation table</w:t>
          </w:r>
          <w:r>
            <w:fldChar w:fldCharType="end"/>
          </w:r>
        </w:p>
      </w:tc>
      <w:tc>
        <w:tcPr>
          <w:tcW w:w="1548" w:type="dxa"/>
        </w:tcPr>
        <w:p w:rsidR="00CC5B57" w:rsidRDefault="003B7717">
          <w:pPr>
            <w:pStyle w:val="Header"/>
            <w:spacing w:before="40"/>
            <w:ind w:right="17"/>
            <w:jc w:val="right"/>
          </w:pPr>
          <w:r>
            <w:rPr>
              <w:b/>
            </w:rPr>
            <w:fldChar w:fldCharType="begin"/>
          </w:r>
          <w:r>
            <w:rPr>
              <w:b/>
            </w:rPr>
            <w:instrText xml:space="preserve"> STYLEREF "nHeading 2" </w:instrText>
          </w:r>
          <w:r>
            <w:rPr>
              <w:b/>
            </w:rPr>
            <w:fldChar w:fldCharType="separate"/>
          </w:r>
          <w:r w:rsidR="00F45FBD">
            <w:rPr>
              <w:b/>
            </w:rPr>
            <w:t>Notes</w:t>
          </w:r>
          <w:r>
            <w:rPr>
              <w:b/>
            </w:rPr>
            <w:fldChar w:fldCharType="end"/>
          </w:r>
        </w:p>
      </w:tc>
    </w:tr>
    <w:tr w:rsidR="00CC5B57">
      <w:trPr>
        <w:jc w:val="center"/>
      </w:trPr>
      <w:tc>
        <w:tcPr>
          <w:tcW w:w="5715" w:type="dxa"/>
        </w:tcPr>
        <w:p w:rsidR="00CC5B57" w:rsidRDefault="00CC5B57">
          <w:pPr>
            <w:pStyle w:val="Header"/>
            <w:spacing w:before="40"/>
            <w:jc w:val="right"/>
          </w:pPr>
        </w:p>
      </w:tc>
      <w:tc>
        <w:tcPr>
          <w:tcW w:w="1548" w:type="dxa"/>
        </w:tcPr>
        <w:p w:rsidR="00CC5B57" w:rsidRDefault="00CC5B57">
          <w:pPr>
            <w:pStyle w:val="Header"/>
            <w:spacing w:before="40"/>
            <w:ind w:right="17"/>
            <w:jc w:val="right"/>
          </w:pPr>
        </w:p>
      </w:tc>
    </w:tr>
    <w:tr w:rsidR="00CC5B57">
      <w:trPr>
        <w:cantSplit/>
        <w:jc w:val="center"/>
      </w:trPr>
      <w:tc>
        <w:tcPr>
          <w:tcW w:w="7258" w:type="dxa"/>
          <w:gridSpan w:val="2"/>
        </w:tcPr>
        <w:p w:rsidR="00CC5B57" w:rsidRDefault="00CC5B57">
          <w:pPr>
            <w:pStyle w:val="Header"/>
            <w:spacing w:before="40"/>
            <w:ind w:right="17"/>
            <w:jc w:val="right"/>
          </w:pPr>
        </w:p>
      </w:tc>
    </w:tr>
  </w:tbl>
  <w:p w:rsidR="00CC5B57" w:rsidRDefault="00CC5B57">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C5B57">
      <w:trPr>
        <w:cantSplit/>
        <w:jc w:val="center"/>
      </w:trPr>
      <w:tc>
        <w:tcPr>
          <w:tcW w:w="7263" w:type="dxa"/>
          <w:gridSpan w:val="2"/>
        </w:tcPr>
        <w:p w:rsidR="00CC5B57" w:rsidRDefault="003B7717">
          <w:pPr>
            <w:pStyle w:val="Header"/>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1348" w:type="dxa"/>
        </w:tcPr>
        <w:p w:rsidR="00CC5B57" w:rsidRDefault="00CC5B57">
          <w:pPr>
            <w:pStyle w:val="Header"/>
            <w:spacing w:before="40"/>
          </w:pPr>
        </w:p>
      </w:tc>
      <w:tc>
        <w:tcPr>
          <w:tcW w:w="5915" w:type="dxa"/>
        </w:tcPr>
        <w:p w:rsidR="00CC5B57" w:rsidRDefault="00CC5B57">
          <w:pPr>
            <w:pStyle w:val="Header"/>
            <w:spacing w:before="40"/>
          </w:pPr>
        </w:p>
      </w:tc>
    </w:tr>
    <w:tr w:rsidR="00CC5B57">
      <w:trPr>
        <w:jc w:val="center"/>
      </w:trPr>
      <w:tc>
        <w:tcPr>
          <w:tcW w:w="1348" w:type="dxa"/>
        </w:tcPr>
        <w:p w:rsidR="00CC5B57" w:rsidRDefault="00CC5B57">
          <w:pPr>
            <w:pStyle w:val="Header"/>
            <w:spacing w:before="40"/>
          </w:pPr>
        </w:p>
      </w:tc>
      <w:tc>
        <w:tcPr>
          <w:tcW w:w="5915" w:type="dxa"/>
        </w:tcPr>
        <w:p w:rsidR="00CC5B57" w:rsidRDefault="00CC5B57">
          <w:pPr>
            <w:pStyle w:val="Header"/>
            <w:spacing w:before="40"/>
          </w:pPr>
        </w:p>
      </w:tc>
    </w:tr>
    <w:tr w:rsidR="00CC5B57">
      <w:trPr>
        <w:cantSplit/>
        <w:jc w:val="center"/>
      </w:trPr>
      <w:tc>
        <w:tcPr>
          <w:tcW w:w="7263" w:type="dxa"/>
          <w:gridSpan w:val="2"/>
        </w:tcPr>
        <w:p w:rsidR="00CC5B57" w:rsidRDefault="003B7717">
          <w:pPr>
            <w:pStyle w:val="Header"/>
            <w:spacing w:before="40"/>
          </w:pPr>
          <w:r>
            <w:t>Defined terms</w:t>
          </w:r>
        </w:p>
      </w:tc>
    </w:tr>
  </w:tbl>
  <w:p w:rsidR="00CC5B57" w:rsidRDefault="00CC5B5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C5B57">
      <w:trPr>
        <w:cantSplit/>
        <w:jc w:val="center"/>
      </w:trPr>
      <w:tc>
        <w:tcPr>
          <w:tcW w:w="7263" w:type="dxa"/>
          <w:gridSpan w:val="2"/>
        </w:tcPr>
        <w:p w:rsidR="00CC5B57" w:rsidRDefault="003B7717">
          <w:pPr>
            <w:pStyle w:val="Header"/>
            <w:spacing w:before="40"/>
            <w:ind w:right="17"/>
            <w:jc w:val="right"/>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5884" w:type="dxa"/>
        </w:tcPr>
        <w:p w:rsidR="00CC5B57" w:rsidRDefault="00CC5B57">
          <w:pPr>
            <w:pStyle w:val="Header"/>
            <w:spacing w:before="40"/>
            <w:jc w:val="right"/>
          </w:pPr>
        </w:p>
      </w:tc>
      <w:tc>
        <w:tcPr>
          <w:tcW w:w="1379" w:type="dxa"/>
        </w:tcPr>
        <w:p w:rsidR="00CC5B57" w:rsidRDefault="00CC5B57">
          <w:pPr>
            <w:pStyle w:val="Header"/>
            <w:spacing w:before="40"/>
            <w:ind w:right="17"/>
            <w:jc w:val="right"/>
          </w:pPr>
        </w:p>
      </w:tc>
    </w:tr>
    <w:tr w:rsidR="00CC5B57">
      <w:trPr>
        <w:jc w:val="center"/>
      </w:trPr>
      <w:tc>
        <w:tcPr>
          <w:tcW w:w="5884" w:type="dxa"/>
        </w:tcPr>
        <w:p w:rsidR="00CC5B57" w:rsidRDefault="00CC5B57">
          <w:pPr>
            <w:pStyle w:val="Header"/>
            <w:spacing w:before="40"/>
            <w:jc w:val="right"/>
          </w:pPr>
        </w:p>
      </w:tc>
      <w:tc>
        <w:tcPr>
          <w:tcW w:w="1379" w:type="dxa"/>
        </w:tcPr>
        <w:p w:rsidR="00CC5B57" w:rsidRDefault="00CC5B57">
          <w:pPr>
            <w:pStyle w:val="Header"/>
            <w:spacing w:before="40"/>
            <w:ind w:right="17"/>
            <w:jc w:val="right"/>
          </w:pPr>
        </w:p>
      </w:tc>
    </w:tr>
    <w:tr w:rsidR="00CC5B57">
      <w:trPr>
        <w:cantSplit/>
        <w:jc w:val="center"/>
      </w:trPr>
      <w:tc>
        <w:tcPr>
          <w:tcW w:w="7263" w:type="dxa"/>
          <w:gridSpan w:val="2"/>
        </w:tcPr>
        <w:p w:rsidR="00CC5B57" w:rsidRDefault="003B7717">
          <w:pPr>
            <w:pStyle w:val="Header"/>
            <w:spacing w:before="40"/>
            <w:ind w:right="17"/>
            <w:jc w:val="right"/>
          </w:pPr>
          <w:r>
            <w:t>Defined terms</w:t>
          </w:r>
        </w:p>
      </w:tc>
    </w:tr>
  </w:tbl>
  <w:p w:rsidR="00CC5B57" w:rsidRDefault="00CC5B57">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BD" w:rsidRDefault="00F4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5B57">
      <w:trPr>
        <w:cantSplit/>
        <w:jc w:val="center"/>
      </w:trPr>
      <w:tc>
        <w:tcPr>
          <w:tcW w:w="7258" w:type="dxa"/>
          <w:gridSpan w:val="2"/>
        </w:tcPr>
        <w:p w:rsidR="00CC5B57" w:rsidRDefault="003B7717">
          <w:pPr>
            <w:pStyle w:val="Header"/>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1548" w:type="dxa"/>
        </w:tcPr>
        <w:p w:rsidR="00CC5B57" w:rsidRDefault="00CC5B57">
          <w:pPr>
            <w:pStyle w:val="Header"/>
            <w:spacing w:before="40"/>
          </w:pPr>
        </w:p>
      </w:tc>
      <w:tc>
        <w:tcPr>
          <w:tcW w:w="5715" w:type="dxa"/>
        </w:tcPr>
        <w:p w:rsidR="00CC5B57" w:rsidRDefault="00CC5B57">
          <w:pPr>
            <w:pStyle w:val="Header"/>
            <w:spacing w:before="40"/>
          </w:pPr>
        </w:p>
      </w:tc>
    </w:tr>
    <w:tr w:rsidR="00CC5B57">
      <w:trPr>
        <w:jc w:val="center"/>
      </w:trPr>
      <w:tc>
        <w:tcPr>
          <w:tcW w:w="1548" w:type="dxa"/>
        </w:tcPr>
        <w:p w:rsidR="00CC5B57" w:rsidRDefault="00CC5B57">
          <w:pPr>
            <w:pStyle w:val="Header"/>
            <w:spacing w:before="40"/>
          </w:pPr>
        </w:p>
      </w:tc>
      <w:tc>
        <w:tcPr>
          <w:tcW w:w="5715" w:type="dxa"/>
        </w:tcPr>
        <w:p w:rsidR="00CC5B57" w:rsidRDefault="00CC5B57">
          <w:pPr>
            <w:pStyle w:val="Header"/>
            <w:spacing w:before="40"/>
          </w:pPr>
        </w:p>
      </w:tc>
    </w:tr>
    <w:tr w:rsidR="00CC5B57">
      <w:trPr>
        <w:cantSplit/>
        <w:jc w:val="center"/>
      </w:trPr>
      <w:tc>
        <w:tcPr>
          <w:tcW w:w="7258" w:type="dxa"/>
          <w:gridSpan w:val="2"/>
        </w:tcPr>
        <w:p w:rsidR="00CC5B57" w:rsidRDefault="003B7717">
          <w:pPr>
            <w:pStyle w:val="Header"/>
            <w:spacing w:before="40"/>
          </w:pPr>
          <w:r>
            <w:t>Contents</w:t>
          </w:r>
        </w:p>
      </w:tc>
    </w:tr>
  </w:tbl>
  <w:p w:rsidR="00CC5B57" w:rsidRDefault="00CC5B5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5B57">
      <w:trPr>
        <w:cantSplit/>
        <w:jc w:val="center"/>
      </w:trPr>
      <w:tc>
        <w:tcPr>
          <w:tcW w:w="7258" w:type="dxa"/>
          <w:gridSpan w:val="2"/>
        </w:tcPr>
        <w:p w:rsidR="00CC5B57" w:rsidRDefault="003B7717">
          <w:pPr>
            <w:pStyle w:val="Header"/>
            <w:ind w:right="17"/>
            <w:jc w:val="right"/>
          </w:pPr>
          <w:r>
            <w:rPr>
              <w:b/>
              <w:i/>
            </w:rPr>
            <w:fldChar w:fldCharType="begin"/>
          </w:r>
          <w:r>
            <w:rPr>
              <w:b/>
              <w:i/>
            </w:rPr>
            <w:instrText xml:space="preserve"> STYLEREF "Name of Act/Reg" </w:instrText>
          </w:r>
          <w:r>
            <w:rPr>
              <w:b/>
              <w:i/>
            </w:rPr>
            <w:fldChar w:fldCharType="separate"/>
          </w:r>
          <w:r w:rsidR="00F45FBD">
            <w:rPr>
              <w:b/>
              <w:i/>
            </w:rPr>
            <w:t>Racing Bets Levy Regulations 2009</w:t>
          </w:r>
          <w:r>
            <w:rPr>
              <w:b/>
              <w:i/>
            </w:rPr>
            <w:fldChar w:fldCharType="end"/>
          </w:r>
        </w:p>
      </w:tc>
    </w:tr>
    <w:tr w:rsidR="00CC5B57">
      <w:trPr>
        <w:jc w:val="center"/>
      </w:trPr>
      <w:tc>
        <w:tcPr>
          <w:tcW w:w="5715" w:type="dxa"/>
        </w:tcPr>
        <w:p w:rsidR="00CC5B57" w:rsidRDefault="00CC5B57">
          <w:pPr>
            <w:pStyle w:val="Header"/>
            <w:spacing w:before="40"/>
            <w:jc w:val="right"/>
          </w:pPr>
        </w:p>
      </w:tc>
      <w:tc>
        <w:tcPr>
          <w:tcW w:w="1548" w:type="dxa"/>
        </w:tcPr>
        <w:p w:rsidR="00CC5B57" w:rsidRDefault="00CC5B57">
          <w:pPr>
            <w:pStyle w:val="Header"/>
            <w:spacing w:before="40"/>
            <w:ind w:right="17"/>
            <w:jc w:val="right"/>
          </w:pPr>
        </w:p>
      </w:tc>
    </w:tr>
    <w:tr w:rsidR="00CC5B57">
      <w:trPr>
        <w:jc w:val="center"/>
      </w:trPr>
      <w:tc>
        <w:tcPr>
          <w:tcW w:w="5715" w:type="dxa"/>
        </w:tcPr>
        <w:p w:rsidR="00CC5B57" w:rsidRDefault="00CC5B57">
          <w:pPr>
            <w:pStyle w:val="Header"/>
            <w:spacing w:before="40"/>
            <w:jc w:val="right"/>
          </w:pPr>
        </w:p>
      </w:tc>
      <w:tc>
        <w:tcPr>
          <w:tcW w:w="1548" w:type="dxa"/>
        </w:tcPr>
        <w:p w:rsidR="00CC5B57" w:rsidRDefault="00CC5B57">
          <w:pPr>
            <w:pStyle w:val="Header"/>
            <w:spacing w:before="40"/>
            <w:ind w:right="17"/>
            <w:jc w:val="right"/>
          </w:pPr>
        </w:p>
      </w:tc>
    </w:tr>
    <w:tr w:rsidR="00CC5B57">
      <w:trPr>
        <w:cantSplit/>
        <w:jc w:val="center"/>
      </w:trPr>
      <w:tc>
        <w:tcPr>
          <w:tcW w:w="7258" w:type="dxa"/>
          <w:gridSpan w:val="2"/>
        </w:tcPr>
        <w:p w:rsidR="00CC5B57" w:rsidRDefault="003B7717">
          <w:pPr>
            <w:pStyle w:val="Header"/>
            <w:spacing w:before="40"/>
            <w:ind w:right="17"/>
            <w:jc w:val="right"/>
          </w:pPr>
          <w:r>
            <w:t>Contents</w:t>
          </w:r>
        </w:p>
      </w:tc>
    </w:tr>
  </w:tbl>
  <w:p w:rsidR="00CC5B57" w:rsidRDefault="00CC5B5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C5B57">
      <w:trPr>
        <w:cantSplit/>
        <w:jc w:val="center"/>
      </w:trPr>
      <w:tc>
        <w:tcPr>
          <w:tcW w:w="7258" w:type="dxa"/>
          <w:gridSpan w:val="2"/>
        </w:tcPr>
        <w:p w:rsidR="00CC5B57" w:rsidRDefault="003B7717">
          <w:pPr>
            <w:pStyle w:val="Header"/>
          </w:pPr>
          <w:r>
            <w:rPr>
              <w:b/>
              <w:i/>
            </w:rPr>
            <w:fldChar w:fldCharType="begin"/>
          </w:r>
          <w:r>
            <w:rPr>
              <w:b/>
              <w:i/>
            </w:rPr>
            <w:instrText>Styleref "Name of Act/Reg"</w:instrText>
          </w:r>
          <w:r>
            <w:rPr>
              <w:b/>
              <w:i/>
            </w:rPr>
            <w:fldChar w:fldCharType="separate"/>
          </w:r>
          <w:r w:rsidR="00F45FBD">
            <w:rPr>
              <w:b/>
              <w:i/>
            </w:rPr>
            <w:t>Racing Bets Levy Regulations 2009</w:t>
          </w:r>
          <w:r>
            <w:rPr>
              <w:b/>
              <w:i/>
            </w:rPr>
            <w:fldChar w:fldCharType="end"/>
          </w:r>
        </w:p>
      </w:tc>
    </w:tr>
    <w:tr w:rsidR="00CC5B57">
      <w:trPr>
        <w:jc w:val="center"/>
      </w:trPr>
      <w:tc>
        <w:tcPr>
          <w:tcW w:w="1548" w:type="dxa"/>
        </w:tcPr>
        <w:p w:rsidR="00CC5B57" w:rsidRDefault="003B771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C5B57" w:rsidRDefault="003B7717">
          <w:pPr>
            <w:pStyle w:val="Header"/>
            <w:spacing w:before="40"/>
          </w:pPr>
          <w:r>
            <w:fldChar w:fldCharType="begin"/>
          </w:r>
          <w:r>
            <w:instrText xml:space="preserve"> styleref CharPartText </w:instrText>
          </w:r>
          <w:r>
            <w:fldChar w:fldCharType="end"/>
          </w:r>
        </w:p>
      </w:tc>
    </w:tr>
    <w:tr w:rsidR="00CC5B57">
      <w:trPr>
        <w:jc w:val="center"/>
      </w:trPr>
      <w:tc>
        <w:tcPr>
          <w:tcW w:w="1548" w:type="dxa"/>
        </w:tcPr>
        <w:p w:rsidR="00CC5B57" w:rsidRDefault="003B7717">
          <w:pPr>
            <w:pStyle w:val="Header"/>
            <w:spacing w:before="40"/>
          </w:pPr>
          <w:r>
            <w:rPr>
              <w:b/>
            </w:rPr>
            <w:fldChar w:fldCharType="begin"/>
          </w:r>
          <w:r>
            <w:rPr>
              <w:b/>
            </w:rPr>
            <w:instrText xml:space="preserve"> styleref CharDivNo </w:instrText>
          </w:r>
          <w:r>
            <w:rPr>
              <w:b/>
            </w:rPr>
            <w:fldChar w:fldCharType="end"/>
          </w:r>
        </w:p>
      </w:tc>
      <w:tc>
        <w:tcPr>
          <w:tcW w:w="5715" w:type="dxa"/>
        </w:tcPr>
        <w:p w:rsidR="00CC5B57" w:rsidRDefault="003B7717">
          <w:pPr>
            <w:pStyle w:val="Header"/>
            <w:spacing w:before="40"/>
          </w:pPr>
          <w:r>
            <w:fldChar w:fldCharType="begin"/>
          </w:r>
          <w:r>
            <w:instrText xml:space="preserve"> styleref CharDivText </w:instrText>
          </w:r>
          <w:r>
            <w:fldChar w:fldCharType="end"/>
          </w:r>
        </w:p>
      </w:tc>
    </w:tr>
    <w:tr w:rsidR="00CC5B57">
      <w:trPr>
        <w:cantSplit/>
        <w:jc w:val="center"/>
      </w:trPr>
      <w:tc>
        <w:tcPr>
          <w:tcW w:w="7258" w:type="dxa"/>
          <w:gridSpan w:val="2"/>
        </w:tcPr>
        <w:p w:rsidR="00CC5B57" w:rsidRDefault="003B7717">
          <w:pPr>
            <w:pStyle w:val="Header"/>
            <w:spacing w:before="40"/>
          </w:pPr>
          <w:r>
            <w:rPr>
              <w:b/>
            </w:rPr>
            <w:t xml:space="preserve">r. </w:t>
          </w:r>
          <w:r>
            <w:rPr>
              <w:b/>
            </w:rPr>
            <w:fldChar w:fldCharType="begin"/>
          </w:r>
          <w:r>
            <w:rPr>
              <w:b/>
            </w:rPr>
            <w:instrText>styleref CharSectno</w:instrText>
          </w:r>
          <w:r>
            <w:rPr>
              <w:b/>
            </w:rPr>
            <w:fldChar w:fldCharType="separate"/>
          </w:r>
          <w:r w:rsidR="00F45FBD">
            <w:rPr>
              <w:b/>
            </w:rPr>
            <w:t>1</w:t>
          </w:r>
          <w:r>
            <w:rPr>
              <w:b/>
            </w:rPr>
            <w:fldChar w:fldCharType="end"/>
          </w:r>
        </w:p>
      </w:tc>
    </w:tr>
  </w:tbl>
  <w:p w:rsidR="00CC5B57" w:rsidRDefault="00CC5B5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C5B57">
      <w:trPr>
        <w:cantSplit/>
        <w:jc w:val="center"/>
      </w:trPr>
      <w:tc>
        <w:tcPr>
          <w:tcW w:w="7258" w:type="dxa"/>
          <w:gridSpan w:val="2"/>
        </w:tcPr>
        <w:p w:rsidR="00CC5B57" w:rsidRDefault="003B7717">
          <w:pPr>
            <w:pStyle w:val="Header"/>
            <w:ind w:right="17"/>
            <w:jc w:val="right"/>
          </w:pPr>
          <w:r>
            <w:rPr>
              <w:b/>
              <w:i/>
            </w:rPr>
            <w:fldChar w:fldCharType="begin"/>
          </w:r>
          <w:r>
            <w:rPr>
              <w:b/>
              <w:i/>
            </w:rPr>
            <w:instrText>Styleref "Name of Act/Reg"</w:instrText>
          </w:r>
          <w:r>
            <w:rPr>
              <w:b/>
              <w:i/>
            </w:rPr>
            <w:fldChar w:fldCharType="separate"/>
          </w:r>
          <w:r w:rsidR="00F45FBD">
            <w:rPr>
              <w:b/>
              <w:i/>
            </w:rPr>
            <w:t>Racing Bets Levy Regulations 2009</w:t>
          </w:r>
          <w:r>
            <w:rPr>
              <w:b/>
              <w:i/>
            </w:rPr>
            <w:fldChar w:fldCharType="end"/>
          </w:r>
        </w:p>
      </w:tc>
    </w:tr>
    <w:tr w:rsidR="00CC5B57">
      <w:trPr>
        <w:jc w:val="center"/>
      </w:trPr>
      <w:tc>
        <w:tcPr>
          <w:tcW w:w="5715" w:type="dxa"/>
        </w:tcPr>
        <w:p w:rsidR="00CC5B57" w:rsidRDefault="003B7717">
          <w:pPr>
            <w:pStyle w:val="Header"/>
            <w:spacing w:before="40"/>
            <w:jc w:val="right"/>
          </w:pPr>
          <w:r>
            <w:fldChar w:fldCharType="begin"/>
          </w:r>
          <w:r>
            <w:instrText xml:space="preserve"> styleref CharPartText </w:instrText>
          </w:r>
          <w:r>
            <w:fldChar w:fldCharType="end"/>
          </w:r>
        </w:p>
      </w:tc>
      <w:tc>
        <w:tcPr>
          <w:tcW w:w="1548" w:type="dxa"/>
        </w:tcPr>
        <w:p w:rsidR="00CC5B57" w:rsidRDefault="003B7717">
          <w:pPr>
            <w:pStyle w:val="Header"/>
            <w:spacing w:before="40"/>
            <w:ind w:right="17"/>
            <w:jc w:val="right"/>
          </w:pPr>
          <w:r>
            <w:rPr>
              <w:b/>
            </w:rPr>
            <w:fldChar w:fldCharType="begin"/>
          </w:r>
          <w:r>
            <w:rPr>
              <w:b/>
            </w:rPr>
            <w:instrText xml:space="preserve"> styleref CharPartNo </w:instrText>
          </w:r>
          <w:r>
            <w:rPr>
              <w:b/>
            </w:rPr>
            <w:fldChar w:fldCharType="end"/>
          </w:r>
        </w:p>
      </w:tc>
    </w:tr>
    <w:tr w:rsidR="00CC5B57">
      <w:trPr>
        <w:jc w:val="center"/>
      </w:trPr>
      <w:tc>
        <w:tcPr>
          <w:tcW w:w="5715" w:type="dxa"/>
        </w:tcPr>
        <w:p w:rsidR="00CC5B57" w:rsidRDefault="003B7717">
          <w:pPr>
            <w:pStyle w:val="Header"/>
            <w:spacing w:before="40"/>
            <w:jc w:val="right"/>
          </w:pPr>
          <w:r>
            <w:fldChar w:fldCharType="begin"/>
          </w:r>
          <w:r>
            <w:instrText xml:space="preserve"> styleref CharDivText </w:instrText>
          </w:r>
          <w:r>
            <w:fldChar w:fldCharType="end"/>
          </w:r>
        </w:p>
      </w:tc>
      <w:tc>
        <w:tcPr>
          <w:tcW w:w="1548" w:type="dxa"/>
        </w:tcPr>
        <w:p w:rsidR="00CC5B57" w:rsidRDefault="003B7717">
          <w:pPr>
            <w:pStyle w:val="Header"/>
            <w:spacing w:before="40"/>
            <w:ind w:right="17"/>
            <w:jc w:val="right"/>
          </w:pPr>
          <w:r>
            <w:rPr>
              <w:b/>
            </w:rPr>
            <w:fldChar w:fldCharType="begin"/>
          </w:r>
          <w:r>
            <w:rPr>
              <w:b/>
            </w:rPr>
            <w:instrText xml:space="preserve"> styleref CharDivNo </w:instrText>
          </w:r>
          <w:r>
            <w:rPr>
              <w:b/>
            </w:rPr>
            <w:fldChar w:fldCharType="end"/>
          </w:r>
        </w:p>
      </w:tc>
    </w:tr>
    <w:tr w:rsidR="00CC5B57">
      <w:trPr>
        <w:cantSplit/>
        <w:jc w:val="center"/>
      </w:trPr>
      <w:tc>
        <w:tcPr>
          <w:tcW w:w="7258" w:type="dxa"/>
          <w:gridSpan w:val="2"/>
        </w:tcPr>
        <w:p w:rsidR="00CC5B57" w:rsidRDefault="003B771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45FBD">
            <w:rPr>
              <w:b/>
            </w:rPr>
            <w:t>1</w:t>
          </w:r>
          <w:r>
            <w:rPr>
              <w:b/>
            </w:rPr>
            <w:fldChar w:fldCharType="end"/>
          </w:r>
        </w:p>
      </w:tc>
    </w:tr>
  </w:tbl>
  <w:p w:rsidR="00CC5B57" w:rsidRDefault="00CC5B5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7" w:rsidRDefault="00CC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45515"/>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 w:name="WAFER_20210407120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20122_GUID" w:val="354de3d7-c542-4964-b533-884f68fbe738"/>
    <w:docVar w:name="WAFER_20210428145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45515_GUID" w:val="737bf189-decf-4599-8a5f-004abf9eefac"/>
  </w:docVars>
  <w:rsids>
    <w:rsidRoot w:val="00CC5B57"/>
    <w:rsid w:val="00154C5E"/>
    <w:rsid w:val="00365DC2"/>
    <w:rsid w:val="003B7717"/>
    <w:rsid w:val="00417807"/>
    <w:rsid w:val="0044392F"/>
    <w:rsid w:val="00534247"/>
    <w:rsid w:val="005B572E"/>
    <w:rsid w:val="006339C0"/>
    <w:rsid w:val="00660053"/>
    <w:rsid w:val="007B1B87"/>
    <w:rsid w:val="00A207D6"/>
    <w:rsid w:val="00A76288"/>
    <w:rsid w:val="00B54563"/>
    <w:rsid w:val="00B91696"/>
    <w:rsid w:val="00C61B60"/>
    <w:rsid w:val="00CC5B57"/>
    <w:rsid w:val="00E77DF7"/>
    <w:rsid w:val="00F45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36CF847-C995-48DA-83DF-39049CC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BF96-A453-4CB8-9698-8BC7F1A4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2481</Words>
  <Characters>11166</Characters>
  <Application>Microsoft Office Word</Application>
  <DocSecurity>0</DocSecurity>
  <Lines>348</Lines>
  <Paragraphs>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2009 - 00-i0-00</dc:title>
  <dc:subject/>
  <dc:creator/>
  <cp:keywords/>
  <dc:description/>
  <cp:lastModifiedBy>Master Repository Process</cp:lastModifiedBy>
  <cp:revision>4</cp:revision>
  <cp:lastPrinted>2009-12-07T05:10:00Z</cp:lastPrinted>
  <dcterms:created xsi:type="dcterms:W3CDTF">2021-04-30T02:10:00Z</dcterms:created>
  <dcterms:modified xsi:type="dcterms:W3CDTF">2021-04-30T02:10:00Z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AsAtDate">
    <vt:lpwstr>01 May 2021</vt:lpwstr>
  </property>
  <property fmtid="{D5CDD505-2E9C-101B-9397-08002B2CF9AE}" pid="6" name="Suffix">
    <vt:lpwstr>00-i0-00</vt:lpwstr>
  </property>
  <property fmtid="{D5CDD505-2E9C-101B-9397-08002B2CF9AE}" pid="7" name="CommencementDate">
    <vt:lpwstr>20210501</vt:lpwstr>
  </property>
</Properties>
</file>