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_Toc77172798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_Toc77172799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_Toc77172800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_Toc77172801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_Toc77172803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_Toc77172804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_Toc77172805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_Toc77172806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_Toc77172807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_Toc77172808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_Toc77172809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_Toc77172810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_Toc77172811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_Toc77172812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_Toc77172813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_Toc77172814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_Toc77172815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_Toc77172816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_Toc77172817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_Toc77172819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_Toc77172820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_Toc77172821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_Toc77172822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_Toc77172823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_Toc77172824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_Toc77172825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_Toc77172826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_Toc77172827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_Toc77172828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_Toc77172829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_Toc77172830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_Toc77172831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_Toc77172832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_Toc77172833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_Toc77172834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_Toc77172835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_Toc77172836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_Toc77172837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_Toc77172841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_Toc77172842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_Toc77172843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_Toc77172844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_Toc77172845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_Toc77172846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_Toc77172847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_Toc77172848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_Toc77172849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_Toc77172850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_Toc77172852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_Toc77172854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_Toc77172856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_Toc77172857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_Toc77172858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_Toc77172859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_Toc77172860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_Toc77172862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_Toc77172863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_Toc77172864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_Toc77172865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_Toc77172866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_Toc77172867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_Toc77172869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_Toc77172870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_Toc77172871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_Toc77172873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_Toc77172874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_Toc77172875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_Toc77172876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_Toc77172877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_Toc77172880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_Toc77172882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_Toc77172884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_Toc77172885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_Toc77172886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_Toc77172887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_Toc77172888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_Toc77172889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_Toc77172890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_Toc77172891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_Toc77172893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_Toc77172894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_Toc77172895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_Toc77172896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_Toc77172897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_Toc77172898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_Toc77172899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_Toc77172900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_Toc77172902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_Toc77172903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_Toc77172904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_Toc77172906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_Toc77172907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_Toc77172908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_Toc77172914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_Toc77172916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_Toc77172917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_Toc77172924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_Toc77172925 \h </w:instrText>
      </w:r>
      <w:r>
        <w:fldChar w:fldCharType="separate"/>
      </w:r>
      <w:r>
        <w:t>124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_Toc77172926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77156406"/>
      <w:bookmarkStart w:id="4" w:name="_Toc77157111"/>
      <w:bookmarkStart w:id="5" w:name="_Toc7717279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717279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7717279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77172800"/>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77172801"/>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77156411"/>
      <w:bookmarkStart w:id="11" w:name="_Toc77157116"/>
      <w:bookmarkStart w:id="12" w:name="_Toc77172802"/>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77172803"/>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77172804"/>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77172805"/>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77172806"/>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77172807"/>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77172808"/>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77172809"/>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77172810"/>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77172811"/>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77172812"/>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77172813"/>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77172814"/>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77172815"/>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77172816"/>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77172817"/>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77156427"/>
      <w:bookmarkStart w:id="29" w:name="_Toc77157132"/>
      <w:bookmarkStart w:id="30" w:name="_Toc77172818"/>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7172819"/>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7172820"/>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7172821"/>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7172822"/>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77172823"/>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7172824"/>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77172825"/>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7172826"/>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7172827"/>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7172828"/>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7172829"/>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77172830"/>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7172831"/>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7172832"/>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7172833"/>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77172834"/>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7172835"/>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7172836"/>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7172837"/>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7156447"/>
      <w:bookmarkStart w:id="51" w:name="_Toc77157152"/>
      <w:bookmarkStart w:id="52" w:name="_Toc77172838"/>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7156448"/>
      <w:bookmarkStart w:id="54" w:name="_Toc77157153"/>
      <w:bookmarkStart w:id="55" w:name="_Toc77172839"/>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7156449"/>
      <w:bookmarkStart w:id="57" w:name="_Toc77157154"/>
      <w:bookmarkStart w:id="58" w:name="_Toc77172840"/>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7172841"/>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77172842"/>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1" w:name="_Toc77172843"/>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77172844"/>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77172845"/>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77172846"/>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7717284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7717284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77172849"/>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77172850"/>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77156460"/>
      <w:bookmarkStart w:id="70" w:name="_Toc77157165"/>
      <w:bookmarkStart w:id="71" w:name="_Toc77172851"/>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77172852"/>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77156462"/>
      <w:bookmarkStart w:id="74" w:name="_Toc77157167"/>
      <w:bookmarkStart w:id="75" w:name="_Toc77172853"/>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77172854"/>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77156464"/>
      <w:bookmarkStart w:id="78" w:name="_Toc77157169"/>
      <w:bookmarkStart w:id="79" w:name="_Toc77172855"/>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77172856"/>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77172857"/>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77172858"/>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77172859"/>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77172860"/>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77156470"/>
      <w:bookmarkStart w:id="86" w:name="_Toc77157175"/>
      <w:bookmarkStart w:id="87" w:name="_Toc77172861"/>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77172862"/>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77172863"/>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77172864"/>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91" w:name="_Toc77172865"/>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2" w:name="_Toc77172866"/>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77172867"/>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lastRenderedPageBreak/>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lastRenderedPageBreak/>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77156477"/>
      <w:bookmarkStart w:id="95" w:name="_Toc77157182"/>
      <w:bookmarkStart w:id="96" w:name="_Toc77172868"/>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77172869"/>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77172870"/>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77172871"/>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77156481"/>
      <w:bookmarkStart w:id="101" w:name="_Toc77157186"/>
      <w:bookmarkStart w:id="102" w:name="_Toc77172872"/>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77172873"/>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77172874"/>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77172875"/>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77172876"/>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77172877"/>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77156487"/>
      <w:bookmarkStart w:id="109" w:name="_Toc77157192"/>
      <w:bookmarkStart w:id="110" w:name="_Toc77172878"/>
      <w:r>
        <w:rPr>
          <w:rStyle w:val="CharPartNo"/>
        </w:rPr>
        <w:lastRenderedPageBreak/>
        <w:t>Part 8</w:t>
      </w:r>
      <w:r>
        <w:t> — </w:t>
      </w:r>
      <w:r>
        <w:rPr>
          <w:rStyle w:val="CharPartText"/>
        </w:rPr>
        <w:t>Existing buildings</w:t>
      </w:r>
      <w:bookmarkEnd w:id="108"/>
      <w:bookmarkEnd w:id="109"/>
      <w:bookmarkEnd w:id="110"/>
    </w:p>
    <w:p>
      <w:pPr>
        <w:pStyle w:val="Heading3"/>
      </w:pPr>
      <w:bookmarkStart w:id="111" w:name="_Toc77156488"/>
      <w:bookmarkStart w:id="112" w:name="_Toc77157193"/>
      <w:bookmarkStart w:id="113" w:name="_Toc77172879"/>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77172880"/>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77156490"/>
      <w:bookmarkStart w:id="116" w:name="_Toc77157195"/>
      <w:bookmarkStart w:id="117" w:name="_Toc77172881"/>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77172882"/>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77156492"/>
      <w:bookmarkStart w:id="120" w:name="_Toc77157197"/>
      <w:bookmarkStart w:id="121" w:name="_Toc77172883"/>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77172884"/>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77172885"/>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77172886"/>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77172887"/>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77172888"/>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77172889"/>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77172890"/>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77172891"/>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77156501"/>
      <w:bookmarkStart w:id="131" w:name="_Toc77157206"/>
      <w:bookmarkStart w:id="132" w:name="_Toc77172892"/>
      <w:r>
        <w:rPr>
          <w:rStyle w:val="CharDivNo"/>
        </w:rPr>
        <w:t>Division 3</w:t>
      </w:r>
      <w:r>
        <w:t> — </w:t>
      </w:r>
      <w:r>
        <w:rPr>
          <w:rStyle w:val="CharDivText"/>
        </w:rPr>
        <w:t>Smoke alarms</w:t>
      </w:r>
      <w:bookmarkEnd w:id="130"/>
      <w:bookmarkEnd w:id="131"/>
      <w:bookmarkEnd w:id="132"/>
    </w:p>
    <w:p>
      <w:pPr>
        <w:pStyle w:val="Heading5"/>
      </w:pPr>
      <w:bookmarkStart w:id="133" w:name="_Toc77172893"/>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77172894"/>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77172895"/>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77172896"/>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77172897"/>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77172898"/>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77172899"/>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77172900"/>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77156510"/>
      <w:bookmarkStart w:id="142" w:name="_Toc77157215"/>
      <w:bookmarkStart w:id="143" w:name="_Toc77172901"/>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77172902"/>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77172903"/>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77172904"/>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77156514"/>
      <w:bookmarkStart w:id="148" w:name="_Toc77157219"/>
      <w:bookmarkStart w:id="149" w:name="_Toc77172905"/>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77172906"/>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77172907"/>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77172908"/>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77156518"/>
      <w:bookmarkStart w:id="155" w:name="_Toc77157223"/>
      <w:bookmarkStart w:id="156" w:name="_Toc77172909"/>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77156519"/>
      <w:bookmarkStart w:id="158" w:name="_Toc77157224"/>
      <w:bookmarkStart w:id="159" w:name="_Toc77172910"/>
      <w:r>
        <w:rPr>
          <w:rStyle w:val="CharSDivNo"/>
        </w:rPr>
        <w:t>Division 1</w:t>
      </w:r>
      <w:r>
        <w:t> — </w:t>
      </w:r>
      <w:r>
        <w:rPr>
          <w:rStyle w:val="CharSDivText"/>
        </w:rPr>
        <w:t>Applications for building permits, demolition permits</w:t>
      </w:r>
      <w:bookmarkEnd w:id="157"/>
      <w:bookmarkEnd w:id="158"/>
      <w:bookmarkEnd w:id="15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77156520"/>
      <w:bookmarkStart w:id="161" w:name="_Toc77157225"/>
      <w:bookmarkStart w:id="162" w:name="_Toc77172911"/>
      <w:r>
        <w:rPr>
          <w:rStyle w:val="CharSDivNo"/>
        </w:rPr>
        <w:t>Division 2</w:t>
      </w:r>
      <w:r>
        <w:t> — </w:t>
      </w:r>
      <w:r>
        <w:rPr>
          <w:rStyle w:val="CharSDivText"/>
        </w:rPr>
        <w:t>Application for occupancy permits, building approval certificates</w:t>
      </w:r>
      <w:bookmarkEnd w:id="160"/>
      <w:bookmarkEnd w:id="161"/>
      <w:bookmarkEnd w:id="162"/>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3" w:name="_Toc77156521"/>
      <w:bookmarkStart w:id="164" w:name="_Toc77157226"/>
      <w:bookmarkStart w:id="165" w:name="_Toc77172912"/>
      <w:r>
        <w:rPr>
          <w:rStyle w:val="CharSDivNo"/>
        </w:rPr>
        <w:t>Division 3</w:t>
      </w:r>
      <w:r>
        <w:t> — </w:t>
      </w:r>
      <w:r>
        <w:rPr>
          <w:rStyle w:val="CharSDivText"/>
        </w:rPr>
        <w:t>Other applications</w:t>
      </w:r>
      <w:bookmarkEnd w:id="163"/>
      <w:bookmarkEnd w:id="164"/>
      <w:bookmarkEnd w:id="16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6" w:name="_Toc77156522"/>
      <w:bookmarkStart w:id="167" w:name="_Toc77157227"/>
      <w:bookmarkStart w:id="168" w:name="_Toc77172913"/>
      <w:r>
        <w:rPr>
          <w:rStyle w:val="CharSchNo"/>
        </w:rPr>
        <w:lastRenderedPageBreak/>
        <w:t>Schedule 3</w:t>
      </w:r>
      <w:r>
        <w:t> — </w:t>
      </w:r>
      <w:r>
        <w:rPr>
          <w:rStyle w:val="CharSchText"/>
        </w:rPr>
        <w:t>Inspections or tests of systems</w:t>
      </w:r>
      <w:bookmarkEnd w:id="166"/>
      <w:bookmarkEnd w:id="167"/>
      <w:bookmarkEnd w:id="168"/>
    </w:p>
    <w:p>
      <w:pPr>
        <w:pStyle w:val="yShoulderClause"/>
      </w:pPr>
      <w:r>
        <w:t>[r. 27]</w:t>
      </w:r>
    </w:p>
    <w:p>
      <w:pPr>
        <w:pStyle w:val="yHeading5"/>
      </w:pPr>
      <w:bookmarkStart w:id="169" w:name="_Toc77172914"/>
      <w:r>
        <w:rPr>
          <w:rStyle w:val="CharSClsNo"/>
        </w:rPr>
        <w:t>1</w:t>
      </w:r>
      <w:r>
        <w:t>.</w:t>
      </w:r>
      <w:r>
        <w:tab/>
        <w:t>Term used: EP</w:t>
      </w:r>
      <w:bookmarkEnd w:id="16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70" w:name="_Toc77156524"/>
      <w:bookmarkStart w:id="171" w:name="_Toc77157229"/>
      <w:bookmarkStart w:id="172" w:name="_Toc77172915"/>
      <w:r>
        <w:rPr>
          <w:rStyle w:val="CharSchNo"/>
        </w:rPr>
        <w:lastRenderedPageBreak/>
        <w:t>Schedule 4</w:t>
      </w:r>
      <w:r>
        <w:t> — </w:t>
      </w:r>
      <w:r>
        <w:rPr>
          <w:rStyle w:val="CharSchText"/>
        </w:rPr>
        <w:t>Building work that does not require building permit</w:t>
      </w:r>
      <w:bookmarkEnd w:id="170"/>
      <w:bookmarkEnd w:id="171"/>
      <w:bookmarkEnd w:id="172"/>
    </w:p>
    <w:p>
      <w:pPr>
        <w:pStyle w:val="yShoulderClause"/>
      </w:pPr>
      <w:r>
        <w:t>[r. 41]</w:t>
      </w:r>
    </w:p>
    <w:p>
      <w:pPr>
        <w:pStyle w:val="yHeading5"/>
        <w:rPr>
          <w:rStyle w:val="CharSDivText"/>
        </w:rPr>
      </w:pPr>
      <w:bookmarkStart w:id="173" w:name="_Toc77172916"/>
      <w:r>
        <w:rPr>
          <w:rStyle w:val="CharSClsNo"/>
        </w:rPr>
        <w:t>1</w:t>
      </w:r>
      <w:r>
        <w:t>.</w:t>
      </w:r>
      <w:r>
        <w:tab/>
      </w:r>
      <w:r>
        <w:rPr>
          <w:rStyle w:val="CharSDivText"/>
        </w:rPr>
        <w:t>Areas where building permit not required for certain work</w:t>
      </w:r>
      <w:bookmarkEnd w:id="17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4" w:name="_Toc77172917"/>
      <w:r>
        <w:rPr>
          <w:rStyle w:val="CharSClsNo"/>
        </w:rPr>
        <w:t>2</w:t>
      </w:r>
      <w:r>
        <w:t>.</w:t>
      </w:r>
      <w:r>
        <w:tab/>
      </w:r>
      <w:r>
        <w:rPr>
          <w:rStyle w:val="CharSDivText"/>
        </w:rPr>
        <w:t>Kinds of building work for which a building permit is not required</w:t>
      </w:r>
      <w:bookmarkEnd w:id="17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5" w:name="_Toc77156527"/>
      <w:bookmarkStart w:id="176" w:name="_Toc77157232"/>
      <w:bookmarkStart w:id="177" w:name="_Toc77172918"/>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5"/>
      <w:bookmarkEnd w:id="176"/>
      <w:bookmarkEnd w:id="17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8" w:name="_Toc77156528"/>
      <w:bookmarkStart w:id="179" w:name="_Toc77157233"/>
      <w:bookmarkStart w:id="180" w:name="_Toc77172919"/>
      <w:r>
        <w:rPr>
          <w:rStyle w:val="CharSchNo"/>
        </w:rPr>
        <w:lastRenderedPageBreak/>
        <w:t>Schedule 6</w:t>
      </w:r>
      <w:r>
        <w:t> — </w:t>
      </w:r>
      <w:r>
        <w:rPr>
          <w:rStyle w:val="CharSchText"/>
        </w:rPr>
        <w:t>Prescribed offences and modified penalties</w:t>
      </w:r>
      <w:bookmarkEnd w:id="178"/>
      <w:bookmarkEnd w:id="179"/>
      <w:bookmarkEnd w:id="180"/>
    </w:p>
    <w:p>
      <w:pPr>
        <w:pStyle w:val="yShoulderClause"/>
      </w:pPr>
      <w:r>
        <w:t>[r. 69]</w:t>
      </w:r>
    </w:p>
    <w:p>
      <w:pPr>
        <w:pStyle w:val="yFootnoteheading"/>
      </w:pPr>
      <w:r>
        <w:tab/>
        <w:t>[Heading inserted: Gazette 26 Apr 2019 p. 1210.]</w:t>
      </w:r>
    </w:p>
    <w:p>
      <w:pPr>
        <w:pStyle w:val="yHeading3"/>
      </w:pPr>
      <w:bookmarkStart w:id="181" w:name="_Toc77156529"/>
      <w:bookmarkStart w:id="182" w:name="_Toc77157234"/>
      <w:bookmarkStart w:id="183" w:name="_Toc77172920"/>
      <w:r>
        <w:rPr>
          <w:rStyle w:val="CharSDivNo"/>
        </w:rPr>
        <w:t>Division 1</w:t>
      </w:r>
      <w:r>
        <w:t> — </w:t>
      </w:r>
      <w:r>
        <w:rPr>
          <w:rStyle w:val="CharSDivText"/>
        </w:rPr>
        <w:t>Offences under the Act</w:t>
      </w:r>
      <w:bookmarkEnd w:id="181"/>
      <w:bookmarkEnd w:id="182"/>
      <w:bookmarkEnd w:id="1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4" w:name="_Toc77156530"/>
      <w:bookmarkStart w:id="185" w:name="_Toc77157235"/>
      <w:bookmarkStart w:id="186" w:name="_Toc77172921"/>
      <w:r>
        <w:rPr>
          <w:rStyle w:val="CharSDivNo"/>
        </w:rPr>
        <w:t>Division 2</w:t>
      </w:r>
      <w:r>
        <w:t> — </w:t>
      </w:r>
      <w:r>
        <w:rPr>
          <w:rStyle w:val="CharSDivText"/>
        </w:rPr>
        <w:t>Offences under these regulations</w:t>
      </w:r>
      <w:bookmarkEnd w:id="184"/>
      <w:bookmarkEnd w:id="185"/>
      <w:bookmarkEnd w:id="186"/>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7" w:name="_Toc77156531"/>
      <w:bookmarkStart w:id="188" w:name="_Toc77157236"/>
      <w:bookmarkStart w:id="189" w:name="_Toc77172922"/>
      <w:r>
        <w:rPr>
          <w:rStyle w:val="CharSchNo"/>
        </w:rPr>
        <w:lastRenderedPageBreak/>
        <w:t>Schedule 7</w:t>
      </w:r>
      <w:r>
        <w:rPr>
          <w:rStyle w:val="CharSDivNo"/>
        </w:rPr>
        <w:t> </w:t>
      </w:r>
      <w:r>
        <w:t>—</w:t>
      </w:r>
      <w:r>
        <w:rPr>
          <w:rStyle w:val="CharSDivText"/>
        </w:rPr>
        <w:t> </w:t>
      </w:r>
      <w:r>
        <w:rPr>
          <w:rStyle w:val="CharSchText"/>
        </w:rPr>
        <w:t>Forms</w:t>
      </w:r>
      <w:bookmarkEnd w:id="187"/>
      <w:bookmarkEnd w:id="188"/>
      <w:bookmarkEnd w:id="1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90" w:name="_Toc77156532"/>
      <w:bookmarkStart w:id="191" w:name="_Toc77157237"/>
      <w:bookmarkStart w:id="192" w:name="_Toc77172923"/>
      <w:r>
        <w:lastRenderedPageBreak/>
        <w:t>Notes</w:t>
      </w:r>
      <w:bookmarkEnd w:id="190"/>
      <w:bookmarkEnd w:id="191"/>
      <w:bookmarkEnd w:id="192"/>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 w:name="_Toc77172924"/>
      <w:r>
        <w:t>Compilation table</w:t>
      </w:r>
      <w:bookmarkEnd w:id="1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single" w:sz="8" w:space="0" w:color="auto"/>
              <w:right w:val="nil"/>
            </w:tcBorders>
          </w:tcPr>
          <w:p>
            <w:pPr>
              <w:pStyle w:val="nTable"/>
              <w:keepLines/>
              <w:spacing w:after="40"/>
            </w:pPr>
            <w:r>
              <w:t>SL 2021/86 21 Jun 2021</w:t>
            </w:r>
          </w:p>
        </w:tc>
        <w:tc>
          <w:tcPr>
            <w:tcW w:w="2693" w:type="dxa"/>
            <w:tcBorders>
              <w:top w:val="nil"/>
              <w:left w:val="nil"/>
              <w:bottom w:val="single" w:sz="8" w:space="0" w:color="auto"/>
            </w:tcBorders>
          </w:tcPr>
          <w:p>
            <w:pPr>
              <w:pStyle w:val="nTable"/>
              <w:keepLines/>
              <w:spacing w:after="40"/>
            </w:pPr>
            <w:r>
              <w:t>1 Jul 2021 (see r. 2(b))</w:t>
            </w:r>
          </w:p>
        </w:tc>
      </w:tr>
    </w:tbl>
    <w:p>
      <w:pPr>
        <w:pStyle w:val="nHeading3"/>
      </w:pPr>
      <w:bookmarkStart w:id="194" w:name="_Toc77172925"/>
      <w:r>
        <w:t>Uncommenced provisions table</w:t>
      </w:r>
      <w:bookmarkEnd w:id="19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(Swan Valley Planning Scheme) Regulations 2021</w:t>
            </w:r>
            <w:r>
              <w:t xml:space="preserve"> Pt. 2</w:t>
            </w:r>
          </w:p>
        </w:tc>
        <w:tc>
          <w:tcPr>
            <w:tcW w:w="1276" w:type="dxa"/>
          </w:tcPr>
          <w:p>
            <w:pPr>
              <w:pStyle w:val="nTable"/>
              <w:spacing w:after="40"/>
            </w:pPr>
            <w:r>
              <w:t>SL 2021/130 16 Jul 2021</w:t>
            </w:r>
          </w:p>
        </w:tc>
        <w:tc>
          <w:tcPr>
            <w:tcW w:w="2693" w:type="dxa"/>
          </w:tcPr>
          <w:p>
            <w:pPr>
              <w:pStyle w:val="nTable"/>
              <w:spacing w:after="40"/>
            </w:pPr>
            <w:r>
              <w:t>1 Aug 2021 (see r. 2(b) and SL 2021/124 cl. 2)</w:t>
            </w:r>
          </w:p>
        </w:tc>
      </w:tr>
    </w:tbl>
    <w:p>
      <w:pPr>
        <w:pStyle w:val="nHeading3"/>
      </w:pPr>
      <w:bookmarkStart w:id="195" w:name="_Toc77172926"/>
      <w:r>
        <w:lastRenderedPageBreak/>
        <w:t>Other notes</w:t>
      </w:r>
      <w:bookmarkEnd w:id="19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7" w:name="_Toc77156535"/>
      <w:bookmarkStart w:id="198" w:name="_Toc77157241"/>
      <w:bookmarkStart w:id="199" w:name="_Toc77172927"/>
      <w:r>
        <w:rPr>
          <w:sz w:val="28"/>
        </w:rPr>
        <w:lastRenderedPageBreak/>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11585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EC0F-5727-4D00-AF8A-A675B150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27175</Words>
  <Characters>134789</Characters>
  <Application>Microsoft Office Word</Application>
  <DocSecurity>0</DocSecurity>
  <Lines>4647</Lines>
  <Paragraphs>2612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2012 - 04-m0-01</dc:title>
  <dc:subject/>
  <dc:creator/>
  <cp:keywords/>
  <dc:description/>
  <cp:lastModifiedBy>Master Repository Process</cp:lastModifiedBy>
  <cp:revision>4</cp:revision>
  <cp:lastPrinted>2019-11-01T04:18:00Z</cp:lastPrinted>
  <dcterms:created xsi:type="dcterms:W3CDTF">2022-06-27T06:32:00Z</dcterms:created>
  <dcterms:modified xsi:type="dcterms:W3CDTF">2022-06-27T06:33:00Z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16 Jul 2021</vt:lpwstr>
  </property>
  <property fmtid="{D5CDD505-2E9C-101B-9397-08002B2CF9AE}" pid="7" name="Suffix">
    <vt:lpwstr>04-m0-01</vt:lpwstr>
  </property>
  <property fmtid="{D5CDD505-2E9C-101B-9397-08002B2CF9AE}" pid="8" name="CommencementDate">
    <vt:lpwstr>20210716</vt:lpwstr>
  </property>
</Properties>
</file>