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Family Court Rules 1998</w:t>
      </w:r>
      <w:r>
        <w:fldChar w:fldCharType="end"/>
      </w:r>
    </w:p>
    <w:p>
      <w:pPr>
        <w:pStyle w:val="Subsection"/>
      </w:pPr>
      <w:r>
        <w:tab/>
      </w:r>
      <w:r>
        <w:tab/>
        <w:t xml:space="preserve">These regulations were repealed by the </w:t>
      </w:r>
      <w:r>
        <w:rPr>
          <w:i/>
        </w:rPr>
        <w:t>Family Court Rules 2021</w:t>
      </w:r>
      <w:r>
        <w:t xml:space="preserve"> r. 553 (SL 2021/148) as at 23 Aug 2021 (see r. 2(b)).</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Rules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_Toc80102519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rules</w:t>
      </w:r>
      <w:r>
        <w:tab/>
      </w:r>
      <w:r>
        <w:fldChar w:fldCharType="begin"/>
      </w:r>
      <w:r>
        <w:instrText xml:space="preserve"> PAGEREF _Toc80102520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Dispensing with compliance</w:t>
      </w:r>
      <w:r>
        <w:tab/>
      </w:r>
      <w:r>
        <w:fldChar w:fldCharType="begin"/>
      </w:r>
      <w:r>
        <w:instrText xml:space="preserve"> PAGEREF _Toc80102521 \h </w:instrText>
      </w:r>
      <w:r>
        <w:fldChar w:fldCharType="separate"/>
      </w:r>
      <w:r>
        <w:t>1</w:t>
      </w:r>
      <w:r>
        <w:fldChar w:fldCharType="end"/>
      </w:r>
    </w:p>
    <w:p>
      <w:pPr>
        <w:pStyle w:val="TOC8"/>
        <w:rPr>
          <w:rFonts w:asciiTheme="minorHAnsi" w:eastAsiaTheme="minorEastAsia" w:hAnsiTheme="minorHAnsi" w:cstheme="minorBidi"/>
          <w:szCs w:val="22"/>
        </w:rPr>
      </w:pPr>
      <w:r>
        <w:t>4.</w:t>
      </w:r>
      <w:r>
        <w:tab/>
        <w:t>Rules to be read with Family Law Rules</w:t>
      </w:r>
      <w:r>
        <w:tab/>
      </w:r>
      <w:r>
        <w:fldChar w:fldCharType="begin"/>
      </w:r>
      <w:r>
        <w:instrText xml:space="preserve"> PAGEREF _Toc80102522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rPr>
          <w:snapToGrid w:val="0"/>
        </w:rPr>
        <w:t>.</w:t>
      </w:r>
      <w:r>
        <w:rPr>
          <w:snapToGrid w:val="0"/>
        </w:rPr>
        <w:tab/>
        <w:t>Seal</w:t>
      </w:r>
      <w:r>
        <w:tab/>
      </w:r>
      <w:r>
        <w:fldChar w:fldCharType="begin"/>
      </w:r>
      <w:r>
        <w:instrText xml:space="preserve"> PAGEREF _Toc80102525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Sittings and registry hours</w:t>
      </w:r>
      <w:r>
        <w:tab/>
      </w:r>
      <w:r>
        <w:fldChar w:fldCharType="begin"/>
      </w:r>
      <w:r>
        <w:instrText xml:space="preserve"> PAGEREF _Toc80102526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Oaths and affirmations</w:t>
      </w:r>
      <w:r>
        <w:tab/>
      </w:r>
      <w:r>
        <w:fldChar w:fldCharType="begin"/>
      </w:r>
      <w:r>
        <w:instrText xml:space="preserve"> PAGEREF _Toc80102527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 registers and indexes</w:t>
      </w:r>
      <w:r>
        <w:tab/>
      </w:r>
      <w:r>
        <w:fldChar w:fldCharType="begin"/>
      </w:r>
      <w:r>
        <w:instrText xml:space="preserve"> PAGEREF _Toc80102528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Affidavits</w:t>
      </w:r>
      <w:r>
        <w:tab/>
      </w:r>
      <w:r>
        <w:fldChar w:fldCharType="begin"/>
      </w:r>
      <w:r>
        <w:instrText xml:space="preserve"> PAGEREF _Toc80102529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Bonds</w:t>
      </w:r>
      <w:r>
        <w:tab/>
      </w:r>
      <w:r>
        <w:fldChar w:fldCharType="begin"/>
      </w:r>
      <w:r>
        <w:instrText xml:space="preserve"> PAGEREF _Toc80102530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Costs where court has no jurisdiction</w:t>
      </w:r>
      <w:r>
        <w:tab/>
      </w:r>
      <w:r>
        <w:fldChar w:fldCharType="begin"/>
      </w:r>
      <w:r>
        <w:instrText xml:space="preserve"> PAGEREF _Toc80102531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Adoption of Family Law Rules</w:t>
      </w:r>
    </w:p>
    <w:p>
      <w:pPr>
        <w:pStyle w:val="TOC8"/>
        <w:rPr>
          <w:rFonts w:asciiTheme="minorHAnsi" w:eastAsiaTheme="minorEastAsia" w:hAnsiTheme="minorHAnsi" w:cstheme="minorBidi"/>
          <w:szCs w:val="22"/>
        </w:rPr>
      </w:pPr>
      <w:r>
        <w:t>12</w:t>
      </w:r>
      <w:r>
        <w:rPr>
          <w:snapToGrid w:val="0"/>
        </w:rPr>
        <w:t>.</w:t>
      </w:r>
      <w:r>
        <w:rPr>
          <w:snapToGrid w:val="0"/>
        </w:rPr>
        <w:tab/>
        <w:t>Adoption of certain Family Law Rules for federal jurisdiction</w:t>
      </w:r>
      <w:r>
        <w:tab/>
      </w:r>
      <w:r>
        <w:fldChar w:fldCharType="begin"/>
      </w:r>
      <w:r>
        <w:instrText xml:space="preserve"> PAGEREF _Toc80102533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of certain Family Law Rules for non-federal jurisdictions</w:t>
      </w:r>
      <w:r>
        <w:tab/>
      </w:r>
      <w:r>
        <w:fldChar w:fldCharType="begin"/>
      </w:r>
      <w:r>
        <w:instrText xml:space="preserve"> PAGEREF _Toc80102534 \h </w:instrText>
      </w:r>
      <w:r>
        <w:fldChar w:fldCharType="separate"/>
      </w:r>
      <w:r>
        <w:t>6</w:t>
      </w:r>
      <w:r>
        <w:fldChar w:fldCharType="end"/>
      </w:r>
    </w:p>
    <w:p>
      <w:pPr>
        <w:pStyle w:val="TOC8"/>
        <w:rPr>
          <w:rFonts w:asciiTheme="minorHAnsi" w:eastAsiaTheme="minorEastAsia" w:hAnsiTheme="minorHAnsi" w:cstheme="minorBidi"/>
          <w:szCs w:val="22"/>
        </w:rPr>
      </w:pPr>
      <w:r>
        <w:t>13A.</w:t>
      </w:r>
      <w:r>
        <w:tab/>
        <w:t>Specific Family Law Rules that are adopted and applied in a modified form</w:t>
      </w:r>
      <w:r>
        <w:tab/>
      </w:r>
      <w:r>
        <w:fldChar w:fldCharType="begin"/>
      </w:r>
      <w:r>
        <w:instrText xml:space="preserve"> PAGEREF _Toc80102535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Accounting and enforcement</w:t>
      </w:r>
    </w:p>
    <w:p>
      <w:pPr>
        <w:pStyle w:val="TOC8"/>
        <w:rPr>
          <w:rFonts w:asciiTheme="minorHAnsi" w:eastAsiaTheme="minorEastAsia" w:hAnsiTheme="minorHAnsi" w:cstheme="minorBidi"/>
          <w:szCs w:val="22"/>
        </w:rPr>
      </w:pPr>
      <w:r>
        <w:t>14.</w:t>
      </w:r>
      <w:r>
        <w:tab/>
        <w:t>Term used in this Division</w:t>
      </w:r>
      <w:r>
        <w:tab/>
      </w:r>
      <w:r>
        <w:fldChar w:fldCharType="begin"/>
      </w:r>
      <w:r>
        <w:instrText xml:space="preserve"> PAGEREF _Toc80102537 \h </w:instrText>
      </w:r>
      <w:r>
        <w:fldChar w:fldCharType="separate"/>
      </w:r>
      <w:r>
        <w:t>10</w:t>
      </w:r>
      <w:r>
        <w:fldChar w:fldCharType="end"/>
      </w:r>
    </w:p>
    <w:p>
      <w:pPr>
        <w:pStyle w:val="TOC8"/>
        <w:rPr>
          <w:rFonts w:asciiTheme="minorHAnsi" w:eastAsiaTheme="minorEastAsia" w:hAnsiTheme="minorHAnsi" w:cstheme="minorBidi"/>
          <w:szCs w:val="22"/>
        </w:rPr>
      </w:pPr>
      <w:r>
        <w:t>15.</w:t>
      </w:r>
      <w:r>
        <w:tab/>
        <w:t>Collector of Maintenance</w:t>
      </w:r>
      <w:r>
        <w:tab/>
      </w:r>
      <w:r>
        <w:fldChar w:fldCharType="begin"/>
      </w:r>
      <w:r>
        <w:instrText xml:space="preserve"> PAGEREF _Toc80102538 \h </w:instrText>
      </w:r>
      <w:r>
        <w:fldChar w:fldCharType="separate"/>
      </w:r>
      <w:r>
        <w:t>10</w:t>
      </w:r>
      <w:r>
        <w:fldChar w:fldCharType="end"/>
      </w:r>
    </w:p>
    <w:p>
      <w:pPr>
        <w:pStyle w:val="TOC8"/>
        <w:rPr>
          <w:rFonts w:asciiTheme="minorHAnsi" w:eastAsiaTheme="minorEastAsia" w:hAnsiTheme="minorHAnsi" w:cstheme="minorBidi"/>
          <w:szCs w:val="22"/>
        </w:rPr>
      </w:pPr>
      <w:r>
        <w:t>16.</w:t>
      </w:r>
      <w:r>
        <w:tab/>
        <w:t>Accounting</w:t>
      </w:r>
      <w:r>
        <w:tab/>
      </w:r>
      <w:r>
        <w:fldChar w:fldCharType="begin"/>
      </w:r>
      <w:r>
        <w:instrText xml:space="preserve"> PAGEREF _Toc80102539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election</w:t>
      </w:r>
      <w:r>
        <w:tab/>
      </w:r>
      <w:r>
        <w:fldChar w:fldCharType="begin"/>
      </w:r>
      <w:r>
        <w:instrText xml:space="preserve"> PAGEREF _Toc80102540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Notice of withdrawal of election</w:t>
      </w:r>
      <w:r>
        <w:tab/>
      </w:r>
      <w:r>
        <w:fldChar w:fldCharType="begin"/>
      </w:r>
      <w:r>
        <w:instrText xml:space="preserve"> PAGEREF _Toc80102541 \h </w:instrText>
      </w:r>
      <w:r>
        <w:fldChar w:fldCharType="separate"/>
      </w:r>
      <w:r>
        <w:t>12</w:t>
      </w:r>
      <w:r>
        <w:fldChar w:fldCharType="end"/>
      </w:r>
    </w:p>
    <w:p>
      <w:pPr>
        <w:pStyle w:val="TOC8"/>
        <w:rPr>
          <w:rFonts w:asciiTheme="minorHAnsi" w:eastAsiaTheme="minorEastAsia" w:hAnsiTheme="minorHAnsi" w:cstheme="minorBidi"/>
          <w:szCs w:val="22"/>
        </w:rPr>
      </w:pPr>
      <w:r>
        <w:t>19.</w:t>
      </w:r>
      <w:r>
        <w:tab/>
        <w:t>Duties of Collector of Maintenance or clerk as to enforcement</w:t>
      </w:r>
      <w:r>
        <w:tab/>
      </w:r>
      <w:r>
        <w:fldChar w:fldCharType="begin"/>
      </w:r>
      <w:r>
        <w:instrText xml:space="preserve"> PAGEREF _Toc80102542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Registrars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20.</w:t>
      </w:r>
      <w:r>
        <w:tab/>
        <w:t>Term used in this Part</w:t>
      </w:r>
      <w:r>
        <w:tab/>
      </w:r>
      <w:r>
        <w:fldChar w:fldCharType="begin"/>
      </w:r>
      <w:r>
        <w:instrText xml:space="preserve"> PAGEREF _Toc80102545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Exercise of powers and functions of registrars</w:t>
      </w:r>
      <w:r>
        <w:tab/>
      </w:r>
      <w:r>
        <w:fldChar w:fldCharType="begin"/>
      </w:r>
      <w:r>
        <w:instrText xml:space="preserve"> PAGEREF _Toc80102546 \h </w:instrText>
      </w:r>
      <w:r>
        <w:fldChar w:fldCharType="separate"/>
      </w:r>
      <w:r>
        <w:t>14</w:t>
      </w:r>
      <w:r>
        <w:fldChar w:fldCharType="end"/>
      </w:r>
    </w:p>
    <w:p>
      <w:pPr>
        <w:pStyle w:val="TOC8"/>
        <w:rPr>
          <w:rFonts w:asciiTheme="minorHAnsi" w:eastAsiaTheme="minorEastAsia" w:hAnsiTheme="minorHAnsi" w:cstheme="minorBidi"/>
          <w:szCs w:val="22"/>
        </w:rPr>
      </w:pPr>
      <w:r>
        <w:t>22.</w:t>
      </w:r>
      <w:r>
        <w:tab/>
        <w:t>Registrars not required to give reasons</w:t>
      </w:r>
      <w:r>
        <w:tab/>
      </w:r>
      <w:r>
        <w:fldChar w:fldCharType="begin"/>
      </w:r>
      <w:r>
        <w:instrText xml:space="preserve"> PAGEREF _Toc80102547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Protection and immunity</w:t>
      </w:r>
      <w:r>
        <w:tab/>
      </w:r>
      <w:r>
        <w:fldChar w:fldCharType="begin"/>
      </w:r>
      <w:r>
        <w:instrText xml:space="preserve"> PAGEREF _Toc80102548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Delegation of judicial power to registrars</w:t>
      </w:r>
    </w:p>
    <w:p>
      <w:pPr>
        <w:pStyle w:val="TOC8"/>
        <w:rPr>
          <w:rFonts w:asciiTheme="minorHAnsi" w:eastAsiaTheme="minorEastAsia" w:hAnsiTheme="minorHAnsi" w:cstheme="minorBidi"/>
          <w:szCs w:val="22"/>
        </w:rPr>
      </w:pPr>
      <w:r>
        <w:t>24</w:t>
      </w:r>
      <w:r>
        <w:rPr>
          <w:snapToGrid w:val="0"/>
        </w:rPr>
        <w:t>.</w:t>
      </w:r>
      <w:r>
        <w:rPr>
          <w:snapToGrid w:val="0"/>
        </w:rPr>
        <w:tab/>
        <w:t>Delegation of powers to registrars</w:t>
      </w:r>
      <w:r>
        <w:tab/>
      </w:r>
      <w:r>
        <w:fldChar w:fldCharType="begin"/>
      </w:r>
      <w:r>
        <w:instrText xml:space="preserve"> PAGEREF _Toc80102550 \h </w:instrText>
      </w:r>
      <w:r>
        <w:fldChar w:fldCharType="separate"/>
      </w:r>
      <w:r>
        <w:t>15</w:t>
      </w:r>
      <w:r>
        <w:fldChar w:fldCharType="end"/>
      </w:r>
    </w:p>
    <w:p>
      <w:pPr>
        <w:pStyle w:val="TOC8"/>
        <w:rPr>
          <w:rFonts w:asciiTheme="minorHAnsi" w:eastAsiaTheme="minorEastAsia" w:hAnsiTheme="minorHAnsi" w:cstheme="minorBidi"/>
          <w:szCs w:val="22"/>
        </w:rPr>
      </w:pPr>
      <w:r>
        <w:t>25.</w:t>
      </w:r>
      <w:r>
        <w:tab/>
        <w:t>Applications to review exercises of powers and functions by registrars</w:t>
      </w:r>
      <w:r>
        <w:tab/>
      </w:r>
      <w:r>
        <w:fldChar w:fldCharType="begin"/>
      </w:r>
      <w:r>
        <w:instrText xml:space="preserve"> PAGEREF _Toc80102551 \h </w:instrText>
      </w:r>
      <w:r>
        <w:fldChar w:fldCharType="separate"/>
      </w:r>
      <w:r>
        <w:t>16</w:t>
      </w:r>
      <w:r>
        <w:fldChar w:fldCharType="end"/>
      </w:r>
    </w:p>
    <w:p>
      <w:pPr>
        <w:pStyle w:val="TOC8"/>
        <w:rPr>
          <w:rFonts w:asciiTheme="minorHAnsi" w:eastAsiaTheme="minorEastAsia" w:hAnsiTheme="minorHAnsi" w:cstheme="minorBidi"/>
          <w:szCs w:val="22"/>
        </w:rPr>
      </w:pPr>
      <w:r>
        <w:t>26.</w:t>
      </w:r>
      <w:r>
        <w:tab/>
        <w:t>Power of Court on review</w:t>
      </w:r>
      <w:r>
        <w:tab/>
      </w:r>
      <w:r>
        <w:fldChar w:fldCharType="begin"/>
      </w:r>
      <w:r>
        <w:instrText xml:space="preserve"> PAGEREF _Toc80102552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Conferral of functions on registrars</w:t>
      </w:r>
    </w:p>
    <w:p>
      <w:pPr>
        <w:pStyle w:val="TOC8"/>
        <w:rPr>
          <w:rFonts w:asciiTheme="minorHAnsi" w:eastAsiaTheme="minorEastAsia" w:hAnsiTheme="minorHAnsi" w:cstheme="minorBidi"/>
          <w:szCs w:val="22"/>
        </w:rPr>
      </w:pPr>
      <w:r>
        <w:t>29.</w:t>
      </w:r>
      <w:r>
        <w:tab/>
        <w:t>Conferral of functions on registrars</w:t>
      </w:r>
      <w:r>
        <w:tab/>
      </w:r>
      <w:r>
        <w:fldChar w:fldCharType="begin"/>
      </w:r>
      <w:r>
        <w:instrText xml:space="preserve"> PAGEREF _Toc80102554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prescribed for the purposes of specified provisions of the Act</w:t>
      </w:r>
    </w:p>
    <w:p>
      <w:pPr>
        <w:pStyle w:val="TOC8"/>
        <w:rPr>
          <w:rFonts w:asciiTheme="minorHAnsi" w:eastAsiaTheme="minorEastAsia" w:hAnsiTheme="minorHAnsi" w:cstheme="minorBidi"/>
          <w:szCs w:val="22"/>
        </w:rPr>
      </w:pPr>
      <w:r>
        <w:t>33</w:t>
      </w:r>
      <w:r>
        <w:rPr>
          <w:snapToGrid w:val="0"/>
        </w:rPr>
        <w:t>.</w:t>
      </w:r>
      <w:r>
        <w:rPr>
          <w:snapToGrid w:val="0"/>
        </w:rPr>
        <w:tab/>
        <w:t>Registration of State child orders</w:t>
      </w:r>
      <w:r>
        <w:tab/>
      </w:r>
      <w:r>
        <w:fldChar w:fldCharType="begin"/>
      </w:r>
      <w:r>
        <w:instrText xml:space="preserve"> PAGEREF _Toc80102556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in chambers — s. 212(5)</w:t>
      </w:r>
      <w:r>
        <w:tab/>
      </w:r>
      <w:r>
        <w:fldChar w:fldCharType="begin"/>
      </w:r>
      <w:r>
        <w:instrText xml:space="preserve"> PAGEREF _Toc80102557 \h </w:instrText>
      </w:r>
      <w:r>
        <w:fldChar w:fldCharType="separate"/>
      </w:r>
      <w:r>
        <w:t>18</w:t>
      </w:r>
      <w:r>
        <w:fldChar w:fldCharType="end"/>
      </w:r>
    </w:p>
    <w:p>
      <w:pPr>
        <w:pStyle w:val="TOC8"/>
        <w:rPr>
          <w:rFonts w:asciiTheme="minorHAnsi" w:eastAsiaTheme="minorEastAsia" w:hAnsiTheme="minorHAnsi" w:cstheme="minorBidi"/>
          <w:szCs w:val="22"/>
        </w:rPr>
      </w:pPr>
      <w:r>
        <w:t>35.</w:t>
      </w:r>
      <w:r>
        <w:tab/>
        <w:t>Notification to spouse — s. 205ZB(3)</w:t>
      </w:r>
      <w:r>
        <w:tab/>
      </w:r>
      <w:r>
        <w:fldChar w:fldCharType="begin"/>
      </w:r>
      <w:r>
        <w:instrText xml:space="preserve"> PAGEREF _Toc80102558 \h </w:instrText>
      </w:r>
      <w:r>
        <w:fldChar w:fldCharType="separate"/>
      </w:r>
      <w:r>
        <w:t>18</w:t>
      </w:r>
      <w:r>
        <w:fldChar w:fldCharType="end"/>
      </w:r>
    </w:p>
    <w:p>
      <w:pPr>
        <w:pStyle w:val="TOC8"/>
        <w:rPr>
          <w:rFonts w:asciiTheme="minorHAnsi" w:eastAsiaTheme="minorEastAsia" w:hAnsiTheme="minorHAnsi" w:cstheme="minorBidi"/>
          <w:szCs w:val="22"/>
        </w:rPr>
      </w:pPr>
      <w:r>
        <w:t>36.</w:t>
      </w:r>
      <w:r>
        <w:tab/>
        <w:t>Certain evidential statements</w:t>
      </w:r>
      <w:r>
        <w:tab/>
      </w:r>
      <w:r>
        <w:fldChar w:fldCharType="begin"/>
      </w:r>
      <w:r>
        <w:instrText xml:space="preserve"> PAGEREF _Toc80102559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_Toc80102561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pPr>
      <w:r>
        <w:t>Family Court Rules 1998</w:t>
      </w:r>
    </w:p>
    <w:p>
      <w:pPr>
        <w:pStyle w:val="Heading2"/>
        <w:pageBreakBefore w:val="0"/>
        <w:spacing w:before="360"/>
      </w:pPr>
      <w:bookmarkStart w:id="3" w:name="_Toc80086946"/>
      <w:bookmarkStart w:id="4" w:name="_Toc80087497"/>
      <w:bookmarkStart w:id="5" w:name="_Toc80095339"/>
      <w:bookmarkStart w:id="6" w:name="_Toc801025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80102519"/>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rules</w:t>
      </w:r>
      <w:r>
        <w:t xml:space="preserve"> may be cited as the </w:t>
      </w:r>
      <w:r>
        <w:rPr>
          <w:i/>
        </w:rPr>
        <w:t>Family Court Rules 1998.</w:t>
      </w:r>
    </w:p>
    <w:p>
      <w:pPr>
        <w:pStyle w:val="Heading5"/>
      </w:pPr>
      <w:bookmarkStart w:id="9" w:name="_Toc80102520"/>
      <w:r>
        <w:rPr>
          <w:rStyle w:val="CharSectno"/>
        </w:rPr>
        <w:t>2</w:t>
      </w:r>
      <w:r>
        <w:rPr>
          <w:snapToGrid w:val="0"/>
        </w:rPr>
        <w:t>.</w:t>
      </w:r>
      <w:r>
        <w:rPr>
          <w:snapToGrid w:val="0"/>
        </w:rPr>
        <w:tab/>
        <w:t>Terms used in these rules</w:t>
      </w:r>
      <w:bookmarkEnd w:id="9"/>
    </w:p>
    <w:p>
      <w:pPr>
        <w:pStyle w:val="Subsection"/>
        <w:rPr>
          <w:snapToGrid w:val="0"/>
        </w:rPr>
      </w:pPr>
      <w:r>
        <w:tab/>
      </w:r>
      <w:r>
        <w:tab/>
      </w:r>
      <w:r>
        <w:rPr>
          <w:snapToGrid w:val="0"/>
        </w:rPr>
        <w:t>In these rules, unless the contrary intention appears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tab/>
      </w:r>
      <w:r>
        <w:rPr>
          <w:rStyle w:val="CharDefText"/>
        </w:rPr>
        <w:t>court</w:t>
      </w:r>
      <w:r>
        <w:t xml:space="preserve"> has the meaning referred to in section 8 of the Act;</w:t>
      </w:r>
    </w:p>
    <w:p>
      <w:pPr>
        <w:pStyle w:val="Defstart"/>
      </w:pPr>
      <w:r>
        <w:rPr>
          <w:b/>
        </w:rPr>
        <w:tab/>
      </w:r>
      <w:r>
        <w:rPr>
          <w:rStyle w:val="CharDefText"/>
        </w:rPr>
        <w:t>decree</w:t>
      </w:r>
      <w:r>
        <w:rPr>
          <w:b/>
        </w:rPr>
        <w:t xml:space="preserve"> </w:t>
      </w:r>
      <w:r>
        <w:t>has the same meaning as in section 211 of the Act;</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keepNext/>
        <w:keepLines/>
      </w:pPr>
      <w:r>
        <w:tab/>
      </w:r>
      <w:r>
        <w:rPr>
          <w:rStyle w:val="CharDefText"/>
        </w:rPr>
        <w:t>section</w:t>
      </w:r>
      <w:r>
        <w:t xml:space="preserve"> means section of the Act.</w:t>
      </w:r>
    </w:p>
    <w:p>
      <w:pPr>
        <w:pStyle w:val="Footnotesection"/>
      </w:pPr>
      <w:r>
        <w:tab/>
        <w:t>[Rule 2 amended: Gazette 26 Mar 2004 p. 1051-2; 14 Jul 2006 p. 2565.]</w:t>
      </w:r>
    </w:p>
    <w:p>
      <w:pPr>
        <w:pStyle w:val="Heading5"/>
        <w:rPr>
          <w:snapToGrid w:val="0"/>
        </w:rPr>
      </w:pPr>
      <w:bookmarkStart w:id="10" w:name="_Toc80102521"/>
      <w:r>
        <w:rPr>
          <w:rStyle w:val="CharSectno"/>
        </w:rPr>
        <w:t>3</w:t>
      </w:r>
      <w:r>
        <w:rPr>
          <w:snapToGrid w:val="0"/>
        </w:rPr>
        <w:t>.</w:t>
      </w:r>
      <w:r>
        <w:rPr>
          <w:snapToGrid w:val="0"/>
        </w:rPr>
        <w:tab/>
        <w:t>Dispensing with compliance</w:t>
      </w:r>
      <w:bookmarkEnd w:id="10"/>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pPr>
      <w:bookmarkStart w:id="11" w:name="_Toc80102522"/>
      <w:r>
        <w:rPr>
          <w:rStyle w:val="CharSectno"/>
        </w:rPr>
        <w:t>4</w:t>
      </w:r>
      <w:r>
        <w:t>.</w:t>
      </w:r>
      <w:r>
        <w:tab/>
        <w:t>Rules to be read with Family Law Rules</w:t>
      </w:r>
      <w:bookmarkEnd w:id="11"/>
    </w:p>
    <w:p>
      <w:pPr>
        <w:pStyle w:val="Subsection"/>
      </w:pPr>
      <w:r>
        <w:tab/>
        <w:t>(1)</w:t>
      </w:r>
      <w:r>
        <w:tab/>
        <w:t>These rules are to be read as one with the Family Law Rules.</w:t>
      </w:r>
    </w:p>
    <w:p>
      <w:pPr>
        <w:pStyle w:val="Subsection"/>
      </w:pPr>
      <w:r>
        <w:lastRenderedPageBreak/>
        <w:tab/>
        <w:t>(2)</w:t>
      </w:r>
      <w:r>
        <w:tab/>
        <w:t xml:space="preserve">Without limiting subrule (1), unless the contrary intention appears — </w:t>
      </w:r>
    </w:p>
    <w:p>
      <w:pPr>
        <w:pStyle w:val="Indenta"/>
      </w:pPr>
      <w:r>
        <w:tab/>
        <w:t>(a)</w:t>
      </w:r>
      <w:r>
        <w:tab/>
        <w:t>a word or an expression defined in the Family Law Rules and used in these rules has the same meaning as it has in the Family Law Rules; and</w:t>
      </w:r>
    </w:p>
    <w:p>
      <w:pPr>
        <w:pStyle w:val="Indenta"/>
      </w:pPr>
      <w:r>
        <w:tab/>
        <w:t>(b)</w:t>
      </w:r>
      <w:r>
        <w:tab/>
        <w:t>a form followed by a designation, referred to in these rules means the form with that designation in force under the Family Law Rules.</w:t>
      </w:r>
    </w:p>
    <w:p>
      <w:pPr>
        <w:pStyle w:val="Footnotesection"/>
      </w:pPr>
      <w:r>
        <w:tab/>
        <w:t>[Rule 4 inserted: Gazette 14 Jul 2006 p. 2565.]</w:t>
      </w:r>
    </w:p>
    <w:p>
      <w:pPr>
        <w:pStyle w:val="Heading2"/>
      </w:pPr>
      <w:bookmarkStart w:id="12" w:name="_Toc80086951"/>
      <w:bookmarkStart w:id="13" w:name="_Toc80087502"/>
      <w:bookmarkStart w:id="14" w:name="_Toc80095344"/>
      <w:bookmarkStart w:id="15" w:name="_Toc80102523"/>
      <w:r>
        <w:rPr>
          <w:rStyle w:val="CharPartNo"/>
        </w:rPr>
        <w:lastRenderedPageBreak/>
        <w:t>Part 2</w:t>
      </w:r>
      <w:r>
        <w:t xml:space="preserve"> — </w:t>
      </w:r>
      <w:r>
        <w:rPr>
          <w:rStyle w:val="CharPartText"/>
        </w:rPr>
        <w:t>General</w:t>
      </w:r>
      <w:bookmarkEnd w:id="12"/>
      <w:bookmarkEnd w:id="13"/>
      <w:bookmarkEnd w:id="14"/>
      <w:bookmarkEnd w:id="15"/>
    </w:p>
    <w:p>
      <w:pPr>
        <w:pStyle w:val="Heading3"/>
      </w:pPr>
      <w:bookmarkStart w:id="16" w:name="_Toc80086952"/>
      <w:bookmarkStart w:id="17" w:name="_Toc80087503"/>
      <w:bookmarkStart w:id="18" w:name="_Toc80095345"/>
      <w:bookmarkStart w:id="19" w:name="_Toc80102524"/>
      <w:r>
        <w:rPr>
          <w:rStyle w:val="CharDivNo"/>
        </w:rPr>
        <w:t>Division 1</w:t>
      </w:r>
      <w:r>
        <w:t xml:space="preserve"> — </w:t>
      </w:r>
      <w:r>
        <w:rPr>
          <w:rStyle w:val="CharDivText"/>
        </w:rPr>
        <w:t>General</w:t>
      </w:r>
      <w:bookmarkEnd w:id="16"/>
      <w:bookmarkEnd w:id="17"/>
      <w:bookmarkEnd w:id="18"/>
      <w:bookmarkEnd w:id="19"/>
    </w:p>
    <w:p>
      <w:pPr>
        <w:pStyle w:val="Heading5"/>
        <w:rPr>
          <w:snapToGrid w:val="0"/>
        </w:rPr>
      </w:pPr>
      <w:bookmarkStart w:id="20" w:name="_Toc80102525"/>
      <w:r>
        <w:rPr>
          <w:rStyle w:val="CharSectno"/>
        </w:rPr>
        <w:t>5</w:t>
      </w:r>
      <w:r>
        <w:rPr>
          <w:snapToGrid w:val="0"/>
        </w:rPr>
        <w:t>.</w:t>
      </w:r>
      <w:r>
        <w:rPr>
          <w:snapToGrid w:val="0"/>
        </w:rPr>
        <w:tab/>
        <w:t>Seal</w:t>
      </w:r>
      <w:bookmarkEnd w:id="20"/>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21" w:name="_Toc80102526"/>
      <w:r>
        <w:rPr>
          <w:rStyle w:val="CharSectno"/>
        </w:rPr>
        <w:t>6</w:t>
      </w:r>
      <w:r>
        <w:rPr>
          <w:snapToGrid w:val="0"/>
        </w:rPr>
        <w:t>.</w:t>
      </w:r>
      <w:r>
        <w:rPr>
          <w:snapToGrid w:val="0"/>
        </w:rPr>
        <w:tab/>
        <w:t>Sittings and registry hours</w:t>
      </w:r>
      <w:bookmarkEnd w:id="21"/>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22" w:name="_Toc80102527"/>
      <w:r>
        <w:rPr>
          <w:rStyle w:val="CharSectno"/>
        </w:rPr>
        <w:t>7</w:t>
      </w:r>
      <w:r>
        <w:rPr>
          <w:snapToGrid w:val="0"/>
        </w:rPr>
        <w:t>.</w:t>
      </w:r>
      <w:r>
        <w:rPr>
          <w:snapToGrid w:val="0"/>
        </w:rPr>
        <w:tab/>
        <w:t>Oaths and affirmations</w:t>
      </w:r>
      <w:bookmarkEnd w:id="22"/>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23" w:name="_Toc80102528"/>
      <w:r>
        <w:rPr>
          <w:rStyle w:val="CharSectno"/>
        </w:rPr>
        <w:lastRenderedPageBreak/>
        <w:t>8</w:t>
      </w:r>
      <w:r>
        <w:rPr>
          <w:snapToGrid w:val="0"/>
        </w:rPr>
        <w:t>.</w:t>
      </w:r>
      <w:r>
        <w:rPr>
          <w:snapToGrid w:val="0"/>
        </w:rPr>
        <w:tab/>
        <w:t>Records, registers and indexes</w:t>
      </w:r>
      <w:bookmarkEnd w:id="23"/>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24" w:name="_Toc80102529"/>
      <w:r>
        <w:rPr>
          <w:rStyle w:val="CharSectno"/>
        </w:rPr>
        <w:t>9</w:t>
      </w:r>
      <w:r>
        <w:rPr>
          <w:snapToGrid w:val="0"/>
        </w:rPr>
        <w:t>.</w:t>
      </w:r>
      <w:r>
        <w:rPr>
          <w:snapToGrid w:val="0"/>
        </w:rPr>
        <w:tab/>
        <w:t>Affidavits</w:t>
      </w:r>
      <w:bookmarkEnd w:id="24"/>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25" w:name="_Toc80102530"/>
      <w:r>
        <w:rPr>
          <w:rStyle w:val="CharSectno"/>
        </w:rPr>
        <w:t>10</w:t>
      </w:r>
      <w:r>
        <w:rPr>
          <w:snapToGrid w:val="0"/>
        </w:rPr>
        <w:t>.</w:t>
      </w:r>
      <w:r>
        <w:rPr>
          <w:snapToGrid w:val="0"/>
        </w:rPr>
        <w:tab/>
        <w:t>Bonds</w:t>
      </w:r>
      <w:bookmarkEnd w:id="25"/>
    </w:p>
    <w:p>
      <w:pPr>
        <w:pStyle w:val="Subsection"/>
      </w:pPr>
      <w:r>
        <w:tab/>
      </w:r>
      <w:r>
        <w:tab/>
        <w:t xml:space="preserve">A bond required to be filed or used in a court can only be executed before a judge, the Principal Registrar, a registrar, a </w:t>
      </w:r>
      <w:r>
        <w:lastRenderedPageBreak/>
        <w:t>deputy registrar, the Marshal, the Collector of Maintenance, a magistrate, a justice of the peace, the clerk of a court of summary jurisdiction or any other person allowed by a written law or the Family Law Rules to take a bond.</w:t>
      </w:r>
    </w:p>
    <w:p>
      <w:pPr>
        <w:pStyle w:val="Footnotesection"/>
      </w:pPr>
      <w:r>
        <w:tab/>
        <w:t>[Rule 10 amended: Gazette 14 Jul 2006 p. 2565.]</w:t>
      </w:r>
    </w:p>
    <w:p>
      <w:pPr>
        <w:pStyle w:val="Heading5"/>
        <w:rPr>
          <w:snapToGrid w:val="0"/>
        </w:rPr>
      </w:pPr>
      <w:bookmarkStart w:id="26" w:name="_Toc80102531"/>
      <w:r>
        <w:rPr>
          <w:rStyle w:val="CharSectno"/>
        </w:rPr>
        <w:t>11</w:t>
      </w:r>
      <w:r>
        <w:rPr>
          <w:snapToGrid w:val="0"/>
        </w:rPr>
        <w:t>.</w:t>
      </w:r>
      <w:r>
        <w:rPr>
          <w:snapToGrid w:val="0"/>
        </w:rPr>
        <w:tab/>
        <w:t>Costs where court has no jurisdiction</w:t>
      </w:r>
      <w:bookmarkEnd w:id="26"/>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27" w:name="_Toc80086960"/>
      <w:bookmarkStart w:id="28" w:name="_Toc80087511"/>
      <w:bookmarkStart w:id="29" w:name="_Toc80095353"/>
      <w:bookmarkStart w:id="30" w:name="_Toc80102532"/>
      <w:r>
        <w:rPr>
          <w:rStyle w:val="CharDivNo"/>
        </w:rPr>
        <w:t>Division 2</w:t>
      </w:r>
      <w:r>
        <w:rPr>
          <w:snapToGrid w:val="0"/>
        </w:rPr>
        <w:t xml:space="preserve"> — </w:t>
      </w:r>
      <w:r>
        <w:rPr>
          <w:rStyle w:val="CharDivText"/>
        </w:rPr>
        <w:t>Adoption of Family Law Rules</w:t>
      </w:r>
      <w:bookmarkEnd w:id="27"/>
      <w:bookmarkEnd w:id="28"/>
      <w:bookmarkEnd w:id="29"/>
      <w:bookmarkEnd w:id="30"/>
    </w:p>
    <w:p>
      <w:pPr>
        <w:pStyle w:val="Heading5"/>
      </w:pPr>
      <w:bookmarkStart w:id="31" w:name="_Toc80102533"/>
      <w:r>
        <w:rPr>
          <w:rStyle w:val="CharSectno"/>
        </w:rPr>
        <w:t>12</w:t>
      </w:r>
      <w:r>
        <w:rPr>
          <w:snapToGrid w:val="0"/>
        </w:rPr>
        <w:t>.</w:t>
      </w:r>
      <w:r>
        <w:rPr>
          <w:snapToGrid w:val="0"/>
        </w:rPr>
        <w:tab/>
        <w:t>Adoption of certain Family Law Rules for federal jurisdiction</w:t>
      </w:r>
      <w:bookmarkEnd w:id="31"/>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 Chapter 16A.2</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deleted]</w:t>
      </w:r>
    </w:p>
    <w:p>
      <w:pPr>
        <w:pStyle w:val="Subsection"/>
      </w:pPr>
      <w:r>
        <w:rPr>
          <w:snapToGrid w:val="0"/>
        </w:rPr>
        <w:lastRenderedPageBreak/>
        <w:tab/>
        <w:t>(3)</w:t>
      </w:r>
      <w:r>
        <w:rPr>
          <w:snapToGrid w:val="0"/>
        </w:rPr>
        <w:tab/>
        <w:t xml:space="preserve">A </w:t>
      </w:r>
      <w:r>
        <w:t>Family Law Rule adopted under this Division is adopted and applies in the form in which it is in force from time to time.</w:t>
      </w:r>
    </w:p>
    <w:p>
      <w:pPr>
        <w:pStyle w:val="Footnotesection"/>
      </w:pPr>
      <w:r>
        <w:tab/>
        <w:t>[Rule 12 amended: Gazette 26 Mar 2004 p. 1052; 14 Jul 2006 p. 2565.]</w:t>
      </w:r>
    </w:p>
    <w:p>
      <w:pPr>
        <w:pStyle w:val="Heading5"/>
        <w:rPr>
          <w:snapToGrid w:val="0"/>
        </w:rPr>
      </w:pPr>
      <w:bookmarkStart w:id="32" w:name="_Toc80102534"/>
      <w:r>
        <w:rPr>
          <w:rStyle w:val="CharSectno"/>
        </w:rPr>
        <w:t>13</w:t>
      </w:r>
      <w:r>
        <w:rPr>
          <w:snapToGrid w:val="0"/>
        </w:rPr>
        <w:t>.</w:t>
      </w:r>
      <w:r>
        <w:rPr>
          <w:snapToGrid w:val="0"/>
        </w:rPr>
        <w:tab/>
        <w:t>Adoption of certain Family Law Rules for non-federal jurisdictions</w:t>
      </w:r>
      <w:bookmarkEnd w:id="3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Subsection"/>
      </w:pPr>
      <w:r>
        <w:lastRenderedPageBreak/>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Gazette 26 Mar 2004 p. 1053-5.]</w:t>
      </w:r>
    </w:p>
    <w:p>
      <w:pPr>
        <w:pStyle w:val="Heading5"/>
      </w:pPr>
      <w:bookmarkStart w:id="33" w:name="_Toc80102535"/>
      <w:r>
        <w:rPr>
          <w:rStyle w:val="CharSectno"/>
        </w:rPr>
        <w:lastRenderedPageBreak/>
        <w:t>13A</w:t>
      </w:r>
      <w:r>
        <w:t>.</w:t>
      </w:r>
      <w:r>
        <w:tab/>
        <w:t>Specific Family Law Rules that are adopted and applied in a modified form</w:t>
      </w:r>
      <w:bookmarkEnd w:id="33"/>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Ednotesubsection"/>
      </w:pPr>
      <w:r>
        <w:tab/>
        <w:t>[(4)</w:t>
      </w:r>
      <w:r>
        <w:tab/>
        <w:t>deleted]</w:t>
      </w:r>
    </w:p>
    <w:p>
      <w:pPr>
        <w:pStyle w:val="Subsection"/>
      </w:pPr>
      <w:r>
        <w:tab/>
        <w:t>(5)</w:t>
      </w:r>
      <w:r>
        <w:tab/>
        <w:t>In Family Law Rule 11.02, a “procedural order” is to be treated as including a procedural direction.</w:t>
      </w:r>
    </w:p>
    <w:p>
      <w:pPr>
        <w:pStyle w:val="Subsection"/>
      </w:pPr>
      <w:r>
        <w:tab/>
        <w:t>(6)</w:t>
      </w:r>
      <w:r>
        <w:tab/>
        <w:t xml:space="preserve">Family Law Rules 11.18 and 11.19 apply to applications to transfer a case between different sitting locations of the Court. </w:t>
      </w:r>
    </w:p>
    <w:p>
      <w:pPr>
        <w:pStyle w:val="Subsection"/>
      </w:pPr>
      <w:r>
        <w:tab/>
        <w:t>(6a)</w:t>
      </w:r>
      <w:r>
        <w:tab/>
        <w:t>In Family Law Rule 12.03, a “mediator” is to be treated as including a family consultant and a magistrate.</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spacing w:before="40"/>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lastRenderedPageBreak/>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keepNext/>
        <w:keepLines/>
      </w:pPr>
      <w:r>
        <w:lastRenderedPageBreak/>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Gazette 26 Mar 2004 p. 1055-7; amended: Gazette 14 Jul 2006 p. 2565.]</w:t>
      </w:r>
    </w:p>
    <w:p>
      <w:pPr>
        <w:pStyle w:val="Heading3"/>
      </w:pPr>
      <w:bookmarkStart w:id="34" w:name="_Toc80086964"/>
      <w:bookmarkStart w:id="35" w:name="_Toc80087515"/>
      <w:bookmarkStart w:id="36" w:name="_Toc80095357"/>
      <w:bookmarkStart w:id="37" w:name="_Toc80102536"/>
      <w:r>
        <w:rPr>
          <w:rStyle w:val="CharDivNo"/>
        </w:rPr>
        <w:t>Division 3</w:t>
      </w:r>
      <w:r>
        <w:t xml:space="preserve"> — </w:t>
      </w:r>
      <w:r>
        <w:rPr>
          <w:rStyle w:val="CharDivText"/>
        </w:rPr>
        <w:t>Accounting and enforcement</w:t>
      </w:r>
      <w:bookmarkEnd w:id="34"/>
      <w:bookmarkEnd w:id="35"/>
      <w:bookmarkEnd w:id="36"/>
      <w:bookmarkEnd w:id="37"/>
    </w:p>
    <w:p>
      <w:pPr>
        <w:pStyle w:val="Heading5"/>
      </w:pPr>
      <w:bookmarkStart w:id="38" w:name="_Toc80102537"/>
      <w:r>
        <w:rPr>
          <w:rStyle w:val="CharSectno"/>
        </w:rPr>
        <w:t>14</w:t>
      </w:r>
      <w:r>
        <w:t>.</w:t>
      </w:r>
      <w:r>
        <w:tab/>
        <w:t>Term used in this Division</w:t>
      </w:r>
      <w:bookmarkEnd w:id="38"/>
    </w:p>
    <w:p>
      <w:pPr>
        <w:pStyle w:val="Subsection"/>
        <w:keepNext/>
        <w:keepLines/>
      </w:pPr>
      <w:r>
        <w:tab/>
      </w:r>
      <w:r>
        <w:tab/>
        <w:t>In this Division —</w:t>
      </w:r>
    </w:p>
    <w:p>
      <w:pPr>
        <w:pStyle w:val="Defstart"/>
      </w:pPr>
      <w:r>
        <w:tab/>
      </w:r>
      <w:r>
        <w:rPr>
          <w:rStyle w:val="CharDefText"/>
        </w:rPr>
        <w:t>order</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Defstart"/>
      </w:pPr>
      <w:r>
        <w:tab/>
        <w:t>and includes child maintenance provisions in a registered parenting plan within the meaning of the Act or the Family Law Act.</w:t>
      </w:r>
    </w:p>
    <w:p>
      <w:pPr>
        <w:pStyle w:val="Heading5"/>
        <w:keepNext w:val="0"/>
        <w:keepLines w:val="0"/>
      </w:pPr>
      <w:bookmarkStart w:id="39" w:name="_Toc80102538"/>
      <w:r>
        <w:rPr>
          <w:rStyle w:val="CharSectno"/>
        </w:rPr>
        <w:t>15</w:t>
      </w:r>
      <w:r>
        <w:t>.</w:t>
      </w:r>
      <w:r>
        <w:tab/>
        <w:t>Collector of Maintenance</w:t>
      </w:r>
      <w:bookmarkEnd w:id="39"/>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lastRenderedPageBreak/>
        <w:tab/>
        <w:t>(b)</w:t>
      </w:r>
      <w:r>
        <w:tab/>
        <w:t>is to keep proper accounts as to payments due, and made, under an order.</w:t>
      </w:r>
    </w:p>
    <w:p>
      <w:pPr>
        <w:pStyle w:val="Heading5"/>
        <w:keepNext w:val="0"/>
        <w:keepLines w:val="0"/>
      </w:pPr>
      <w:bookmarkStart w:id="40" w:name="_Toc80102539"/>
      <w:r>
        <w:rPr>
          <w:rStyle w:val="CharSectno"/>
        </w:rPr>
        <w:t>16</w:t>
      </w:r>
      <w:r>
        <w:t>.</w:t>
      </w:r>
      <w:r>
        <w:tab/>
        <w:t>Accounting</w:t>
      </w:r>
      <w:bookmarkEnd w:id="40"/>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 xml:space="preserve">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w:t>
      </w:r>
      <w:r>
        <w:lastRenderedPageBreak/>
        <w:t>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41" w:name="_Toc80102540"/>
      <w:r>
        <w:rPr>
          <w:rStyle w:val="CharSectno"/>
        </w:rPr>
        <w:t>17</w:t>
      </w:r>
      <w:r>
        <w:t>.</w:t>
      </w:r>
      <w:r>
        <w:tab/>
        <w:t>Notice of election</w:t>
      </w:r>
      <w:bookmarkEnd w:id="41"/>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42" w:name="_Toc80102541"/>
      <w:r>
        <w:rPr>
          <w:rStyle w:val="CharSectno"/>
        </w:rPr>
        <w:t>18</w:t>
      </w:r>
      <w:r>
        <w:t>.</w:t>
      </w:r>
      <w:r>
        <w:tab/>
        <w:t>Notice of withdrawal of election</w:t>
      </w:r>
      <w:bookmarkEnd w:id="42"/>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 xml:space="preserve">The Collector of Maintenance or clerk referred to in rule 17(2) must cause notice of the withdrawal of the notice of election to be given to each person referred to in rule 17(3) and the provision specified in the notice of election is enforceable from </w:t>
      </w:r>
      <w:r>
        <w:lastRenderedPageBreak/>
        <w:t>the day of the notice of withdrawal, without the leave of any court.</w:t>
      </w:r>
    </w:p>
    <w:p>
      <w:pPr>
        <w:pStyle w:val="Heading5"/>
      </w:pPr>
      <w:bookmarkStart w:id="43" w:name="_Toc80102542"/>
      <w:r>
        <w:rPr>
          <w:rStyle w:val="CharSectno"/>
        </w:rPr>
        <w:t>19</w:t>
      </w:r>
      <w:r>
        <w:t>.</w:t>
      </w:r>
      <w:r>
        <w:tab/>
        <w:t>Duties of Collector of Maintenance or clerk as to enforcement</w:t>
      </w:r>
      <w:bookmarkEnd w:id="43"/>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44" w:name="_Toc80086971"/>
      <w:bookmarkStart w:id="45" w:name="_Toc80087522"/>
      <w:bookmarkStart w:id="46" w:name="_Toc80095364"/>
      <w:bookmarkStart w:id="47" w:name="_Toc80102543"/>
      <w:r>
        <w:rPr>
          <w:rStyle w:val="CharPartNo"/>
        </w:rPr>
        <w:lastRenderedPageBreak/>
        <w:t>Part 3</w:t>
      </w:r>
      <w:r>
        <w:t xml:space="preserve"> — </w:t>
      </w:r>
      <w:r>
        <w:rPr>
          <w:rStyle w:val="CharPartText"/>
        </w:rPr>
        <w:t>Registrars</w:t>
      </w:r>
      <w:bookmarkEnd w:id="44"/>
      <w:bookmarkEnd w:id="45"/>
      <w:bookmarkEnd w:id="46"/>
      <w:bookmarkEnd w:id="47"/>
      <w:r>
        <w:rPr>
          <w:rStyle w:val="CharPartText"/>
        </w:rPr>
        <w:t xml:space="preserve"> </w:t>
      </w:r>
    </w:p>
    <w:p>
      <w:pPr>
        <w:pStyle w:val="Heading3"/>
        <w:keepNext w:val="0"/>
        <w:rPr>
          <w:snapToGrid w:val="0"/>
        </w:rPr>
      </w:pPr>
      <w:bookmarkStart w:id="48" w:name="_Toc80086972"/>
      <w:bookmarkStart w:id="49" w:name="_Toc80087523"/>
      <w:bookmarkStart w:id="50" w:name="_Toc80095365"/>
      <w:bookmarkStart w:id="51" w:name="_Toc80102544"/>
      <w:r>
        <w:rPr>
          <w:rStyle w:val="CharDivNo"/>
        </w:rPr>
        <w:t>Division 1</w:t>
      </w:r>
      <w:r>
        <w:rPr>
          <w:snapToGrid w:val="0"/>
        </w:rPr>
        <w:t xml:space="preserve"> — </w:t>
      </w:r>
      <w:r>
        <w:rPr>
          <w:rStyle w:val="CharDivText"/>
        </w:rPr>
        <w:t>General</w:t>
      </w:r>
      <w:bookmarkEnd w:id="48"/>
      <w:bookmarkEnd w:id="49"/>
      <w:bookmarkEnd w:id="50"/>
      <w:bookmarkEnd w:id="51"/>
      <w:r>
        <w:rPr>
          <w:rStyle w:val="CharDivText"/>
        </w:rPr>
        <w:t xml:space="preserve"> </w:t>
      </w:r>
    </w:p>
    <w:p>
      <w:pPr>
        <w:pStyle w:val="Heading5"/>
        <w:keepNext w:val="0"/>
        <w:keepLines w:val="0"/>
      </w:pPr>
      <w:bookmarkStart w:id="52" w:name="_Toc80102545"/>
      <w:r>
        <w:rPr>
          <w:rStyle w:val="CharSectno"/>
        </w:rPr>
        <w:t>20</w:t>
      </w:r>
      <w:r>
        <w:t>.</w:t>
      </w:r>
      <w:r>
        <w:tab/>
        <w:t>Term used in this Part</w:t>
      </w:r>
      <w:bookmarkEnd w:id="52"/>
    </w:p>
    <w:p>
      <w:pPr>
        <w:pStyle w:val="Subsection"/>
      </w:pPr>
      <w:r>
        <w:tab/>
      </w:r>
      <w:r>
        <w:tab/>
        <w:t>In this Part —</w:t>
      </w:r>
    </w:p>
    <w:p>
      <w:pPr>
        <w:pStyle w:val="Defstart"/>
      </w:pPr>
      <w:r>
        <w:tab/>
      </w:r>
      <w:r>
        <w:rPr>
          <w:rStyle w:val="CharDefText"/>
        </w:rPr>
        <w:t>registrar</w:t>
      </w:r>
      <w:r>
        <w:t xml:space="preserve"> means the Principal Registrar, a registrar or a deputy registrar.</w:t>
      </w:r>
    </w:p>
    <w:p>
      <w:pPr>
        <w:pStyle w:val="Heading5"/>
        <w:keepNext w:val="0"/>
        <w:keepLines w:val="0"/>
        <w:rPr>
          <w:snapToGrid w:val="0"/>
        </w:rPr>
      </w:pPr>
      <w:bookmarkStart w:id="53" w:name="_Toc80102546"/>
      <w:r>
        <w:rPr>
          <w:rStyle w:val="CharSectno"/>
        </w:rPr>
        <w:t>21</w:t>
      </w:r>
      <w:r>
        <w:rPr>
          <w:snapToGrid w:val="0"/>
        </w:rPr>
        <w:t>.</w:t>
      </w:r>
      <w:r>
        <w:rPr>
          <w:snapToGrid w:val="0"/>
        </w:rPr>
        <w:tab/>
        <w:t>Exercise of powers and functions of registrars</w:t>
      </w:r>
      <w:bookmarkEnd w:id="53"/>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54" w:name="_Toc80102547"/>
      <w:r>
        <w:t>22.</w:t>
      </w:r>
      <w:r>
        <w:tab/>
        <w:t>Registrars not required to give reasons</w:t>
      </w:r>
      <w:bookmarkEnd w:id="54"/>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55" w:name="_Toc80102548"/>
      <w:r>
        <w:rPr>
          <w:rStyle w:val="CharSectno"/>
        </w:rPr>
        <w:t>23</w:t>
      </w:r>
      <w:r>
        <w:rPr>
          <w:snapToGrid w:val="0"/>
        </w:rPr>
        <w:t>.</w:t>
      </w:r>
      <w:r>
        <w:rPr>
          <w:snapToGrid w:val="0"/>
        </w:rPr>
        <w:tab/>
        <w:t>Protection and immunity</w:t>
      </w:r>
      <w:bookmarkEnd w:id="55"/>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 xml:space="preserve">A party, lawyer or witness appearing before a registrar or other person acting under rule 21 on the hearing of any application or matter, or on the conducting of any conference or enquiry, has </w:t>
      </w:r>
      <w:r>
        <w:rPr>
          <w:snapToGrid w:val="0"/>
        </w:rPr>
        <w:lastRenderedPageBreak/>
        <w:t>the same protection and immunity as the party, lawyer or witness would have if appearing in proceedings in a court.</w:t>
      </w:r>
    </w:p>
    <w:p>
      <w:pPr>
        <w:pStyle w:val="Heading3"/>
        <w:keepLines/>
      </w:pPr>
      <w:bookmarkStart w:id="56" w:name="_Toc80086977"/>
      <w:bookmarkStart w:id="57" w:name="_Toc80087528"/>
      <w:bookmarkStart w:id="58" w:name="_Toc80095370"/>
      <w:bookmarkStart w:id="59" w:name="_Toc80102549"/>
      <w:r>
        <w:rPr>
          <w:rStyle w:val="CharDivNo"/>
        </w:rPr>
        <w:t>Division 2</w:t>
      </w:r>
      <w:r>
        <w:rPr>
          <w:snapToGrid w:val="0"/>
        </w:rPr>
        <w:t xml:space="preserve"> — </w:t>
      </w:r>
      <w:r>
        <w:rPr>
          <w:rStyle w:val="CharDivText"/>
        </w:rPr>
        <w:t>Delegation of judicial power to registrars</w:t>
      </w:r>
      <w:bookmarkEnd w:id="56"/>
      <w:bookmarkEnd w:id="57"/>
      <w:bookmarkEnd w:id="58"/>
      <w:bookmarkEnd w:id="59"/>
      <w:r>
        <w:rPr>
          <w:rStyle w:val="CharDivText"/>
        </w:rPr>
        <w:t xml:space="preserve"> </w:t>
      </w:r>
    </w:p>
    <w:p>
      <w:pPr>
        <w:pStyle w:val="Heading5"/>
        <w:rPr>
          <w:snapToGrid w:val="0"/>
        </w:rPr>
      </w:pPr>
      <w:bookmarkStart w:id="60" w:name="_Toc80102550"/>
      <w:r>
        <w:rPr>
          <w:rStyle w:val="CharSectno"/>
        </w:rPr>
        <w:t>24</w:t>
      </w:r>
      <w:r>
        <w:rPr>
          <w:snapToGrid w:val="0"/>
        </w:rPr>
        <w:t>.</w:t>
      </w:r>
      <w:r>
        <w:rPr>
          <w:snapToGrid w:val="0"/>
        </w:rPr>
        <w:tab/>
        <w:t>Delegation of powers to registrars</w:t>
      </w:r>
      <w:bookmarkEnd w:id="60"/>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pPr>
      <w:r>
        <w:tab/>
        <w:t>(a)</w:t>
      </w:r>
      <w:r>
        <w:tab/>
        <w:t xml:space="preserve">the powers conferred under a provision — </w:t>
      </w:r>
    </w:p>
    <w:p>
      <w:pPr>
        <w:pStyle w:val="Indenti"/>
      </w:pPr>
      <w:r>
        <w:tab/>
        <w:t>(i)</w:t>
      </w:r>
      <w:r>
        <w:tab/>
        <w:t>of the Family Law Act referred to in column 1 of the Table to this paragraph; and</w:t>
      </w:r>
    </w:p>
    <w:p>
      <w:pPr>
        <w:pStyle w:val="Indenti"/>
      </w:pPr>
      <w:r>
        <w:tab/>
        <w:t>(ii)</w:t>
      </w:r>
      <w:r>
        <w:tab/>
        <w:t>of the Family Law Rules referred to in Column 2 of the Table to this paragraph; and</w:t>
      </w:r>
    </w:p>
    <w:p>
      <w:pPr>
        <w:pStyle w:val="Indenti"/>
        <w:spacing w:after="80"/>
      </w:pPr>
      <w:r>
        <w:tab/>
        <w:t>(iii)</w:t>
      </w:r>
      <w:r>
        <w:tab/>
        <w:t>of the Family Court Act referred to in Column 3 of the Table to this paragraph;</w:t>
      </w:r>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spacing w:after="60"/>
              <w:rPr>
                <w:b/>
                <w:bCs/>
              </w:rPr>
            </w:pPr>
            <w:r>
              <w:rPr>
                <w:b/>
                <w:bCs/>
              </w:rPr>
              <w:t>Family Law Act</w:t>
            </w:r>
          </w:p>
        </w:tc>
        <w:tc>
          <w:tcPr>
            <w:tcW w:w="2127" w:type="dxa"/>
            <w:tcBorders>
              <w:top w:val="single" w:sz="4" w:space="0" w:color="auto"/>
              <w:bottom w:val="single" w:sz="4" w:space="0" w:color="auto"/>
            </w:tcBorders>
          </w:tcPr>
          <w:p>
            <w:pPr>
              <w:pStyle w:val="zTablet"/>
              <w:spacing w:after="60"/>
              <w:rPr>
                <w:b/>
                <w:bCs/>
              </w:rPr>
            </w:pPr>
            <w:r>
              <w:rPr>
                <w:b/>
                <w:bCs/>
              </w:rPr>
              <w:t>Family Law Rules</w:t>
            </w:r>
          </w:p>
        </w:tc>
        <w:tc>
          <w:tcPr>
            <w:tcW w:w="1984" w:type="dxa"/>
            <w:tcBorders>
              <w:top w:val="single" w:sz="4" w:space="0" w:color="auto"/>
              <w:bottom w:val="single" w:sz="4" w:space="0" w:color="auto"/>
            </w:tcBorders>
          </w:tcPr>
          <w:p>
            <w:pPr>
              <w:pStyle w:val="zTablet"/>
              <w:spacing w:after="60"/>
              <w:rPr>
                <w:b/>
                <w:bCs/>
              </w:rPr>
            </w:pPr>
            <w:r>
              <w:rPr>
                <w:b/>
                <w:bCs/>
              </w:rPr>
              <w:t>Family Court Act</w:t>
            </w:r>
          </w:p>
        </w:tc>
      </w:tr>
      <w:tr>
        <w:tc>
          <w:tcPr>
            <w:tcW w:w="1984" w:type="dxa"/>
            <w:tcBorders>
              <w:top w:val="single" w:sz="4" w:space="0" w:color="auto"/>
            </w:tcBorders>
          </w:tcPr>
          <w:p>
            <w:pPr>
              <w:pStyle w:val="zTablet"/>
            </w:pPr>
            <w:r>
              <w:t>section 44(1C)</w:t>
            </w:r>
          </w:p>
        </w:tc>
        <w:tc>
          <w:tcPr>
            <w:tcW w:w="2127" w:type="dxa"/>
            <w:tcBorders>
              <w:top w:val="single" w:sz="4" w:space="0" w:color="auto"/>
            </w:tcBorders>
          </w:tcPr>
          <w:p>
            <w:pPr>
              <w:pStyle w:val="zTablet"/>
            </w:pPr>
            <w:r>
              <w:t>rules 1.09 to 1.14</w:t>
            </w:r>
          </w:p>
        </w:tc>
        <w:tc>
          <w:tcPr>
            <w:tcW w:w="1984" w:type="dxa"/>
            <w:tcBorders>
              <w:top w:val="single" w:sz="4" w:space="0" w:color="auto"/>
            </w:tcBorders>
          </w:tcPr>
          <w:p>
            <w:pPr>
              <w:pStyle w:val="zTablet"/>
            </w:pPr>
            <w:r>
              <w:t>section 44</w:t>
            </w:r>
          </w:p>
        </w:tc>
      </w:tr>
      <w:tr>
        <w:tc>
          <w:tcPr>
            <w:tcW w:w="1984" w:type="dxa"/>
          </w:tcPr>
          <w:p>
            <w:pPr>
              <w:pStyle w:val="zTablet"/>
            </w:pPr>
            <w:r>
              <w:t>section 45</w:t>
            </w:r>
          </w:p>
        </w:tc>
        <w:tc>
          <w:tcPr>
            <w:tcW w:w="2127" w:type="dxa"/>
          </w:tcPr>
          <w:p>
            <w:pPr>
              <w:pStyle w:val="zTablet"/>
            </w:pPr>
            <w:r>
              <w:t>rule 11.01</w:t>
            </w:r>
          </w:p>
        </w:tc>
        <w:tc>
          <w:tcPr>
            <w:tcW w:w="1984" w:type="dxa"/>
          </w:tcPr>
          <w:p>
            <w:pPr>
              <w:pStyle w:val="zTablet"/>
            </w:pPr>
            <w:r>
              <w:t>section 215</w:t>
            </w:r>
          </w:p>
        </w:tc>
      </w:tr>
      <w:tr>
        <w:tc>
          <w:tcPr>
            <w:tcW w:w="1984" w:type="dxa"/>
          </w:tcPr>
          <w:p>
            <w:pPr>
              <w:pStyle w:val="zTablet"/>
            </w:pPr>
            <w:r>
              <w:t>section 48</w:t>
            </w:r>
          </w:p>
        </w:tc>
        <w:tc>
          <w:tcPr>
            <w:tcW w:w="2127" w:type="dxa"/>
          </w:tcPr>
          <w:p>
            <w:pPr>
              <w:pStyle w:val="zTablet"/>
            </w:pPr>
            <w:r>
              <w:t>Part 15.3</w:t>
            </w:r>
          </w:p>
        </w:tc>
        <w:tc>
          <w:tcPr>
            <w:tcW w:w="1984" w:type="dxa"/>
          </w:tcPr>
          <w:p>
            <w:pPr>
              <w:pStyle w:val="zTablet"/>
            </w:pPr>
            <w:r>
              <w:t>Part 8 Division 2</w:t>
            </w:r>
          </w:p>
        </w:tc>
      </w:tr>
      <w:tr>
        <w:tc>
          <w:tcPr>
            <w:tcW w:w="1984" w:type="dxa"/>
          </w:tcPr>
          <w:p>
            <w:pPr>
              <w:pStyle w:val="zTablet"/>
            </w:pPr>
            <w:r>
              <w:t>section 55(2)</w:t>
            </w:r>
          </w:p>
        </w:tc>
        <w:tc>
          <w:tcPr>
            <w:tcW w:w="2127" w:type="dxa"/>
          </w:tcPr>
          <w:p>
            <w:pPr>
              <w:pStyle w:val="zTablet"/>
            </w:pPr>
            <w:r>
              <w:t>rule 20.07</w:t>
            </w:r>
          </w:p>
        </w:tc>
        <w:tc>
          <w:tcPr>
            <w:tcW w:w="1984" w:type="dxa"/>
          </w:tcPr>
          <w:p>
            <w:pPr>
              <w:pStyle w:val="zTablet"/>
            </w:pPr>
            <w:r>
              <w:t>section 237</w:t>
            </w:r>
          </w:p>
        </w:tc>
      </w:tr>
      <w:tr>
        <w:tc>
          <w:tcPr>
            <w:tcW w:w="1984" w:type="dxa"/>
          </w:tcPr>
          <w:p>
            <w:pPr>
              <w:pStyle w:val="zTablet"/>
            </w:pPr>
            <w:r>
              <w:t>section 55A</w:t>
            </w:r>
          </w:p>
        </w:tc>
        <w:tc>
          <w:tcPr>
            <w:tcW w:w="2127" w:type="dxa"/>
          </w:tcPr>
          <w:p>
            <w:pPr>
              <w:pStyle w:val="zTablet"/>
            </w:pPr>
          </w:p>
        </w:tc>
        <w:tc>
          <w:tcPr>
            <w:tcW w:w="1984" w:type="dxa"/>
          </w:tcPr>
          <w:p>
            <w:pPr>
              <w:pStyle w:val="zTablet"/>
            </w:pPr>
          </w:p>
        </w:tc>
      </w:tr>
      <w:tr>
        <w:tc>
          <w:tcPr>
            <w:tcW w:w="1984" w:type="dxa"/>
          </w:tcPr>
          <w:p>
            <w:pPr>
              <w:pStyle w:val="zTablet"/>
            </w:pPr>
            <w:r>
              <w:t>section 57</w:t>
            </w:r>
          </w:p>
        </w:tc>
        <w:tc>
          <w:tcPr>
            <w:tcW w:w="2127" w:type="dxa"/>
          </w:tcPr>
          <w:p>
            <w:pPr>
              <w:pStyle w:val="zTablet"/>
            </w:pPr>
          </w:p>
        </w:tc>
        <w:tc>
          <w:tcPr>
            <w:tcW w:w="1984" w:type="dxa"/>
          </w:tcPr>
          <w:p>
            <w:pPr>
              <w:pStyle w:val="zTablet"/>
            </w:pPr>
          </w:p>
        </w:tc>
      </w:tr>
      <w:tr>
        <w:tc>
          <w:tcPr>
            <w:tcW w:w="1984" w:type="dxa"/>
          </w:tcPr>
          <w:p>
            <w:pPr>
              <w:pStyle w:val="zTablet"/>
            </w:pPr>
            <w:r>
              <w:t>section 98A</w:t>
            </w:r>
          </w:p>
        </w:tc>
        <w:tc>
          <w:tcPr>
            <w:tcW w:w="2127" w:type="dxa"/>
          </w:tcPr>
          <w:p>
            <w:pPr>
              <w:pStyle w:val="zTablet"/>
            </w:pPr>
          </w:p>
        </w:tc>
        <w:tc>
          <w:tcPr>
            <w:tcW w:w="1984" w:type="dxa"/>
          </w:tcPr>
          <w:p>
            <w:pPr>
              <w:pStyle w:val="zTablet"/>
            </w:pPr>
          </w:p>
        </w:tc>
      </w:tr>
      <w:tr>
        <w:tc>
          <w:tcPr>
            <w:tcW w:w="1984" w:type="dxa"/>
          </w:tcPr>
          <w:p>
            <w:pPr>
              <w:pStyle w:val="zTablet"/>
            </w:pPr>
            <w:r>
              <w:t>section 101</w:t>
            </w:r>
          </w:p>
        </w:tc>
        <w:tc>
          <w:tcPr>
            <w:tcW w:w="2127" w:type="dxa"/>
          </w:tcPr>
          <w:p>
            <w:pPr>
              <w:pStyle w:val="zTablet"/>
            </w:pPr>
          </w:p>
        </w:tc>
        <w:tc>
          <w:tcPr>
            <w:tcW w:w="1984" w:type="dxa"/>
          </w:tcPr>
          <w:p>
            <w:pPr>
              <w:pStyle w:val="zTablet"/>
            </w:pPr>
          </w:p>
        </w:tc>
      </w:tr>
      <w:tr>
        <w:tc>
          <w:tcPr>
            <w:tcW w:w="1984" w:type="dxa"/>
          </w:tcPr>
          <w:p>
            <w:pPr>
              <w:pStyle w:val="zTablet"/>
            </w:pPr>
            <w:r>
              <w:t>section 117</w:t>
            </w:r>
          </w:p>
        </w:tc>
        <w:tc>
          <w:tcPr>
            <w:tcW w:w="2127" w:type="dxa"/>
          </w:tcPr>
          <w:p>
            <w:pPr>
              <w:pStyle w:val="zTablet"/>
            </w:pPr>
          </w:p>
        </w:tc>
        <w:tc>
          <w:tcPr>
            <w:tcW w:w="1984" w:type="dxa"/>
          </w:tcPr>
          <w:p>
            <w:pPr>
              <w:pStyle w:val="zTablet"/>
            </w:pPr>
          </w:p>
        </w:tc>
      </w:tr>
      <w:tr>
        <w:tc>
          <w:tcPr>
            <w:tcW w:w="1984" w:type="dxa"/>
            <w:tcBorders>
              <w:bottom w:val="single" w:sz="4" w:space="0" w:color="auto"/>
            </w:tcBorders>
          </w:tcPr>
          <w:p>
            <w:pPr>
              <w:pStyle w:val="zTablet"/>
            </w:pPr>
            <w:r>
              <w:t>Part XI Division 2</w:t>
            </w:r>
          </w:p>
        </w:tc>
        <w:tc>
          <w:tcPr>
            <w:tcW w:w="2127" w:type="dxa"/>
            <w:tcBorders>
              <w:bottom w:val="single" w:sz="4" w:space="0" w:color="auto"/>
            </w:tcBorders>
          </w:tcPr>
          <w:p>
            <w:pPr>
              <w:pStyle w:val="zTablet"/>
            </w:pPr>
          </w:p>
        </w:tc>
        <w:tc>
          <w:tcPr>
            <w:tcW w:w="1984" w:type="dxa"/>
            <w:tcBorders>
              <w:bottom w:val="single" w:sz="4" w:space="0" w:color="auto"/>
            </w:tcBorders>
          </w:tcPr>
          <w:p>
            <w:pPr>
              <w:pStyle w:val="zTablet"/>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spacing w:before="80"/>
        <w:rPr>
          <w:snapToGrid w:val="0"/>
        </w:rPr>
      </w:pPr>
      <w:r>
        <w:rPr>
          <w:snapToGrid w:val="0"/>
        </w:rPr>
        <w:tab/>
        <w:t>[(c)</w:t>
      </w:r>
      <w:r>
        <w:rPr>
          <w:snapToGrid w:val="0"/>
        </w:rPr>
        <w:tab/>
        <w:t>deleted]</w:t>
      </w:r>
    </w:p>
    <w:p>
      <w:pPr>
        <w:pStyle w:val="Indenta"/>
        <w:keepNext/>
        <w:keepLines/>
        <w:rPr>
          <w:snapToGrid w:val="0"/>
        </w:rPr>
      </w:pPr>
      <w:r>
        <w:rPr>
          <w:snapToGrid w:val="0"/>
        </w:rPr>
        <w:lastRenderedPageBreak/>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Gazette 26 Mar 2004 p. 1058; 14 Jul 2006 p. 2566.]</w:t>
      </w:r>
    </w:p>
    <w:p>
      <w:pPr>
        <w:pStyle w:val="Heading5"/>
      </w:pPr>
      <w:bookmarkStart w:id="61" w:name="_Toc80102551"/>
      <w:r>
        <w:rPr>
          <w:rStyle w:val="CharSectno"/>
        </w:rPr>
        <w:t>25</w:t>
      </w:r>
      <w:r>
        <w:t>.</w:t>
      </w:r>
      <w:r>
        <w:tab/>
        <w:t>Applications to review exercises of powers and functions by registrars</w:t>
      </w:r>
      <w:bookmarkEnd w:id="61"/>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Gazette 26 Mar 2004 p. 1058-9.]</w:t>
      </w:r>
    </w:p>
    <w:p>
      <w:pPr>
        <w:pStyle w:val="Heading5"/>
      </w:pPr>
      <w:bookmarkStart w:id="62" w:name="_Toc80102552"/>
      <w:r>
        <w:rPr>
          <w:rStyle w:val="CharSectno"/>
        </w:rPr>
        <w:t>26</w:t>
      </w:r>
      <w:r>
        <w:t>.</w:t>
      </w:r>
      <w:r>
        <w:tab/>
        <w:t>Power of Court on review</w:t>
      </w:r>
      <w:bookmarkEnd w:id="62"/>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lastRenderedPageBreak/>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Gazette 26 Mar 2004 p. 1059.]</w:t>
      </w:r>
    </w:p>
    <w:p>
      <w:pPr>
        <w:pStyle w:val="Ednotesection"/>
        <w:ind w:left="1140" w:hanging="1140"/>
      </w:pPr>
      <w:r>
        <w:t>[</w:t>
      </w:r>
      <w:r>
        <w:rPr>
          <w:b/>
        </w:rPr>
        <w:t>27, 28.</w:t>
      </w:r>
      <w:r>
        <w:tab/>
        <w:t>Deleted: Gazette 26 Mar 2004 p. 1058.]</w:t>
      </w:r>
    </w:p>
    <w:p>
      <w:pPr>
        <w:pStyle w:val="Heading3"/>
        <w:keepNext w:val="0"/>
      </w:pPr>
      <w:bookmarkStart w:id="63" w:name="_Toc80086981"/>
      <w:bookmarkStart w:id="64" w:name="_Toc80087532"/>
      <w:bookmarkStart w:id="65" w:name="_Toc80095374"/>
      <w:bookmarkStart w:id="66" w:name="_Toc80102553"/>
      <w:r>
        <w:rPr>
          <w:rStyle w:val="CharDivNo"/>
        </w:rPr>
        <w:t>Division 3</w:t>
      </w:r>
      <w:r>
        <w:rPr>
          <w:snapToGrid w:val="0"/>
        </w:rPr>
        <w:t xml:space="preserve"> — </w:t>
      </w:r>
      <w:r>
        <w:rPr>
          <w:rStyle w:val="CharDivText"/>
        </w:rPr>
        <w:t>Conferral of functions on registrars</w:t>
      </w:r>
      <w:bookmarkEnd w:id="63"/>
      <w:bookmarkEnd w:id="64"/>
      <w:bookmarkEnd w:id="65"/>
      <w:bookmarkEnd w:id="66"/>
    </w:p>
    <w:p>
      <w:pPr>
        <w:pStyle w:val="Heading5"/>
      </w:pPr>
      <w:bookmarkStart w:id="67" w:name="_Toc80102554"/>
      <w:r>
        <w:rPr>
          <w:rStyle w:val="CharSectno"/>
        </w:rPr>
        <w:t>29</w:t>
      </w:r>
      <w:r>
        <w:t>.</w:t>
      </w:r>
      <w:r>
        <w:tab/>
        <w:t>Conferral of functions on registrars</w:t>
      </w:r>
      <w:bookmarkEnd w:id="67"/>
    </w:p>
    <w:p>
      <w:pPr>
        <w:pStyle w:val="Subsection"/>
      </w:pPr>
      <w:r>
        <w:tab/>
      </w:r>
      <w:r>
        <w:tab/>
        <w:t>If under a Family Law Rule adopted and applied under Part 2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Gazette 26 Mar 2004 p. 1060; amended: Gazette 14 Jul 2006 p. 2566.]</w:t>
      </w:r>
    </w:p>
    <w:p>
      <w:pPr>
        <w:pStyle w:val="Ednotesection"/>
        <w:ind w:left="1140" w:hanging="1140"/>
      </w:pPr>
      <w:r>
        <w:t>[</w:t>
      </w:r>
      <w:r>
        <w:rPr>
          <w:b/>
        </w:rPr>
        <w:t>30.</w:t>
      </w:r>
      <w:r>
        <w:rPr>
          <w:b/>
        </w:rPr>
        <w:tab/>
      </w:r>
      <w:r>
        <w:t>Deleted: Gazette 26 Mar 2004 p. 1060.]</w:t>
      </w:r>
    </w:p>
    <w:p>
      <w:pPr>
        <w:pStyle w:val="Heading2"/>
        <w:keepNext w:val="0"/>
      </w:pPr>
      <w:bookmarkStart w:id="68" w:name="_Toc80086983"/>
      <w:bookmarkStart w:id="69" w:name="_Toc80087534"/>
      <w:bookmarkStart w:id="70" w:name="_Toc80095376"/>
      <w:bookmarkStart w:id="71" w:name="_Toc80102555"/>
      <w:r>
        <w:rPr>
          <w:rStyle w:val="CharPartNo"/>
        </w:rPr>
        <w:lastRenderedPageBreak/>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68"/>
      <w:bookmarkEnd w:id="69"/>
      <w:bookmarkEnd w:id="70"/>
      <w:bookmarkEnd w:id="71"/>
      <w:r>
        <w:rPr>
          <w:rStyle w:val="CharPartText"/>
        </w:rPr>
        <w:t xml:space="preserve"> </w:t>
      </w:r>
    </w:p>
    <w:p>
      <w:pPr>
        <w:pStyle w:val="Ednotesection"/>
      </w:pPr>
      <w:r>
        <w:t>[</w:t>
      </w:r>
      <w:r>
        <w:rPr>
          <w:b/>
          <w:bCs/>
        </w:rPr>
        <w:t>31, 32.</w:t>
      </w:r>
      <w:r>
        <w:rPr>
          <w:b/>
          <w:bCs/>
        </w:rPr>
        <w:tab/>
      </w:r>
      <w:r>
        <w:t>Deleted: Gazette 14 Jul 2006 p. 2566.]</w:t>
      </w:r>
    </w:p>
    <w:p>
      <w:pPr>
        <w:pStyle w:val="Heading5"/>
        <w:keepNext w:val="0"/>
        <w:keepLines w:val="0"/>
        <w:rPr>
          <w:snapToGrid w:val="0"/>
        </w:rPr>
      </w:pPr>
      <w:bookmarkStart w:id="72" w:name="_Toc80102556"/>
      <w:r>
        <w:rPr>
          <w:rStyle w:val="CharSectno"/>
        </w:rPr>
        <w:t>33</w:t>
      </w:r>
      <w:r>
        <w:rPr>
          <w:snapToGrid w:val="0"/>
        </w:rPr>
        <w:t>.</w:t>
      </w:r>
      <w:r>
        <w:rPr>
          <w:snapToGrid w:val="0"/>
        </w:rPr>
        <w:tab/>
        <w:t>Registration of State child orders</w:t>
      </w:r>
      <w:bookmarkEnd w:id="72"/>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73" w:name="_Toc80102557"/>
      <w:r>
        <w:rPr>
          <w:rStyle w:val="CharSectno"/>
        </w:rPr>
        <w:t>34</w:t>
      </w:r>
      <w:r>
        <w:rPr>
          <w:snapToGrid w:val="0"/>
        </w:rPr>
        <w:t>.</w:t>
      </w:r>
      <w:r>
        <w:rPr>
          <w:snapToGrid w:val="0"/>
        </w:rPr>
        <w:tab/>
        <w:t>Proceedings in chambers — s. 212(5)</w:t>
      </w:r>
      <w:bookmarkEnd w:id="73"/>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74" w:name="_Toc80102558"/>
      <w:r>
        <w:rPr>
          <w:rStyle w:val="CharSectno"/>
        </w:rPr>
        <w:t>35</w:t>
      </w:r>
      <w:r>
        <w:t>.</w:t>
      </w:r>
      <w:r>
        <w:tab/>
        <w:t>Notification to spouse — s. 205ZB(3)</w:t>
      </w:r>
      <w:bookmarkEnd w:id="74"/>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as soon as is practicable after filing the application, and if applicable, a response to the application, to give to his or her spouse, written notification — </w:t>
      </w:r>
    </w:p>
    <w:p>
      <w:pPr>
        <w:pStyle w:val="Indenta"/>
      </w:pPr>
      <w:r>
        <w:tab/>
        <w:t>(c)</w:t>
      </w:r>
      <w:r>
        <w:tab/>
        <w:t>of the application; and</w:t>
      </w:r>
    </w:p>
    <w:p>
      <w:pPr>
        <w:pStyle w:val="Indenta"/>
      </w:pPr>
      <w:r>
        <w:tab/>
        <w:t>(d)</w:t>
      </w:r>
      <w:r>
        <w:tab/>
        <w:t>any response filed to the application.</w:t>
      </w:r>
    </w:p>
    <w:p>
      <w:pPr>
        <w:pStyle w:val="Footnotesection"/>
      </w:pPr>
      <w:r>
        <w:tab/>
        <w:t>[Rule 35 inserted: Gazette 14 Jul 2006 p. 2566</w:t>
      </w:r>
      <w:r>
        <w:noBreakHyphen/>
        <w:t>7.]</w:t>
      </w:r>
    </w:p>
    <w:p>
      <w:pPr>
        <w:pStyle w:val="Heading5"/>
      </w:pPr>
      <w:bookmarkStart w:id="75" w:name="_Toc80102559"/>
      <w:r>
        <w:rPr>
          <w:rStyle w:val="CharSectno"/>
        </w:rPr>
        <w:lastRenderedPageBreak/>
        <w:t>36</w:t>
      </w:r>
      <w:r>
        <w:t>.</w:t>
      </w:r>
      <w:r>
        <w:tab/>
        <w:t>Certain evidential statements</w:t>
      </w:r>
      <w:bookmarkEnd w:id="75"/>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Gazette 26 Mar 2004 p. 1060-1.]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6" w:name="_Toc80087539"/>
      <w:bookmarkStart w:id="77" w:name="_Toc80095381"/>
      <w:bookmarkStart w:id="78" w:name="_Toc80102560"/>
      <w:bookmarkStart w:id="79" w:name="_Toc80086990"/>
      <w:r>
        <w:lastRenderedPageBreak/>
        <w:t>Notes</w:t>
      </w:r>
      <w:bookmarkEnd w:id="76"/>
      <w:bookmarkEnd w:id="77"/>
      <w:bookmarkEnd w:id="78"/>
    </w:p>
    <w:p>
      <w:pPr>
        <w:pStyle w:val="nStatement"/>
      </w:pPr>
      <w:r>
        <w:t xml:space="preserve">This is a compilation of the </w:t>
      </w:r>
      <w:r>
        <w:rPr>
          <w:i/>
          <w:noProof/>
        </w:rPr>
        <w:t>Family Court Rules 1998</w:t>
      </w:r>
      <w:r>
        <w:t xml:space="preserve"> and includes amendments made by other written laws. For provisions that have come into operation, and for information about any reprints, see the compilation table.</w:t>
      </w:r>
    </w:p>
    <w:p>
      <w:pPr>
        <w:pStyle w:val="nHeading3"/>
      </w:pPr>
      <w:bookmarkStart w:id="80" w:name="_Toc80102561"/>
      <w:r>
        <w:t>Compilation table</w:t>
      </w:r>
      <w:bookmarkEnd w:id="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Family Court Rules 1998</w:t>
            </w:r>
          </w:p>
        </w:tc>
        <w:tc>
          <w:tcPr>
            <w:tcW w:w="1276" w:type="dxa"/>
            <w:tcBorders>
              <w:top w:val="single" w:sz="8" w:space="0" w:color="auto"/>
            </w:tcBorders>
          </w:tcPr>
          <w:p>
            <w:pPr>
              <w:pStyle w:val="nTable"/>
              <w:spacing w:after="40"/>
            </w:pPr>
            <w:r>
              <w:t>6 Oct 1998 p. 5571-85</w:t>
            </w:r>
          </w:p>
        </w:tc>
        <w:tc>
          <w:tcPr>
            <w:tcW w:w="2693" w:type="dxa"/>
            <w:tcBorders>
              <w:top w:val="single" w:sz="8" w:space="0" w:color="auto"/>
            </w:tcBorders>
          </w:tcPr>
          <w:p>
            <w:pPr>
              <w:pStyle w:val="nTable"/>
              <w:spacing w:after="40"/>
            </w:pPr>
            <w:r>
              <w:t>6 Oct 1998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2002</w:t>
            </w:r>
          </w:p>
        </w:tc>
        <w:tc>
          <w:tcPr>
            <w:tcW w:w="1276" w:type="dxa"/>
          </w:tcPr>
          <w:p>
            <w:pPr>
              <w:pStyle w:val="nTable"/>
              <w:spacing w:after="40"/>
            </w:pPr>
            <w:r>
              <w:t>29 Nov 2002 p. 5662-3</w:t>
            </w:r>
          </w:p>
        </w:tc>
        <w:tc>
          <w:tcPr>
            <w:tcW w:w="2693" w:type="dxa"/>
          </w:tcPr>
          <w:p>
            <w:pPr>
              <w:pStyle w:val="nTable"/>
              <w:spacing w:after="40"/>
            </w:pPr>
            <w:r>
              <w:t xml:space="preserve">1 Dec 2002 (see r. 2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2004</w:t>
            </w:r>
          </w:p>
        </w:tc>
        <w:tc>
          <w:tcPr>
            <w:tcW w:w="1276" w:type="dxa"/>
          </w:tcPr>
          <w:p>
            <w:pPr>
              <w:pStyle w:val="nTable"/>
              <w:spacing w:after="40"/>
            </w:pPr>
            <w:r>
              <w:t>26 Mar 2004 p. 1049-61</w:t>
            </w:r>
          </w:p>
        </w:tc>
        <w:tc>
          <w:tcPr>
            <w:tcW w:w="2693" w:type="dxa"/>
          </w:tcPr>
          <w:p>
            <w:pPr>
              <w:pStyle w:val="nTable"/>
              <w:spacing w:after="40"/>
            </w:pPr>
            <w:r>
              <w:t>29 Mar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Family Court Amendment Rules 2006</w:t>
            </w:r>
          </w:p>
        </w:tc>
        <w:tc>
          <w:tcPr>
            <w:tcW w:w="1276" w:type="dxa"/>
          </w:tcPr>
          <w:p>
            <w:pPr>
              <w:pStyle w:val="nTable"/>
              <w:spacing w:after="40"/>
            </w:pPr>
            <w:r>
              <w:t>14 Jul 2006 p. 2564</w:t>
            </w:r>
            <w:r>
              <w:noBreakHyphen/>
              <w:t>7</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8" w:type="dxa"/>
            <w:gridSpan w:val="3"/>
            <w:tcBorders>
              <w:top w:val="nil"/>
              <w:bottom w:val="nil"/>
            </w:tcBorders>
          </w:tcPr>
          <w:p>
            <w:pPr>
              <w:pStyle w:val="nTable"/>
              <w:spacing w:after="40"/>
            </w:pPr>
            <w:r>
              <w:rPr>
                <w:b/>
                <w:bCs/>
              </w:rPr>
              <w:t xml:space="preserve">Reprint 1: The </w:t>
            </w:r>
            <w:r>
              <w:rPr>
                <w:b/>
                <w:bCs/>
                <w:i/>
              </w:rPr>
              <w:t>Family Court Rules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color w:val="FF0000"/>
              </w:rPr>
              <w:t>Family Court Rules 2021</w:t>
            </w:r>
            <w:r>
              <w:rPr>
                <w:b/>
                <w:bCs/>
                <w:color w:val="FF0000"/>
              </w:rPr>
              <w:t xml:space="preserve"> r. 553 (SL 2021/148) as at 23 Aug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82" w:name="_Toc80087541"/>
      <w:bookmarkStart w:id="83" w:name="_Toc80095383"/>
      <w:bookmarkStart w:id="84" w:name="_Toc80102562"/>
      <w:r>
        <w:rPr>
          <w:sz w:val="28"/>
        </w:rPr>
        <w:lastRenderedPageBreak/>
        <w:t>Defined terms</w:t>
      </w:r>
      <w:bookmarkEnd w:id="79"/>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noBreakHyphen/>
        <w:t>related proceedings</w:t>
      </w:r>
      <w:r>
        <w:tab/>
        <w:t>2</w:t>
      </w:r>
    </w:p>
    <w:p>
      <w:pPr>
        <w:pStyle w:val="DefinedTerms"/>
      </w:pPr>
      <w:r>
        <w:t>court</w:t>
      </w:r>
      <w:r>
        <w:tab/>
        <w:t>2</w:t>
      </w:r>
    </w:p>
    <w:p>
      <w:pPr>
        <w:pStyle w:val="DefinedTerms"/>
      </w:pPr>
      <w:r>
        <w:t>decree</w:t>
      </w:r>
      <w:r>
        <w:tab/>
        <w:t>2</w:t>
      </w:r>
    </w:p>
    <w:p>
      <w:pPr>
        <w:pStyle w:val="DefinedTerms"/>
      </w:pPr>
      <w:r>
        <w:t>Family Law Regulations</w:t>
      </w:r>
      <w:r>
        <w:tab/>
        <w:t>2</w:t>
      </w:r>
    </w:p>
    <w:p>
      <w:pPr>
        <w:pStyle w:val="DefinedTerms"/>
      </w:pPr>
      <w:r>
        <w:t>Family Law Rules</w:t>
      </w:r>
      <w:r>
        <w:tab/>
        <w:t>2</w:t>
      </w:r>
    </w:p>
    <w:p>
      <w:pPr>
        <w:pStyle w:val="DefinedTerms"/>
      </w:pPr>
      <w:r>
        <w:t>order</w:t>
      </w:r>
      <w:r>
        <w:tab/>
        <w:t>14</w:t>
      </w:r>
    </w:p>
    <w:p>
      <w:pPr>
        <w:pStyle w:val="DefinedTerms"/>
      </w:pPr>
      <w:r>
        <w:t>registrar</w:t>
      </w:r>
      <w:r>
        <w:tab/>
        <w:t>20</w:t>
      </w:r>
    </w:p>
    <w:p>
      <w:pPr>
        <w:pStyle w:val="DefinedTerms"/>
      </w:pPr>
      <w:r>
        <w:t>section</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82A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C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3A6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E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A0E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43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25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8C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CB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030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A429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7100123"/>
    <w:docVar w:name="WAFER_20140123135534" w:val="RemoveTocBookmarks,RemoveUnusedBookmarks,RemoveLanguageTags,UsedStyles,ResetPageSize,UpdateArrangement"/>
    <w:docVar w:name="WAFER_20140123135534_GUID" w:val="e39d51d6-785c-4e04-a4ba-c0e870e25f37"/>
    <w:docVar w:name="WAFER_20140123135814" w:val="RemoveTocBookmarks,RunningHeaders"/>
    <w:docVar w:name="WAFER_20140123135814_GUID" w:val="5d7f8d28-8354-44ac-8103-deaa01a928f4"/>
    <w:docVar w:name="WAFER_20150430110655" w:val="ResetPageSize,UpdateArrangement,UpdateNTable"/>
    <w:docVar w:name="WAFER_20150430110655_GUID" w:val="3e7f9daa-71b3-46df-b780-83687a93d5aa"/>
    <w:docVar w:name="WAFER_20151105103529" w:val="UpdateStyles,UsedStyles"/>
    <w:docVar w:name="WAFER_20151105103529_GUID" w:val="8921de33-a872-44da-9c08-2df1750f8f6c"/>
    <w:docVar w:name="WAFER_20151201120522" w:val="RemoveTrackChanges"/>
    <w:docVar w:name="WAFER_20151201120522_GUID" w:val="73d7d44a-cd46-4462-bbc8-f06c1d951f42"/>
    <w:docVar w:name="WAFER_20210817100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7100123_GUID" w:val="f3178721-519b-47a1-8db8-283836e2ac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80E6B6B3-DB40-4D88-9E53-578D9F5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5022</Words>
  <Characters>22802</Characters>
  <Application>Microsoft Office Word</Application>
  <DocSecurity>0</DocSecurity>
  <Lines>690</Lines>
  <Paragraphs>456</Paragraphs>
  <ScaleCrop>false</ScaleCrop>
  <HeadingPairs>
    <vt:vector size="2" baseType="variant">
      <vt:variant>
        <vt:lpstr>Title</vt:lpstr>
      </vt:variant>
      <vt:variant>
        <vt:i4>1</vt:i4>
      </vt:variant>
    </vt:vector>
  </HeadingPairs>
  <TitlesOfParts>
    <vt:vector size="1" baseType="lpstr">
      <vt:lpstr>Family Court Rules 1998</vt:lpstr>
    </vt:vector>
  </TitlesOfParts>
  <Manager/>
  <Company/>
  <LinksUpToDate>false</LinksUpToDate>
  <CharactersWithSpaces>27368</CharactersWithSpaces>
  <SharedDoc>false</SharedDoc>
  <HLinks>
    <vt:vector size="12" baseType="variant">
      <vt:variant>
        <vt:i4>65542</vt:i4>
      </vt:variant>
      <vt:variant>
        <vt:i4>4243</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1998 - 01-b0-00</dc:title>
  <dc:subject/>
  <dc:creator/>
  <cp:keywords/>
  <dc:description/>
  <cp:lastModifiedBy>Master Repository Process</cp:lastModifiedBy>
  <cp:revision>4</cp:revision>
  <cp:lastPrinted>2007-02-09T07:04:00Z</cp:lastPrinted>
  <dcterms:created xsi:type="dcterms:W3CDTF">2021-08-17T07:00:00Z</dcterms:created>
  <dcterms:modified xsi:type="dcterms:W3CDTF">2021-08-17T07:00:00Z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DocumentType">
    <vt:lpwstr>Reg</vt:lpwstr>
  </property>
  <property fmtid="{D5CDD505-2E9C-101B-9397-08002B2CF9AE}" pid="4" name="OwlsUID">
    <vt:i4>111</vt:i4>
  </property>
  <property fmtid="{D5CDD505-2E9C-101B-9397-08002B2CF9AE}" pid="5" name="ReprintedAsAt">
    <vt:filetime>2007-02-08T16:00:00Z</vt:filetime>
  </property>
  <property fmtid="{D5CDD505-2E9C-101B-9397-08002B2CF9AE}" pid="6" name="ReprintNo">
    <vt:lpwstr>1</vt:lpwstr>
  </property>
  <property fmtid="{D5CDD505-2E9C-101B-9397-08002B2CF9AE}" pid="7" name="AsAtDate">
    <vt:lpwstr>23 Aug 2021</vt:lpwstr>
  </property>
  <property fmtid="{D5CDD505-2E9C-101B-9397-08002B2CF9AE}" pid="8" name="Suffix">
    <vt:lpwstr>01-b0-00</vt:lpwstr>
  </property>
  <property fmtid="{D5CDD505-2E9C-101B-9397-08002B2CF9AE}" pid="9" name="Status">
    <vt:lpwstr>NIF</vt:lpwstr>
  </property>
  <property fmtid="{D5CDD505-2E9C-101B-9397-08002B2CF9AE}" pid="10" name="CommencementDate">
    <vt:lpwstr>20210823</vt:lpwstr>
  </property>
</Properties>
</file>