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Biosecurity and Agriculture Management Act 2007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(Aerial Application) Regulations 2018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(Aerial Application) Regulations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_Toc90539269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_Toc90539270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_Toc90539271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Director General may specify chemical product</w:t>
      </w:r>
      <w:r>
        <w:tab/>
      </w:r>
      <w:r>
        <w:fldChar w:fldCharType="begin"/>
      </w:r>
      <w:r>
        <w:instrText xml:space="preserve"> PAGEREF _Toc90539272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Qualifications or authorisations to apply controlled chemical product (Act s. 56(1))</w:t>
      </w:r>
      <w:r>
        <w:tab/>
      </w:r>
      <w:r>
        <w:fldChar w:fldCharType="begin"/>
      </w:r>
      <w:r>
        <w:instrText xml:space="preserve"> PAGEREF _Toc90539273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Director General may issue authorisation</w:t>
      </w:r>
      <w:r>
        <w:tab/>
      </w:r>
      <w:r>
        <w:fldChar w:fldCharType="begin"/>
      </w:r>
      <w:r>
        <w:instrText xml:space="preserve"> PAGEREF _Toc90539274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Person responsible to have record of application of controlled chemical product</w:t>
      </w:r>
      <w:r>
        <w:tab/>
      </w:r>
      <w:r>
        <w:fldChar w:fldCharType="begin"/>
      </w:r>
      <w:r>
        <w:instrText xml:space="preserve"> PAGEREF _Toc90539275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Transitional provision</w:t>
      </w:r>
      <w:r>
        <w:tab/>
      </w:r>
      <w:r>
        <w:fldChar w:fldCharType="begin"/>
      </w:r>
      <w:r>
        <w:instrText xml:space="preserve"> PAGEREF _Toc90539276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_Toc90539278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Biosecurity and Agriculture Management Act 2007</w:t>
      </w:r>
    </w:p>
    <w:p>
      <w:pPr>
        <w:pStyle w:val="NameofActReg"/>
      </w:pPr>
      <w:r>
        <w:t>Biosecurity and Agriculture Management (Aerial Application) Regulations 2018</w:t>
      </w:r>
    </w:p>
    <w:p>
      <w:pPr>
        <w:pStyle w:val="Heading5"/>
      </w:pPr>
      <w:bookmarkStart w:id="3" w:name="_Toc90539269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(Aerial Application) Regulations 2018</w:t>
      </w:r>
      <w:r>
        <w:t>.</w:t>
      </w:r>
    </w:p>
    <w:p>
      <w:pPr>
        <w:pStyle w:val="Heading5"/>
        <w:rPr>
          <w:spacing w:val="-2"/>
        </w:rPr>
      </w:pPr>
      <w:bookmarkStart w:id="5" w:name="_Toc9053927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Biosecurity and Agriculture Management (Repeal and Consequential Provisions) Act 2007</w:t>
      </w:r>
      <w:r>
        <w:t xml:space="preserve"> Part 2 Division 3 comes into operation.</w:t>
      </w:r>
    </w:p>
    <w:p>
      <w:pPr>
        <w:pStyle w:val="Heading5"/>
      </w:pPr>
      <w:bookmarkStart w:id="6" w:name="_Toc90539271"/>
      <w:r>
        <w:rPr>
          <w:rStyle w:val="CharSectno"/>
        </w:rPr>
        <w:t>3</w:t>
      </w:r>
      <w:r>
        <w:t>.</w:t>
      </w:r>
      <w:r>
        <w:tab/>
        <w:t>Terms used</w:t>
      </w:r>
      <w:bookmarkEnd w:id="6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aircraft</w:t>
      </w:r>
      <w:r>
        <w:t xml:space="preserve"> means a machine that can derive support in the atmosphere from the reactions of the air;</w:t>
      </w:r>
    </w:p>
    <w:p>
      <w:pPr>
        <w:pStyle w:val="Defstart"/>
      </w:pPr>
      <w:r>
        <w:tab/>
      </w:r>
      <w:r>
        <w:rPr>
          <w:rStyle w:val="CharDefText"/>
        </w:rPr>
        <w:t>apply</w:t>
      </w:r>
      <w:r>
        <w:t>, in relation to a controlled chemical product, means to drop or spray the product on land;</w:t>
      </w:r>
    </w:p>
    <w:p>
      <w:pPr>
        <w:pStyle w:val="Defstart"/>
      </w:pPr>
      <w:r>
        <w:tab/>
      </w:r>
      <w:r>
        <w:rPr>
          <w:rStyle w:val="CharDefText"/>
        </w:rPr>
        <w:t>controlled chemical product</w:t>
      </w:r>
      <w:r>
        <w:t xml:space="preserve"> — </w:t>
      </w:r>
    </w:p>
    <w:p>
      <w:pPr>
        <w:pStyle w:val="Defpara"/>
      </w:pPr>
      <w:r>
        <w:tab/>
        <w:t>(a)</w:t>
      </w:r>
      <w:r>
        <w:tab/>
        <w:t>means an agricultural chemical product as defined in the Agvet Code of Western Australia; but</w:t>
      </w:r>
    </w:p>
    <w:p>
      <w:pPr>
        <w:pStyle w:val="Defpara"/>
        <w:keepNext/>
      </w:pPr>
      <w:r>
        <w:lastRenderedPageBreak/>
        <w:tab/>
        <w:t>(b)</w:t>
      </w:r>
      <w:r>
        <w:tab/>
        <w:t xml:space="preserve">does not include — </w:t>
      </w:r>
    </w:p>
    <w:p>
      <w:pPr>
        <w:pStyle w:val="Defsubpara"/>
        <w:keepLines w:val="0"/>
      </w:pPr>
      <w:r>
        <w:tab/>
        <w:t>(i)</w:t>
      </w:r>
      <w:r>
        <w:tab/>
        <w:t>a meat bait product registered under Part 2 of the Agvet Code of Western Australia containing sodium fluoroacetate (1080); or</w:t>
      </w:r>
    </w:p>
    <w:p>
      <w:pPr>
        <w:pStyle w:val="Defsubpara"/>
        <w:keepLines w:val="0"/>
      </w:pPr>
      <w:r>
        <w:tab/>
        <w:t>(ii)</w:t>
      </w:r>
      <w:r>
        <w:tab/>
        <w:t>a chemical product specified under regulation 4;</w:t>
      </w:r>
    </w:p>
    <w:p>
      <w:pPr>
        <w:pStyle w:val="Defstart"/>
      </w:pPr>
      <w:r>
        <w:tab/>
      </w:r>
      <w:r>
        <w:rPr>
          <w:rStyle w:val="CharDefText"/>
        </w:rPr>
        <w:t>micro to medium weight RPA</w:t>
      </w:r>
      <w:r>
        <w:t xml:space="preserve"> means one of the following remotely piloted aircrafts as defined in the </w:t>
      </w:r>
      <w:r>
        <w:rPr>
          <w:i/>
        </w:rPr>
        <w:t>Civil Aviation Safety Regulations 1998</w:t>
      </w:r>
      <w:r>
        <w:t xml:space="preserve"> (Commonwealth) Dictionary Part 1 — </w:t>
      </w:r>
    </w:p>
    <w:p>
      <w:pPr>
        <w:pStyle w:val="Defpara"/>
      </w:pPr>
      <w:r>
        <w:tab/>
        <w:t>(a)</w:t>
      </w:r>
      <w:r>
        <w:tab/>
        <w:t>a micro RPA;</w:t>
      </w:r>
    </w:p>
    <w:p>
      <w:pPr>
        <w:pStyle w:val="Defpara"/>
      </w:pPr>
      <w:r>
        <w:tab/>
        <w:t>(b)</w:t>
      </w:r>
      <w:r>
        <w:tab/>
        <w:t>a very small RPA;</w:t>
      </w:r>
    </w:p>
    <w:p>
      <w:pPr>
        <w:pStyle w:val="Defpara"/>
      </w:pPr>
      <w:r>
        <w:tab/>
        <w:t>(c)</w:t>
      </w:r>
      <w:r>
        <w:tab/>
        <w:t>a small RPA;</w:t>
      </w:r>
    </w:p>
    <w:p>
      <w:pPr>
        <w:pStyle w:val="Defpara"/>
      </w:pPr>
      <w:r>
        <w:tab/>
        <w:t>(d)</w:t>
      </w:r>
      <w:r>
        <w:tab/>
        <w:t xml:space="preserve">a medium RPA. </w:t>
      </w:r>
    </w:p>
    <w:p>
      <w:pPr>
        <w:pStyle w:val="Heading5"/>
      </w:pPr>
      <w:bookmarkStart w:id="7" w:name="_Toc90539272"/>
      <w:r>
        <w:rPr>
          <w:rStyle w:val="CharSectno"/>
        </w:rPr>
        <w:t>4</w:t>
      </w:r>
      <w:r>
        <w:t>.</w:t>
      </w:r>
      <w:r>
        <w:tab/>
        <w:t>Director General may specify chemical product</w:t>
      </w:r>
      <w:bookmarkEnd w:id="7"/>
    </w:p>
    <w:p>
      <w:pPr>
        <w:pStyle w:val="Subsection"/>
      </w:pPr>
      <w:r>
        <w:tab/>
        <w:t>(1)</w:t>
      </w:r>
      <w:r>
        <w:tab/>
        <w:t xml:space="preserve">The Director General may, by notice published in the </w:t>
      </w:r>
      <w:r>
        <w:rPr>
          <w:i/>
        </w:rPr>
        <w:t>Gazette</w:t>
      </w:r>
      <w:r>
        <w:t>, specify that a chemical product of a particular kind is not a controlled chemical product.</w:t>
      </w:r>
    </w:p>
    <w:p>
      <w:pPr>
        <w:pStyle w:val="Subsection"/>
      </w:pPr>
      <w:r>
        <w:tab/>
        <w:t>(2)</w:t>
      </w:r>
      <w:r>
        <w:tab/>
        <w:t xml:space="preserve">A notice published under subregulation (1) may be amended or revoked by a subsequent notice published in the </w:t>
      </w:r>
      <w:r>
        <w:rPr>
          <w:i/>
        </w:rPr>
        <w:t>Gazette</w:t>
      </w:r>
      <w:r>
        <w:t>.</w:t>
      </w:r>
    </w:p>
    <w:p>
      <w:pPr>
        <w:pStyle w:val="Heading5"/>
      </w:pPr>
      <w:bookmarkStart w:id="8" w:name="_Toc90539273"/>
      <w:r>
        <w:rPr>
          <w:rStyle w:val="CharSectno"/>
        </w:rPr>
        <w:t>5</w:t>
      </w:r>
      <w:r>
        <w:t>.</w:t>
      </w:r>
      <w:r>
        <w:tab/>
        <w:t>Qualifications or authorisations to apply controlled chemical product (Act s. 56(1))</w:t>
      </w:r>
      <w:bookmarkEnd w:id="8"/>
    </w:p>
    <w:p>
      <w:pPr>
        <w:pStyle w:val="Subsection"/>
      </w:pPr>
      <w:r>
        <w:tab/>
        <w:t>(1)</w:t>
      </w:r>
      <w:r>
        <w:tab/>
        <w:t xml:space="preserve">For the purposes of section 56(1) of the Act, a person who applies a controlled chemical product from an aircraft must — </w:t>
      </w:r>
    </w:p>
    <w:p>
      <w:pPr>
        <w:pStyle w:val="Indenta"/>
      </w:pPr>
      <w:r>
        <w:tab/>
        <w:t>(a)</w:t>
      </w:r>
      <w:r>
        <w:tab/>
        <w:t>have a certificate or other document issued as evidence of successful completion of the Spraysafe Pilot Accreditation conducted by Aerial Application Association of Australia Ltd (ACN 002 501 886); or</w:t>
      </w:r>
    </w:p>
    <w:p>
      <w:pPr>
        <w:pStyle w:val="Indenta"/>
      </w:pPr>
      <w:r>
        <w:tab/>
        <w:t>(b)</w:t>
      </w:r>
      <w:r>
        <w:tab/>
        <w:t xml:space="preserve">have successfully completed the training required to obtain a technician’s licence under the </w:t>
      </w:r>
      <w:r>
        <w:rPr>
          <w:i/>
        </w:rPr>
        <w:t>Health (Pesticides) Regulations 2011</w:t>
      </w:r>
      <w:r>
        <w:t xml:space="preserve"> regulation 38 endorsed to allow the licensee to undertake pest control in crops and pastures; or</w:t>
      </w:r>
    </w:p>
    <w:p>
      <w:pPr>
        <w:pStyle w:val="Indenta"/>
      </w:pPr>
      <w:r>
        <w:lastRenderedPageBreak/>
        <w:tab/>
        <w:t>(c)</w:t>
      </w:r>
      <w:r>
        <w:tab/>
        <w:t xml:space="preserve">be of a class of persons authorised under regulation 6(1); or </w:t>
      </w:r>
    </w:p>
    <w:p>
      <w:pPr>
        <w:pStyle w:val="Indenta"/>
      </w:pPr>
      <w:r>
        <w:tab/>
        <w:t>(d)</w:t>
      </w:r>
      <w:r>
        <w:tab/>
        <w:t>if the aircraft is a micro to medium weight RPA operated in accordance with subregulation (2) — have the qualification set out in subregulation (3).</w:t>
      </w:r>
    </w:p>
    <w:p>
      <w:pPr>
        <w:pStyle w:val="Subsection"/>
      </w:pPr>
      <w:r>
        <w:tab/>
        <w:t>(2)</w:t>
      </w:r>
      <w:r>
        <w:tab/>
        <w:t xml:space="preserve">For the purposes of subregulation (1)(d), a micro to medium weight RPA (the </w:t>
      </w:r>
      <w:r>
        <w:rPr>
          <w:rStyle w:val="CharDefText"/>
        </w:rPr>
        <w:t>RPA</w:t>
      </w:r>
      <w:r>
        <w:t xml:space="preserve">) is operated in accordance with this subregulation if — </w:t>
      </w:r>
    </w:p>
    <w:p>
      <w:pPr>
        <w:pStyle w:val="Indenta"/>
      </w:pPr>
      <w:r>
        <w:tab/>
        <w:t>(a)</w:t>
      </w:r>
      <w:r>
        <w:tab/>
        <w:t xml:space="preserve">the operator of the RPA — </w:t>
      </w:r>
    </w:p>
    <w:p>
      <w:pPr>
        <w:pStyle w:val="Indenti"/>
      </w:pPr>
      <w:r>
        <w:tab/>
        <w:t>(i)</w:t>
      </w:r>
      <w:r>
        <w:tab/>
        <w:t>operates only that RPA during the operation; and</w:t>
      </w:r>
    </w:p>
    <w:p>
      <w:pPr>
        <w:pStyle w:val="Indenti"/>
      </w:pPr>
      <w:r>
        <w:tab/>
        <w:t>(ii)</w:t>
      </w:r>
      <w:r>
        <w:tab/>
        <w:t>is the owner of the RPA or operates the RPA on behalf of the owner of the RPA; and</w:t>
      </w:r>
    </w:p>
    <w:p>
      <w:pPr>
        <w:pStyle w:val="Indenti"/>
      </w:pPr>
      <w:r>
        <w:tab/>
        <w:t>(iii)</w:t>
      </w:r>
      <w:r>
        <w:tab/>
        <w:t xml:space="preserve">operates the RPA over land owned or occupied by the owner of the RPA; 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the following persons receive no remuneration as a direct result of the operation of the RPA — </w:t>
      </w:r>
    </w:p>
    <w:p>
      <w:pPr>
        <w:pStyle w:val="Indenti"/>
      </w:pPr>
      <w:r>
        <w:tab/>
        <w:t>(i)</w:t>
      </w:r>
      <w:r>
        <w:tab/>
        <w:t>the owner of the RPA;</w:t>
      </w:r>
    </w:p>
    <w:p>
      <w:pPr>
        <w:pStyle w:val="Indenti"/>
      </w:pPr>
      <w:r>
        <w:tab/>
        <w:t>(ii)</w:t>
      </w:r>
      <w:r>
        <w:tab/>
        <w:t>the operator of the RPA;</w:t>
      </w:r>
    </w:p>
    <w:p>
      <w:pPr>
        <w:pStyle w:val="Indenti"/>
      </w:pPr>
      <w:r>
        <w:tab/>
        <w:t>(iii)</w:t>
      </w:r>
      <w:r>
        <w:tab/>
        <w:t>the owner of the land over which the RPA is operated;</w:t>
      </w:r>
    </w:p>
    <w:p>
      <w:pPr>
        <w:pStyle w:val="Indenti"/>
      </w:pPr>
      <w:r>
        <w:tab/>
        <w:t>(iv)</w:t>
      </w:r>
      <w:r>
        <w:tab/>
        <w:t>the occupier (if any) of the land over which the RPA is operated.</w:t>
      </w:r>
    </w:p>
    <w:p>
      <w:pPr>
        <w:pStyle w:val="Subsection"/>
        <w:keepNext/>
      </w:pPr>
      <w:r>
        <w:tab/>
        <w:t>(3)</w:t>
      </w:r>
      <w:r>
        <w:tab/>
        <w:t xml:space="preserve">For the purposes of subregulation (1)(d), the qualification is a valid statement of attainment issued by a training organisation registered by the Australian Skills Quality Authority (the National VET Regulator) established under the </w:t>
      </w:r>
      <w:r>
        <w:rPr>
          <w:i/>
        </w:rPr>
        <w:t xml:space="preserve">National </w:t>
      </w:r>
      <w:r>
        <w:rPr>
          <w:i/>
        </w:rPr>
        <w:lastRenderedPageBreak/>
        <w:t>Vocational Education and Training Regulator Act 2011</w:t>
      </w:r>
      <w:r>
        <w:t xml:space="preserve"> (Commonwealth) section 155 for —</w:t>
      </w:r>
    </w:p>
    <w:p>
      <w:pPr>
        <w:pStyle w:val="Indenta"/>
        <w:keepNext/>
      </w:pPr>
      <w:r>
        <w:tab/>
        <w:t>(a)</w:t>
      </w:r>
      <w:r>
        <w:tab/>
        <w:t xml:space="preserve">a unit of competency in preparing and applying chemicals known as — </w:t>
      </w:r>
    </w:p>
    <w:p>
      <w:pPr>
        <w:pStyle w:val="Indenti"/>
      </w:pPr>
      <w:r>
        <w:tab/>
        <w:t>(i)</w:t>
      </w:r>
      <w:r>
        <w:tab/>
        <w:t>“AHCCHM303 Prepare and apply chemicals”; or</w:t>
      </w:r>
    </w:p>
    <w:p>
      <w:pPr>
        <w:pStyle w:val="Indenti"/>
      </w:pPr>
      <w:r>
        <w:tab/>
        <w:t>(ii)</w:t>
      </w:r>
      <w:r>
        <w:tab/>
        <w:t>“AHCCHM307 Prepare and apply chemicals to control pest, weeds and diseases”;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unit of competency in transporting and storing chemicals known as “AHCCHM304 Transport and store chemicals”.</w:t>
      </w:r>
    </w:p>
    <w:p>
      <w:pPr>
        <w:pStyle w:val="Footnotesection"/>
      </w:pPr>
      <w:r>
        <w:tab/>
        <w:t>[Regulation 5 amended: SL 2021/216 r. 4.]</w:t>
      </w:r>
    </w:p>
    <w:p>
      <w:pPr>
        <w:pStyle w:val="Heading5"/>
      </w:pPr>
      <w:bookmarkStart w:id="9" w:name="_Toc90539274"/>
      <w:r>
        <w:rPr>
          <w:rStyle w:val="CharSectno"/>
        </w:rPr>
        <w:t>6</w:t>
      </w:r>
      <w:r>
        <w:t>.</w:t>
      </w:r>
      <w:r>
        <w:tab/>
        <w:t>Director General may issue authorisation</w:t>
      </w:r>
      <w:bookmarkEnd w:id="9"/>
    </w:p>
    <w:p>
      <w:pPr>
        <w:pStyle w:val="Subsection"/>
      </w:pPr>
      <w:r>
        <w:tab/>
        <w:t>(1)</w:t>
      </w:r>
      <w:r>
        <w:tab/>
        <w:t>If the Director General is satisfied that a class of persons is qualified to apply a controlled chemical product from an aircraft, the Director General may issue an authorisation for that class of persons.</w:t>
      </w:r>
    </w:p>
    <w:p>
      <w:pPr>
        <w:pStyle w:val="Subsection"/>
      </w:pPr>
      <w:r>
        <w:tab/>
        <w:t>(2)</w:t>
      </w:r>
      <w:r>
        <w:tab/>
        <w:t xml:space="preserve">An authorisation issued under subregulation (1) — </w:t>
      </w:r>
    </w:p>
    <w:p>
      <w:pPr>
        <w:pStyle w:val="Indenta"/>
      </w:pPr>
      <w:r>
        <w:tab/>
        <w:t>(a)</w:t>
      </w:r>
      <w:r>
        <w:tab/>
        <w:t xml:space="preserve">must be published in the </w:t>
      </w:r>
      <w:r>
        <w:rPr>
          <w:i/>
        </w:rPr>
        <w:t>Gazette</w:t>
      </w:r>
      <w:r>
        <w:t>; and</w:t>
      </w:r>
    </w:p>
    <w:p>
      <w:pPr>
        <w:pStyle w:val="Indenta"/>
      </w:pPr>
      <w:r>
        <w:tab/>
        <w:t>(b)</w:t>
      </w:r>
      <w:r>
        <w:tab/>
        <w:t xml:space="preserve">may be amended or revoked by a subsequent notice published in the </w:t>
      </w:r>
      <w:r>
        <w:rPr>
          <w:i/>
        </w:rPr>
        <w:t>Gazette</w:t>
      </w:r>
      <w:r>
        <w:t>.</w:t>
      </w:r>
    </w:p>
    <w:p>
      <w:pPr>
        <w:pStyle w:val="Heading5"/>
      </w:pPr>
      <w:bookmarkStart w:id="10" w:name="_Toc90539275"/>
      <w:r>
        <w:rPr>
          <w:rStyle w:val="CharSectno"/>
        </w:rPr>
        <w:t>7</w:t>
      </w:r>
      <w:r>
        <w:t>.</w:t>
      </w:r>
      <w:r>
        <w:tab/>
        <w:t>Person responsible to have record of application of controlled chemical product</w:t>
      </w:r>
      <w:bookmarkEnd w:id="10"/>
    </w:p>
    <w:p>
      <w:pPr>
        <w:pStyle w:val="Subsection"/>
      </w:pPr>
      <w:r>
        <w:tab/>
        <w:t>(1)</w:t>
      </w:r>
      <w:r>
        <w:tab/>
        <w:t xml:space="preserve">If a controlled chemical product is applied from an aircraft, the person responsible for applying the product from the aircraft must — </w:t>
      </w:r>
    </w:p>
    <w:p>
      <w:pPr>
        <w:pStyle w:val="Indenta"/>
      </w:pPr>
      <w:r>
        <w:tab/>
        <w:t>(a)</w:t>
      </w:r>
      <w:r>
        <w:tab/>
        <w:t>ensure that a record containing the information set out in subregulation (2) is made no later than 48 hours after the product was applied on the land; and</w:t>
      </w:r>
    </w:p>
    <w:p>
      <w:pPr>
        <w:pStyle w:val="Indenta"/>
      </w:pPr>
      <w:r>
        <w:lastRenderedPageBreak/>
        <w:tab/>
        <w:t>(b)</w:t>
      </w:r>
      <w:r>
        <w:tab/>
        <w:t>keep the record until the end of the period of 3 years beginning on the day on which the product was applied on the land.</w:t>
      </w:r>
    </w:p>
    <w:p>
      <w:pPr>
        <w:pStyle w:val="Penstart"/>
      </w:pPr>
      <w:r>
        <w:tab/>
        <w:t>Penalty for this subregulation: a fine of $20 000.</w:t>
      </w:r>
    </w:p>
    <w:p>
      <w:pPr>
        <w:pStyle w:val="Subsection"/>
      </w:pPr>
      <w:r>
        <w:tab/>
        <w:t>(2)</w:t>
      </w:r>
      <w:r>
        <w:tab/>
        <w:t>For the purposes of subregulation (1), the information is as follows —</w:t>
      </w:r>
    </w:p>
    <w:p>
      <w:pPr>
        <w:pStyle w:val="Indenta"/>
      </w:pPr>
      <w:r>
        <w:tab/>
        <w:t>(a)</w:t>
      </w:r>
      <w:r>
        <w:tab/>
        <w:t>the date and time the controlled chemical product was applied;</w:t>
      </w:r>
    </w:p>
    <w:p>
      <w:pPr>
        <w:pStyle w:val="Indenta"/>
      </w:pPr>
      <w:r>
        <w:tab/>
        <w:t>(b)</w:t>
      </w:r>
      <w:r>
        <w:tab/>
        <w:t>the name and residential address of the person who applied the product on the land;</w:t>
      </w:r>
    </w:p>
    <w:p>
      <w:pPr>
        <w:pStyle w:val="Indenta"/>
      </w:pPr>
      <w:r>
        <w:tab/>
        <w:t>(c)</w:t>
      </w:r>
      <w:r>
        <w:tab/>
        <w:t xml:space="preserve">the name and address of an owner or occupier of the land on which the product was applied; </w:t>
      </w:r>
    </w:p>
    <w:p>
      <w:pPr>
        <w:pStyle w:val="Indenta"/>
      </w:pPr>
      <w:r>
        <w:tab/>
        <w:t>(d)</w:t>
      </w:r>
      <w:r>
        <w:tab/>
        <w:t>the total area of the land on which the product was applied;</w:t>
      </w:r>
    </w:p>
    <w:p>
      <w:pPr>
        <w:pStyle w:val="Indenta"/>
      </w:pPr>
      <w:r>
        <w:tab/>
        <w:t>(e)</w:t>
      </w:r>
      <w:r>
        <w:tab/>
        <w:t>the exact location of the land on which the product was applied, described in sufficient detail to enable that location to be readily identified;</w:t>
      </w:r>
    </w:p>
    <w:p>
      <w:pPr>
        <w:pStyle w:val="Indenta"/>
      </w:pPr>
      <w:r>
        <w:tab/>
        <w:t>(f)</w:t>
      </w:r>
      <w:r>
        <w:tab/>
        <w:t xml:space="preserve">the estimated velocity and the direction of the wind at the time the product was applied; </w:t>
      </w:r>
    </w:p>
    <w:p>
      <w:pPr>
        <w:pStyle w:val="Indenta"/>
      </w:pPr>
      <w:r>
        <w:tab/>
        <w:t>(g)</w:t>
      </w:r>
      <w:r>
        <w:tab/>
        <w:t xml:space="preserve">the product that was applied; </w:t>
      </w:r>
    </w:p>
    <w:p>
      <w:pPr>
        <w:pStyle w:val="Indenta"/>
      </w:pPr>
      <w:r>
        <w:tab/>
        <w:t>(h)</w:t>
      </w:r>
      <w:r>
        <w:tab/>
        <w:t xml:space="preserve">the quantity and concentration of the product that was applied per hectare; </w:t>
      </w:r>
    </w:p>
    <w:p>
      <w:pPr>
        <w:pStyle w:val="Indenta"/>
      </w:pPr>
      <w:r>
        <w:tab/>
        <w:t>(i)</w:t>
      </w:r>
      <w:r>
        <w:tab/>
        <w:t>the equipment used to apply the product;</w:t>
      </w:r>
    </w:p>
    <w:p>
      <w:pPr>
        <w:pStyle w:val="Indenta"/>
      </w:pPr>
      <w:r>
        <w:tab/>
        <w:t>(j)</w:t>
      </w:r>
      <w:r>
        <w:tab/>
        <w:t>the type of crop on the land on which the product was applied.</w:t>
      </w:r>
    </w:p>
    <w:p>
      <w:pPr>
        <w:pStyle w:val="Subsection"/>
      </w:pPr>
      <w:r>
        <w:tab/>
        <w:t>(3)</w:t>
      </w:r>
      <w:r>
        <w:tab/>
        <w:t xml:space="preserve">For the purposes of subregulation (1), the person responsible for applying the controlled chemical product from the aircraft is — </w:t>
      </w:r>
    </w:p>
    <w:p>
      <w:pPr>
        <w:pStyle w:val="Indenta"/>
      </w:pPr>
      <w:r>
        <w:tab/>
        <w:t>(a)</w:t>
      </w:r>
      <w:r>
        <w:tab/>
        <w:t xml:space="preserve">if the person who applies the product from the aircraft is acting as an employee of another person (the </w:t>
      </w:r>
      <w:r>
        <w:rPr>
          <w:rStyle w:val="CharDefText"/>
        </w:rPr>
        <w:t>employer</w:t>
      </w:r>
      <w:r>
        <w:t>) who is conducting a business of applying chemical products — the employer; or</w:t>
      </w:r>
    </w:p>
    <w:p>
      <w:pPr>
        <w:pStyle w:val="Indenta"/>
      </w:pPr>
      <w:r>
        <w:lastRenderedPageBreak/>
        <w:tab/>
        <w:t>(b)</w:t>
      </w:r>
      <w:r>
        <w:tab/>
        <w:t xml:space="preserve">if the person who applies the product from the aircraft is acting, otherwise than as an employee, for or on behalf of another person (the </w:t>
      </w:r>
      <w:r>
        <w:rPr>
          <w:rStyle w:val="CharDefText"/>
        </w:rPr>
        <w:t>principal</w:t>
      </w:r>
      <w:r>
        <w:t>) who is conducting a business of applying chemical products — the principal; or</w:t>
      </w:r>
    </w:p>
    <w:p>
      <w:pPr>
        <w:pStyle w:val="Indenta"/>
      </w:pPr>
      <w:r>
        <w:tab/>
        <w:t>(c)</w:t>
      </w:r>
      <w:r>
        <w:tab/>
        <w:t>otherwise — the person who applies the product from the aircraft.</w:t>
      </w:r>
    </w:p>
    <w:p>
      <w:pPr>
        <w:pStyle w:val="Footnotesection"/>
      </w:pPr>
      <w:r>
        <w:tab/>
        <w:t>[Regulation 7 amended: SL 2021/216 r. 5.]</w:t>
      </w:r>
    </w:p>
    <w:p>
      <w:pPr>
        <w:pStyle w:val="Heading5"/>
      </w:pPr>
      <w:bookmarkStart w:id="11" w:name="_Toc90539276"/>
      <w:r>
        <w:rPr>
          <w:rStyle w:val="CharSectno"/>
        </w:rPr>
        <w:t>8</w:t>
      </w:r>
      <w:r>
        <w:t>.</w:t>
      </w:r>
      <w:r>
        <w:tab/>
        <w:t>Transitional provision</w:t>
      </w:r>
      <w:bookmarkEnd w:id="11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certificate</w:t>
      </w:r>
      <w:r>
        <w:t xml:space="preserve"> has the meaning given in the </w:t>
      </w:r>
      <w:r>
        <w:rPr>
          <w:i/>
        </w:rPr>
        <w:t>Aerial Spraying Control Act 1966</w:t>
      </w:r>
      <w:r>
        <w:t xml:space="preserve"> section 3;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referred to in regulation 2(b);</w:t>
      </w:r>
    </w:p>
    <w:p>
      <w:pPr>
        <w:pStyle w:val="Defstart"/>
      </w:pPr>
      <w:r>
        <w:tab/>
      </w:r>
      <w:r>
        <w:rPr>
          <w:rStyle w:val="CharDefText"/>
        </w:rPr>
        <w:t>transitional period</w:t>
      </w:r>
      <w:r>
        <w:t xml:space="preserve"> means the period of 3 years beginning on commencement day. 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During the transitional period, a person is taken to hold a prescribed qualification to apply a controlled chemical product from an aircraft for the purposes of section 56(1) of the Act if the person — </w:t>
      </w:r>
    </w:p>
    <w:p>
      <w:pPr>
        <w:pStyle w:val="Indenta"/>
      </w:pPr>
      <w:r>
        <w:tab/>
        <w:t>(a)</w:t>
      </w:r>
      <w:r>
        <w:tab/>
        <w:t xml:space="preserve">held a certificate immediately before commencement day; and </w:t>
      </w:r>
    </w:p>
    <w:p>
      <w:pPr>
        <w:pStyle w:val="Indenta"/>
      </w:pPr>
      <w:r>
        <w:tab/>
        <w:t>(b)</w:t>
      </w:r>
      <w:r>
        <w:tab/>
        <w:t>is complying with the conditions (if any) attached to that certificate.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2" w:name="_Toc90536214"/>
      <w:bookmarkStart w:id="13" w:name="_Toc90539277"/>
      <w:bookmarkStart w:id="14" w:name="_Toc90389423"/>
      <w:r>
        <w:lastRenderedPageBreak/>
        <w:t>Notes</w:t>
      </w:r>
      <w:bookmarkEnd w:id="12"/>
      <w:bookmarkEnd w:id="1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Biosecurity and Agriculture Management (Aerial Application) Regulations 2018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15" w:name="_Toc90539278"/>
      <w:r>
        <w:t>Compilation table</w:t>
      </w:r>
      <w:bookmarkEnd w:id="1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Biosecurity and Agriculture Management (Aerial Application) Regulations 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Dec 2018 p. 4880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28 Dec 2018 (see r. 2(a));</w:t>
            </w:r>
            <w:r>
              <w:br/>
              <w:t xml:space="preserve">Regulations other than r. 1 and 2: 29 Dec 2018 (see r. 2(b) and </w:t>
            </w:r>
            <w:r>
              <w:rPr>
                <w:i/>
              </w:rPr>
              <w:t>Gazette</w:t>
            </w:r>
            <w:r>
              <w:t xml:space="preserve"> 28 Dec 2018 p. 4879)</w:t>
            </w:r>
          </w:p>
        </w:tc>
      </w:tr>
      <w:t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  <w:noProof/>
              </w:rPr>
              <w:t>Biosecurity and Agriculture Management (Aerial Application) Amendment Regulations 2021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>SL 2021/216 17 Dec 2021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>r. 1 and 2: 17 Dec 2021 (see r. 2(a));</w:t>
            </w:r>
            <w:r>
              <w:br/>
              <w:t>Regulations other than r. 1 and 2: 18 Dec 2021 (see r. 2(b))</w:t>
            </w:r>
          </w:p>
        </w:tc>
      </w:tr>
    </w:tbl>
    <w:p/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7" w:name="_Toc90536216"/>
      <w:bookmarkStart w:id="18" w:name="_Toc90539279"/>
      <w:r>
        <w:rPr>
          <w:sz w:val="28"/>
        </w:rPr>
        <w:lastRenderedPageBreak/>
        <w:t>Defined terms</w:t>
      </w:r>
      <w:bookmarkEnd w:id="14"/>
      <w:bookmarkEnd w:id="17"/>
      <w:bookmarkEnd w:id="1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aircraft</w:t>
      </w:r>
      <w:r>
        <w:tab/>
        <w:t>3</w:t>
      </w:r>
    </w:p>
    <w:p>
      <w:pPr>
        <w:pStyle w:val="DefinedTerms"/>
      </w:pPr>
      <w:r>
        <w:t>apply</w:t>
      </w:r>
      <w:r>
        <w:tab/>
        <w:t>3</w:t>
      </w:r>
    </w:p>
    <w:p>
      <w:pPr>
        <w:pStyle w:val="DefinedTerms"/>
      </w:pPr>
      <w:r>
        <w:t>certificate</w:t>
      </w:r>
      <w:r>
        <w:tab/>
        <w:t>8(1)</w:t>
      </w:r>
    </w:p>
    <w:p>
      <w:pPr>
        <w:pStyle w:val="DefinedTerms"/>
      </w:pPr>
      <w:r>
        <w:t>commencement day</w:t>
      </w:r>
      <w:r>
        <w:tab/>
        <w:t>8(1)</w:t>
      </w:r>
    </w:p>
    <w:p>
      <w:pPr>
        <w:pStyle w:val="DefinedTerms"/>
      </w:pPr>
      <w:r>
        <w:t>controlled chemical product</w:t>
      </w:r>
      <w:r>
        <w:tab/>
        <w:t>3</w:t>
      </w:r>
    </w:p>
    <w:p>
      <w:pPr>
        <w:pStyle w:val="DefinedTerms"/>
      </w:pPr>
      <w:r>
        <w:t>employer</w:t>
      </w:r>
      <w:r>
        <w:tab/>
        <w:t>7(3)</w:t>
      </w:r>
    </w:p>
    <w:p>
      <w:pPr>
        <w:pStyle w:val="DefinedTerms"/>
      </w:pPr>
      <w:r>
        <w:t>micro to medium weight RPA</w:t>
      </w:r>
      <w:r>
        <w:tab/>
        <w:t>3</w:t>
      </w:r>
    </w:p>
    <w:p>
      <w:pPr>
        <w:pStyle w:val="DefinedTerms"/>
      </w:pPr>
      <w:r>
        <w:t>principal</w:t>
      </w:r>
      <w:r>
        <w:tab/>
        <w:t>7(3)</w:t>
      </w:r>
    </w:p>
    <w:p>
      <w:pPr>
        <w:pStyle w:val="DefinedTerms"/>
      </w:pPr>
      <w:r>
        <w:t>RPA</w:t>
      </w:r>
      <w:r>
        <w:tab/>
        <w:t>5(2)</w:t>
      </w:r>
    </w:p>
    <w:p>
      <w:pPr>
        <w:pStyle w:val="DefinedTerms"/>
      </w:pPr>
      <w:r>
        <w:t>transitional period</w:t>
      </w:r>
      <w:r>
        <w:tab/>
        <w:t>8(1)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9" w:name="DefinedTerms"/>
    <w:bookmarkEnd w:id="19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456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left="709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121415482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1104140836" w:val="RemoveTocBookmarks,RemoveUnusedBookmarks,RemoveLanguageTags,UsedStyles,ResetPageSize"/>
    <w:docVar w:name="WAFER_20161104140836_GUID" w:val="00cbcc67-40dc-437f-9e28-1be1531d09ea"/>
    <w:docVar w:name="WAFER_20161208094120" w:val="RemoveTocBookmarks,RemoveUnusedBookmarks,RemoveLanguageTags,UsedStyles,ResetPageSize"/>
    <w:docVar w:name="WAFER_20161208094120_GUID" w:val="b39d53ab-e92c-4ab8-a7e7-d42304085425"/>
    <w:docVar w:name="WAFER_20161221111240" w:val="RemoveTocBookmarks,RemoveUnusedBookmarks,RemoveLanguageTags,UsedStyles,ResetPageSize"/>
    <w:docVar w:name="WAFER_20161221111240_GUID" w:val="61770ef9-5586-4bf2-904e-5b67eaf49dce"/>
    <w:docVar w:name="WAFER_20170207145801" w:val="RemoveTocBookmarks,RemoveUnusedBookmarks,RemoveLanguageTags,UsedStyles,ResetPageSize"/>
    <w:docVar w:name="WAFER_20170207145801_GUID" w:val="05ef16f4-65c0-44d9-be6c-998c471f65a7"/>
    <w:docVar w:name="WAFER_20170317100642" w:val="RemoveTocBookmarks,RemoveUnusedBookmarks,RemoveLanguageTags,UsedStyles,ResetPageSize"/>
    <w:docVar w:name="WAFER_20170317100642_GUID" w:val="6b85f1d2-719b-4c64-9b5e-8076c9249772"/>
    <w:docVar w:name="WAFER_20171109095118" w:val="RemoveTocBookmarks,RemoveUnusedBookmarks,RemoveLanguageTags,UpdateStyles,UsedStyles,ResetPageSize"/>
    <w:docVar w:name="WAFER_20171109095118_GUID" w:val="14b96272-24d5-413f-86dd-782c2956d65c"/>
    <w:docVar w:name="WAFER_2021121415482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214154827_GUID" w:val="8c12fc9f-f81c-4249-a751-f7fd5af1661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F6273194-438F-4779-9400-4C57CEFF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16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A9AA-A5D0-482D-849B-831B9A2A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1566</Words>
  <Characters>8038</Characters>
  <Application>Microsoft Office Word</Application>
  <DocSecurity>0</DocSecurity>
  <Lines>267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(Aerial Application) Regulations 2018 - 00-b0-00</dc:title>
  <dc:subject/>
  <dc:creator/>
  <cp:keywords/>
  <dc:description/>
  <cp:lastModifiedBy>Master Repository Process</cp:lastModifiedBy>
  <cp:revision>4</cp:revision>
  <cp:lastPrinted>2017-11-09T05:44:00Z</cp:lastPrinted>
  <dcterms:created xsi:type="dcterms:W3CDTF">2021-12-16T08:00:00Z</dcterms:created>
  <dcterms:modified xsi:type="dcterms:W3CDTF">2021-12-16T08:00:00Z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AsAtDate">
    <vt:lpwstr>18 Dec 2021</vt:lpwstr>
  </property>
  <property fmtid="{D5CDD505-2E9C-101B-9397-08002B2CF9AE}" pid="4" name="Suffix">
    <vt:lpwstr>00-b0-00</vt:lpwstr>
  </property>
  <property fmtid="{D5CDD505-2E9C-101B-9397-08002B2CF9AE}" pid="5" name="CommencementDate">
    <vt:lpwstr>20211218</vt:lpwstr>
  </property>
</Properties>
</file>