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ind w:left="1140" w:right="576"/>
        <w:outlineLvl w:val="0"/>
      </w:pPr>
      <w:r>
        <w:fldChar w:fldCharType="begin"/>
      </w:r>
      <w:r>
        <w:instrText xml:space="preserve"> STYLEREF "Name Of Act/Reg"</w:instrText>
      </w:r>
      <w:r>
        <w:fldChar w:fldCharType="separate"/>
      </w:r>
      <w:r>
        <w:rPr>
          <w:noProof/>
        </w:rPr>
        <w:t>Electricity (Network Safety)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(Network Safety)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_Toc90479103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_Toc90479104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_Toc90479105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operators</w:t>
      </w:r>
      <w:r>
        <w:tab/>
      </w:r>
      <w:r>
        <w:fldChar w:fldCharType="begin"/>
      </w:r>
      <w:r>
        <w:instrText xml:space="preserve"> PAGEREF _Toc90479106 \h </w:instrText>
      </w:r>
      <w:r>
        <w:fldChar w:fldCharType="separate"/>
      </w:r>
      <w:r>
        <w:t>6</w:t>
      </w:r>
      <w:r>
        <w:fldChar w:fldCharType="end"/>
      </w:r>
    </w:p>
    <w:p>
      <w:pPr>
        <w:pStyle w:val="TOC8"/>
        <w:rPr>
          <w:rFonts w:asciiTheme="minorHAnsi" w:eastAsiaTheme="minorEastAsia" w:hAnsiTheme="minorHAnsi" w:cstheme="minorBidi"/>
          <w:szCs w:val="22"/>
        </w:rPr>
      </w:pPr>
      <w:r>
        <w:t>5.</w:t>
      </w:r>
      <w:r>
        <w:tab/>
        <w:t>Persons for whom a network operator or contractor is responsible</w:t>
      </w:r>
      <w:r>
        <w:tab/>
      </w:r>
      <w:r>
        <w:fldChar w:fldCharType="begin"/>
      </w:r>
      <w:r>
        <w:instrText xml:space="preserve"> PAGEREF _Toc90479107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Network safety</w:t>
      </w:r>
    </w:p>
    <w:p>
      <w:pPr>
        <w:pStyle w:val="TOC4"/>
        <w:tabs>
          <w:tab w:val="right" w:leader="dot" w:pos="7077"/>
        </w:tabs>
        <w:rPr>
          <w:rFonts w:asciiTheme="minorHAnsi" w:eastAsiaTheme="minorEastAsia" w:hAnsiTheme="minorHAnsi" w:cstheme="minorBidi"/>
          <w:b w:val="0"/>
          <w:szCs w:val="22"/>
        </w:rPr>
      </w:pPr>
      <w:r>
        <w:t>Division 1 — General safety requirements</w:t>
      </w:r>
    </w:p>
    <w:p>
      <w:pPr>
        <w:pStyle w:val="TOC8"/>
        <w:rPr>
          <w:rFonts w:asciiTheme="minorHAnsi" w:eastAsiaTheme="minorEastAsia" w:hAnsiTheme="minorHAnsi" w:cstheme="minorBidi"/>
          <w:szCs w:val="22"/>
        </w:rPr>
      </w:pPr>
      <w:r>
        <w:t>5A.</w:t>
      </w:r>
      <w:r>
        <w:tab/>
        <w:t>Duty of network operator to ensure safety of network</w:t>
      </w:r>
      <w:r>
        <w:tab/>
      </w:r>
      <w:r>
        <w:fldChar w:fldCharType="begin"/>
      </w:r>
      <w:r>
        <w:instrText xml:space="preserve"> PAGEREF _Toc90479110 \h </w:instrText>
      </w:r>
      <w:r>
        <w:fldChar w:fldCharType="separate"/>
      </w:r>
      <w:r>
        <w:t>9</w:t>
      </w:r>
      <w:r>
        <w:fldChar w:fldCharType="end"/>
      </w:r>
    </w:p>
    <w:p>
      <w:pPr>
        <w:pStyle w:val="TOC8"/>
        <w:rPr>
          <w:rFonts w:asciiTheme="minorHAnsi" w:eastAsiaTheme="minorEastAsia" w:hAnsiTheme="minorHAnsi" w:cstheme="minorBidi"/>
          <w:szCs w:val="22"/>
        </w:rPr>
      </w:pPr>
      <w:r>
        <w:t>6.</w:t>
      </w:r>
      <w:r>
        <w:tab/>
        <w:t>Duty of network operator to manage prescribed activities</w:t>
      </w:r>
      <w:r>
        <w:tab/>
      </w:r>
      <w:r>
        <w:fldChar w:fldCharType="begin"/>
      </w:r>
      <w:r>
        <w:instrText xml:space="preserve"> PAGEREF _Toc90479111 \h </w:instrText>
      </w:r>
      <w:r>
        <w:fldChar w:fldCharType="separate"/>
      </w:r>
      <w:r>
        <w:t>10</w:t>
      </w:r>
      <w:r>
        <w:fldChar w:fldCharType="end"/>
      </w:r>
    </w:p>
    <w:p>
      <w:pPr>
        <w:pStyle w:val="TOC8"/>
        <w:rPr>
          <w:rFonts w:asciiTheme="minorHAnsi" w:eastAsiaTheme="minorEastAsia" w:hAnsiTheme="minorHAnsi" w:cstheme="minorBidi"/>
          <w:szCs w:val="22"/>
        </w:rPr>
      </w:pPr>
      <w:r>
        <w:t>7.</w:t>
      </w:r>
      <w:r>
        <w:tab/>
        <w:t>Duty of contractor to manage prescribed activities</w:t>
      </w:r>
      <w:r>
        <w:tab/>
      </w:r>
      <w:r>
        <w:fldChar w:fldCharType="begin"/>
      </w:r>
      <w:r>
        <w:instrText xml:space="preserve"> PAGEREF _Toc90479112 \h </w:instrText>
      </w:r>
      <w:r>
        <w:fldChar w:fldCharType="separate"/>
      </w:r>
      <w:r>
        <w:t>11</w:t>
      </w:r>
      <w:r>
        <w:fldChar w:fldCharType="end"/>
      </w:r>
    </w:p>
    <w:p>
      <w:pPr>
        <w:pStyle w:val="TOC8"/>
        <w:rPr>
          <w:rFonts w:asciiTheme="minorHAnsi" w:eastAsiaTheme="minorEastAsia" w:hAnsiTheme="minorHAnsi" w:cstheme="minorBidi"/>
          <w:szCs w:val="22"/>
        </w:rPr>
      </w:pPr>
      <w:r>
        <w:t>8.</w:t>
      </w:r>
      <w:r>
        <w:tab/>
        <w:t>Duty of persons carrying out prescribed activities</w:t>
      </w:r>
      <w:r>
        <w:tab/>
      </w:r>
      <w:r>
        <w:fldChar w:fldCharType="begin"/>
      </w:r>
      <w:r>
        <w:instrText xml:space="preserve"> PAGEREF _Toc90479113 \h </w:instrText>
      </w:r>
      <w:r>
        <w:fldChar w:fldCharType="separate"/>
      </w:r>
      <w:r>
        <w:t>12</w:t>
      </w:r>
      <w:r>
        <w:fldChar w:fldCharType="end"/>
      </w:r>
    </w:p>
    <w:p>
      <w:pPr>
        <w:pStyle w:val="TOC8"/>
        <w:rPr>
          <w:rFonts w:asciiTheme="minorHAnsi" w:eastAsiaTheme="minorEastAsia" w:hAnsiTheme="minorHAnsi" w:cstheme="minorBidi"/>
          <w:szCs w:val="22"/>
        </w:rPr>
      </w:pPr>
      <w:r>
        <w:t>9.</w:t>
      </w:r>
      <w:r>
        <w:tab/>
        <w:t>Duties relating to certain risks to safety</w:t>
      </w:r>
      <w:r>
        <w:tab/>
      </w:r>
      <w:r>
        <w:fldChar w:fldCharType="begin"/>
      </w:r>
      <w:r>
        <w:instrText xml:space="preserve"> PAGEREF _Toc90479114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Certain network operators required to have safety management systems</w:t>
      </w:r>
    </w:p>
    <w:p>
      <w:pPr>
        <w:pStyle w:val="TOC8"/>
        <w:rPr>
          <w:rFonts w:asciiTheme="minorHAnsi" w:eastAsiaTheme="minorEastAsia" w:hAnsiTheme="minorHAnsi" w:cstheme="minorBidi"/>
          <w:szCs w:val="22"/>
        </w:rPr>
      </w:pPr>
      <w:r>
        <w:t>10.</w:t>
      </w:r>
      <w:r>
        <w:tab/>
        <w:t>Network operators to whom this Division applies</w:t>
      </w:r>
      <w:r>
        <w:tab/>
      </w:r>
      <w:r>
        <w:fldChar w:fldCharType="begin"/>
      </w:r>
      <w:r>
        <w:instrText xml:space="preserve"> PAGEREF _Toc90479116 \h </w:instrText>
      </w:r>
      <w:r>
        <w:fldChar w:fldCharType="separate"/>
      </w:r>
      <w:r>
        <w:t>14</w:t>
      </w:r>
      <w:r>
        <w:fldChar w:fldCharType="end"/>
      </w:r>
    </w:p>
    <w:p>
      <w:pPr>
        <w:pStyle w:val="TOC8"/>
        <w:rPr>
          <w:rFonts w:asciiTheme="minorHAnsi" w:eastAsiaTheme="minorEastAsia" w:hAnsiTheme="minorHAnsi" w:cstheme="minorBidi"/>
          <w:szCs w:val="22"/>
        </w:rPr>
      </w:pPr>
      <w:r>
        <w:t>11.</w:t>
      </w:r>
      <w:r>
        <w:tab/>
        <w:t>When this Division commences to apply to a network operator</w:t>
      </w:r>
      <w:r>
        <w:tab/>
      </w:r>
      <w:r>
        <w:fldChar w:fldCharType="begin"/>
      </w:r>
      <w:r>
        <w:instrText xml:space="preserve"> PAGEREF _Toc90479117 \h </w:instrText>
      </w:r>
      <w:r>
        <w:fldChar w:fldCharType="separate"/>
      </w:r>
      <w:r>
        <w:t>14</w:t>
      </w:r>
      <w:r>
        <w:fldChar w:fldCharType="end"/>
      </w:r>
    </w:p>
    <w:p>
      <w:pPr>
        <w:pStyle w:val="TOC8"/>
        <w:rPr>
          <w:rFonts w:asciiTheme="minorHAnsi" w:eastAsiaTheme="minorEastAsia" w:hAnsiTheme="minorHAnsi" w:cstheme="minorBidi"/>
          <w:szCs w:val="22"/>
        </w:rPr>
      </w:pPr>
      <w:r>
        <w:t>12.</w:t>
      </w:r>
      <w:r>
        <w:tab/>
        <w:t>Transfer of operation of network</w:t>
      </w:r>
      <w:r>
        <w:tab/>
      </w:r>
      <w:r>
        <w:fldChar w:fldCharType="begin"/>
      </w:r>
      <w:r>
        <w:instrText xml:space="preserve"> PAGEREF _Toc90479118 \h </w:instrText>
      </w:r>
      <w:r>
        <w:fldChar w:fldCharType="separate"/>
      </w:r>
      <w:r>
        <w:t>15</w:t>
      </w:r>
      <w:r>
        <w:fldChar w:fldCharType="end"/>
      </w:r>
    </w:p>
    <w:p>
      <w:pPr>
        <w:pStyle w:val="TOC8"/>
        <w:rPr>
          <w:rFonts w:asciiTheme="minorHAnsi" w:eastAsiaTheme="minorEastAsia" w:hAnsiTheme="minorHAnsi" w:cstheme="minorBidi"/>
          <w:szCs w:val="22"/>
        </w:rPr>
      </w:pPr>
      <w:r>
        <w:t>13.</w:t>
      </w:r>
      <w:r>
        <w:tab/>
        <w:t>Requirement to have safety management system</w:t>
      </w:r>
      <w:r>
        <w:tab/>
      </w:r>
      <w:r>
        <w:fldChar w:fldCharType="begin"/>
      </w:r>
      <w:r>
        <w:instrText xml:space="preserve"> PAGEREF _Toc90479119 \h </w:instrText>
      </w:r>
      <w:r>
        <w:fldChar w:fldCharType="separate"/>
      </w:r>
      <w:r>
        <w:t>16</w:t>
      </w:r>
      <w:r>
        <w:fldChar w:fldCharType="end"/>
      </w:r>
    </w:p>
    <w:p>
      <w:pPr>
        <w:pStyle w:val="TOC8"/>
        <w:rPr>
          <w:rFonts w:asciiTheme="minorHAnsi" w:eastAsiaTheme="minorEastAsia" w:hAnsiTheme="minorHAnsi" w:cstheme="minorBidi"/>
          <w:szCs w:val="22"/>
        </w:rPr>
      </w:pPr>
      <w:r>
        <w:t>14.</w:t>
      </w:r>
      <w:r>
        <w:tab/>
        <w:t>Requirement to revise safety management system</w:t>
      </w:r>
      <w:r>
        <w:tab/>
      </w:r>
      <w:r>
        <w:fldChar w:fldCharType="begin"/>
      </w:r>
      <w:r>
        <w:instrText xml:space="preserve"> PAGEREF _Toc90479120 \h </w:instrText>
      </w:r>
      <w:r>
        <w:fldChar w:fldCharType="separate"/>
      </w:r>
      <w:r>
        <w:t>16</w:t>
      </w:r>
      <w:r>
        <w:fldChar w:fldCharType="end"/>
      </w:r>
    </w:p>
    <w:p>
      <w:pPr>
        <w:pStyle w:val="TOC8"/>
        <w:rPr>
          <w:rFonts w:asciiTheme="minorHAnsi" w:eastAsiaTheme="minorEastAsia" w:hAnsiTheme="minorHAnsi" w:cstheme="minorBidi"/>
          <w:szCs w:val="22"/>
        </w:rPr>
      </w:pPr>
      <w:r>
        <w:t>15.</w:t>
      </w:r>
      <w:r>
        <w:tab/>
        <w:t>Requirement to comply with safety management system</w:t>
      </w:r>
      <w:r>
        <w:tab/>
      </w:r>
      <w:r>
        <w:fldChar w:fldCharType="begin"/>
      </w:r>
      <w:r>
        <w:instrText xml:space="preserve"> PAGEREF _Toc90479121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Compliance with safety management system evidence of compliance with regulation 5A, 6 or 7</w:t>
      </w:r>
      <w:r>
        <w:tab/>
      </w:r>
      <w:r>
        <w:fldChar w:fldCharType="begin"/>
      </w:r>
      <w:r>
        <w:instrText xml:space="preserve"> PAGEREF _Toc90479122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Requirements if network operator not required to have safety management system</w:t>
      </w:r>
    </w:p>
    <w:p>
      <w:pPr>
        <w:pStyle w:val="TOC8"/>
        <w:rPr>
          <w:rFonts w:asciiTheme="minorHAnsi" w:eastAsiaTheme="minorEastAsia" w:hAnsiTheme="minorHAnsi" w:cstheme="minorBidi"/>
          <w:szCs w:val="22"/>
        </w:rPr>
      </w:pPr>
      <w:r>
        <w:t>17.</w:t>
      </w:r>
      <w:r>
        <w:tab/>
        <w:t>Terms used and approval of certain standards and codes by Director</w:t>
      </w:r>
      <w:r>
        <w:tab/>
      </w:r>
      <w:r>
        <w:fldChar w:fldCharType="begin"/>
      </w:r>
      <w:r>
        <w:instrText xml:space="preserve"> PAGEREF _Toc90479124 \h </w:instrText>
      </w:r>
      <w:r>
        <w:fldChar w:fldCharType="separate"/>
      </w:r>
      <w:r>
        <w:t>18</w:t>
      </w:r>
      <w:r>
        <w:fldChar w:fldCharType="end"/>
      </w:r>
    </w:p>
    <w:p>
      <w:pPr>
        <w:pStyle w:val="TOC8"/>
        <w:rPr>
          <w:rFonts w:asciiTheme="minorHAnsi" w:eastAsiaTheme="minorEastAsia" w:hAnsiTheme="minorHAnsi" w:cstheme="minorBidi"/>
          <w:szCs w:val="22"/>
        </w:rPr>
      </w:pPr>
      <w:r>
        <w:t>18.</w:t>
      </w:r>
      <w:r>
        <w:tab/>
        <w:t>Network operators to whom this Division applies</w:t>
      </w:r>
      <w:r>
        <w:tab/>
      </w:r>
      <w:r>
        <w:fldChar w:fldCharType="begin"/>
      </w:r>
      <w:r>
        <w:instrText xml:space="preserve"> PAGEREF _Toc90479125 \h </w:instrText>
      </w:r>
      <w:r>
        <w:fldChar w:fldCharType="separate"/>
      </w:r>
      <w:r>
        <w:t>19</w:t>
      </w:r>
      <w:r>
        <w:fldChar w:fldCharType="end"/>
      </w:r>
    </w:p>
    <w:p>
      <w:pPr>
        <w:pStyle w:val="TOC8"/>
        <w:rPr>
          <w:rFonts w:asciiTheme="minorHAnsi" w:eastAsiaTheme="minorEastAsia" w:hAnsiTheme="minorHAnsi" w:cstheme="minorBidi"/>
          <w:szCs w:val="22"/>
        </w:rPr>
      </w:pPr>
      <w:r>
        <w:t>19.</w:t>
      </w:r>
      <w:r>
        <w:tab/>
        <w:t>Requirement to comply with obligatory provisions</w:t>
      </w:r>
      <w:r>
        <w:tab/>
      </w:r>
      <w:r>
        <w:fldChar w:fldCharType="begin"/>
      </w:r>
      <w:r>
        <w:instrText xml:space="preserve"> PAGEREF _Toc90479126 \h </w:instrText>
      </w:r>
      <w:r>
        <w:fldChar w:fldCharType="separate"/>
      </w:r>
      <w:r>
        <w:t>19</w:t>
      </w:r>
      <w:r>
        <w:fldChar w:fldCharType="end"/>
      </w:r>
    </w:p>
    <w:p>
      <w:pPr>
        <w:pStyle w:val="TOC8"/>
        <w:rPr>
          <w:rFonts w:asciiTheme="minorHAnsi" w:eastAsiaTheme="minorEastAsia" w:hAnsiTheme="minorHAnsi" w:cstheme="minorBidi"/>
          <w:szCs w:val="22"/>
        </w:rPr>
      </w:pPr>
      <w:r>
        <w:t>20.</w:t>
      </w:r>
      <w:r>
        <w:tab/>
        <w:t>Compliance with obligatory and evidentiary provisions evidence of compliance with regulation 6 or 7</w:t>
      </w:r>
      <w:r>
        <w:tab/>
      </w:r>
      <w:r>
        <w:fldChar w:fldCharType="begin"/>
      </w:r>
      <w:r>
        <w:instrText xml:space="preserve"> PAGEREF _Toc90479127 \h </w:instrText>
      </w:r>
      <w:r>
        <w:fldChar w:fldCharType="separate"/>
      </w:r>
      <w:r>
        <w:t>20</w:t>
      </w:r>
      <w:r>
        <w:fldChar w:fldCharType="end"/>
      </w:r>
    </w:p>
    <w:p>
      <w:pPr>
        <w:pStyle w:val="TOC8"/>
        <w:rPr>
          <w:rFonts w:asciiTheme="minorHAnsi" w:eastAsiaTheme="minorEastAsia" w:hAnsiTheme="minorHAnsi" w:cstheme="minorBidi"/>
          <w:szCs w:val="22"/>
        </w:rPr>
      </w:pPr>
      <w:r>
        <w:t>21.</w:t>
      </w:r>
      <w:r>
        <w:tab/>
        <w:t>Requirement to provide information and training</w:t>
      </w:r>
      <w:r>
        <w:tab/>
      </w:r>
      <w:r>
        <w:fldChar w:fldCharType="begin"/>
      </w:r>
      <w:r>
        <w:instrText xml:space="preserve"> PAGEREF _Toc90479128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investigation and reporting</w:t>
      </w:r>
    </w:p>
    <w:p>
      <w:pPr>
        <w:pStyle w:val="TOC4"/>
        <w:tabs>
          <w:tab w:val="right" w:leader="dot" w:pos="7077"/>
        </w:tabs>
        <w:rPr>
          <w:rFonts w:asciiTheme="minorHAnsi" w:eastAsiaTheme="minorEastAsia" w:hAnsiTheme="minorHAnsi" w:cstheme="minorBidi"/>
          <w:b w:val="0"/>
          <w:szCs w:val="22"/>
        </w:rPr>
      </w:pPr>
      <w:r>
        <w:t>Division 1 — Notifiable incidents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_Toc90479131 \h </w:instrText>
      </w:r>
      <w:r>
        <w:fldChar w:fldCharType="separate"/>
      </w:r>
      <w:r>
        <w:t>22</w:t>
      </w:r>
      <w:r>
        <w:fldChar w:fldCharType="end"/>
      </w:r>
    </w:p>
    <w:p>
      <w:pPr>
        <w:pStyle w:val="TOC8"/>
        <w:rPr>
          <w:rFonts w:asciiTheme="minorHAnsi" w:eastAsiaTheme="minorEastAsia" w:hAnsiTheme="minorHAnsi" w:cstheme="minorBidi"/>
          <w:szCs w:val="22"/>
        </w:rPr>
      </w:pPr>
      <w:r>
        <w:t>23.</w:t>
      </w:r>
      <w:r>
        <w:tab/>
        <w:t>Notification and investigation of suspected notifiable incidents</w:t>
      </w:r>
      <w:r>
        <w:tab/>
      </w:r>
      <w:r>
        <w:fldChar w:fldCharType="begin"/>
      </w:r>
      <w:r>
        <w:instrText xml:space="preserve"> PAGEREF _Toc90479132 \h </w:instrText>
      </w:r>
      <w:r>
        <w:fldChar w:fldCharType="separate"/>
      </w:r>
      <w:r>
        <w:t>24</w:t>
      </w:r>
      <w:r>
        <w:fldChar w:fldCharType="end"/>
      </w:r>
    </w:p>
    <w:p>
      <w:pPr>
        <w:pStyle w:val="TOC8"/>
        <w:rPr>
          <w:rFonts w:asciiTheme="minorHAnsi" w:eastAsiaTheme="minorEastAsia" w:hAnsiTheme="minorHAnsi" w:cstheme="minorBidi"/>
          <w:szCs w:val="22"/>
        </w:rPr>
      </w:pPr>
      <w:r>
        <w:t>24.</w:t>
      </w:r>
      <w:r>
        <w:tab/>
        <w:t>Reporting of notifiable incidents</w:t>
      </w:r>
      <w:r>
        <w:tab/>
      </w:r>
      <w:r>
        <w:fldChar w:fldCharType="begin"/>
      </w:r>
      <w:r>
        <w:instrText xml:space="preserve"> PAGEREF _Toc90479133 \h </w:instrText>
      </w:r>
      <w:r>
        <w:fldChar w:fldCharType="separate"/>
      </w:r>
      <w:r>
        <w:t>25</w:t>
      </w:r>
      <w:r>
        <w:fldChar w:fldCharType="end"/>
      </w:r>
    </w:p>
    <w:p>
      <w:pPr>
        <w:pStyle w:val="TOC8"/>
        <w:rPr>
          <w:rFonts w:asciiTheme="minorHAnsi" w:eastAsiaTheme="minorEastAsia" w:hAnsiTheme="minorHAnsi" w:cstheme="minorBidi"/>
          <w:szCs w:val="22"/>
        </w:rPr>
      </w:pPr>
      <w:r>
        <w:t>25.</w:t>
      </w:r>
      <w:r>
        <w:tab/>
        <w:t>Requirement not to disturb site of notifiable incident or physical evidence</w:t>
      </w:r>
      <w:r>
        <w:tab/>
      </w:r>
      <w:r>
        <w:fldChar w:fldCharType="begin"/>
      </w:r>
      <w:r>
        <w:instrText xml:space="preserve"> PAGEREF _Toc90479134 \h </w:instrText>
      </w:r>
      <w:r>
        <w:fldChar w:fldCharType="separate"/>
      </w:r>
      <w:r>
        <w:t>26</w:t>
      </w:r>
      <w:r>
        <w:fldChar w:fldCharType="end"/>
      </w:r>
    </w:p>
    <w:p>
      <w:pPr>
        <w:pStyle w:val="TOC8"/>
        <w:rPr>
          <w:rFonts w:asciiTheme="minorHAnsi" w:eastAsiaTheme="minorEastAsia" w:hAnsiTheme="minorHAnsi" w:cstheme="minorBidi"/>
          <w:szCs w:val="22"/>
        </w:rPr>
      </w:pPr>
      <w:r>
        <w:t>26.</w:t>
      </w:r>
      <w:r>
        <w:tab/>
        <w:t>Destructive testing of physical evidence</w:t>
      </w:r>
      <w:r>
        <w:tab/>
      </w:r>
      <w:r>
        <w:fldChar w:fldCharType="begin"/>
      </w:r>
      <w:r>
        <w:instrText xml:space="preserve"> PAGEREF _Toc90479135 \h </w:instrText>
      </w:r>
      <w:r>
        <w:fldChar w:fldCharType="separate"/>
      </w:r>
      <w:r>
        <w:t>27</w:t>
      </w:r>
      <w:r>
        <w:fldChar w:fldCharType="end"/>
      </w:r>
    </w:p>
    <w:p>
      <w:pPr>
        <w:pStyle w:val="TOC8"/>
        <w:rPr>
          <w:rFonts w:asciiTheme="minorHAnsi" w:eastAsiaTheme="minorEastAsia" w:hAnsiTheme="minorHAnsi" w:cstheme="minorBidi"/>
          <w:szCs w:val="22"/>
        </w:rPr>
      </w:pPr>
      <w:r>
        <w:t>27.</w:t>
      </w:r>
      <w:r>
        <w:tab/>
        <w:t>Statistical reporting</w:t>
      </w:r>
      <w:r>
        <w:tab/>
      </w:r>
      <w:r>
        <w:fldChar w:fldCharType="begin"/>
      </w:r>
      <w:r>
        <w:instrText xml:space="preserve"> PAGEREF _Toc90479136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Reporting on network safety performance</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_Toc90479138 \h </w:instrText>
      </w:r>
      <w:r>
        <w:fldChar w:fldCharType="separate"/>
      </w:r>
      <w:r>
        <w:t>28</w:t>
      </w:r>
      <w:r>
        <w:fldChar w:fldCharType="end"/>
      </w:r>
    </w:p>
    <w:p>
      <w:pPr>
        <w:pStyle w:val="TOC8"/>
        <w:rPr>
          <w:rFonts w:asciiTheme="minorHAnsi" w:eastAsiaTheme="minorEastAsia" w:hAnsiTheme="minorHAnsi" w:cstheme="minorBidi"/>
          <w:szCs w:val="22"/>
        </w:rPr>
      </w:pPr>
      <w:r>
        <w:t>29.</w:t>
      </w:r>
      <w:r>
        <w:tab/>
        <w:t>Network operators to whom this Division applies</w:t>
      </w:r>
      <w:r>
        <w:tab/>
      </w:r>
      <w:r>
        <w:fldChar w:fldCharType="begin"/>
      </w:r>
      <w:r>
        <w:instrText xml:space="preserve"> PAGEREF _Toc90479139 \h </w:instrText>
      </w:r>
      <w:r>
        <w:fldChar w:fldCharType="separate"/>
      </w:r>
      <w:r>
        <w:t>29</w:t>
      </w:r>
      <w:r>
        <w:fldChar w:fldCharType="end"/>
      </w:r>
    </w:p>
    <w:p>
      <w:pPr>
        <w:pStyle w:val="TOC8"/>
        <w:rPr>
          <w:rFonts w:asciiTheme="minorHAnsi" w:eastAsiaTheme="minorEastAsia" w:hAnsiTheme="minorHAnsi" w:cstheme="minorBidi"/>
          <w:szCs w:val="22"/>
        </w:rPr>
      </w:pPr>
      <w:r>
        <w:t>30.</w:t>
      </w:r>
      <w:r>
        <w:tab/>
        <w:t>Network safety performance incidents</w:t>
      </w:r>
      <w:r>
        <w:tab/>
      </w:r>
      <w:r>
        <w:fldChar w:fldCharType="begin"/>
      </w:r>
      <w:r>
        <w:instrText xml:space="preserve"> PAGEREF _Toc90479140 \h </w:instrText>
      </w:r>
      <w:r>
        <w:fldChar w:fldCharType="separate"/>
      </w:r>
      <w:r>
        <w:t>30</w:t>
      </w:r>
      <w:r>
        <w:fldChar w:fldCharType="end"/>
      </w:r>
    </w:p>
    <w:p>
      <w:pPr>
        <w:pStyle w:val="TOC8"/>
        <w:rPr>
          <w:rFonts w:asciiTheme="minorHAnsi" w:eastAsiaTheme="minorEastAsia" w:hAnsiTheme="minorHAnsi" w:cstheme="minorBidi"/>
          <w:szCs w:val="22"/>
        </w:rPr>
      </w:pPr>
      <w:r>
        <w:t>31.</w:t>
      </w:r>
      <w:r>
        <w:tab/>
        <w:t>Network operator to publish annual objectives</w:t>
      </w:r>
      <w:r>
        <w:tab/>
      </w:r>
      <w:r>
        <w:fldChar w:fldCharType="begin"/>
      </w:r>
      <w:r>
        <w:instrText xml:space="preserve"> PAGEREF _Toc90479141 \h </w:instrText>
      </w:r>
      <w:r>
        <w:fldChar w:fldCharType="separate"/>
      </w:r>
      <w:r>
        <w:t>31</w:t>
      </w:r>
      <w:r>
        <w:fldChar w:fldCharType="end"/>
      </w:r>
    </w:p>
    <w:p>
      <w:pPr>
        <w:pStyle w:val="TOC8"/>
        <w:rPr>
          <w:rFonts w:asciiTheme="minorHAnsi" w:eastAsiaTheme="minorEastAsia" w:hAnsiTheme="minorHAnsi" w:cstheme="minorBidi"/>
          <w:szCs w:val="22"/>
        </w:rPr>
      </w:pPr>
      <w:r>
        <w:t>32.</w:t>
      </w:r>
      <w:r>
        <w:tab/>
        <w:t>Network operator to publish quarterly outcomes</w:t>
      </w:r>
      <w:r>
        <w:tab/>
      </w:r>
      <w:r>
        <w:fldChar w:fldCharType="begin"/>
      </w:r>
      <w:r>
        <w:instrText xml:space="preserve"> PAGEREF _Toc90479142 \h </w:instrText>
      </w:r>
      <w:r>
        <w:fldChar w:fldCharType="separate"/>
      </w:r>
      <w:r>
        <w:t>32</w:t>
      </w:r>
      <w:r>
        <w:fldChar w:fldCharType="end"/>
      </w:r>
    </w:p>
    <w:p>
      <w:pPr>
        <w:pStyle w:val="TOC8"/>
        <w:rPr>
          <w:rFonts w:asciiTheme="minorHAnsi" w:eastAsiaTheme="minorEastAsia" w:hAnsiTheme="minorHAnsi" w:cstheme="minorBidi"/>
          <w:szCs w:val="22"/>
        </w:rPr>
      </w:pPr>
      <w:r>
        <w:t>33.</w:t>
      </w:r>
      <w:r>
        <w:tab/>
        <w:t>Director may publish and comment on objectives and outcomes</w:t>
      </w:r>
      <w:r>
        <w:tab/>
      </w:r>
      <w:r>
        <w:fldChar w:fldCharType="begin"/>
      </w:r>
      <w:r>
        <w:instrText xml:space="preserve"> PAGEREF _Toc90479143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34.</w:t>
      </w:r>
      <w:r>
        <w:tab/>
        <w:t>Decisions to which this Part applies</w:t>
      </w:r>
      <w:r>
        <w:tab/>
      </w:r>
      <w:r>
        <w:fldChar w:fldCharType="begin"/>
      </w:r>
      <w:r>
        <w:instrText xml:space="preserve"> PAGEREF _Toc90479145 \h </w:instrText>
      </w:r>
      <w:r>
        <w:fldChar w:fldCharType="separate"/>
      </w:r>
      <w:r>
        <w:t>35</w:t>
      </w:r>
      <w:r>
        <w:fldChar w:fldCharType="end"/>
      </w:r>
    </w:p>
    <w:p>
      <w:pPr>
        <w:pStyle w:val="TOC8"/>
        <w:rPr>
          <w:rFonts w:asciiTheme="minorHAnsi" w:eastAsiaTheme="minorEastAsia" w:hAnsiTheme="minorHAnsi" w:cstheme="minorBidi"/>
          <w:szCs w:val="22"/>
        </w:rPr>
      </w:pPr>
      <w:r>
        <w:t>35.</w:t>
      </w:r>
      <w:r>
        <w:tab/>
        <w:t>Application for review</w:t>
      </w:r>
      <w:r>
        <w:tab/>
      </w:r>
      <w:r>
        <w:fldChar w:fldCharType="begin"/>
      </w:r>
      <w:r>
        <w:instrText xml:space="preserve"> PAGEREF _Toc90479146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36.</w:t>
      </w:r>
      <w:r>
        <w:tab/>
        <w:t>Review of determinations of Director under regulation 35</w:t>
      </w:r>
      <w:r>
        <w:tab/>
      </w:r>
      <w:r>
        <w:fldChar w:fldCharType="begin"/>
      </w:r>
      <w:r>
        <w:instrText xml:space="preserve"> PAGEREF _Toc90479147 \h </w:instrText>
      </w:r>
      <w:r>
        <w:fldChar w:fldCharType="separate"/>
      </w:r>
      <w:r>
        <w:t>36</w:t>
      </w:r>
      <w:r>
        <w:fldChar w:fldCharType="end"/>
      </w:r>
    </w:p>
    <w:p>
      <w:pPr>
        <w:pStyle w:val="TOC8"/>
        <w:rPr>
          <w:rFonts w:asciiTheme="minorHAnsi" w:eastAsiaTheme="minorEastAsia" w:hAnsiTheme="minorHAnsi" w:cstheme="minorBidi"/>
          <w:szCs w:val="22"/>
        </w:rPr>
      </w:pPr>
      <w:r>
        <w:t>37.</w:t>
      </w:r>
      <w:r>
        <w:tab/>
        <w:t>Technical review panels: convening, remuneration and support</w:t>
      </w:r>
      <w:r>
        <w:tab/>
      </w:r>
      <w:r>
        <w:fldChar w:fldCharType="begin"/>
      </w:r>
      <w:r>
        <w:instrText xml:space="preserve"> PAGEREF _Toc90479148 \h </w:instrText>
      </w:r>
      <w:r>
        <w:fldChar w:fldCharType="separate"/>
      </w:r>
      <w:r>
        <w:t>38</w:t>
      </w:r>
      <w:r>
        <w:fldChar w:fldCharType="end"/>
      </w:r>
    </w:p>
    <w:p>
      <w:pPr>
        <w:pStyle w:val="TOC8"/>
        <w:rPr>
          <w:rFonts w:asciiTheme="minorHAnsi" w:eastAsiaTheme="minorEastAsia" w:hAnsiTheme="minorHAnsi" w:cstheme="minorBidi"/>
          <w:szCs w:val="22"/>
        </w:rPr>
      </w:pPr>
      <w:r>
        <w:t>38.</w:t>
      </w:r>
      <w:r>
        <w:tab/>
        <w:t>Technical review panels: procedure on review</w:t>
      </w:r>
      <w:r>
        <w:tab/>
      </w:r>
      <w:r>
        <w:fldChar w:fldCharType="begin"/>
      </w:r>
      <w:r>
        <w:instrText xml:space="preserve"> PAGEREF _Toc90479149 \h </w:instrText>
      </w:r>
      <w:r>
        <w:fldChar w:fldCharType="separate"/>
      </w:r>
      <w:r>
        <w:t>38</w:t>
      </w:r>
      <w:r>
        <w:fldChar w:fldCharType="end"/>
      </w:r>
    </w:p>
    <w:p>
      <w:pPr>
        <w:pStyle w:val="TOC8"/>
        <w:rPr>
          <w:rFonts w:asciiTheme="minorHAnsi" w:eastAsiaTheme="minorEastAsia" w:hAnsiTheme="minorHAnsi" w:cstheme="minorBidi"/>
          <w:szCs w:val="22"/>
        </w:rPr>
      </w:pPr>
      <w:r>
        <w:t>39.</w:t>
      </w:r>
      <w:r>
        <w:tab/>
        <w:t>Technical review panels: costs</w:t>
      </w:r>
      <w:r>
        <w:tab/>
      </w:r>
      <w:r>
        <w:fldChar w:fldCharType="begin"/>
      </w:r>
      <w:r>
        <w:instrText xml:space="preserve"> PAGEREF _Toc90479150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Defence for certain network operators</w:t>
      </w:r>
      <w:r>
        <w:tab/>
      </w:r>
      <w:r>
        <w:fldChar w:fldCharType="begin"/>
      </w:r>
      <w:r>
        <w:instrText xml:space="preserve"> PAGEREF _Toc90479152 \h </w:instrText>
      </w:r>
      <w:r>
        <w:fldChar w:fldCharType="separate"/>
      </w:r>
      <w:r>
        <w:t>40</w:t>
      </w:r>
      <w:r>
        <w:fldChar w:fldCharType="end"/>
      </w:r>
    </w:p>
    <w:p>
      <w:pPr>
        <w:pStyle w:val="TOC8"/>
        <w:rPr>
          <w:rFonts w:asciiTheme="minorHAnsi" w:eastAsiaTheme="minorEastAsia" w:hAnsiTheme="minorHAnsi" w:cstheme="minorBidi"/>
          <w:szCs w:val="22"/>
        </w:rPr>
      </w:pPr>
      <w:r>
        <w:t>41.</w:t>
      </w:r>
      <w:r>
        <w:tab/>
        <w:t>Contact details of network operators</w:t>
      </w:r>
      <w:r>
        <w:tab/>
      </w:r>
      <w:r>
        <w:fldChar w:fldCharType="begin"/>
      </w:r>
      <w:r>
        <w:instrText xml:space="preserve"> PAGEREF _Toc90479153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Repeal,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r>
      <w:r>
        <w:rPr>
          <w:i/>
        </w:rPr>
        <w:t>Electricity (Supply Standards and System Safety) Regulations 2001</w:t>
      </w:r>
      <w:r>
        <w:t xml:space="preserve"> repealed</w:t>
      </w:r>
      <w:r>
        <w:tab/>
      </w:r>
      <w:r>
        <w:fldChar w:fldCharType="begin"/>
      </w:r>
      <w:r>
        <w:instrText xml:space="preserve"> PAGEREF _Toc90479156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43.</w:t>
      </w:r>
      <w:r>
        <w:tab/>
      </w:r>
      <w:r>
        <w:rPr>
          <w:i/>
          <w:color w:val="000000" w:themeColor="text1"/>
        </w:rPr>
        <w:t>Electricity (Licensing) Regulations 1991</w:t>
      </w:r>
      <w:r>
        <w:rPr>
          <w:color w:val="000000" w:themeColor="text1"/>
        </w:rPr>
        <w:t xml:space="preserve"> </w:t>
      </w:r>
      <w:r>
        <w:t>amended</w:t>
      </w:r>
      <w:r>
        <w:tab/>
      </w:r>
      <w:r>
        <w:fldChar w:fldCharType="begin"/>
      </w:r>
      <w:r>
        <w:instrText xml:space="preserve"> PAGEREF _Toc90479158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rPr>
        <w:t>Electricity Regulations 1947</w:t>
      </w:r>
      <w:r>
        <w:t xml:space="preserve"> amended</w:t>
      </w:r>
      <w:r>
        <w:tab/>
      </w:r>
      <w:r>
        <w:fldChar w:fldCharType="begin"/>
      </w:r>
      <w:r>
        <w:instrText xml:space="preserve"> PAGEREF _Toc90479159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_Toc90479161 \h </w:instrText>
      </w:r>
      <w:r>
        <w:fldChar w:fldCharType="separate"/>
      </w:r>
      <w:r>
        <w:t>45</w:t>
      </w:r>
      <w:r>
        <w:fldChar w:fldCharType="end"/>
      </w:r>
    </w:p>
    <w:p>
      <w:pPr>
        <w:pStyle w:val="TOC8"/>
        <w:rPr>
          <w:rFonts w:asciiTheme="minorHAnsi" w:eastAsiaTheme="minorEastAsia" w:hAnsiTheme="minorHAnsi" w:cstheme="minorBidi"/>
          <w:szCs w:val="22"/>
        </w:rPr>
      </w:pPr>
      <w:r>
        <w:t>46.</w:t>
      </w:r>
      <w:r>
        <w:tab/>
        <w:t>Standards and codes</w:t>
      </w:r>
      <w:r>
        <w:tab/>
      </w:r>
      <w:r>
        <w:fldChar w:fldCharType="begin"/>
      </w:r>
      <w:r>
        <w:instrText xml:space="preserve"> PAGEREF _Toc90479162 \h </w:instrText>
      </w:r>
      <w:r>
        <w:fldChar w:fldCharType="separate"/>
      </w:r>
      <w:r>
        <w:t>46</w:t>
      </w:r>
      <w:r>
        <w:fldChar w:fldCharType="end"/>
      </w:r>
    </w:p>
    <w:p>
      <w:pPr>
        <w:pStyle w:val="TOC8"/>
        <w:rPr>
          <w:rFonts w:asciiTheme="minorHAnsi" w:eastAsiaTheme="minorEastAsia" w:hAnsiTheme="minorHAnsi" w:cstheme="minorBidi"/>
          <w:szCs w:val="22"/>
        </w:rPr>
      </w:pPr>
      <w:r>
        <w:t>47.</w:t>
      </w:r>
      <w:r>
        <w:tab/>
        <w:t>Notifiable incidents that occurred before commencement day</w:t>
      </w:r>
      <w:r>
        <w:tab/>
      </w:r>
      <w:r>
        <w:fldChar w:fldCharType="begin"/>
      </w:r>
      <w:r>
        <w:instrText xml:space="preserve"> PAGEREF _Toc90479163 \h </w:instrText>
      </w:r>
      <w:r>
        <w:fldChar w:fldCharType="separate"/>
      </w:r>
      <w:r>
        <w:t>46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Standards and codes containing evidentiary provisions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4"/>
        <w:keepNext w:val="0"/>
        <w:tabs>
          <w:tab w:val="right" w:leader="dot" w:pos="7077"/>
        </w:tabs>
        <w:rPr>
          <w:rFonts w:asciiTheme="minorHAnsi" w:eastAsiaTheme="minorEastAsia" w:hAnsiTheme="minorHAnsi" w:cstheme="minorBidi"/>
          <w:b w:val="0"/>
          <w:szCs w:val="22"/>
        </w:rPr>
      </w:pPr>
      <w:r>
        <w:t>Division 2 — Overhead lines</w:t>
      </w:r>
    </w:p>
    <w:p>
      <w:pPr>
        <w:pStyle w:val="TOC4"/>
        <w:keepNext w:val="0"/>
        <w:tabs>
          <w:tab w:val="right" w:leader="dot" w:pos="7077"/>
        </w:tabs>
        <w:rPr>
          <w:rFonts w:asciiTheme="minorHAnsi" w:eastAsiaTheme="minorEastAsia" w:hAnsiTheme="minorHAnsi" w:cstheme="minorBidi"/>
          <w:b w:val="0"/>
          <w:szCs w:val="22"/>
        </w:rPr>
      </w:pPr>
      <w:r>
        <w:t>Division 3 — Switchyards, substations and power stations</w:t>
      </w:r>
    </w:p>
    <w:p>
      <w:pPr>
        <w:pStyle w:val="TOC4"/>
        <w:keepNext w:val="0"/>
        <w:tabs>
          <w:tab w:val="right" w:leader="dot" w:pos="7077"/>
        </w:tabs>
        <w:rPr>
          <w:rFonts w:asciiTheme="minorHAnsi" w:eastAsiaTheme="minorEastAsia" w:hAnsiTheme="minorHAnsi" w:cstheme="minorBidi"/>
          <w:b w:val="0"/>
          <w:szCs w:val="22"/>
        </w:rPr>
      </w:pPr>
      <w:r>
        <w:t>Division 4 — Underground cables</w:t>
      </w:r>
    </w:p>
    <w:p>
      <w:pPr>
        <w:pStyle w:val="TOC4"/>
        <w:keepNext w:val="0"/>
        <w:tabs>
          <w:tab w:val="right" w:leader="dot" w:pos="7077"/>
        </w:tabs>
        <w:rPr>
          <w:rFonts w:asciiTheme="minorHAnsi" w:eastAsiaTheme="minorEastAsia" w:hAnsiTheme="minorHAnsi" w:cstheme="minorBidi"/>
          <w:b w:val="0"/>
          <w:szCs w:val="22"/>
        </w:rPr>
      </w:pPr>
      <w:r>
        <w:t>Division 5 — Power coordination</w:t>
      </w:r>
    </w:p>
    <w:p>
      <w:pPr>
        <w:pStyle w:val="TOC2"/>
        <w:tabs>
          <w:tab w:val="right" w:leader="dot" w:pos="7077"/>
        </w:tabs>
        <w:rPr>
          <w:rFonts w:asciiTheme="minorHAnsi" w:eastAsiaTheme="minorEastAsia" w:hAnsiTheme="minorHAnsi" w:cstheme="minorBidi"/>
          <w:b w:val="0"/>
          <w:sz w:val="22"/>
          <w:szCs w:val="22"/>
        </w:rPr>
      </w:pPr>
      <w:r>
        <w:lastRenderedPageBreak/>
        <w:t>Schedule 2 — Standards and codes containing obligatory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Underground cables</w:t>
      </w:r>
    </w:p>
    <w:p>
      <w:pPr>
        <w:pStyle w:val="TOC4"/>
        <w:tabs>
          <w:tab w:val="right" w:leader="dot" w:pos="7077"/>
        </w:tabs>
        <w:rPr>
          <w:rFonts w:asciiTheme="minorHAnsi" w:eastAsiaTheme="minorEastAsia" w:hAnsiTheme="minorHAnsi" w:cstheme="minorBidi"/>
          <w:b w:val="0"/>
          <w:szCs w:val="22"/>
        </w:rPr>
      </w:pPr>
      <w:r>
        <w:t>Division 4 — Switchgear and protection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_Toc90479176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3" w:name="_Toc90472365"/>
      <w:bookmarkStart w:id="4" w:name="_Toc90474369"/>
      <w:bookmarkStart w:id="5" w:name="_Toc904791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0479103"/>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8" w:name="_Toc9047910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90479105"/>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adequate</w:t>
      </w:r>
      <w:r>
        <w:t xml:space="preserve"> has a meaning affected by subregulation (5);</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lastRenderedPageBreak/>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good industry practice</w:t>
      </w:r>
      <w:r>
        <w:t xml:space="preserve"> means the exercise of that degree of competence, diligence, prudence and foresight that a competent person in the electricity supply industry would reasonably and ordinarily be expected to exercise under comparable circumstances;</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IEC</w:t>
      </w:r>
      <w:r>
        <w:t xml:space="preserve"> followed by a designation that includes a number and a reference to a year refers to the text, as from time to time amended and for the time being in force, of the document so designated, published by the International Electrotechnical Commission;</w:t>
      </w:r>
    </w:p>
    <w:p>
      <w:pPr>
        <w:pStyle w:val="Defstart"/>
      </w:pPr>
      <w:r>
        <w:lastRenderedPageBreak/>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including storage works connected to the transmission works, other than storage works that are not part of the transmission works; and</w:t>
      </w:r>
    </w:p>
    <w:p>
      <w:pPr>
        <w:pStyle w:val="Defpara"/>
      </w:pPr>
      <w:r>
        <w:tab/>
        <w:t>(b)</w:t>
      </w:r>
      <w:r>
        <w:tab/>
        <w:t xml:space="preserve">distribution works operated by a network operator, including — </w:t>
      </w:r>
    </w:p>
    <w:p>
      <w:pPr>
        <w:pStyle w:val="Defsubpara"/>
        <w:keepLines w:val="0"/>
      </w:pPr>
      <w:r>
        <w:tab/>
        <w:t>(i)</w:t>
      </w:r>
      <w:r>
        <w:tab/>
        <w:t>generating works connected to the distribution works for the purposes of emergency or interim generation of electricity that are owned, hired, leased by, or otherwise under the control of, the network operator; and</w:t>
      </w:r>
    </w:p>
    <w:p>
      <w:pPr>
        <w:pStyle w:val="Defsubpara"/>
      </w:pPr>
      <w:r>
        <w:tab/>
        <w:t>(ia)</w:t>
      </w:r>
      <w:r>
        <w:tab/>
        <w:t>storage works connected to the distribution works, other than storage works that are not part of the distribution works;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(ba)</w:t>
      </w:r>
      <w:r>
        <w:tab/>
        <w:t>stand</w:t>
      </w:r>
      <w:r>
        <w:noBreakHyphen/>
        <w:t>alone power systems operated by a network operator; and</w:t>
      </w:r>
    </w:p>
    <w:p>
      <w:pPr>
        <w:pStyle w:val="Defpara"/>
      </w:pPr>
      <w:r>
        <w:tab/>
        <w:t>(c)</w:t>
      </w:r>
      <w:r>
        <w:tab/>
        <w:t xml:space="preserve">works that would be covered by paragraph (a), (b) or (ba) except that they are no longer used to convey or distribute electricity, whether or not the works have </w:t>
      </w:r>
      <w:r>
        <w:lastRenderedPageBreak/>
        <w:t>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reasonably practicable</w:t>
      </w:r>
      <w:r>
        <w:t xml:space="preserve">, in relation to a duty to ensure that a network is safe or that an activity is carried out safely, means that which is, or was at a particular time, reasonably able to be done in relation to so ensuring, taking into account and weighing up all relevant matters including — </w:t>
      </w:r>
    </w:p>
    <w:p>
      <w:pPr>
        <w:pStyle w:val="Defpara"/>
      </w:pPr>
      <w:r>
        <w:tab/>
        <w:t>(a)</w:t>
      </w:r>
      <w:r>
        <w:tab/>
        <w:t>the likelihood of the hazard or the risk concerned occurring; and</w:t>
      </w:r>
    </w:p>
    <w:p>
      <w:pPr>
        <w:pStyle w:val="Defpara"/>
      </w:pPr>
      <w:r>
        <w:tab/>
        <w:t>(b)</w:t>
      </w:r>
      <w:r>
        <w:tab/>
        <w:t>the degree of harm that might result from the hazard or the risk; and</w:t>
      </w:r>
    </w:p>
    <w:p>
      <w:pPr>
        <w:pStyle w:val="Defpara"/>
      </w:pPr>
      <w:r>
        <w:tab/>
        <w:t>(c)</w:t>
      </w:r>
      <w:r>
        <w:tab/>
        <w:t xml:space="preserve">what the person concerned knows, or ought reasonably to know, about — </w:t>
      </w:r>
    </w:p>
    <w:p>
      <w:pPr>
        <w:pStyle w:val="Defsubpara"/>
      </w:pPr>
      <w:r>
        <w:tab/>
        <w:t>(i)</w:t>
      </w:r>
      <w:r>
        <w:tab/>
        <w:t>the hazard or the risk; and</w:t>
      </w:r>
    </w:p>
    <w:p>
      <w:pPr>
        <w:pStyle w:val="Defsubpara"/>
      </w:pPr>
      <w:r>
        <w:tab/>
        <w:t>(ii)</w:t>
      </w:r>
      <w:r>
        <w:tab/>
        <w:t>ways of eliminating or minimising the hazard or the risk;</w:t>
      </w:r>
    </w:p>
    <w:p>
      <w:pPr>
        <w:pStyle w:val="Defpara"/>
      </w:pPr>
      <w:r>
        <w:tab/>
      </w:r>
      <w:r>
        <w:tab/>
        <w:t>and</w:t>
      </w:r>
    </w:p>
    <w:p>
      <w:pPr>
        <w:pStyle w:val="Defpara"/>
      </w:pPr>
      <w:r>
        <w:tab/>
        <w:t>(d)</w:t>
      </w:r>
      <w:r>
        <w:tab/>
        <w:t>the availability and suitability of ways to eliminate or minimise the hazard or the risk; and</w:t>
      </w:r>
    </w:p>
    <w:p>
      <w:pPr>
        <w:pStyle w:val="Defpara"/>
      </w:pPr>
      <w:r>
        <w:tab/>
        <w:t>(e)</w:t>
      </w:r>
      <w:r>
        <w:tab/>
        <w:t xml:space="preserve">after assessing the extent of the hazard or the risk and the available ways of eliminating or minimising the hazard or the risk — the cost associated with available ways of eliminating or minimising the hazard or the risk, </w:t>
      </w:r>
      <w:r>
        <w:lastRenderedPageBreak/>
        <w:t>including whether the cost is grossly disproportionate to the hazard or the risk;</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stand</w:t>
      </w:r>
      <w:r>
        <w:rPr>
          <w:rStyle w:val="CharDefText"/>
        </w:rPr>
        <w:noBreakHyphen/>
        <w:t>alone power system</w:t>
      </w:r>
      <w:r>
        <w:t xml:space="preserve"> has the meaning given in the </w:t>
      </w:r>
      <w:r>
        <w:rPr>
          <w:i/>
        </w:rPr>
        <w:t>Electricity Industry Act 2004</w:t>
      </w:r>
      <w:r>
        <w:t xml:space="preserve"> section 3(1);</w:t>
      </w:r>
    </w:p>
    <w:p>
      <w:pPr>
        <w:pStyle w:val="Defstart"/>
      </w:pPr>
      <w:r>
        <w:tab/>
      </w:r>
      <w:r>
        <w:rPr>
          <w:rStyle w:val="CharDefText"/>
        </w:rPr>
        <w:t>storage works</w:t>
      </w:r>
      <w:r>
        <w:t xml:space="preserve"> has the meaning given in the </w:t>
      </w:r>
      <w:r>
        <w:rPr>
          <w:i/>
        </w:rPr>
        <w:t>Electricity Industry Act 2004</w:t>
      </w:r>
      <w:r>
        <w:t xml:space="preserve"> section 3(1);</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at the site at which the network is located or is being constructed.</w:t>
      </w:r>
    </w:p>
    <w:p>
      <w:pPr>
        <w:pStyle w:val="Subsection"/>
      </w:pPr>
      <w:r>
        <w:lastRenderedPageBreak/>
        <w:tab/>
        <w:t>(5)</w:t>
      </w:r>
      <w:r>
        <w:tab/>
        <w:t>For the purposes of these regulations, the adequacy of plans, procedures, standards, work practices, instruction, training, supervision, records or other things must be assessed by reference to good industry practice.</w:t>
      </w:r>
    </w:p>
    <w:p>
      <w:pPr>
        <w:pStyle w:val="Footnotesection"/>
      </w:pPr>
      <w:r>
        <w:tab/>
        <w:t>[Regulation 3 amended: Gazette 1 Aug 2017 p. 4110; SL 2021/218 r. 4.]</w:t>
      </w:r>
    </w:p>
    <w:p>
      <w:pPr>
        <w:pStyle w:val="Heading5"/>
        <w:spacing w:before="120"/>
      </w:pPr>
      <w:bookmarkStart w:id="10" w:name="_Toc90479106"/>
      <w:r>
        <w:rPr>
          <w:rStyle w:val="CharSectno"/>
        </w:rPr>
        <w:t>4</w:t>
      </w:r>
      <w:r>
        <w:t>.</w:t>
      </w:r>
      <w:r>
        <w:tab/>
        <w:t>Network operators</w:t>
      </w:r>
      <w:bookmarkEnd w:id="10"/>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Iron Ore Pty Ltd (ACN 008 700 981), or any successor to that company, operating transmission or distribution works under the Agreement as defined in </w:t>
      </w:r>
      <w:r>
        <w:lastRenderedPageBreak/>
        <w:t xml:space="preserve">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keepNext/>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Raw Materials Australia Pty Ltd (ACN 001 444 604);</w:t>
      </w:r>
    </w:p>
    <w:p>
      <w:pPr>
        <w:pStyle w:val="Indenta"/>
      </w:pPr>
      <w:r>
        <w:tab/>
        <w:t>(c)</w:t>
      </w:r>
      <w:r>
        <w:tab/>
        <w:t>Nippon Steel Australia Pty. Limited (ACN 001 445 049);</w:t>
      </w:r>
    </w:p>
    <w:p>
      <w:pPr>
        <w:pStyle w:val="Indenta"/>
      </w:pPr>
      <w:r>
        <w:tab/>
        <w:t>(d)</w:t>
      </w:r>
      <w:r>
        <w:tab/>
        <w:t>North Mining Limited (ACN 000 081 434);</w:t>
      </w:r>
    </w:p>
    <w:p>
      <w:pPr>
        <w:pStyle w:val="Indenta"/>
      </w:pPr>
      <w:r>
        <w:tab/>
        <w:t>(e)</w:t>
      </w:r>
      <w:r>
        <w:tab/>
        <w:t>Robe River Mining Co. Pty. Ltd. (ACN 008 694 246).</w:t>
      </w:r>
    </w:p>
    <w:p>
      <w:pPr>
        <w:pStyle w:val="Subsection"/>
        <w:keepNext/>
      </w:pPr>
      <w:r>
        <w:tab/>
        <w:t>(3)</w:t>
      </w:r>
      <w:r>
        <w:tab/>
        <w:t xml:space="preserve">For the purposes of subregulation (1)(g), the Newman Joint Venture participants are — </w:t>
      </w:r>
    </w:p>
    <w:p>
      <w:pPr>
        <w:pStyle w:val="Indenta"/>
      </w:pPr>
      <w:r>
        <w:tab/>
        <w:t>(a)</w:t>
      </w:r>
      <w:r>
        <w:tab/>
        <w:t>BHP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lastRenderedPageBreak/>
        <w:tab/>
        <w:t>[Regulation 4 amended: Gazette 1 Aug 2017 p. 4110; SL 2021/218 r. 5.]</w:t>
      </w:r>
    </w:p>
    <w:p>
      <w:pPr>
        <w:pStyle w:val="Heading5"/>
      </w:pPr>
      <w:bookmarkStart w:id="11" w:name="_Toc90479107"/>
      <w:r>
        <w:rPr>
          <w:rStyle w:val="CharSectno"/>
        </w:rPr>
        <w:t>5</w:t>
      </w:r>
      <w:r>
        <w:t>.</w:t>
      </w:r>
      <w:r>
        <w:tab/>
        <w:t>Persons for whom a network operator or contractor is responsible</w:t>
      </w:r>
      <w:bookmarkEnd w:id="11"/>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12" w:name="_Toc90472371"/>
      <w:bookmarkStart w:id="13" w:name="_Toc90474375"/>
      <w:bookmarkStart w:id="14" w:name="_Toc90479108"/>
      <w:r>
        <w:rPr>
          <w:rStyle w:val="CharPartNo"/>
        </w:rPr>
        <w:lastRenderedPageBreak/>
        <w:t>Part 2</w:t>
      </w:r>
      <w:r>
        <w:t> — </w:t>
      </w:r>
      <w:r>
        <w:rPr>
          <w:rStyle w:val="CharPartText"/>
        </w:rPr>
        <w:t>Network safety</w:t>
      </w:r>
      <w:bookmarkEnd w:id="12"/>
      <w:bookmarkEnd w:id="13"/>
      <w:bookmarkEnd w:id="14"/>
    </w:p>
    <w:p>
      <w:pPr>
        <w:pStyle w:val="Heading3"/>
      </w:pPr>
      <w:bookmarkStart w:id="15" w:name="_Toc90472372"/>
      <w:bookmarkStart w:id="16" w:name="_Toc90474376"/>
      <w:bookmarkStart w:id="17" w:name="_Toc90479109"/>
      <w:r>
        <w:rPr>
          <w:rStyle w:val="CharDivNo"/>
        </w:rPr>
        <w:t>Division 1</w:t>
      </w:r>
      <w:r>
        <w:t xml:space="preserve"> — </w:t>
      </w:r>
      <w:r>
        <w:rPr>
          <w:rStyle w:val="CharDivText"/>
        </w:rPr>
        <w:t>General safety requirements</w:t>
      </w:r>
      <w:bookmarkEnd w:id="15"/>
      <w:bookmarkEnd w:id="16"/>
      <w:bookmarkEnd w:id="17"/>
    </w:p>
    <w:p>
      <w:pPr>
        <w:pStyle w:val="Heading5"/>
      </w:pPr>
      <w:bookmarkStart w:id="18" w:name="_Toc90479110"/>
      <w:r>
        <w:rPr>
          <w:rStyle w:val="CharSectno"/>
        </w:rPr>
        <w:t>5A</w:t>
      </w:r>
      <w:r>
        <w:t>.</w:t>
      </w:r>
      <w:r>
        <w:tab/>
        <w:t>Duty of network operator to ensure safety of network</w:t>
      </w:r>
      <w:bookmarkEnd w:id="18"/>
    </w:p>
    <w:p>
      <w:pPr>
        <w:pStyle w:val="Subsection"/>
      </w:pPr>
      <w:r>
        <w:tab/>
        <w:t>(1)</w:t>
      </w:r>
      <w:r>
        <w:tab/>
        <w:t>A network operator must ensure, so far as is reasonably practicable, that the network of the network operator is designed, constructed, operated and maintained so as to ensure that it is safe.</w:t>
      </w:r>
    </w:p>
    <w:p>
      <w:pPr>
        <w:pStyle w:val="Penstart"/>
      </w:pPr>
      <w:r>
        <w:tab/>
        <w:t>Penalty for this subregulation: a fine of $250 000.</w:t>
      </w:r>
    </w:p>
    <w:p>
      <w:pPr>
        <w:pStyle w:val="Subsection"/>
      </w:pPr>
      <w:r>
        <w:tab/>
        <w:t>(2)</w:t>
      </w:r>
      <w:r>
        <w:tab/>
        <w:t xml:space="preserve">A network operator contravenes subregulation (1) if the network operator fails to — </w:t>
      </w:r>
    </w:p>
    <w:p>
      <w:pPr>
        <w:pStyle w:val="Indenta"/>
      </w:pPr>
      <w:r>
        <w:tab/>
        <w:t>(a)</w:t>
      </w:r>
      <w:r>
        <w:tab/>
        <w:t xml:space="preserve">develop, implement and maintain adequate — </w:t>
      </w:r>
    </w:p>
    <w:p>
      <w:pPr>
        <w:pStyle w:val="Indenti"/>
      </w:pPr>
      <w:r>
        <w:tab/>
        <w:t>(i)</w:t>
      </w:r>
      <w:r>
        <w:tab/>
        <w:t>design standards and construction procedures for the network; or</w:t>
      </w:r>
    </w:p>
    <w:p>
      <w:pPr>
        <w:pStyle w:val="Indenti"/>
      </w:pPr>
      <w:r>
        <w:tab/>
        <w:t>(ii)</w:t>
      </w:r>
      <w:r>
        <w:tab/>
        <w:t>plans and procedures for the inspection, testing, maintenance and replacement of the network or parts of it; or</w:t>
      </w:r>
    </w:p>
    <w:p>
      <w:pPr>
        <w:pStyle w:val="Indenti"/>
      </w:pPr>
      <w:r>
        <w:tab/>
        <w:t>(iii)</w:t>
      </w:r>
      <w:r>
        <w:tab/>
        <w:t>operating standards and procedures for the operation of the network;</w:t>
      </w:r>
    </w:p>
    <w:p>
      <w:pPr>
        <w:pStyle w:val="Indenta"/>
      </w:pPr>
      <w:r>
        <w:tab/>
      </w:r>
      <w:r>
        <w:tab/>
        <w:t>or</w:t>
      </w:r>
    </w:p>
    <w:p>
      <w:pPr>
        <w:pStyle w:val="Indenta"/>
      </w:pPr>
      <w:r>
        <w:tab/>
        <w:t>(b)</w:t>
      </w:r>
      <w:r>
        <w:tab/>
        <w:t>regularly review the design, engineering and operation of the network for safety and effectiveness, in accordance with good industry practice.</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for this subregulation: a fine of $250 000.</w:t>
      </w:r>
    </w:p>
    <w:p>
      <w:pPr>
        <w:pStyle w:val="Subsection"/>
        <w:keepNext/>
      </w:pPr>
      <w:r>
        <w:lastRenderedPageBreak/>
        <w:tab/>
        <w:t>(5)</w:t>
      </w:r>
      <w:r>
        <w:tab/>
        <w:t xml:space="preserve">A network operator must — </w:t>
      </w:r>
    </w:p>
    <w:p>
      <w:pPr>
        <w:pStyle w:val="Indenta"/>
      </w:pPr>
      <w:r>
        <w:tab/>
        <w:t>(a)</w:t>
      </w:r>
      <w:r>
        <w:tab/>
        <w:t>maintain adequate records of the location of the network; and</w:t>
      </w:r>
    </w:p>
    <w:p>
      <w:pPr>
        <w:pStyle w:val="Indenta"/>
      </w:pPr>
      <w:r>
        <w:tab/>
        <w:t>(b)</w:t>
      </w:r>
      <w:r>
        <w:tab/>
        <w:t>make those records available on request to a person who, for reasons of safety, requires access to the records</w:t>
      </w:r>
      <w:r>
        <w:rPr>
          <w:sz w:val="20"/>
        </w:rPr>
        <w:t>.</w:t>
      </w:r>
    </w:p>
    <w:p>
      <w:pPr>
        <w:pStyle w:val="Penstart"/>
      </w:pPr>
      <w:r>
        <w:tab/>
        <w:t>Penalty for this subregulation: a fine of $250 000.</w:t>
      </w:r>
    </w:p>
    <w:p>
      <w:pPr>
        <w:pStyle w:val="Footnotesection"/>
      </w:pPr>
      <w:r>
        <w:tab/>
        <w:t>[Regulation 5A inserted: SL 2021/218 r. 6.]</w:t>
      </w:r>
    </w:p>
    <w:p>
      <w:pPr>
        <w:pStyle w:val="Heading5"/>
      </w:pPr>
      <w:bookmarkStart w:id="19" w:name="_Toc90479111"/>
      <w:r>
        <w:rPr>
          <w:rStyle w:val="CharSectno"/>
        </w:rPr>
        <w:t>6</w:t>
      </w:r>
      <w:r>
        <w:t>.</w:t>
      </w:r>
      <w:r>
        <w:tab/>
        <w:t>Duty of network operator to manage prescribed activities</w:t>
      </w:r>
      <w:bookmarkEnd w:id="19"/>
    </w:p>
    <w:p>
      <w:pPr>
        <w:pStyle w:val="Subsection"/>
      </w:pPr>
      <w:r>
        <w:tab/>
        <w:t>(1)</w:t>
      </w:r>
      <w:r>
        <w:tab/>
        <w:t>A network operator must ensure, so far as is reasonably practicable, that each prescribed activity carried out on the network is carried out safely.</w:t>
      </w:r>
    </w:p>
    <w:p>
      <w:pPr>
        <w:pStyle w:val="Penstart"/>
      </w:pPr>
      <w:r>
        <w:tab/>
        <w:t>Penalty for this subregulation: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Ednotepara"/>
      </w:pPr>
      <w:r>
        <w:tab/>
        <w:t>[(b)</w:t>
      </w:r>
      <w:r>
        <w:tab/>
        <w:t>deleted]</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plans, procedures and standards referred to in regulation 5A(2)(a); or</w:t>
      </w:r>
    </w:p>
    <w:p>
      <w:pPr>
        <w:pStyle w:val="Indenta"/>
      </w:pPr>
      <w:r>
        <w:tab/>
        <w:t>(e)</w:t>
      </w:r>
      <w:r>
        <w:tab/>
        <w:t xml:space="preserve">ensure, so far as is reasonably practicable, that persons who are carrying out prescribed activities on the network, and for whom the network operator is </w:t>
      </w:r>
      <w:r>
        <w:lastRenderedPageBreak/>
        <w:t>responsible, comply with the work practices applicable to the prescribed activities; or</w:t>
      </w:r>
    </w:p>
    <w:p>
      <w:pPr>
        <w:pStyle w:val="Indenta"/>
      </w:pPr>
      <w:r>
        <w:tab/>
        <w:t>(f)</w:t>
      </w:r>
      <w:r>
        <w:tab/>
        <w:t>regularly review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for this subregulation: a fine of $250 000.</w:t>
      </w:r>
    </w:p>
    <w:p>
      <w:pPr>
        <w:pStyle w:val="Footnotesection"/>
      </w:pPr>
      <w:r>
        <w:tab/>
        <w:t>[Regulation 6 amended: SL 2021/218 r. 7 and 12.]</w:t>
      </w:r>
    </w:p>
    <w:p>
      <w:pPr>
        <w:pStyle w:val="Heading5"/>
      </w:pPr>
      <w:bookmarkStart w:id="20" w:name="_Toc90479112"/>
      <w:r>
        <w:rPr>
          <w:rStyle w:val="CharSectno"/>
        </w:rPr>
        <w:t>7</w:t>
      </w:r>
      <w:r>
        <w:t>.</w:t>
      </w:r>
      <w:r>
        <w:tab/>
        <w:t>Duty of contractor to manage prescribed activities</w:t>
      </w:r>
      <w:bookmarkEnd w:id="20"/>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activities carried out by those persons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lastRenderedPageBreak/>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Footnotesection"/>
      </w:pPr>
      <w:r>
        <w:tab/>
        <w:t>[Regulation 7 amended: SL 2021/218 r. 8 and 12.]</w:t>
      </w:r>
    </w:p>
    <w:p>
      <w:pPr>
        <w:pStyle w:val="Heading5"/>
      </w:pPr>
      <w:bookmarkStart w:id="21" w:name="_Toc90479113"/>
      <w:r>
        <w:rPr>
          <w:rStyle w:val="CharSectno"/>
        </w:rPr>
        <w:t>8</w:t>
      </w:r>
      <w:r>
        <w:t>.</w:t>
      </w:r>
      <w:r>
        <w:tab/>
        <w:t>Duty of persons carrying out prescribed activities</w:t>
      </w:r>
      <w:bookmarkEnd w:id="21"/>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for this subregulation: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Footnotesection"/>
      </w:pPr>
      <w:r>
        <w:tab/>
        <w:t>[Regulation 8 amended: SL 2021/218 r. 12.]</w:t>
      </w:r>
    </w:p>
    <w:p>
      <w:pPr>
        <w:pStyle w:val="Heading5"/>
      </w:pPr>
      <w:bookmarkStart w:id="22" w:name="_Toc90479114"/>
      <w:r>
        <w:rPr>
          <w:rStyle w:val="CharSectno"/>
        </w:rPr>
        <w:t>9</w:t>
      </w:r>
      <w:r>
        <w:t>.</w:t>
      </w:r>
      <w:r>
        <w:tab/>
        <w:t>Duties relating to certain risks to safety</w:t>
      </w:r>
      <w:bookmarkEnd w:id="22"/>
    </w:p>
    <w:p>
      <w:pPr>
        <w:pStyle w:val="Subsection"/>
        <w:keepNext/>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lastRenderedPageBreak/>
        <w:tab/>
        <w:t>(2)</w:t>
      </w:r>
      <w:r>
        <w:tab/>
        <w:t>If a network operator becomes aware of a risk to safety in relation to a network of the network operator, the network operator must, as soon as is reasonably practicable, investigate the risk.</w:t>
      </w:r>
    </w:p>
    <w:p>
      <w:pPr>
        <w:pStyle w:val="Penstart"/>
      </w:pPr>
      <w:r>
        <w:tab/>
        <w:t>Penalty for this subregulation: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keepNext/>
      </w:pPr>
      <w:r>
        <w:tab/>
        <w:t>(b)</w:t>
      </w:r>
      <w:r>
        <w:tab/>
        <w:t>until the risk is minimised or eliminated, no prescribed activity is carried out on any affected part of the network, other than work to minimise or eliminate the risk.</w:t>
      </w:r>
    </w:p>
    <w:p>
      <w:pPr>
        <w:pStyle w:val="Penstart"/>
      </w:pPr>
      <w:r>
        <w:tab/>
        <w:t>Penalty for this subregulation: a fine of $250 000.</w:t>
      </w:r>
    </w:p>
    <w:p>
      <w:pPr>
        <w:pStyle w:val="Subsection"/>
      </w:pPr>
      <w:r>
        <w:tab/>
        <w:t>(6)</w:t>
      </w:r>
      <w:r>
        <w:tab/>
        <w:t>The requirements imposed by this regulation are in addition to any requirements applying under an applicable safety management system.</w:t>
      </w:r>
    </w:p>
    <w:p>
      <w:pPr>
        <w:pStyle w:val="Footnotesection"/>
      </w:pPr>
      <w:bookmarkStart w:id="23" w:name="_Toc90472377"/>
      <w:r>
        <w:tab/>
        <w:t>[Regulation 9 amended: SL 2021/218 r. 12.]</w:t>
      </w:r>
    </w:p>
    <w:p>
      <w:pPr>
        <w:pStyle w:val="Heading3"/>
      </w:pPr>
      <w:bookmarkStart w:id="24" w:name="_Toc90474382"/>
      <w:bookmarkStart w:id="25" w:name="_Toc90479115"/>
      <w:r>
        <w:rPr>
          <w:rStyle w:val="CharDivNo"/>
        </w:rPr>
        <w:lastRenderedPageBreak/>
        <w:t>Division 2</w:t>
      </w:r>
      <w:r>
        <w:t> — </w:t>
      </w:r>
      <w:r>
        <w:rPr>
          <w:rStyle w:val="CharDivText"/>
        </w:rPr>
        <w:t>Certain network operators required to have safety management systems</w:t>
      </w:r>
      <w:bookmarkEnd w:id="23"/>
      <w:bookmarkEnd w:id="24"/>
      <w:bookmarkEnd w:id="25"/>
    </w:p>
    <w:p>
      <w:pPr>
        <w:pStyle w:val="Heading5"/>
      </w:pPr>
      <w:bookmarkStart w:id="26" w:name="_Toc90479116"/>
      <w:r>
        <w:rPr>
          <w:rStyle w:val="CharSectno"/>
        </w:rPr>
        <w:t>10</w:t>
      </w:r>
      <w:r>
        <w:t>.</w:t>
      </w:r>
      <w:r>
        <w:tab/>
        <w:t>Network operators to whom this Division applies</w:t>
      </w:r>
      <w:bookmarkEnd w:id="26"/>
    </w:p>
    <w:p>
      <w:pPr>
        <w:pStyle w:val="Subsection"/>
      </w:pPr>
      <w:r>
        <w:tab/>
      </w:r>
      <w:r>
        <w:tab/>
        <w:t>This Division applies to and in relation to a network operator referred to in regulation 4(1)(a), (b), (c), (d), (e), (f) or (g).</w:t>
      </w:r>
    </w:p>
    <w:p>
      <w:pPr>
        <w:pStyle w:val="Heading5"/>
      </w:pPr>
      <w:bookmarkStart w:id="27" w:name="_Toc90479117"/>
      <w:r>
        <w:rPr>
          <w:rStyle w:val="CharSectno"/>
        </w:rPr>
        <w:t>11</w:t>
      </w:r>
      <w:r>
        <w:t>.</w:t>
      </w:r>
      <w:r>
        <w:tab/>
        <w:t>When this Division commences to apply to a network operator</w:t>
      </w:r>
      <w:bookmarkEnd w:id="27"/>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keepNext/>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 xml:space="preserve">The Director may, on application by a network operator, approve in writing a day that is later than the day specified in </w:t>
      </w:r>
      <w:r>
        <w:lastRenderedPageBreak/>
        <w:t>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28" w:name="_Toc90479118"/>
      <w:r>
        <w:rPr>
          <w:rStyle w:val="CharSectno"/>
        </w:rPr>
        <w:t>12</w:t>
      </w:r>
      <w:r>
        <w:t>.</w:t>
      </w:r>
      <w:r>
        <w:tab/>
        <w:t>Transfer of operation of network</w:t>
      </w:r>
      <w:bookmarkEnd w:id="28"/>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keepNext/>
      </w:pPr>
      <w:r>
        <w:lastRenderedPageBreak/>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29" w:name="_Toc90479119"/>
      <w:r>
        <w:rPr>
          <w:rStyle w:val="CharSectno"/>
        </w:rPr>
        <w:t>13</w:t>
      </w:r>
      <w:r>
        <w:t>.</w:t>
      </w:r>
      <w:r>
        <w:tab/>
        <w:t>Requirement to have safety management system</w:t>
      </w:r>
      <w:bookmarkEnd w:id="29"/>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for this subregulation: a fine of $250 000.</w:t>
      </w:r>
    </w:p>
    <w:p>
      <w:pPr>
        <w:pStyle w:val="Subsection"/>
      </w:pPr>
      <w:r>
        <w:tab/>
        <w:t>(2)</w:t>
      </w:r>
      <w:r>
        <w:tab/>
        <w:t>Subregulation (1)(b) is subject to regulation 14.</w:t>
      </w:r>
    </w:p>
    <w:p>
      <w:pPr>
        <w:pStyle w:val="Footnotesection"/>
      </w:pPr>
      <w:r>
        <w:tab/>
        <w:t>[Regulation 13 amended: SL 2021/218 r. 12.]</w:t>
      </w:r>
    </w:p>
    <w:p>
      <w:pPr>
        <w:pStyle w:val="Heading5"/>
      </w:pPr>
      <w:bookmarkStart w:id="30" w:name="_Toc90479120"/>
      <w:r>
        <w:rPr>
          <w:rStyle w:val="CharSectno"/>
        </w:rPr>
        <w:t>14</w:t>
      </w:r>
      <w:r>
        <w:t>.</w:t>
      </w:r>
      <w:r>
        <w:tab/>
        <w:t>Requirement to revise safety management system</w:t>
      </w:r>
      <w:bookmarkEnd w:id="30"/>
    </w:p>
    <w:p>
      <w:pPr>
        <w:pStyle w:val="Subsection"/>
        <w:keepNext/>
      </w:pPr>
      <w:r>
        <w:tab/>
        <w:t>(1)</w:t>
      </w:r>
      <w:r>
        <w:tab/>
        <w:t>A network operator must review and revise its safety management system in accordance with AS 5577.</w:t>
      </w:r>
    </w:p>
    <w:p>
      <w:pPr>
        <w:pStyle w:val="Penstart"/>
      </w:pPr>
      <w:r>
        <w:tab/>
      </w:r>
      <w:bookmarkStart w:id="31" w:name="_Hlk90473531"/>
      <w:r>
        <w:t>Penalty for this subregulation:</w:t>
      </w:r>
      <w:bookmarkEnd w:id="31"/>
      <w:r>
        <w:t xml:space="preserve">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lastRenderedPageBreak/>
        <w:tab/>
        <w:t>(b)</w:t>
      </w:r>
      <w:r>
        <w:tab/>
        <w:t>the end of the period of 6 months after the day on which the amendment is published, or that period as extended under subregulation (3).</w:t>
      </w:r>
    </w:p>
    <w:p>
      <w:pPr>
        <w:pStyle w:val="Penstart"/>
      </w:pPr>
      <w:r>
        <w:tab/>
        <w:t>Penalty for this subregulation: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Footnotesection"/>
      </w:pPr>
      <w:r>
        <w:tab/>
        <w:t>[Regulation 14 amended: SL 2021/218 r. 12.]</w:t>
      </w:r>
    </w:p>
    <w:p>
      <w:pPr>
        <w:pStyle w:val="Heading5"/>
      </w:pPr>
      <w:bookmarkStart w:id="32" w:name="_Toc90479121"/>
      <w:r>
        <w:rPr>
          <w:rStyle w:val="CharSectno"/>
        </w:rPr>
        <w:t>15</w:t>
      </w:r>
      <w:r>
        <w:t>.</w:t>
      </w:r>
      <w:r>
        <w:tab/>
        <w:t>Requirement to comply with safety management system</w:t>
      </w:r>
      <w:bookmarkEnd w:id="32"/>
    </w:p>
    <w:p>
      <w:pPr>
        <w:pStyle w:val="Subsection"/>
        <w:keepLines/>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for this subregulation: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for this subregulation: a fine of $250 000.</w:t>
      </w:r>
    </w:p>
    <w:p>
      <w:pPr>
        <w:pStyle w:val="Subsection"/>
      </w:pPr>
      <w:r>
        <w:tab/>
        <w:t>(3)</w:t>
      </w:r>
      <w:r>
        <w:tab/>
        <w:t xml:space="preserve">A contractor must ensure, so far as is reasonably practicable, that each prescribed activity carried out on the network by the </w:t>
      </w:r>
      <w:r>
        <w:lastRenderedPageBreak/>
        <w:t>contractor or a person for whom the contractor is responsible is carried out in accordance with the network operator’s safety management system.</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Footnotesection"/>
      </w:pPr>
      <w:r>
        <w:tab/>
        <w:t>[Regulation 15 amended: SL 2021/218 r. 12.]</w:t>
      </w:r>
    </w:p>
    <w:p>
      <w:pPr>
        <w:pStyle w:val="Heading5"/>
      </w:pPr>
      <w:bookmarkStart w:id="33" w:name="_Toc90479122"/>
      <w:r>
        <w:rPr>
          <w:rStyle w:val="CharSectno"/>
        </w:rPr>
        <w:t>16</w:t>
      </w:r>
      <w:r>
        <w:t>.</w:t>
      </w:r>
      <w:r>
        <w:tab/>
        <w:t>Compliance with safety management system evidence of compliance with regulation 5A, 6 or 7</w:t>
      </w:r>
      <w:bookmarkEnd w:id="33"/>
    </w:p>
    <w:p>
      <w:pPr>
        <w:pStyle w:val="Subsection"/>
      </w:pPr>
      <w:r>
        <w:tab/>
        <w:t>(1)</w:t>
      </w:r>
      <w:r>
        <w:tab/>
        <w:t>Compliance by a network operator with the network operator’s safety management system is evidence of compliance with regulations 5A and 6.</w:t>
      </w:r>
    </w:p>
    <w:p>
      <w:pPr>
        <w:pStyle w:val="Subsection"/>
        <w:keepNext/>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Footnotesection"/>
      </w:pPr>
      <w:bookmarkStart w:id="34" w:name="_Toc90472385"/>
      <w:r>
        <w:tab/>
        <w:t>[Regulation 16 amended: SL 2021/218 r. 9.]</w:t>
      </w:r>
    </w:p>
    <w:p>
      <w:pPr>
        <w:pStyle w:val="Heading3"/>
      </w:pPr>
      <w:bookmarkStart w:id="35" w:name="_Toc90474390"/>
      <w:bookmarkStart w:id="36" w:name="_Toc90479123"/>
      <w:r>
        <w:rPr>
          <w:rStyle w:val="CharDivNo"/>
        </w:rPr>
        <w:t>Division 3</w:t>
      </w:r>
      <w:r>
        <w:t> — </w:t>
      </w:r>
      <w:r>
        <w:rPr>
          <w:rStyle w:val="CharDivText"/>
        </w:rPr>
        <w:t>Requirements if network operator not required to have safety management system</w:t>
      </w:r>
      <w:bookmarkEnd w:id="34"/>
      <w:bookmarkEnd w:id="35"/>
      <w:bookmarkEnd w:id="36"/>
    </w:p>
    <w:p>
      <w:pPr>
        <w:pStyle w:val="Heading5"/>
      </w:pPr>
      <w:bookmarkStart w:id="37" w:name="_Toc90479124"/>
      <w:r>
        <w:rPr>
          <w:rStyle w:val="CharSectno"/>
        </w:rPr>
        <w:t>17</w:t>
      </w:r>
      <w:r>
        <w:t>.</w:t>
      </w:r>
      <w:r>
        <w:tab/>
        <w:t>Terms used and approval of certain standards and codes by Director</w:t>
      </w:r>
      <w:bookmarkEnd w:id="37"/>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a standard or code published under a law of any jurisdiction in Australia; or</w:t>
      </w:r>
    </w:p>
    <w:p>
      <w:pPr>
        <w:pStyle w:val="Defpara"/>
      </w:pPr>
      <w:r>
        <w:tab/>
        <w:t>(b)</w:t>
      </w:r>
      <w:r>
        <w:tab/>
        <w:t>a standard or code published by Standards Australia or Standards New Zealand or both; or</w:t>
      </w:r>
    </w:p>
    <w:p>
      <w:pPr>
        <w:pStyle w:val="Defpara"/>
      </w:pPr>
      <w:r>
        <w:lastRenderedPageBreak/>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38" w:name="_Toc90479125"/>
      <w:r>
        <w:rPr>
          <w:rStyle w:val="CharSectno"/>
        </w:rPr>
        <w:t>18</w:t>
      </w:r>
      <w:r>
        <w:t>.</w:t>
      </w:r>
      <w:r>
        <w:tab/>
        <w:t>Network operators to whom this Division applies</w:t>
      </w:r>
      <w:bookmarkEnd w:id="38"/>
    </w:p>
    <w:p>
      <w:pPr>
        <w:pStyle w:val="Subsection"/>
      </w:pPr>
      <w:r>
        <w:tab/>
      </w:r>
      <w:r>
        <w:tab/>
        <w:t>This Division applies to and in relation to a network operator if the network operator is not required to have a safety management system under Division 2.</w:t>
      </w:r>
    </w:p>
    <w:p>
      <w:pPr>
        <w:pStyle w:val="Heading5"/>
      </w:pPr>
      <w:bookmarkStart w:id="39" w:name="_Toc90479126"/>
      <w:r>
        <w:rPr>
          <w:rStyle w:val="CharSectno"/>
        </w:rPr>
        <w:t>19</w:t>
      </w:r>
      <w:r>
        <w:t>.</w:t>
      </w:r>
      <w:r>
        <w:tab/>
        <w:t>Requirement to comply with obligatory provisions</w:t>
      </w:r>
      <w:bookmarkEnd w:id="39"/>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for this subregulation: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lastRenderedPageBreak/>
        <w:tab/>
        <w:t>Penalty for this subregulation:</w:t>
      </w:r>
    </w:p>
    <w:p>
      <w:pPr>
        <w:pStyle w:val="Penpara"/>
      </w:pPr>
      <w:r>
        <w:tab/>
        <w:t>(a)</w:t>
      </w:r>
      <w:r>
        <w:tab/>
        <w:t>for an individual, a fine of $50 000;</w:t>
      </w:r>
    </w:p>
    <w:p>
      <w:pPr>
        <w:pStyle w:val="Penpara"/>
      </w:pPr>
      <w:r>
        <w:tab/>
        <w:t>(b)</w:t>
      </w:r>
      <w:r>
        <w:tab/>
        <w:t>for a body corporate, a fine of $250 000.</w:t>
      </w:r>
    </w:p>
    <w:p>
      <w:pPr>
        <w:pStyle w:val="Footnotesection"/>
      </w:pPr>
      <w:r>
        <w:tab/>
        <w:t>[Regulation 19 amended: SL 2021/218 r. 12.]</w:t>
      </w:r>
    </w:p>
    <w:p>
      <w:pPr>
        <w:pStyle w:val="Heading5"/>
      </w:pPr>
      <w:bookmarkStart w:id="40" w:name="_Toc90479127"/>
      <w:r>
        <w:rPr>
          <w:rStyle w:val="CharSectno"/>
        </w:rPr>
        <w:t>20</w:t>
      </w:r>
      <w:r>
        <w:t>.</w:t>
      </w:r>
      <w:r>
        <w:tab/>
        <w:t>Compliance with obligatory and evidentiary provisions evidence of compliance with regulation 6 or 7</w:t>
      </w:r>
      <w:bookmarkEnd w:id="40"/>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keepNext/>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41" w:name="_Toc90479128"/>
      <w:r>
        <w:rPr>
          <w:rStyle w:val="CharSectno"/>
        </w:rPr>
        <w:t>21</w:t>
      </w:r>
      <w:r>
        <w:t>.</w:t>
      </w:r>
      <w:r>
        <w:tab/>
        <w:t>Requirement to provide information and training</w:t>
      </w:r>
      <w:bookmarkEnd w:id="41"/>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lastRenderedPageBreak/>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for this subregulation: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Footnotesection"/>
      </w:pPr>
      <w:bookmarkStart w:id="42" w:name="_Toc90472391"/>
      <w:r>
        <w:tab/>
        <w:t>[Regulation 21 amended: SL 2021/218 r. 12.]</w:t>
      </w:r>
    </w:p>
    <w:p>
      <w:pPr>
        <w:pStyle w:val="Heading2"/>
      </w:pPr>
      <w:bookmarkStart w:id="43" w:name="_Toc90474396"/>
      <w:bookmarkStart w:id="44" w:name="_Toc90479129"/>
      <w:r>
        <w:rPr>
          <w:rStyle w:val="CharPartNo"/>
        </w:rPr>
        <w:lastRenderedPageBreak/>
        <w:t>Part 3</w:t>
      </w:r>
      <w:r>
        <w:t> — </w:t>
      </w:r>
      <w:r>
        <w:rPr>
          <w:rStyle w:val="CharPartText"/>
        </w:rPr>
        <w:t>Notification, investigation and reporting</w:t>
      </w:r>
      <w:bookmarkEnd w:id="42"/>
      <w:bookmarkEnd w:id="43"/>
      <w:bookmarkEnd w:id="44"/>
    </w:p>
    <w:p>
      <w:pPr>
        <w:pStyle w:val="Heading3"/>
      </w:pPr>
      <w:bookmarkStart w:id="45" w:name="_Toc90472392"/>
      <w:bookmarkStart w:id="46" w:name="_Toc90474397"/>
      <w:bookmarkStart w:id="47" w:name="_Toc90479130"/>
      <w:r>
        <w:rPr>
          <w:rStyle w:val="CharDivNo"/>
        </w:rPr>
        <w:t>Division 1</w:t>
      </w:r>
      <w:r>
        <w:t> — </w:t>
      </w:r>
      <w:r>
        <w:rPr>
          <w:rStyle w:val="CharDivText"/>
        </w:rPr>
        <w:t>Notifiable incidents</w:t>
      </w:r>
      <w:bookmarkEnd w:id="45"/>
      <w:bookmarkEnd w:id="46"/>
      <w:bookmarkEnd w:id="47"/>
    </w:p>
    <w:p>
      <w:pPr>
        <w:pStyle w:val="Heading5"/>
      </w:pPr>
      <w:bookmarkStart w:id="48" w:name="_Toc90479131"/>
      <w:r>
        <w:rPr>
          <w:rStyle w:val="CharSectno"/>
        </w:rPr>
        <w:t>22</w:t>
      </w:r>
      <w:r>
        <w:t>.</w:t>
      </w:r>
      <w:r>
        <w:tab/>
        <w:t>Terms used</w:t>
      </w:r>
      <w:bookmarkEnd w:id="48"/>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lastRenderedPageBreak/>
        <w:tab/>
        <w:t>(vii)</w:t>
      </w:r>
      <w:r>
        <w:tab/>
        <w:t>was caused by a failure, while a prescribed activity was being carried out on the network, to follow or apply good industry practice in relation to the activity; or</w:t>
      </w:r>
    </w:p>
    <w:p>
      <w:pPr>
        <w:pStyle w:val="Defsubpara"/>
      </w:pPr>
      <w:r>
        <w:tab/>
        <w:t>(viii)</w:t>
      </w:r>
      <w:r>
        <w:tab/>
        <w:t>was caused by contact with exposed metal parts of underground cables that were not insulated but should have been according to good industry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Gazette 1 Aug 2017 p. 4110</w:t>
      </w:r>
      <w:r>
        <w:noBreakHyphen/>
        <w:t>11; SL 2021/218 r. 10.]</w:t>
      </w:r>
    </w:p>
    <w:p>
      <w:pPr>
        <w:pStyle w:val="Heading5"/>
      </w:pPr>
      <w:bookmarkStart w:id="49" w:name="_Toc90479132"/>
      <w:r>
        <w:rPr>
          <w:rStyle w:val="CharSectno"/>
        </w:rPr>
        <w:lastRenderedPageBreak/>
        <w:t>23</w:t>
      </w:r>
      <w:r>
        <w:t>.</w:t>
      </w:r>
      <w:r>
        <w:tab/>
        <w:t>Notification and investigation of suspected notifiable incidents</w:t>
      </w:r>
      <w:bookmarkEnd w:id="49"/>
    </w:p>
    <w:p>
      <w:pPr>
        <w:pStyle w:val="Subsection"/>
        <w:keepNext/>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for this subregulation: a fine of $250 000.</w:t>
      </w:r>
    </w:p>
    <w:p>
      <w:pPr>
        <w:pStyle w:val="Subsection"/>
      </w:pPr>
      <w:r>
        <w:tab/>
        <w:t>(2)</w:t>
      </w:r>
      <w:r>
        <w:tab/>
        <w:t>The network operator must investigate the incident.</w:t>
      </w:r>
    </w:p>
    <w:p>
      <w:pPr>
        <w:pStyle w:val="Penstart"/>
      </w:pPr>
      <w:r>
        <w:tab/>
        <w:t>Penalty for this subregulation: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for this subregulation: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for this subregulation: a fine of $250 000.</w:t>
      </w:r>
    </w:p>
    <w:p>
      <w:pPr>
        <w:pStyle w:val="Subsection"/>
        <w:keepNext/>
      </w:pPr>
      <w:r>
        <w:lastRenderedPageBreak/>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keepNext/>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Footnotesection"/>
      </w:pPr>
      <w:r>
        <w:tab/>
        <w:t>[Regulation 23 amended: SL 2021/218 r. 12.]</w:t>
      </w:r>
    </w:p>
    <w:p>
      <w:pPr>
        <w:pStyle w:val="Heading5"/>
      </w:pPr>
      <w:bookmarkStart w:id="50" w:name="_Toc90479133"/>
      <w:r>
        <w:rPr>
          <w:rStyle w:val="CharSectno"/>
        </w:rPr>
        <w:t>24</w:t>
      </w:r>
      <w:r>
        <w:t>.</w:t>
      </w:r>
      <w:r>
        <w:tab/>
        <w:t>Reporting of notifiable incidents</w:t>
      </w:r>
      <w:bookmarkEnd w:id="50"/>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for this subregulation: a fine of $250 000.</w:t>
      </w:r>
    </w:p>
    <w:p>
      <w:pPr>
        <w:pStyle w:val="Subsection"/>
        <w:keepNext/>
      </w:pPr>
      <w:r>
        <w:lastRenderedPageBreak/>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Footnotesection"/>
      </w:pPr>
      <w:r>
        <w:tab/>
        <w:t>[Regulation 24 amended: SL 2021/218 r. 12.]</w:t>
      </w:r>
    </w:p>
    <w:p>
      <w:pPr>
        <w:pStyle w:val="Heading5"/>
      </w:pPr>
      <w:bookmarkStart w:id="51" w:name="_Toc90479134"/>
      <w:r>
        <w:rPr>
          <w:rStyle w:val="CharSectno"/>
        </w:rPr>
        <w:t>25</w:t>
      </w:r>
      <w:r>
        <w:t>.</w:t>
      </w:r>
      <w:r>
        <w:tab/>
        <w:t>Requirement not to disturb site of notifiable incident or physical evidence</w:t>
      </w:r>
      <w:bookmarkEnd w:id="51"/>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keepNext/>
      </w:pPr>
      <w:r>
        <w:lastRenderedPageBreak/>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for this subregulation: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for this subregulation: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Penalty for this subregulation:</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Footnotesection"/>
      </w:pPr>
      <w:r>
        <w:tab/>
        <w:t>[Regulation 25 amended: SL 2021/218 r. 12.]</w:t>
      </w:r>
    </w:p>
    <w:p>
      <w:pPr>
        <w:pStyle w:val="Heading5"/>
        <w:keepNext w:val="0"/>
        <w:keepLines w:val="0"/>
        <w:widowControl w:val="0"/>
      </w:pPr>
      <w:bookmarkStart w:id="52" w:name="_Toc90479135"/>
      <w:r>
        <w:rPr>
          <w:rStyle w:val="CharSectno"/>
        </w:rPr>
        <w:t>26</w:t>
      </w:r>
      <w:r>
        <w:t>.</w:t>
      </w:r>
      <w:r>
        <w:tab/>
        <w:t>Destructive testing of physical evidence</w:t>
      </w:r>
      <w:bookmarkEnd w:id="52"/>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lastRenderedPageBreak/>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for this subregulation: a fine of $250 000.</w:t>
      </w:r>
    </w:p>
    <w:p>
      <w:pPr>
        <w:pStyle w:val="Footnotesection"/>
      </w:pPr>
      <w:r>
        <w:tab/>
        <w:t>[Regulation 26 amended: SL 2021/218 r. 12.]</w:t>
      </w:r>
    </w:p>
    <w:p>
      <w:pPr>
        <w:pStyle w:val="Heading5"/>
      </w:pPr>
      <w:bookmarkStart w:id="53" w:name="_Toc90479136"/>
      <w:r>
        <w:rPr>
          <w:rStyle w:val="CharSectno"/>
        </w:rPr>
        <w:t>27</w:t>
      </w:r>
      <w:r>
        <w:t>.</w:t>
      </w:r>
      <w:r>
        <w:tab/>
        <w:t>Statistical reporting</w:t>
      </w:r>
      <w:bookmarkEnd w:id="53"/>
    </w:p>
    <w:p>
      <w:pPr>
        <w:pStyle w:val="Subsection"/>
      </w:pPr>
      <w:r>
        <w:tab/>
      </w:r>
      <w:r>
        <w:tab/>
        <w:t>The Director may, from time to time, publish statistical information derived from reports and notifications under this Division.</w:t>
      </w:r>
    </w:p>
    <w:p>
      <w:pPr>
        <w:pStyle w:val="Heading3"/>
      </w:pPr>
      <w:bookmarkStart w:id="54" w:name="_Toc90472399"/>
      <w:bookmarkStart w:id="55" w:name="_Toc90474404"/>
      <w:bookmarkStart w:id="56" w:name="_Toc90479137"/>
      <w:r>
        <w:rPr>
          <w:rStyle w:val="CharDivNo"/>
        </w:rPr>
        <w:t>Division 2</w:t>
      </w:r>
      <w:r>
        <w:t> — </w:t>
      </w:r>
      <w:r>
        <w:rPr>
          <w:rStyle w:val="CharDivText"/>
        </w:rPr>
        <w:t>Reporting on network safety performance</w:t>
      </w:r>
      <w:bookmarkEnd w:id="54"/>
      <w:bookmarkEnd w:id="55"/>
      <w:bookmarkEnd w:id="56"/>
    </w:p>
    <w:p>
      <w:pPr>
        <w:pStyle w:val="Heading5"/>
      </w:pPr>
      <w:bookmarkStart w:id="57" w:name="_Toc90479138"/>
      <w:r>
        <w:rPr>
          <w:rStyle w:val="CharSectno"/>
        </w:rPr>
        <w:t>28</w:t>
      </w:r>
      <w:r>
        <w:t>.</w:t>
      </w:r>
      <w:r>
        <w:tab/>
        <w:t>Terms used</w:t>
      </w:r>
      <w:bookmarkEnd w:id="57"/>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lastRenderedPageBreak/>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3000:2018 Electrical installations (known as the Australian/New Zealand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Gazette 1 Aug 2017 p. 4111</w:t>
      </w:r>
      <w:r>
        <w:noBreakHyphen/>
        <w:t>12; 2 Oct 2018 p. 3794.]</w:t>
      </w:r>
    </w:p>
    <w:p>
      <w:pPr>
        <w:pStyle w:val="Heading5"/>
      </w:pPr>
      <w:bookmarkStart w:id="58" w:name="_Toc90479139"/>
      <w:r>
        <w:rPr>
          <w:rStyle w:val="CharSectno"/>
        </w:rPr>
        <w:t>29</w:t>
      </w:r>
      <w:r>
        <w:t>.</w:t>
      </w:r>
      <w:r>
        <w:tab/>
        <w:t>Network operators to whom this Division applies</w:t>
      </w:r>
      <w:bookmarkEnd w:id="58"/>
    </w:p>
    <w:p>
      <w:pPr>
        <w:pStyle w:val="Subsection"/>
      </w:pPr>
      <w:r>
        <w:tab/>
      </w:r>
      <w:r>
        <w:tab/>
        <w:t>This Division applies to and in relation to a network operator referred to in regulation 4(1)(a), (b), (c), (d), (e), (f) or (g).</w:t>
      </w:r>
    </w:p>
    <w:p>
      <w:pPr>
        <w:pStyle w:val="Heading5"/>
      </w:pPr>
      <w:bookmarkStart w:id="59" w:name="_Toc90479140"/>
      <w:r>
        <w:rPr>
          <w:rStyle w:val="CharSectno"/>
        </w:rPr>
        <w:lastRenderedPageBreak/>
        <w:t>30</w:t>
      </w:r>
      <w:r>
        <w:t>.</w:t>
      </w:r>
      <w:r>
        <w:tab/>
        <w:t>Network safety performance incidents</w:t>
      </w:r>
      <w:bookmarkEnd w:id="59"/>
    </w:p>
    <w:p>
      <w:pPr>
        <w:pStyle w:val="Subsection"/>
        <w:keepNext/>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 xml:space="preserve">the contacting of conductors, as described in subregulation (1)(e), according to whether the </w:t>
      </w:r>
      <w:r>
        <w:lastRenderedPageBreak/>
        <w:t>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Gazette 1 Aug 2017 p. 4112.]</w:t>
      </w:r>
    </w:p>
    <w:p>
      <w:pPr>
        <w:pStyle w:val="Heading5"/>
      </w:pPr>
      <w:bookmarkStart w:id="60" w:name="_Toc90479141"/>
      <w:r>
        <w:rPr>
          <w:rStyle w:val="CharSectno"/>
        </w:rPr>
        <w:t>31</w:t>
      </w:r>
      <w:r>
        <w:t>.</w:t>
      </w:r>
      <w:r>
        <w:tab/>
        <w:t>Network operator to publish annual objectives</w:t>
      </w:r>
      <w:bookmarkEnd w:id="60"/>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for this subregulation: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lastRenderedPageBreak/>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for this subregulation: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Footnotesection"/>
      </w:pPr>
      <w:r>
        <w:tab/>
        <w:t>[Regulation 31 amended: SL 2021/218 r. 12.]</w:t>
      </w:r>
    </w:p>
    <w:p>
      <w:pPr>
        <w:pStyle w:val="Heading5"/>
      </w:pPr>
      <w:bookmarkStart w:id="61" w:name="_Toc90479142"/>
      <w:r>
        <w:rPr>
          <w:rStyle w:val="CharSectno"/>
        </w:rPr>
        <w:t>32</w:t>
      </w:r>
      <w:r>
        <w:t>.</w:t>
      </w:r>
      <w:r>
        <w:tab/>
        <w:t>Network operator to publish quarterly outcomes</w:t>
      </w:r>
      <w:bookmarkEnd w:id="61"/>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keepNext/>
        <w:keepLines/>
      </w:pPr>
      <w:r>
        <w:lastRenderedPageBreak/>
        <w:tab/>
        <w:t>(b)</w:t>
      </w:r>
      <w:r>
        <w:tab/>
        <w:t>publish the statement on a website maintained by the network operator.</w:t>
      </w:r>
    </w:p>
    <w:p>
      <w:pPr>
        <w:pStyle w:val="Penstart"/>
      </w:pPr>
      <w:r>
        <w:tab/>
        <w:t>Penalty for this subregulation: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for this subregulation: a fine of $250 000.</w:t>
      </w:r>
    </w:p>
    <w:p>
      <w:pPr>
        <w:pStyle w:val="Footnotesection"/>
      </w:pPr>
      <w:r>
        <w:tab/>
        <w:t>[Regulation 32 amended: SL 2021/218 r. 12.]</w:t>
      </w:r>
    </w:p>
    <w:p>
      <w:pPr>
        <w:pStyle w:val="Heading5"/>
      </w:pPr>
      <w:bookmarkStart w:id="62" w:name="_Toc90479143"/>
      <w:r>
        <w:rPr>
          <w:rStyle w:val="CharSectno"/>
        </w:rPr>
        <w:t>33</w:t>
      </w:r>
      <w:r>
        <w:t>.</w:t>
      </w:r>
      <w:r>
        <w:tab/>
        <w:t>Director may publish and comment on objectives and outcomes</w:t>
      </w:r>
      <w:bookmarkEnd w:id="62"/>
    </w:p>
    <w:p>
      <w:pPr>
        <w:pStyle w:val="Subsection"/>
      </w:pPr>
      <w:r>
        <w:tab/>
        <w:t>(1)</w:t>
      </w:r>
      <w:r>
        <w:tab/>
        <w:t>The Director may publish statements given under regulations 31 and 32 on a website maintained on behalf of the Director.</w:t>
      </w:r>
    </w:p>
    <w:p>
      <w:pPr>
        <w:pStyle w:val="Subsection"/>
      </w:pPr>
      <w:r>
        <w:lastRenderedPageBreak/>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pPr>
      <w:bookmarkStart w:id="63" w:name="_Toc90472406"/>
      <w:bookmarkStart w:id="64" w:name="_Toc90474411"/>
      <w:bookmarkStart w:id="65" w:name="_Toc90479144"/>
      <w:r>
        <w:rPr>
          <w:rStyle w:val="CharPartNo"/>
        </w:rPr>
        <w:lastRenderedPageBreak/>
        <w:t>Part 4</w:t>
      </w:r>
      <w:r>
        <w:rPr>
          <w:rStyle w:val="CharDivNo"/>
        </w:rPr>
        <w:t> </w:t>
      </w:r>
      <w:r>
        <w:t>—</w:t>
      </w:r>
      <w:r>
        <w:rPr>
          <w:rStyle w:val="CharDivText"/>
        </w:rPr>
        <w:t> </w:t>
      </w:r>
      <w:r>
        <w:rPr>
          <w:rStyle w:val="CharPartText"/>
        </w:rPr>
        <w:t>Review of decisions</w:t>
      </w:r>
      <w:bookmarkEnd w:id="63"/>
      <w:bookmarkEnd w:id="64"/>
      <w:bookmarkEnd w:id="65"/>
    </w:p>
    <w:p>
      <w:pPr>
        <w:pStyle w:val="Heading5"/>
      </w:pPr>
      <w:bookmarkStart w:id="66" w:name="_Toc90479145"/>
      <w:r>
        <w:rPr>
          <w:rStyle w:val="CharSectno"/>
        </w:rPr>
        <w:t>34</w:t>
      </w:r>
      <w:r>
        <w:t>.</w:t>
      </w:r>
      <w:r>
        <w:tab/>
        <w:t>Decisions to which this Part applies</w:t>
      </w:r>
      <w:bookmarkEnd w:id="66"/>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67" w:name="_Toc90479146"/>
      <w:r>
        <w:rPr>
          <w:rStyle w:val="CharSectno"/>
        </w:rPr>
        <w:t>35</w:t>
      </w:r>
      <w:r>
        <w:t>.</w:t>
      </w:r>
      <w:r>
        <w:tab/>
        <w:t>Application for review</w:t>
      </w:r>
      <w:bookmarkEnd w:id="67"/>
    </w:p>
    <w:p>
      <w:pPr>
        <w:pStyle w:val="Subsection"/>
      </w:pPr>
      <w:r>
        <w:tab/>
        <w:t>(1)</w:t>
      </w:r>
      <w:r>
        <w:tab/>
        <w:t>A person aggrieved by a decision to which this Part applies may apply in writing to the Director for a review of the decision.</w:t>
      </w:r>
    </w:p>
    <w:p>
      <w:pPr>
        <w:pStyle w:val="Subsection"/>
      </w:pPr>
      <w:r>
        <w:lastRenderedPageBreak/>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68" w:name="_Toc90479147"/>
      <w:r>
        <w:rPr>
          <w:rStyle w:val="CharSectno"/>
        </w:rPr>
        <w:t>36</w:t>
      </w:r>
      <w:r>
        <w:t>.</w:t>
      </w:r>
      <w:r>
        <w:tab/>
        <w:t>Review of determinations of Director under regulation 35</w:t>
      </w:r>
      <w:bookmarkEnd w:id="68"/>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lastRenderedPageBreak/>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69" w:name="_Toc90479148"/>
      <w:r>
        <w:rPr>
          <w:rStyle w:val="CharSectno"/>
        </w:rPr>
        <w:lastRenderedPageBreak/>
        <w:t>37</w:t>
      </w:r>
      <w:r>
        <w:t>.</w:t>
      </w:r>
      <w:r>
        <w:tab/>
        <w:t>Technical review panels: convening, remuneration and support</w:t>
      </w:r>
      <w:bookmarkEnd w:id="69"/>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70" w:name="_Toc90479149"/>
      <w:r>
        <w:rPr>
          <w:rStyle w:val="CharSectno"/>
        </w:rPr>
        <w:t>38</w:t>
      </w:r>
      <w:r>
        <w:t>.</w:t>
      </w:r>
      <w:r>
        <w:tab/>
        <w:t>Technical review panels: procedure on review</w:t>
      </w:r>
      <w:bookmarkEnd w:id="70"/>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71" w:name="_Toc90479150"/>
      <w:r>
        <w:rPr>
          <w:rStyle w:val="CharSectno"/>
        </w:rPr>
        <w:lastRenderedPageBreak/>
        <w:t>39</w:t>
      </w:r>
      <w:r>
        <w:t>.</w:t>
      </w:r>
      <w:r>
        <w:tab/>
        <w:t>Technical review panels: costs</w:t>
      </w:r>
      <w:bookmarkEnd w:id="71"/>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72" w:name="_Toc90472413"/>
      <w:bookmarkStart w:id="73" w:name="_Toc90474418"/>
      <w:bookmarkStart w:id="74" w:name="_Toc90479151"/>
      <w:r>
        <w:rPr>
          <w:rStyle w:val="CharPartNo"/>
        </w:rPr>
        <w:lastRenderedPageBreak/>
        <w:t>Part 5</w:t>
      </w:r>
      <w:r>
        <w:rPr>
          <w:rStyle w:val="CharDivNo"/>
        </w:rPr>
        <w:t> </w:t>
      </w:r>
      <w:r>
        <w:t>—</w:t>
      </w:r>
      <w:r>
        <w:rPr>
          <w:rStyle w:val="CharDivText"/>
        </w:rPr>
        <w:t> </w:t>
      </w:r>
      <w:r>
        <w:rPr>
          <w:rStyle w:val="CharPartText"/>
        </w:rPr>
        <w:t>Miscellaneous</w:t>
      </w:r>
      <w:bookmarkEnd w:id="72"/>
      <w:bookmarkEnd w:id="73"/>
      <w:bookmarkEnd w:id="74"/>
    </w:p>
    <w:p>
      <w:pPr>
        <w:pStyle w:val="Heading5"/>
      </w:pPr>
      <w:bookmarkStart w:id="75" w:name="_Toc90479152"/>
      <w:r>
        <w:rPr>
          <w:rStyle w:val="CharSectno"/>
        </w:rPr>
        <w:t>40</w:t>
      </w:r>
      <w:r>
        <w:t>.</w:t>
      </w:r>
      <w:r>
        <w:tab/>
        <w:t>Defence for certain network operators</w:t>
      </w:r>
      <w:bookmarkEnd w:id="75"/>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76" w:name="_Toc90479153"/>
      <w:r>
        <w:rPr>
          <w:rStyle w:val="CharSectno"/>
        </w:rPr>
        <w:t>41</w:t>
      </w:r>
      <w:r>
        <w:t>.</w:t>
      </w:r>
      <w:r>
        <w:tab/>
        <w:t>Contact details of network operators</w:t>
      </w:r>
      <w:bookmarkEnd w:id="76"/>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lastRenderedPageBreak/>
        <w:tab/>
        <w:t>(c)</w:t>
      </w:r>
      <w:r>
        <w:tab/>
        <w:t>setting out the person’s ACN (or equivalent) and contact details; and</w:t>
      </w:r>
    </w:p>
    <w:p>
      <w:pPr>
        <w:pStyle w:val="Indenta"/>
      </w:pPr>
      <w:r>
        <w:tab/>
        <w:t>(d)</w:t>
      </w:r>
      <w:r>
        <w:tab/>
        <w:t>listing all related bodies corporate.</w:t>
      </w:r>
    </w:p>
    <w:p>
      <w:pPr>
        <w:pStyle w:val="Penstart"/>
      </w:pPr>
      <w:r>
        <w:tab/>
        <w:t>Penalty for this subregulation: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for this subregulation: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for this subregulation: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for this subregulation: a fine of $250 000.</w:t>
      </w:r>
    </w:p>
    <w:p>
      <w:pPr>
        <w:pStyle w:val="Subsection"/>
      </w:pPr>
      <w:r>
        <w:lastRenderedPageBreak/>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Footnotesection"/>
      </w:pPr>
      <w:bookmarkStart w:id="77" w:name="_Toc90472416"/>
      <w:r>
        <w:tab/>
        <w:t>[Regulation 41 amended: SL 2021/218 r. 12.]</w:t>
      </w:r>
    </w:p>
    <w:p>
      <w:pPr>
        <w:pStyle w:val="Heading2"/>
      </w:pPr>
      <w:bookmarkStart w:id="78" w:name="_Toc90474421"/>
      <w:bookmarkStart w:id="79" w:name="_Toc90479154"/>
      <w:r>
        <w:rPr>
          <w:rStyle w:val="CharPartNo"/>
        </w:rPr>
        <w:lastRenderedPageBreak/>
        <w:t>Part 6</w:t>
      </w:r>
      <w:r>
        <w:t> — </w:t>
      </w:r>
      <w:r>
        <w:rPr>
          <w:rStyle w:val="CharPartText"/>
        </w:rPr>
        <w:t>Repeal, consequential amendments and transitional provisions</w:t>
      </w:r>
      <w:bookmarkEnd w:id="77"/>
      <w:bookmarkEnd w:id="78"/>
      <w:bookmarkEnd w:id="79"/>
    </w:p>
    <w:p>
      <w:pPr>
        <w:pStyle w:val="Heading3"/>
      </w:pPr>
      <w:bookmarkStart w:id="80" w:name="_Toc90472417"/>
      <w:bookmarkStart w:id="81" w:name="_Toc90474422"/>
      <w:bookmarkStart w:id="82" w:name="_Toc90479155"/>
      <w:r>
        <w:rPr>
          <w:rStyle w:val="CharDivNo"/>
        </w:rPr>
        <w:t>Division 1</w:t>
      </w:r>
      <w:r>
        <w:t> — </w:t>
      </w:r>
      <w:r>
        <w:rPr>
          <w:rStyle w:val="CharDivText"/>
        </w:rPr>
        <w:t>Repeal</w:t>
      </w:r>
      <w:bookmarkEnd w:id="80"/>
      <w:bookmarkEnd w:id="81"/>
      <w:bookmarkEnd w:id="82"/>
    </w:p>
    <w:p>
      <w:pPr>
        <w:pStyle w:val="Heading5"/>
      </w:pPr>
      <w:bookmarkStart w:id="83" w:name="_Toc90479156"/>
      <w:r>
        <w:rPr>
          <w:rStyle w:val="CharSectno"/>
        </w:rPr>
        <w:t>42</w:t>
      </w:r>
      <w:r>
        <w:t>.</w:t>
      </w:r>
      <w:r>
        <w:tab/>
      </w:r>
      <w:r>
        <w:rPr>
          <w:i/>
        </w:rPr>
        <w:t>Electricity (Supply Standards and System Safety) Regulations 2001</w:t>
      </w:r>
      <w:r>
        <w:t xml:space="preserve"> repealed</w:t>
      </w:r>
      <w:bookmarkEnd w:id="83"/>
    </w:p>
    <w:p>
      <w:pPr>
        <w:pStyle w:val="Subsection"/>
      </w:pPr>
      <w:r>
        <w:tab/>
      </w:r>
      <w:r>
        <w:tab/>
        <w:t xml:space="preserve">The </w:t>
      </w:r>
      <w:r>
        <w:rPr>
          <w:i/>
        </w:rPr>
        <w:t>Electricity (Supply Standards and System Safety) Regulations 2001</w:t>
      </w:r>
      <w:r>
        <w:t xml:space="preserve"> are repealed.</w:t>
      </w:r>
    </w:p>
    <w:p>
      <w:pPr>
        <w:pStyle w:val="Heading3"/>
      </w:pPr>
      <w:bookmarkStart w:id="84" w:name="_Toc90472419"/>
      <w:bookmarkStart w:id="85" w:name="_Toc90474424"/>
      <w:bookmarkStart w:id="86" w:name="_Toc90479157"/>
      <w:r>
        <w:rPr>
          <w:rStyle w:val="CharDivNo"/>
        </w:rPr>
        <w:t>Division 2</w:t>
      </w:r>
      <w:r>
        <w:t> — </w:t>
      </w:r>
      <w:r>
        <w:rPr>
          <w:rStyle w:val="CharDivText"/>
        </w:rPr>
        <w:t>Consequential amendments</w:t>
      </w:r>
      <w:bookmarkEnd w:id="84"/>
      <w:bookmarkEnd w:id="85"/>
      <w:bookmarkEnd w:id="86"/>
    </w:p>
    <w:p>
      <w:pPr>
        <w:pStyle w:val="Heading5"/>
      </w:pPr>
      <w:bookmarkStart w:id="87" w:name="_Toc90479158"/>
      <w:r>
        <w:rPr>
          <w:rStyle w:val="CharSectno"/>
        </w:rPr>
        <w:t>43</w:t>
      </w:r>
      <w:r>
        <w:t>.</w:t>
      </w:r>
      <w:r>
        <w:tab/>
      </w:r>
      <w:r>
        <w:rPr>
          <w:i/>
          <w:color w:val="000000" w:themeColor="text1"/>
        </w:rPr>
        <w:t>Electricity (Licensing) Regulations 1991</w:t>
      </w:r>
      <w:r>
        <w:rPr>
          <w:color w:val="000000" w:themeColor="text1"/>
        </w:rPr>
        <w:t xml:space="preserve"> </w:t>
      </w:r>
      <w:r>
        <w:t>amended</w:t>
      </w:r>
      <w:bookmarkEnd w:id="87"/>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88" w:name="_Toc90479159"/>
      <w:r>
        <w:rPr>
          <w:rStyle w:val="CharSectno"/>
        </w:rPr>
        <w:t>44</w:t>
      </w:r>
      <w:r>
        <w:t>.</w:t>
      </w:r>
      <w:r>
        <w:tab/>
      </w:r>
      <w:r>
        <w:rPr>
          <w:i/>
        </w:rPr>
        <w:t>Electricity Regulations 1947</w:t>
      </w:r>
      <w:r>
        <w:t xml:space="preserve"> amended</w:t>
      </w:r>
      <w:bookmarkEnd w:id="88"/>
    </w:p>
    <w:p>
      <w:pPr>
        <w:pStyle w:val="Subsection"/>
      </w:pPr>
      <w:r>
        <w:tab/>
        <w:t>(1)</w:t>
      </w:r>
      <w:r>
        <w:tab/>
        <w:t xml:space="preserve">This regulation amends the </w:t>
      </w:r>
      <w:r>
        <w:rPr>
          <w:i/>
        </w:rPr>
        <w:t>Electricity Regulations 1947</w:t>
      </w:r>
      <w:r>
        <w:t>.</w:t>
      </w:r>
    </w:p>
    <w:p>
      <w:pPr>
        <w:pStyle w:val="Subsection"/>
        <w:keepNext/>
      </w:pPr>
      <w:r>
        <w:lastRenderedPageBreak/>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lastRenderedPageBreak/>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89" w:name="_Toc90472422"/>
      <w:bookmarkStart w:id="90" w:name="_Toc90474427"/>
      <w:bookmarkStart w:id="91" w:name="_Toc90479160"/>
      <w:r>
        <w:rPr>
          <w:rStyle w:val="CharDivNo"/>
        </w:rPr>
        <w:t>Division 3</w:t>
      </w:r>
      <w:r>
        <w:t> — </w:t>
      </w:r>
      <w:r>
        <w:rPr>
          <w:rStyle w:val="CharDivText"/>
        </w:rPr>
        <w:t>Transitional provisions</w:t>
      </w:r>
      <w:bookmarkEnd w:id="89"/>
      <w:bookmarkEnd w:id="90"/>
      <w:bookmarkEnd w:id="91"/>
    </w:p>
    <w:p>
      <w:pPr>
        <w:pStyle w:val="Heading5"/>
      </w:pPr>
      <w:bookmarkStart w:id="92" w:name="_Toc90479161"/>
      <w:r>
        <w:rPr>
          <w:rStyle w:val="CharSectno"/>
        </w:rPr>
        <w:t>45</w:t>
      </w:r>
      <w:r>
        <w:t>.</w:t>
      </w:r>
      <w:r>
        <w:tab/>
        <w:t>Terms used</w:t>
      </w:r>
      <w:bookmarkEnd w:id="92"/>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93" w:name="_Toc90479162"/>
      <w:r>
        <w:rPr>
          <w:rStyle w:val="CharSectno"/>
        </w:rPr>
        <w:lastRenderedPageBreak/>
        <w:t>46</w:t>
      </w:r>
      <w:r>
        <w:t>.</w:t>
      </w:r>
      <w:r>
        <w:tab/>
        <w:t>Standards and codes</w:t>
      </w:r>
      <w:bookmarkEnd w:id="93"/>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94" w:name="_Toc90479163"/>
      <w:r>
        <w:rPr>
          <w:rStyle w:val="CharSectno"/>
        </w:rPr>
        <w:t>47</w:t>
      </w:r>
      <w:r>
        <w:t>.</w:t>
      </w:r>
      <w:r>
        <w:tab/>
        <w:t>Notifiable incidents that occurred before commencement day</w:t>
      </w:r>
      <w:bookmarkEnd w:id="94"/>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5" w:name="_Toc90474431"/>
      <w:bookmarkStart w:id="96" w:name="_Toc90479164"/>
      <w:bookmarkStart w:id="97" w:name="_Toc90472426"/>
      <w:r>
        <w:rPr>
          <w:rStyle w:val="CharSchNo"/>
        </w:rPr>
        <w:lastRenderedPageBreak/>
        <w:t>Schedule 1</w:t>
      </w:r>
      <w:r>
        <w:t> — </w:t>
      </w:r>
      <w:r>
        <w:rPr>
          <w:rStyle w:val="CharSchText"/>
        </w:rPr>
        <w:t>Standards and codes containing evidentiary provisions</w:t>
      </w:r>
      <w:bookmarkEnd w:id="95"/>
      <w:bookmarkEnd w:id="96"/>
    </w:p>
    <w:p>
      <w:pPr>
        <w:pStyle w:val="yShoulderClause"/>
      </w:pPr>
      <w:r>
        <w:t>[r. 17]</w:t>
      </w:r>
    </w:p>
    <w:p>
      <w:pPr>
        <w:pStyle w:val="yFootnoteheading"/>
      </w:pPr>
      <w:r>
        <w:tab/>
        <w:t>[Heading inserted: SL 2021/218 r. 11.]</w:t>
      </w:r>
    </w:p>
    <w:p>
      <w:pPr>
        <w:pStyle w:val="yHeading3"/>
      </w:pPr>
      <w:bookmarkStart w:id="98" w:name="_Toc90474432"/>
      <w:bookmarkStart w:id="99" w:name="_Toc90479165"/>
      <w:r>
        <w:rPr>
          <w:rStyle w:val="CharSDivNo"/>
        </w:rPr>
        <w:t>Division 1</w:t>
      </w:r>
      <w:r>
        <w:t> — </w:t>
      </w:r>
      <w:r>
        <w:rPr>
          <w:rStyle w:val="CharSDivText"/>
        </w:rPr>
        <w:t>General</w:t>
      </w:r>
      <w:bookmarkEnd w:id="98"/>
      <w:bookmarkEnd w:id="99"/>
    </w:p>
    <w:p>
      <w:pPr>
        <w:pStyle w:val="yFootnoteheading"/>
      </w:pPr>
      <w:r>
        <w:tab/>
        <w:t>[Heading inserted: SL 2021/218 r. 11.]</w:t>
      </w:r>
    </w:p>
    <w:p>
      <w:pPr>
        <w:pStyle w:val="yMiscellaneousBody"/>
      </w:pPr>
      <w:r>
        <w:t>Code of Practice for Safe Low Voltage Work Practices by Electricians, published by the Director in December 2017.</w:t>
      </w:r>
    </w:p>
    <w:p>
      <w:pPr>
        <w:pStyle w:val="yMiscellaneousBody"/>
      </w:pPr>
      <w:r>
        <w:t>Utility Providers Code of Practice for Western Australia, produced by the Utility Providers Services Committee and applicable from 1 March 2018.</w:t>
      </w:r>
    </w:p>
    <w:p>
      <w:pPr>
        <w:pStyle w:val="yMiscellaneousBody"/>
      </w:pPr>
      <w:r>
        <w:t>WA Electrical Requirements, published by the Director in December 2019.</w:t>
      </w:r>
    </w:p>
    <w:p>
      <w:pPr>
        <w:pStyle w:val="yMiscellaneousBody"/>
      </w:pPr>
      <w:r>
        <w:t>AS 2676.1:2020 Guide to the installation, maintenance, testing and replacement of secondary batteries in buildings — Part 1: Vented cells.</w:t>
      </w:r>
    </w:p>
    <w:p>
      <w:pPr>
        <w:pStyle w:val="yMiscellaneousBody"/>
      </w:pPr>
      <w:r>
        <w:t>AS 2676.2:2020 Guide to the installation, maintenance, testing and replacement of secondary batteries in buildings — Part 2: Sealed cells.</w:t>
      </w:r>
    </w:p>
    <w:p>
      <w:pPr>
        <w:pStyle w:val="yMiscellaneousBody"/>
      </w:pPr>
      <w:r>
        <w:t>AS 5577</w:t>
      </w:r>
      <w:r>
        <w:noBreakHyphen/>
        <w:t>2013 Electricity network safety management systems.</w:t>
      </w:r>
    </w:p>
    <w:p>
      <w:pPr>
        <w:pStyle w:val="yMiscellaneousBody"/>
      </w:pPr>
      <w:r>
        <w:t>AS/NZS 3000:2018 Electrical installations (known as the Australian/New Zealand Wiring Rules).</w:t>
      </w:r>
    </w:p>
    <w:p>
      <w:pPr>
        <w:pStyle w:val="yMiscellaneousBody"/>
      </w:pPr>
      <w:r>
        <w:t>AS/NZS 3013:2005 Electrical installations — Classification of the fire and mechanical performance of wiring system elements.</w:t>
      </w:r>
    </w:p>
    <w:p>
      <w:pPr>
        <w:pStyle w:val="yMiscellaneousBody"/>
      </w:pPr>
      <w:r>
        <w:t>AS/NZS 3100:2017 Approval and test specification — General requirements for electrical equipment.</w:t>
      </w:r>
    </w:p>
    <w:p>
      <w:pPr>
        <w:pStyle w:val="yMiscellaneousBody"/>
      </w:pPr>
      <w:r>
        <w:t>AS/NZS 60479.1:2010 Effects of current on human beings and livestock — Part 1: General aspects.</w:t>
      </w:r>
    </w:p>
    <w:p>
      <w:pPr>
        <w:pStyle w:val="yMiscellaneousBody"/>
      </w:pPr>
      <w:r>
        <w:t>ENA Doc 008</w:t>
      </w:r>
      <w:r>
        <w:noBreakHyphen/>
        <w:t>2006 National guidelines on electrical safety for emergency service personnel.</w:t>
      </w:r>
    </w:p>
    <w:p>
      <w:pPr>
        <w:pStyle w:val="yMiscellaneousBody"/>
      </w:pPr>
      <w:r>
        <w:t>ENA Doc 015</w:t>
      </w:r>
      <w:r>
        <w:noBreakHyphen/>
        <w:t>2006 National guidelines for prevention of unauthorised access to electricity infrastructure.</w:t>
      </w:r>
    </w:p>
    <w:p>
      <w:pPr>
        <w:pStyle w:val="yMiscellaneousBody"/>
      </w:pPr>
      <w:r>
        <w:t>ENA Doc 018</w:t>
      </w:r>
      <w:r>
        <w:noBreakHyphen/>
        <w:t>2015 Guideline for the fire protection of electricity substations.</w:t>
      </w:r>
    </w:p>
    <w:p>
      <w:pPr>
        <w:pStyle w:val="yMiscellaneousBody"/>
      </w:pPr>
      <w:r>
        <w:lastRenderedPageBreak/>
        <w:t>ENA Doc 044</w:t>
      </w:r>
      <w:r>
        <w:noBreakHyphen/>
        <w:t>2020 Guideline for energised low voltage work.</w:t>
      </w:r>
    </w:p>
    <w:p>
      <w:pPr>
        <w:pStyle w:val="yFootnotesection"/>
      </w:pPr>
      <w:r>
        <w:tab/>
        <w:t>[Division 1 inserted: SL 2021/218 r. 11.]</w:t>
      </w:r>
    </w:p>
    <w:p>
      <w:pPr>
        <w:pStyle w:val="yHeading3"/>
      </w:pPr>
      <w:bookmarkStart w:id="100" w:name="_Toc90474433"/>
      <w:bookmarkStart w:id="101" w:name="_Toc90479166"/>
      <w:r>
        <w:rPr>
          <w:rStyle w:val="CharSDivNo"/>
        </w:rPr>
        <w:t>Division 2</w:t>
      </w:r>
      <w:r>
        <w:t> — </w:t>
      </w:r>
      <w:r>
        <w:rPr>
          <w:rStyle w:val="CharSDivText"/>
        </w:rPr>
        <w:t>Overhead lines</w:t>
      </w:r>
      <w:bookmarkEnd w:id="100"/>
      <w:bookmarkEnd w:id="101"/>
    </w:p>
    <w:p>
      <w:pPr>
        <w:pStyle w:val="yFootnoteheading"/>
      </w:pPr>
      <w:r>
        <w:tab/>
        <w:t>[Heading inserted: SL 2021/218 r. 11.]</w:t>
      </w:r>
    </w:p>
    <w:p>
      <w:pPr>
        <w:pStyle w:val="yMiscellaneousBody"/>
      </w:pPr>
      <w:r>
        <w:t>Code of Practice for Personnel Electrical Safety for Vegetation Control Work Near Live Power Lines, published by the Director in May 2021.</w:t>
      </w:r>
    </w:p>
    <w:p>
      <w:pPr>
        <w:pStyle w:val="yMiscellaneousBody"/>
      </w:pPr>
      <w:r>
        <w:t>AS/NZS 1768:2007 Lightning protection.</w:t>
      </w:r>
    </w:p>
    <w:p>
      <w:pPr>
        <w:pStyle w:val="yMiscellaneousBody"/>
      </w:pPr>
      <w:r>
        <w:t>AS 3891.1:2021 Air navigation — Cables and their supporting structures — Marking and safety requirements — Part 1: Marking of overhead cables and supporting structures.</w:t>
      </w:r>
    </w:p>
    <w:p>
      <w:pPr>
        <w:pStyle w:val="yMiscellaneousBody"/>
      </w:pPr>
      <w:r>
        <w:t>AS 3891.2:2018 Air navigation — Cables and their supporting structures — Marking and safety requirements — Part 2: Low level aviation operations.</w:t>
      </w:r>
    </w:p>
    <w:p>
      <w:pPr>
        <w:pStyle w:val="yFootnotesection"/>
      </w:pPr>
      <w:r>
        <w:tab/>
        <w:t>[Division 2 inserted: SL 2021/218 r. 11.]</w:t>
      </w:r>
    </w:p>
    <w:p>
      <w:pPr>
        <w:pStyle w:val="yHeading3"/>
      </w:pPr>
      <w:bookmarkStart w:id="102" w:name="_Toc90474434"/>
      <w:bookmarkStart w:id="103" w:name="_Toc90479167"/>
      <w:r>
        <w:rPr>
          <w:rStyle w:val="CharSDivNo"/>
        </w:rPr>
        <w:t>Division 3</w:t>
      </w:r>
      <w:r>
        <w:t> — </w:t>
      </w:r>
      <w:r>
        <w:rPr>
          <w:rStyle w:val="CharSDivText"/>
        </w:rPr>
        <w:t>Switchyards, substations and power stations</w:t>
      </w:r>
      <w:bookmarkEnd w:id="102"/>
      <w:bookmarkEnd w:id="103"/>
    </w:p>
    <w:p>
      <w:pPr>
        <w:pStyle w:val="yFootnoteheading"/>
      </w:pPr>
      <w:r>
        <w:tab/>
        <w:t>[Heading inserted: SL 2021/218 r. 11.]</w:t>
      </w:r>
    </w:p>
    <w:p>
      <w:pPr>
        <w:pStyle w:val="yMiscellaneousBody"/>
      </w:pPr>
      <w:r>
        <w:t>AS 1319</w:t>
      </w:r>
      <w:r>
        <w:noBreakHyphen/>
        <w:t>1994 Safety signs for the occupational environment.</w:t>
      </w:r>
    </w:p>
    <w:p>
      <w:pPr>
        <w:pStyle w:val="yMiscellaneousBody"/>
      </w:pPr>
      <w:r>
        <w:t>AS 62271.1:2019 High-voltage switchgear and controlgear — Part 1: Common specifications for alternating current switchgear and controlgear (IEC 62271</w:t>
      </w:r>
      <w:r>
        <w:noBreakHyphen/>
        <w:t>1:2017 MOD).</w:t>
      </w:r>
    </w:p>
    <w:p>
      <w:pPr>
        <w:pStyle w:val="yMiscellaneousBody"/>
      </w:pPr>
      <w:r>
        <w:t>AS 2865</w:t>
      </w:r>
      <w:r>
        <w:noBreakHyphen/>
        <w:t>2009 Confined spaces.</w:t>
      </w:r>
    </w:p>
    <w:p>
      <w:pPr>
        <w:pStyle w:val="yMiscellaneousBody"/>
      </w:pPr>
      <w:r>
        <w:t>AS 60076.1:2014 Power transformers — Part 1: General (IEC 60076</w:t>
      </w:r>
      <w:r>
        <w:noBreakHyphen/>
        <w:t>1, Ed. 3.0 (2011) MOD).</w:t>
      </w:r>
    </w:p>
    <w:p>
      <w:pPr>
        <w:pStyle w:val="yMiscellaneousBody"/>
      </w:pPr>
      <w:r>
        <w:t>AS 60076.11</w:t>
      </w:r>
      <w:r>
        <w:noBreakHyphen/>
        <w:t>2006 Power transformers — Part 11: Dry</w:t>
      </w:r>
      <w:r>
        <w:noBreakHyphen/>
        <w:t>type transformers.</w:t>
      </w:r>
    </w:p>
    <w:p>
      <w:pPr>
        <w:pStyle w:val="yMiscellaneousBody"/>
      </w:pPr>
      <w:r>
        <w:t>ENA Doc 007</w:t>
      </w:r>
      <w:r>
        <w:noBreakHyphen/>
        <w:t>2006 Specification for polemounting distribution transformers.</w:t>
      </w:r>
    </w:p>
    <w:p>
      <w:pPr>
        <w:pStyle w:val="yFootnotesection"/>
      </w:pPr>
      <w:r>
        <w:tab/>
        <w:t>[Division 3 inserted: SL 2021/218 r. 11.]</w:t>
      </w:r>
    </w:p>
    <w:p>
      <w:pPr>
        <w:pStyle w:val="yHeading3"/>
      </w:pPr>
      <w:bookmarkStart w:id="104" w:name="_Toc90474435"/>
      <w:bookmarkStart w:id="105" w:name="_Toc90479168"/>
      <w:r>
        <w:rPr>
          <w:rStyle w:val="CharSDivNo"/>
        </w:rPr>
        <w:lastRenderedPageBreak/>
        <w:t>Division 4</w:t>
      </w:r>
      <w:r>
        <w:t> — </w:t>
      </w:r>
      <w:r>
        <w:rPr>
          <w:rStyle w:val="CharSDivText"/>
        </w:rPr>
        <w:t>Underground cables</w:t>
      </w:r>
      <w:bookmarkEnd w:id="104"/>
      <w:bookmarkEnd w:id="105"/>
    </w:p>
    <w:p>
      <w:pPr>
        <w:pStyle w:val="yFootnoteheading"/>
        <w:keepNext/>
      </w:pPr>
      <w:r>
        <w:tab/>
        <w:t>[Heading inserted: SL 2021/218 r. 11.]</w:t>
      </w:r>
    </w:p>
    <w:p>
      <w:pPr>
        <w:pStyle w:val="yMiscellaneousBody"/>
      </w:pPr>
      <w:r>
        <w:t>AS 2832.1:2015 Cathodic protection of metals — Part 1: Pipes and cables.</w:t>
      </w:r>
    </w:p>
    <w:p>
      <w:pPr>
        <w:pStyle w:val="yMiscellaneousBody"/>
      </w:pPr>
      <w:r>
        <w:t>AS/NZS 2648.1:1995 Underground marking tape — Part 1: Non</w:t>
      </w:r>
      <w:r>
        <w:noBreakHyphen/>
        <w:t>detectable tape.</w:t>
      </w:r>
    </w:p>
    <w:p>
      <w:pPr>
        <w:pStyle w:val="yFootnotesection"/>
      </w:pPr>
      <w:r>
        <w:tab/>
        <w:t>[Division 4 inserted: SL 2021/218 r. 11.]</w:t>
      </w:r>
    </w:p>
    <w:p>
      <w:pPr>
        <w:pStyle w:val="yHeading3"/>
      </w:pPr>
      <w:bookmarkStart w:id="106" w:name="_Toc90474436"/>
      <w:bookmarkStart w:id="107" w:name="_Toc90479169"/>
      <w:r>
        <w:rPr>
          <w:rStyle w:val="CharSDivNo"/>
        </w:rPr>
        <w:t>Division 5</w:t>
      </w:r>
      <w:r>
        <w:t> — </w:t>
      </w:r>
      <w:r>
        <w:rPr>
          <w:rStyle w:val="CharSDivText"/>
        </w:rPr>
        <w:t>Power coordination</w:t>
      </w:r>
      <w:bookmarkEnd w:id="106"/>
      <w:bookmarkEnd w:id="107"/>
    </w:p>
    <w:p>
      <w:pPr>
        <w:pStyle w:val="yFootnoteheading"/>
      </w:pPr>
      <w:r>
        <w:tab/>
        <w:t>[Heading inserted: SL 2021/218 r. 11.]</w:t>
      </w:r>
    </w:p>
    <w:p>
      <w:pPr>
        <w:pStyle w:val="yMiscellaneousBody"/>
      </w:pPr>
      <w:r>
        <w:t>AS/NZS 3835.1:2006 Earth potential rise — Protection of telecommunications network users, personnel and plant — Part 1: Code of practice.</w:t>
      </w:r>
    </w:p>
    <w:p>
      <w:pPr>
        <w:pStyle w:val="yMiscellaneousBody"/>
      </w:pPr>
      <w:r>
        <w:t>AS/NZS 3835.2:2006 Earth potential rise — Protection of telecommunications network users, personnel and plant — Part 2: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 Code of practice for the mitigation of hazardous voltages induced into telecommunications lines.</w:t>
      </w:r>
    </w:p>
    <w:p>
      <w:pPr>
        <w:pStyle w:val="yMiscellaneousBody"/>
      </w:pPr>
      <w:r>
        <w:t>HB 102</w:t>
      </w:r>
      <w:r>
        <w:noBreakHyphen/>
        <w:t>1997 (CJC 6) Coordination of power and telecommunications — Low Frequency Induction (LFI) — Application guide to the LFI code.</w:t>
      </w:r>
    </w:p>
    <w:p>
      <w:pPr>
        <w:pStyle w:val="yMiscellaneousBody"/>
      </w:pPr>
      <w:r>
        <w:t>HB 103</w:t>
      </w:r>
      <w:r>
        <w:noBreakHyphen/>
        <w:t>1997 (CJC 7) Coordination of power and telecommunications — Crossings Code: The arrangement of overhead power and telecommunications lines, pole stay wires, and suspension wires.</w:t>
      </w:r>
    </w:p>
    <w:p>
      <w:pPr>
        <w:pStyle w:val="yFootnotesection"/>
      </w:pPr>
      <w:r>
        <w:tab/>
        <w:t>[Division 5 inserted: SL 2021/218 r. 11.]</w:t>
      </w:r>
    </w:p>
    <w:p>
      <w:pPr>
        <w:pStyle w:val="yScheduleHeading"/>
      </w:pPr>
      <w:bookmarkStart w:id="108" w:name="_Toc90474437"/>
      <w:bookmarkStart w:id="109" w:name="_Toc90479170"/>
      <w:r>
        <w:rPr>
          <w:rStyle w:val="CharSchNo"/>
        </w:rPr>
        <w:lastRenderedPageBreak/>
        <w:t>Schedule 2</w:t>
      </w:r>
      <w:r>
        <w:t> — </w:t>
      </w:r>
      <w:r>
        <w:rPr>
          <w:rStyle w:val="CharSchText"/>
        </w:rPr>
        <w:t>Standards and codes containing obligatory provisions</w:t>
      </w:r>
      <w:bookmarkEnd w:id="108"/>
      <w:bookmarkEnd w:id="109"/>
    </w:p>
    <w:p>
      <w:pPr>
        <w:pStyle w:val="yShoulderClause"/>
      </w:pPr>
      <w:r>
        <w:t>[r. 17]</w:t>
      </w:r>
    </w:p>
    <w:p>
      <w:pPr>
        <w:pStyle w:val="yFootnoteheading"/>
      </w:pPr>
      <w:r>
        <w:tab/>
        <w:t>[Heading inserted: SL 2021/218 r. 11.]</w:t>
      </w:r>
    </w:p>
    <w:p>
      <w:pPr>
        <w:pStyle w:val="yHeading3"/>
      </w:pPr>
      <w:bookmarkStart w:id="110" w:name="_Toc90474438"/>
      <w:bookmarkStart w:id="111" w:name="_Toc90479171"/>
      <w:r>
        <w:rPr>
          <w:rStyle w:val="CharSDivNo"/>
        </w:rPr>
        <w:t>Division 1</w:t>
      </w:r>
      <w:r>
        <w:t> — </w:t>
      </w:r>
      <w:r>
        <w:rPr>
          <w:rStyle w:val="CharSDivText"/>
        </w:rPr>
        <w:t>General</w:t>
      </w:r>
      <w:bookmarkEnd w:id="110"/>
      <w:bookmarkEnd w:id="111"/>
    </w:p>
    <w:p>
      <w:pPr>
        <w:pStyle w:val="yFootnoteheading"/>
      </w:pPr>
      <w:r>
        <w:tab/>
        <w:t>[Heading inserted: SL 2021/218 r. 11.]</w:t>
      </w:r>
    </w:p>
    <w:p>
      <w:pPr>
        <w:pStyle w:val="yMiscellaneousBody"/>
      </w:pPr>
      <w:r>
        <w:t>AS 1882</w:t>
      </w:r>
      <w:r>
        <w:noBreakHyphen/>
        <w:t>2002 Earth and bonding clamps.</w:t>
      </w:r>
    </w:p>
    <w:p>
      <w:pPr>
        <w:pStyle w:val="yMiscellaneousBody"/>
      </w:pPr>
      <w:r>
        <w:t>AS 2067:2016 Substations and high voltage installations exceeding 1 kV a.c.</w:t>
      </w:r>
    </w:p>
    <w:p>
      <w:pPr>
        <w:pStyle w:val="yMiscellaneousBody"/>
      </w:pPr>
      <w:r>
        <w:t>AS 3011.1:2019 Electrical installations — Secondary batteries installed in buildings — Part 1: Vented cells.</w:t>
      </w:r>
    </w:p>
    <w:p>
      <w:pPr>
        <w:pStyle w:val="yMiscellaneousBody"/>
      </w:pPr>
      <w:r>
        <w:t>AS 3011.2:2019 Electrical installations — Secondary batteries installed in buildings — Part 2: Sealed cells.</w:t>
      </w:r>
    </w:p>
    <w:p>
      <w:pPr>
        <w:pStyle w:val="yMiscellaneousBody"/>
      </w:pPr>
      <w:r>
        <w:t>AS 3851</w:t>
      </w:r>
      <w:r>
        <w:noBreakHyphen/>
        <w:t>1991 The calculation of short 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AS/NZS 4836:2011 Safe working on or near low-voltage electrical installations and equipment.</w:t>
      </w:r>
    </w:p>
    <w:p>
      <w:pPr>
        <w:pStyle w:val="yMiscellaneousBody"/>
      </w:pPr>
      <w:r>
        <w:t>AS 60529</w:t>
      </w:r>
      <w:r>
        <w:noBreakHyphen/>
        <w:t>2004 Degrees of protection provided by enclosures (IP Code).</w:t>
      </w:r>
    </w:p>
    <w:p>
      <w:pPr>
        <w:pStyle w:val="yMiscellaneousBody"/>
      </w:pPr>
      <w:r>
        <w:t>ENA DOC 003</w:t>
      </w:r>
      <w:r>
        <w:noBreakHyphen/>
        <w:t>2021 (NENS 03) National guidelines for safe access to electrical and mechanical apparatus.</w:t>
      </w:r>
    </w:p>
    <w:p>
      <w:pPr>
        <w:pStyle w:val="yMiscellaneousBody"/>
      </w:pPr>
      <w:r>
        <w:t>ENA Doc 025</w:t>
      </w:r>
      <w:r>
        <w:noBreakHyphen/>
        <w:t>2010 EG</w:t>
      </w:r>
      <w:r>
        <w:noBreakHyphen/>
        <w:t>0 Power system earthing guide — Part 1: Management principles, version 1.</w:t>
      </w:r>
    </w:p>
    <w:p>
      <w:pPr>
        <w:pStyle w:val="yMiscellaneousBody"/>
      </w:pPr>
      <w:r>
        <w:t>ENA Doc 042</w:t>
      </w:r>
      <w:r>
        <w:noBreakHyphen/>
        <w:t>2018 National guidelines for manual reclosing of high voltage electrical apparatus following a fault operation (Manual Reclose Guidelines).</w:t>
      </w:r>
    </w:p>
    <w:p>
      <w:pPr>
        <w:pStyle w:val="yMiscellaneousBody"/>
      </w:pPr>
      <w:r>
        <w:t>ENA Doc 044</w:t>
      </w:r>
      <w:r>
        <w:noBreakHyphen/>
        <w:t>2020 Guideline for energised low voltage work.</w:t>
      </w:r>
    </w:p>
    <w:p>
      <w:pPr>
        <w:pStyle w:val="yMiscellaneousBody"/>
      </w:pPr>
      <w:r>
        <w:t>ENA NENS 04</w:t>
      </w:r>
      <w:r>
        <w:noBreakHyphen/>
        <w:t>2006 National guidelines for safe approach distances to electrical and mechanical apparatus.</w:t>
      </w:r>
    </w:p>
    <w:p>
      <w:pPr>
        <w:pStyle w:val="yMiscellaneousBody"/>
      </w:pPr>
      <w:r>
        <w:lastRenderedPageBreak/>
        <w:t>ENA NENS 08</w:t>
      </w:r>
      <w:r>
        <w:noBreakHyphen/>
        <w:t>2006 National guidelines for aerial surveillance of overhead electricity networks.</w:t>
      </w:r>
    </w:p>
    <w:p>
      <w:pPr>
        <w:pStyle w:val="yMiscellaneousBody"/>
      </w:pPr>
      <w:r>
        <w:t>ENA NENS 09</w:t>
      </w:r>
      <w:r>
        <w:noBreakHyphen/>
        <w:t>2014 National guideline for the selection, use and maintenance of personal protection equipment for electrical arc hazards.</w:t>
      </w:r>
    </w:p>
    <w:p>
      <w:pPr>
        <w:pStyle w:val="yMiscellaneousBody"/>
      </w:pPr>
      <w:r>
        <w:t>IEC 61914:2015 Cable cleats for electrical installations.</w:t>
      </w:r>
    </w:p>
    <w:p>
      <w:pPr>
        <w:pStyle w:val="yFootnotesection"/>
      </w:pPr>
      <w:r>
        <w:tab/>
        <w:t>[Division 1 inserted: SL 2021/218 r. 11.]</w:t>
      </w:r>
    </w:p>
    <w:p>
      <w:pPr>
        <w:pStyle w:val="yHeading3"/>
      </w:pPr>
      <w:bookmarkStart w:id="112" w:name="_Toc90474439"/>
      <w:bookmarkStart w:id="113" w:name="_Toc90479172"/>
      <w:r>
        <w:rPr>
          <w:rStyle w:val="CharSDivNo"/>
        </w:rPr>
        <w:t>Division 2</w:t>
      </w:r>
      <w:r>
        <w:t> — </w:t>
      </w:r>
      <w:r>
        <w:rPr>
          <w:rStyle w:val="CharSDivText"/>
        </w:rPr>
        <w:t>Overhead lines</w:t>
      </w:r>
      <w:bookmarkEnd w:id="112"/>
      <w:bookmarkEnd w:id="113"/>
    </w:p>
    <w:p>
      <w:pPr>
        <w:pStyle w:val="yFootnoteheading"/>
      </w:pPr>
      <w:r>
        <w:tab/>
        <w:t>[Heading inserted: SL 2021/218 r. 11.]</w:t>
      </w:r>
    </w:p>
    <w:p>
      <w:pPr>
        <w:pStyle w:val="yMiscellaneousBody"/>
      </w:pPr>
      <w:r>
        <w:t>AS 1222.1</w:t>
      </w:r>
      <w:r>
        <w:noBreakHyphen/>
        <w:t>1992 Steel conductors and stays — Bare overhead — Part 1: Galvanised (SC/GZ).</w:t>
      </w:r>
    </w:p>
    <w:p>
      <w:pPr>
        <w:pStyle w:val="yMiscellaneousBody"/>
      </w:pPr>
      <w:r>
        <w:t>AS 1222.2</w:t>
      </w:r>
      <w:r>
        <w:noBreakHyphen/>
        <w:t>1992 Steel conductors and stays — Bare overhead — Part 2: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Part 1: Design methods.</w:t>
      </w:r>
    </w:p>
    <w:p>
      <w:pPr>
        <w:pStyle w:val="yMiscellaneousBody"/>
      </w:pPr>
      <w:r>
        <w:t>AS 1720.2</w:t>
      </w:r>
      <w:r>
        <w:noBreakHyphen/>
        <w:t>2006 Timber structures — Part 2: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3600:2018 Concrete structures.</w:t>
      </w:r>
    </w:p>
    <w:p>
      <w:pPr>
        <w:pStyle w:val="yMiscellaneousBody"/>
      </w:pPr>
      <w:r>
        <w:t>AS 3607:1989 Conductors — Bare overhead, aluminium and aluminium alloy — Steel reinforced.</w:t>
      </w:r>
    </w:p>
    <w:p>
      <w:pPr>
        <w:pStyle w:val="yMiscellaneousBody"/>
      </w:pPr>
      <w:r>
        <w:t>AS 3818.11</w:t>
      </w:r>
      <w:r>
        <w:noBreakHyphen/>
        <w:t>2009 Timber — Heavy structural products — Visually graded — Part 11: Utility poles.</w:t>
      </w:r>
    </w:p>
    <w:p>
      <w:pPr>
        <w:pStyle w:val="yMiscellaneousBody"/>
      </w:pPr>
      <w:r>
        <w:t>AS 4100:2020 Steel structures.</w:t>
      </w:r>
    </w:p>
    <w:p>
      <w:pPr>
        <w:pStyle w:val="yMiscellaneousBody"/>
      </w:pPr>
      <w:r>
        <w:t>AS 5804.1</w:t>
      </w:r>
      <w:r>
        <w:noBreakHyphen/>
        <w:t>2010 High-voltage live working — Part 1: General.</w:t>
      </w:r>
    </w:p>
    <w:p>
      <w:pPr>
        <w:pStyle w:val="yMiscellaneousBody"/>
      </w:pPr>
      <w:r>
        <w:t>AS 5804.2</w:t>
      </w:r>
      <w:r>
        <w:noBreakHyphen/>
        <w:t>2010 High-voltage live working — Part 2: Glove and barrier work.</w:t>
      </w:r>
    </w:p>
    <w:p>
      <w:pPr>
        <w:pStyle w:val="yMiscellaneousBody"/>
      </w:pPr>
      <w:r>
        <w:t>AS 5804.3</w:t>
      </w:r>
      <w:r>
        <w:noBreakHyphen/>
        <w:t>2010 High-voltage live working — Part 3: Stick work.</w:t>
      </w:r>
    </w:p>
    <w:p>
      <w:pPr>
        <w:pStyle w:val="yMiscellaneousBody"/>
      </w:pPr>
      <w:r>
        <w:lastRenderedPageBreak/>
        <w:t>AS 5804.4</w:t>
      </w:r>
      <w:r>
        <w:noBreakHyphen/>
        <w:t>2010 High-voltage live working — Part 4: Barehand work.</w:t>
      </w:r>
    </w:p>
    <w:p>
      <w:pPr>
        <w:pStyle w:val="yMiscellaneousBody"/>
      </w:pPr>
      <w:r>
        <w:t>AS 6947</w:t>
      </w:r>
      <w:r>
        <w:noBreakHyphen/>
        <w:t>2009 Crossing of waterways by electricity infrastructure.</w:t>
      </w:r>
    </w:p>
    <w:p>
      <w:pPr>
        <w:pStyle w:val="yMiscellaneousBody"/>
      </w:pPr>
      <w:r>
        <w:t>AS/NZS 7000:2016 Overhead line design.</w:t>
      </w:r>
    </w:p>
    <w:p>
      <w:pPr>
        <w:pStyle w:val="yFootnotesection"/>
      </w:pPr>
      <w:r>
        <w:tab/>
        <w:t>[Division 2 inserted: SL 2021/218 r. 11.]</w:t>
      </w:r>
    </w:p>
    <w:p>
      <w:pPr>
        <w:pStyle w:val="yHeading3"/>
      </w:pPr>
      <w:bookmarkStart w:id="114" w:name="_Toc90474440"/>
      <w:bookmarkStart w:id="115" w:name="_Toc90479173"/>
      <w:r>
        <w:rPr>
          <w:rStyle w:val="CharSDivNo"/>
        </w:rPr>
        <w:t>Division 3</w:t>
      </w:r>
      <w:r>
        <w:t> — </w:t>
      </w:r>
      <w:r>
        <w:rPr>
          <w:rStyle w:val="CharSDivText"/>
        </w:rPr>
        <w:t>Underground cables</w:t>
      </w:r>
      <w:bookmarkEnd w:id="114"/>
      <w:bookmarkEnd w:id="115"/>
    </w:p>
    <w:p>
      <w:pPr>
        <w:pStyle w:val="yFootnoteheading"/>
      </w:pPr>
      <w:r>
        <w:tab/>
        <w:t>[Heading inserted: SL 2021/218 r. 11.]</w:t>
      </w:r>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Part 1: For working voltages 1.9/3.3 (3.6) kV up to and including 19/33 (36) kV.</w:t>
      </w:r>
    </w:p>
    <w:p>
      <w:pPr>
        <w:pStyle w:val="yMiscellaneousBody"/>
      </w:pPr>
      <w:r>
        <w:t>AS/NZS 1429.2:2009 Electric cables — Polymeric insulated — Part 2: For working voltages above 19/33 (36) kV up to and including 87/150 (170) kV.</w:t>
      </w:r>
    </w:p>
    <w:p>
      <w:pPr>
        <w:pStyle w:val="yMiscellaneousBody"/>
      </w:pPr>
      <w:r>
        <w:t>AS/NZS 3008.1.1:2017 Electrical installations — Selection of cables — Part 1.1: Cables for alternating voltages up to and including 0.6/1 kV — Typical Australian installation conditions.</w:t>
      </w:r>
    </w:p>
    <w:p>
      <w:pPr>
        <w:pStyle w:val="yFootnotesection"/>
      </w:pPr>
      <w:r>
        <w:tab/>
        <w:t>[Division 3 inserted: SL 2021/218 r. 11.]</w:t>
      </w:r>
    </w:p>
    <w:p>
      <w:pPr>
        <w:pStyle w:val="yHeading3"/>
      </w:pPr>
      <w:bookmarkStart w:id="116" w:name="_Toc90474441"/>
      <w:bookmarkStart w:id="117" w:name="_Toc90479174"/>
      <w:r>
        <w:rPr>
          <w:rStyle w:val="CharSDivNo"/>
        </w:rPr>
        <w:t>Division 4</w:t>
      </w:r>
      <w:r>
        <w:t> — </w:t>
      </w:r>
      <w:r>
        <w:rPr>
          <w:rStyle w:val="CharSDivText"/>
        </w:rPr>
        <w:t>Switchgear and protection</w:t>
      </w:r>
      <w:bookmarkEnd w:id="116"/>
      <w:bookmarkEnd w:id="117"/>
    </w:p>
    <w:p>
      <w:pPr>
        <w:pStyle w:val="yFootnoteheading"/>
      </w:pPr>
      <w:r>
        <w:tab/>
        <w:t>[Heading inserted: SL 2021/218 r. 11.]</w:t>
      </w:r>
    </w:p>
    <w:p>
      <w:pPr>
        <w:pStyle w:val="yMiscellaneousBody"/>
      </w:pPr>
      <w:r>
        <w:t>AS 1033.1</w:t>
      </w:r>
      <w:r>
        <w:noBreakHyphen/>
        <w:t>1990 High voltage fuses (for rated voltages exceeding 1000 V) — Part 1: Expulsion type.</w:t>
      </w:r>
    </w:p>
    <w:p>
      <w:pPr>
        <w:pStyle w:val="yMiscellaneousBody"/>
      </w:pPr>
      <w:r>
        <w:t>AS 1033.2</w:t>
      </w:r>
      <w:r>
        <w:noBreakHyphen/>
        <w:t>1988 High voltage fuses (for rated voltages exceeding 1000 V) — Part 2: Current</w:t>
      </w:r>
      <w:r>
        <w:noBreakHyphen/>
        <w:t>limiting (powder</w:t>
      </w:r>
      <w:r>
        <w:noBreakHyphen/>
        <w:t>filled) type.</w:t>
      </w:r>
    </w:p>
    <w:p>
      <w:pPr>
        <w:pStyle w:val="yMiscellaneousBody"/>
      </w:pPr>
      <w:r>
        <w:t>AS 1307.2</w:t>
      </w:r>
      <w:r>
        <w:noBreakHyphen/>
        <w:t>1996 Surge arresters — Part 2: Metal-oxide surge arresters without gaps for a.c. systems.</w:t>
      </w:r>
    </w:p>
    <w:p>
      <w:pPr>
        <w:pStyle w:val="yMiscellaneousBody"/>
      </w:pPr>
      <w:r>
        <w:t>AS/NZS 60137:2020 Insulated bushings for alternating voltages above 1000 V (IEC 60137:2017 (ED.7.0) MOD).</w:t>
      </w:r>
    </w:p>
    <w:p>
      <w:pPr>
        <w:pStyle w:val="yMiscellaneousBody"/>
      </w:pPr>
      <w:r>
        <w:lastRenderedPageBreak/>
        <w:t>AS/NZS 60265.1:2001 High-voltage switches — Part 1: Switches for rated voltages above 1 kV and less than 52 kV (IEC 60265</w:t>
      </w:r>
      <w:r>
        <w:noBreakHyphen/>
        <w:t>1:1998, MOD).</w:t>
      </w:r>
    </w:p>
    <w:p>
      <w:pPr>
        <w:pStyle w:val="yMiscellaneousBody"/>
      </w:pPr>
      <w:r>
        <w:t>AS 60296:2017 Fluids for electrotechnical applications — Unused mineral insulating oil for transformers and switchgear (IEC 60296:2012, MOD).</w:t>
      </w:r>
    </w:p>
    <w:p>
      <w:pPr>
        <w:pStyle w:val="yMiscellaneousBody"/>
      </w:pPr>
      <w:r>
        <w:t>AS/NZS IEC 60947.1:2015 Low</w:t>
      </w:r>
      <w:r>
        <w:noBreakHyphen/>
        <w:t>voltage switchgear and controlgear — Part 1: General rules.</w:t>
      </w:r>
    </w:p>
    <w:p>
      <w:pPr>
        <w:pStyle w:val="yMiscellaneousBody"/>
      </w:pPr>
      <w:r>
        <w:t>AS/NZS 61439.1:2016 Low</w:t>
      </w:r>
      <w:r>
        <w:noBreakHyphen/>
        <w:t>voltage switchgear and controlgear assemblies — Part 1: General rules.</w:t>
      </w:r>
    </w:p>
    <w:p>
      <w:pPr>
        <w:pStyle w:val="yMiscellaneousBody"/>
      </w:pPr>
      <w:r>
        <w:t>AS/NZS 61439.2:2016 Low</w:t>
      </w:r>
      <w:r>
        <w:noBreakHyphen/>
        <w:t>voltage switchgear and controlgear assemblies — Part 2: Power switchgear and controlgear assemblies.</w:t>
      </w:r>
    </w:p>
    <w:p>
      <w:pPr>
        <w:pStyle w:val="yMiscellaneousBody"/>
      </w:pPr>
      <w:r>
        <w:t>AS/NZS 61439.3:2016 Low</w:t>
      </w:r>
      <w:r>
        <w:noBreakHyphen/>
        <w:t>voltage switchgear and controlgear assemblies — Part 3: Distribution boards intended to be operated by ordinary person (DBO).</w:t>
      </w:r>
    </w:p>
    <w:p>
      <w:pPr>
        <w:pStyle w:val="yMiscellaneousBody"/>
      </w:pPr>
      <w:r>
        <w:t>AS/NZS 61439.4:2016 Low</w:t>
      </w:r>
      <w:r>
        <w:noBreakHyphen/>
        <w:t>voltage switchgear and controlgear assemblies — Part 4: Particular requirements for assemblies for construction sites (ACS).</w:t>
      </w:r>
    </w:p>
    <w:p>
      <w:pPr>
        <w:pStyle w:val="yMiscellaneousBody"/>
      </w:pPr>
      <w:r>
        <w:t>AS/NZS IEC 61439.5:2016 Low</w:t>
      </w:r>
      <w:r>
        <w:noBreakHyphen/>
        <w:t>voltage switchgear and controlgear assemblies — Part 5: Assemblies for power distribution in public networks.</w:t>
      </w:r>
    </w:p>
    <w:p>
      <w:pPr>
        <w:pStyle w:val="yMiscellaneousBody"/>
      </w:pPr>
      <w:r>
        <w:t>AS 61869.1:2021 Instrument transformers — Part 1: General requirements (IEC 61869</w:t>
      </w:r>
      <w:r>
        <w:noBreakHyphen/>
        <w:t>1:2007 (ED.1.0) MOD).</w:t>
      </w:r>
    </w:p>
    <w:p>
      <w:pPr>
        <w:pStyle w:val="yMiscellaneousBody"/>
      </w:pPr>
      <w:r>
        <w:t>AS 61869.2:2021 Instrument transformers — Part 2: Additional requirements for current transformers (IEC 61869</w:t>
      </w:r>
      <w:r>
        <w:noBreakHyphen/>
        <w:t>2:2012 (ED 1.0) MOD).</w:t>
      </w:r>
    </w:p>
    <w:p>
      <w:pPr>
        <w:pStyle w:val="yMiscellaneousBody"/>
      </w:pPr>
      <w:r>
        <w:t>AS 61869.3:2021 Instrument transformers — Part 3: Additional requirements for inductive voltage transformers (IEC 61869</w:t>
      </w:r>
      <w:r>
        <w:noBreakHyphen/>
        <w:t>3:2011 (ED.1.0) MOD).</w:t>
      </w:r>
    </w:p>
    <w:p>
      <w:pPr>
        <w:pStyle w:val="yMiscellaneousBody"/>
      </w:pPr>
      <w:r>
        <w:t>AS 61869.4:2021 Instrument transformers — Part 4: Additional requirements for combined transformers (IEC 61869</w:t>
      </w:r>
      <w:r>
        <w:noBreakHyphen/>
        <w:t>4:2013 (ED.1.0) MOD).</w:t>
      </w:r>
    </w:p>
    <w:p>
      <w:pPr>
        <w:pStyle w:val="yMiscellaneousBody"/>
      </w:pPr>
      <w:r>
        <w:t>AS 61869.5:2021 Instrument transformers — Part 5: Additional requirements for capacity voltage transformers (IEC 61869</w:t>
      </w:r>
      <w:r>
        <w:noBreakHyphen/>
        <w:t>5:2011 (ED 1.0) MOD).</w:t>
      </w:r>
    </w:p>
    <w:p>
      <w:pPr>
        <w:pStyle w:val="yMiscellaneousBody"/>
      </w:pPr>
      <w:r>
        <w:t>AS 62271.100:2019 High</w:t>
      </w:r>
      <w:r>
        <w:noBreakHyphen/>
        <w:t>voltage switchgear and controlgear — Part 100: High</w:t>
      </w:r>
      <w:r>
        <w:noBreakHyphen/>
        <w:t>voltage alternating</w:t>
      </w:r>
      <w:r>
        <w:noBreakHyphen/>
        <w:t>current circuit</w:t>
      </w:r>
      <w:r>
        <w:noBreakHyphen/>
        <w:t>breakers (IEC 62271</w:t>
      </w:r>
      <w:r>
        <w:noBreakHyphen/>
        <w:t>100:2008+AMD1:2012+AMD2:2017 CSV (ED.2.2)/COR 1:2018, MOD).</w:t>
      </w:r>
    </w:p>
    <w:p>
      <w:pPr>
        <w:pStyle w:val="yMiscellaneousBody"/>
      </w:pPr>
      <w:r>
        <w:lastRenderedPageBreak/>
        <w:t>AS 62271.102:2019 High</w:t>
      </w:r>
      <w:r>
        <w:noBreakHyphen/>
        <w:t>voltage switchgear and controlgear — Part 102: Alternating current disconnectors and earthing switches (IEC 62271</w:t>
      </w:r>
      <w:r>
        <w:noBreakHyphen/>
        <w:t>102:2018, MOD).</w:t>
      </w:r>
    </w:p>
    <w:p>
      <w:pPr>
        <w:pStyle w:val="yMiscellaneousBody"/>
      </w:pPr>
      <w:r>
        <w:t>AS IEC 62271.105:2015 High</w:t>
      </w:r>
      <w:r>
        <w:noBreakHyphen/>
        <w:t>voltage switchgear and controlgear — Part 105: Alternating current switch</w:t>
      </w:r>
      <w:r>
        <w:noBreakHyphen/>
        <w:t>fuse combinations for rated voltages above 1 kV up to and including 52 kV.</w:t>
      </w:r>
    </w:p>
    <w:p>
      <w:pPr>
        <w:pStyle w:val="yMiscellaneousBody"/>
      </w:pPr>
      <w:r>
        <w:t>AS 62271.110:2019 High</w:t>
      </w:r>
      <w:r>
        <w:noBreakHyphen/>
        <w:t>voltage switchgear and controlgear — Part 110: Inductive load switching (IEC 62271</w:t>
      </w:r>
      <w:r>
        <w:noBreakHyphen/>
        <w:t>110:2017 (ED 4.0)/COR 1:2017/COR 2:2018, MOD).</w:t>
      </w:r>
    </w:p>
    <w:p>
      <w:pPr>
        <w:pStyle w:val="yMiscellaneousBody"/>
      </w:pPr>
      <w:r>
        <w:t>AS 62271.200:2019 High</w:t>
      </w:r>
      <w:r>
        <w:noBreakHyphen/>
        <w:t>voltage switchgear and controlgear — Part 200: A.C. metal enclosed switchgear and controlgear for rated voltages above 1 kV and up to and including 52 kV (IEC 62271</w:t>
      </w:r>
      <w:r>
        <w:noBreakHyphen/>
        <w:t>200:2011/COR 1:2015, MOD).</w:t>
      </w:r>
    </w:p>
    <w:p>
      <w:pPr>
        <w:pStyle w:val="yMiscellaneousBody"/>
      </w:pPr>
      <w:r>
        <w:t>AS 62271.201:2019 High</w:t>
      </w:r>
      <w:r>
        <w:noBreakHyphen/>
        <w:t>voltage switchgear and controlgear — Part 201: A.C. insulation enclosed switchgear and controlgear for rated voltages above 1 kV and up to and including 52 kV (IEC 62271</w:t>
      </w:r>
      <w:r>
        <w:noBreakHyphen/>
        <w:t>201:2014, MOD).</w:t>
      </w:r>
    </w:p>
    <w:p>
      <w:pPr>
        <w:pStyle w:val="yMiscellaneousBody"/>
      </w:pPr>
      <w:r>
        <w:t>AS 62271.202:2019 High</w:t>
      </w:r>
      <w:r>
        <w:noBreakHyphen/>
        <w:t>voltage switchgear and controlgear — Part 202: High-voltage/low-voltage prefabricated substation (IEC 62271</w:t>
      </w:r>
      <w:r>
        <w:noBreakHyphen/>
        <w:t>202:2014, MOD).</w:t>
      </w:r>
    </w:p>
    <w:p>
      <w:pPr>
        <w:pStyle w:val="yMiscellaneousBody"/>
      </w:pPr>
      <w:r>
        <w:t>AS 62271.203</w:t>
      </w:r>
      <w:r>
        <w:noBreakHyphen/>
        <w:t>2012 High</w:t>
      </w:r>
      <w:r>
        <w:noBreakHyphen/>
        <w:t>voltage switchgear and controlgear — Part 203: Gas</w:t>
      </w:r>
      <w:r>
        <w:noBreakHyphen/>
        <w:t>insulated metal</w:t>
      </w:r>
      <w:r>
        <w:noBreakHyphen/>
        <w:t>enclosed switchgear for rated voltages above 52 kV.</w:t>
      </w:r>
    </w:p>
    <w:p>
      <w:pPr>
        <w:pStyle w:val="yMiscellaneousBody"/>
      </w:pPr>
      <w:r>
        <w:t>AS IEC 62271.4:2015 High</w:t>
      </w:r>
      <w:r>
        <w:noBreakHyphen/>
        <w:t>voltage switchgear and controlgear — Part 4: Handling procedures for sulphur hexafluoride (SF6) and its mixtures.</w:t>
      </w:r>
    </w:p>
    <w:p>
      <w:pPr>
        <w:pStyle w:val="yFootnotesection"/>
      </w:pPr>
      <w:r>
        <w:tab/>
        <w:t>[Division 4 inserted: SL 2021/218 r. 11.]</w:t>
      </w:r>
    </w:p>
    <w:bookmarkEnd w:id="97"/>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9" w:name="_Toc90474442"/>
      <w:bookmarkStart w:id="120" w:name="_Toc90479175"/>
      <w:bookmarkStart w:id="121" w:name="_Toc90472439"/>
      <w:r>
        <w:lastRenderedPageBreak/>
        <w:t>Notes</w:t>
      </w:r>
      <w:bookmarkEnd w:id="119"/>
      <w:bookmarkEnd w:id="120"/>
    </w:p>
    <w:p>
      <w:pPr>
        <w:pStyle w:val="nStatement"/>
      </w:pPr>
      <w:r>
        <w:t xml:space="preserve">This is a compilation of the </w:t>
      </w:r>
      <w:r>
        <w:rPr>
          <w:i/>
          <w:noProof/>
        </w:rPr>
        <w:t>Electricity (Network Safety) Regulations 2015</w:t>
      </w:r>
      <w:r>
        <w:t xml:space="preserve"> and includes amendments made by other written laws. For provisions that have come into operation see the compilation table.</w:t>
      </w:r>
    </w:p>
    <w:p>
      <w:pPr>
        <w:pStyle w:val="nHeading3"/>
      </w:pPr>
      <w:bookmarkStart w:id="122" w:name="_Toc90479176"/>
      <w:r>
        <w:t>Compilation table</w:t>
      </w:r>
      <w:bookmarkEnd w:id="1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nil"/>
              <w:right w:val="nil"/>
            </w:tcBorders>
          </w:tcPr>
          <w:p>
            <w:pPr>
              <w:pStyle w:val="nTable"/>
              <w:spacing w:after="40"/>
              <w:rPr>
                <w:i/>
                <w:noProof/>
              </w:rPr>
            </w:pPr>
            <w:r>
              <w:rPr>
                <w:i/>
                <w:noProof/>
              </w:rPr>
              <w:t>Electricity (Network Safety) Amendment Regulations 2017</w:t>
            </w:r>
          </w:p>
        </w:tc>
        <w:tc>
          <w:tcPr>
            <w:tcW w:w="1276" w:type="dxa"/>
            <w:tcBorders>
              <w:top w:val="nil"/>
              <w:left w:val="nil"/>
              <w:bottom w:val="nil"/>
              <w:right w:val="nil"/>
            </w:tcBorders>
          </w:tcPr>
          <w:p>
            <w:pPr>
              <w:pStyle w:val="nTable"/>
              <w:spacing w:after="40"/>
            </w:pPr>
            <w:r>
              <w:t>1 Aug 2017 p. 4110</w:t>
            </w:r>
            <w:r>
              <w:noBreakHyphen/>
              <w:t>12</w:t>
            </w:r>
          </w:p>
        </w:tc>
        <w:tc>
          <w:tcPr>
            <w:tcW w:w="2693" w:type="dxa"/>
            <w:tcBorders>
              <w:top w:val="nil"/>
              <w:left w:val="nil"/>
              <w:bottom w:val="nil"/>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r>
        <w:tc>
          <w:tcPr>
            <w:tcW w:w="3118" w:type="dxa"/>
            <w:tcBorders>
              <w:top w:val="nil"/>
              <w:bottom w:val="nil"/>
              <w:right w:val="nil"/>
            </w:tcBorders>
          </w:tcPr>
          <w:p>
            <w:pPr>
              <w:pStyle w:val="nTable"/>
              <w:spacing w:after="40"/>
              <w:rPr>
                <w:i/>
                <w:noProof/>
              </w:rPr>
            </w:pPr>
            <w:r>
              <w:rPr>
                <w:i/>
              </w:rPr>
              <w:t>Electricity Amendment Regulations 2018</w:t>
            </w:r>
            <w:r>
              <w:t xml:space="preserve"> Pt. 4</w:t>
            </w:r>
          </w:p>
        </w:tc>
        <w:tc>
          <w:tcPr>
            <w:tcW w:w="1276" w:type="dxa"/>
            <w:tcBorders>
              <w:top w:val="nil"/>
              <w:left w:val="nil"/>
              <w:bottom w:val="nil"/>
              <w:right w:val="nil"/>
            </w:tcBorders>
          </w:tcPr>
          <w:p>
            <w:pPr>
              <w:pStyle w:val="nTable"/>
              <w:spacing w:after="40"/>
            </w:pPr>
            <w:r>
              <w:t>2 Oct 2018 p. 3784-94</w:t>
            </w:r>
          </w:p>
        </w:tc>
        <w:tc>
          <w:tcPr>
            <w:tcW w:w="2693" w:type="dxa"/>
            <w:tcBorders>
              <w:top w:val="nil"/>
              <w:left w:val="nil"/>
              <w:bottom w:val="nil"/>
            </w:tcBorders>
          </w:tcPr>
          <w:p>
            <w:pPr>
              <w:pStyle w:val="nTable"/>
              <w:spacing w:after="40"/>
              <w:rPr>
                <w:bCs/>
                <w:snapToGrid w:val="0"/>
                <w:spacing w:val="-2"/>
              </w:rPr>
            </w:pPr>
            <w:r>
              <w:rPr>
                <w:snapToGrid w:val="0"/>
              </w:rPr>
              <w:t>1 Jan 2019 (see r. 2(b))</w:t>
            </w:r>
          </w:p>
        </w:tc>
      </w:tr>
      <w:tr>
        <w:tc>
          <w:tcPr>
            <w:tcW w:w="3118" w:type="dxa"/>
            <w:tcBorders>
              <w:top w:val="nil"/>
              <w:bottom w:val="single" w:sz="4" w:space="0" w:color="auto"/>
              <w:right w:val="nil"/>
            </w:tcBorders>
          </w:tcPr>
          <w:p>
            <w:pPr>
              <w:pStyle w:val="nTable"/>
              <w:spacing w:after="40"/>
              <w:rPr>
                <w:i/>
              </w:rPr>
            </w:pPr>
            <w:r>
              <w:rPr>
                <w:i/>
              </w:rPr>
              <w:t>Electricity (Network Safety) Amendment Regulations 2021</w:t>
            </w:r>
          </w:p>
        </w:tc>
        <w:tc>
          <w:tcPr>
            <w:tcW w:w="1276" w:type="dxa"/>
            <w:tcBorders>
              <w:top w:val="nil"/>
              <w:left w:val="nil"/>
              <w:bottom w:val="single" w:sz="4" w:space="0" w:color="auto"/>
              <w:right w:val="nil"/>
            </w:tcBorders>
          </w:tcPr>
          <w:p>
            <w:pPr>
              <w:pStyle w:val="nTable"/>
              <w:spacing w:after="40"/>
            </w:pPr>
            <w:r>
              <w:t>SL 2021/218 17 Dec 2021</w:t>
            </w:r>
          </w:p>
        </w:tc>
        <w:tc>
          <w:tcPr>
            <w:tcW w:w="2693" w:type="dxa"/>
            <w:tcBorders>
              <w:top w:val="nil"/>
              <w:left w:val="nil"/>
              <w:bottom w:val="single" w:sz="4" w:space="0" w:color="auto"/>
            </w:tcBorders>
          </w:tcPr>
          <w:p>
            <w:pPr>
              <w:pStyle w:val="nTable"/>
              <w:spacing w:after="40"/>
              <w:rPr>
                <w:snapToGrid w:val="0"/>
              </w:rPr>
            </w:pPr>
            <w:r>
              <w:rPr>
                <w:snapToGrid w:val="0"/>
              </w:rPr>
              <w:t>r. 1 and 2: 17 Dec 2021 (see r. 2(a));</w:t>
            </w:r>
            <w:r>
              <w:rPr>
                <w:snapToGrid w:val="0"/>
              </w:rPr>
              <w:br/>
              <w:t>Regulations other than r. 1 and 2: 18 Dec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4" w:name="_Toc90479177"/>
      <w:bookmarkEnd w:id="121"/>
      <w:r>
        <w:rPr>
          <w:sz w:val="28"/>
        </w:rPr>
        <w:lastRenderedPageBreak/>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w:t>
      </w:r>
      <w:r>
        <w:tab/>
        <w:t>3(1)</w:t>
      </w:r>
    </w:p>
    <w:p>
      <w:pPr>
        <w:pStyle w:val="DefinedTerms"/>
      </w:pPr>
      <w:r>
        <w:t>applicable standard</w:t>
      </w:r>
      <w:r>
        <w:tab/>
        <w:t>28</w:t>
      </w:r>
    </w:p>
    <w:p>
      <w:pPr>
        <w:pStyle w:val="DefinedTerms"/>
      </w:pPr>
      <w:r>
        <w:t>AS</w:t>
      </w:r>
      <w:r>
        <w:tab/>
        <w:t>3(1)</w:t>
      </w:r>
    </w:p>
    <w:p>
      <w:pPr>
        <w:pStyle w:val="DefinedTerms"/>
      </w:pPr>
      <w:r>
        <w:t>AS 2067</w:t>
      </w:r>
      <w:r>
        <w:tab/>
        <w:t>28</w:t>
      </w:r>
    </w:p>
    <w:p>
      <w:pPr>
        <w:pStyle w:val="DefinedTerms"/>
      </w:pPr>
      <w:r>
        <w:t>AS 5577</w:t>
      </w:r>
      <w:r>
        <w:tab/>
        <w:t>3(1)</w:t>
      </w:r>
    </w:p>
    <w:p>
      <w:pPr>
        <w:pStyle w:val="DefinedTerms"/>
      </w:pPr>
      <w:r>
        <w:t>AS/NZS</w:t>
      </w:r>
      <w:r>
        <w:tab/>
        <w:t>3(1)</w:t>
      </w:r>
    </w:p>
    <w:p>
      <w:pPr>
        <w:pStyle w:val="DefinedTerms"/>
      </w:pPr>
      <w:r>
        <w:t>AS/NZS 3000</w:t>
      </w:r>
      <w:r>
        <w:tab/>
        <w:t>28</w:t>
      </w:r>
    </w:p>
    <w:p>
      <w:pPr>
        <w:pStyle w:val="DefinedTerms"/>
      </w:pPr>
      <w:r>
        <w:t>AS/NZS 7000</w:t>
      </w:r>
      <w:r>
        <w:tab/>
        <w:t>28</w:t>
      </w:r>
    </w:p>
    <w:p>
      <w:pPr>
        <w:pStyle w:val="DefinedTerms"/>
      </w:pPr>
      <w:r>
        <w:t>CEO</w:t>
      </w:r>
      <w:r>
        <w:tab/>
        <w:t>3(1)</w:t>
      </w:r>
    </w:p>
    <w:p>
      <w:pPr>
        <w:pStyle w:val="DefinedTerms"/>
      </w:pPr>
      <w:r>
        <w:t>commencement day</w:t>
      </w:r>
      <w:r>
        <w:tab/>
        <w:t>45</w:t>
      </w:r>
    </w:p>
    <w:p>
      <w:pPr>
        <w:pStyle w:val="DefinedTerms"/>
      </w:pPr>
      <w:r>
        <w:t>conductor</w:t>
      </w:r>
      <w:r>
        <w:tab/>
        <w:t>28</w:t>
      </w:r>
    </w:p>
    <w:p>
      <w:pPr>
        <w:pStyle w:val="DefinedTerms"/>
      </w:pPr>
      <w:r>
        <w:t>contact</w:t>
      </w:r>
      <w:r>
        <w:tab/>
        <w:t>22</w:t>
      </w:r>
    </w:p>
    <w:p>
      <w:pPr>
        <w:pStyle w:val="DefinedTerms"/>
      </w:pPr>
      <w:r>
        <w:t>contact details</w:t>
      </w:r>
      <w:r>
        <w:tab/>
        <w:t>41(1)</w:t>
      </w:r>
    </w:p>
    <w:p>
      <w:pPr>
        <w:pStyle w:val="DefinedTerms"/>
      </w:pPr>
      <w:r>
        <w:t>contractor</w:t>
      </w:r>
      <w:r>
        <w:tab/>
        <w:t>3(1)</w:t>
      </w:r>
    </w:p>
    <w:p>
      <w:pPr>
        <w:pStyle w:val="DefinedTerms"/>
      </w:pPr>
      <w:r>
        <w:t>distribution licence</w:t>
      </w:r>
      <w:r>
        <w:tab/>
        <w:t>3(1)</w:t>
      </w:r>
    </w:p>
    <w:p>
      <w:pPr>
        <w:pStyle w:val="DefinedTerms"/>
      </w:pPr>
      <w:r>
        <w:t>electricity inspector</w:t>
      </w:r>
      <w:r>
        <w:tab/>
        <w:t>3(1)</w:t>
      </w:r>
    </w:p>
    <w:p>
      <w:pPr>
        <w:pStyle w:val="DefinedTerms"/>
      </w:pPr>
      <w:r>
        <w:t>employee</w:t>
      </w:r>
      <w:r>
        <w:tab/>
        <w:t>3(1)</w:t>
      </w:r>
    </w:p>
    <w:p>
      <w:pPr>
        <w:pStyle w:val="DefinedTerms"/>
      </w:pPr>
      <w:r>
        <w:t>ENA</w:t>
      </w:r>
      <w:r>
        <w:tab/>
        <w:t>3(1)</w:t>
      </w:r>
    </w:p>
    <w:p>
      <w:pPr>
        <w:pStyle w:val="DefinedTerms"/>
      </w:pPr>
      <w:r>
        <w:t>evidentiary provision</w:t>
      </w:r>
      <w:r>
        <w:tab/>
        <w:t>17(1)</w:t>
      </w:r>
    </w:p>
    <w:p>
      <w:pPr>
        <w:pStyle w:val="DefinedTerms"/>
      </w:pPr>
      <w:r>
        <w:t>good industry practice</w:t>
      </w:r>
      <w:r>
        <w:tab/>
        <w:t>3(1)</w:t>
      </w:r>
    </w:p>
    <w:p>
      <w:pPr>
        <w:pStyle w:val="DefinedTerms"/>
      </w:pPr>
      <w:r>
        <w:t>HB</w:t>
      </w:r>
      <w:r>
        <w:tab/>
        <w:t>3(1)</w:t>
      </w:r>
    </w:p>
    <w:p>
      <w:pPr>
        <w:pStyle w:val="DefinedTerms"/>
      </w:pPr>
      <w:r>
        <w:t>IEC</w:t>
      </w:r>
      <w:r>
        <w:tab/>
        <w:t>3(1)</w:t>
      </w:r>
    </w:p>
    <w:p>
      <w:pPr>
        <w:pStyle w:val="DefinedTerms"/>
      </w:pPr>
      <w:r>
        <w:t>implementation day, for a network operator,</w:t>
      </w:r>
      <w:r>
        <w:tab/>
        <w:t>3(1)</w:t>
      </w:r>
    </w:p>
    <w:p>
      <w:pPr>
        <w:pStyle w:val="DefinedTerms"/>
      </w:pPr>
      <w:r>
        <w:t>integrated regional licence</w:t>
      </w:r>
      <w:r>
        <w:tab/>
        <w:t>3(1)</w:t>
      </w:r>
    </w:p>
    <w:p>
      <w:pPr>
        <w:pStyle w:val="DefinedTerms"/>
      </w:pPr>
      <w:r>
        <w:t>investigate</w:t>
      </w:r>
      <w:r>
        <w:tab/>
        <w:t>9(1)</w:t>
      </w:r>
    </w:p>
    <w:p>
      <w:pPr>
        <w:pStyle w:val="DefinedTerms"/>
      </w:pPr>
      <w:r>
        <w:t>network</w:t>
      </w:r>
      <w:r>
        <w:tab/>
        <w:t>3(1)</w:t>
      </w:r>
    </w:p>
    <w:p>
      <w:pPr>
        <w:pStyle w:val="DefinedTerms"/>
      </w:pPr>
      <w:r>
        <w:t>network operator</w:t>
      </w:r>
      <w:r>
        <w:tab/>
        <w:t>3(1)</w:t>
      </w:r>
    </w:p>
    <w:p>
      <w:pPr>
        <w:pStyle w:val="DefinedTerms"/>
      </w:pPr>
      <w:r>
        <w:t>network safety performance incident</w:t>
      </w:r>
      <w:r>
        <w:tab/>
        <w:t>28, 30(1)</w:t>
      </w:r>
    </w:p>
    <w:p>
      <w:pPr>
        <w:pStyle w:val="DefinedTerms"/>
      </w:pPr>
      <w:r>
        <w:t>notifiable incident</w:t>
      </w:r>
      <w:r>
        <w:tab/>
        <w:t>22</w:t>
      </w:r>
    </w:p>
    <w:p>
      <w:pPr>
        <w:pStyle w:val="DefinedTerms"/>
      </w:pPr>
      <w:r>
        <w:t>obligatory provision</w:t>
      </w:r>
      <w:r>
        <w:tab/>
        <w:t>17(1)</w:t>
      </w:r>
    </w:p>
    <w:p>
      <w:pPr>
        <w:pStyle w:val="DefinedTerms"/>
      </w:pPr>
      <w:r>
        <w:t>pole</w:t>
      </w:r>
      <w:r>
        <w:tab/>
        <w:t>3(1)</w:t>
      </w:r>
    </w:p>
    <w:p>
      <w:pPr>
        <w:pStyle w:val="DefinedTerms"/>
      </w:pPr>
      <w:r>
        <w:t>prescribed activity</w:t>
      </w:r>
      <w:r>
        <w:tab/>
        <w:t>3(1)</w:t>
      </w:r>
    </w:p>
    <w:p>
      <w:pPr>
        <w:pStyle w:val="DefinedTerms"/>
      </w:pPr>
      <w:r>
        <w:t>prior network operator</w:t>
      </w:r>
      <w:r>
        <w:tab/>
        <w:t>12(1)</w:t>
      </w:r>
    </w:p>
    <w:p>
      <w:pPr>
        <w:pStyle w:val="DefinedTerms"/>
      </w:pPr>
      <w:r>
        <w:t xml:space="preserve">protective device </w:t>
      </w:r>
      <w:r>
        <w:tab/>
        <w:t>22</w:t>
      </w:r>
    </w:p>
    <w:p>
      <w:pPr>
        <w:pStyle w:val="DefinedTerms"/>
      </w:pPr>
      <w:r>
        <w:t>quarter</w:t>
      </w:r>
      <w:r>
        <w:tab/>
        <w:t>3(1)</w:t>
      </w:r>
    </w:p>
    <w:p>
      <w:pPr>
        <w:pStyle w:val="DefinedTerms"/>
      </w:pPr>
      <w:r>
        <w:t>reasonably practicable</w:t>
      </w:r>
      <w:r>
        <w:tab/>
        <w:t>3(1)</w:t>
      </w:r>
    </w:p>
    <w:p>
      <w:pPr>
        <w:pStyle w:val="DefinedTerms"/>
      </w:pPr>
      <w:r>
        <w:t>repealed regulations</w:t>
      </w:r>
      <w:r>
        <w:tab/>
        <w:t>45</w:t>
      </w:r>
    </w:p>
    <w:p>
      <w:pPr>
        <w:pStyle w:val="DefinedTerms"/>
      </w:pPr>
      <w:r>
        <w:t>risk to safety</w:t>
      </w:r>
      <w:r>
        <w:tab/>
        <w:t>9(1)</w:t>
      </w:r>
    </w:p>
    <w:p>
      <w:pPr>
        <w:pStyle w:val="DefinedTerms"/>
      </w:pPr>
      <w:r>
        <w:t>safety</w:t>
      </w:r>
      <w:r>
        <w:tab/>
        <w:t>3(1)</w:t>
      </w:r>
    </w:p>
    <w:p>
      <w:pPr>
        <w:pStyle w:val="DefinedTerms"/>
      </w:pPr>
      <w:r>
        <w:t>safety management system</w:t>
      </w:r>
      <w:r>
        <w:tab/>
        <w:t>3(1)</w:t>
      </w:r>
    </w:p>
    <w:p>
      <w:pPr>
        <w:pStyle w:val="DefinedTerms"/>
      </w:pPr>
      <w:r>
        <w:lastRenderedPageBreak/>
        <w:t>stand-alone power system</w:t>
      </w:r>
      <w:r>
        <w:tab/>
        <w:t>3(1)</w:t>
      </w:r>
    </w:p>
    <w:p>
      <w:pPr>
        <w:pStyle w:val="DefinedTerms"/>
      </w:pPr>
      <w:r>
        <w:t>storage works</w:t>
      </w:r>
      <w:r>
        <w:tab/>
        <w:t>3(1)</w:t>
      </w:r>
    </w:p>
    <w:p>
      <w:pPr>
        <w:pStyle w:val="DefinedTerms"/>
      </w:pPr>
      <w:r>
        <w:t>subcontractor</w:t>
      </w:r>
      <w:r>
        <w:tab/>
        <w:t>3(1)</w:t>
      </w:r>
    </w:p>
    <w:p>
      <w:pPr>
        <w:pStyle w:val="DefinedTerms"/>
      </w:pPr>
      <w:r>
        <w:t>third party</w:t>
      </w:r>
      <w:r>
        <w:tab/>
        <w:t>22</w:t>
      </w:r>
    </w:p>
    <w:p>
      <w:pPr>
        <w:pStyle w:val="DefinedTerms"/>
      </w:pPr>
      <w:r>
        <w:t>transmission licence</w:t>
      </w:r>
      <w:r>
        <w:tab/>
        <w:t>3(1)</w:t>
      </w:r>
    </w:p>
    <w:p>
      <w:pPr>
        <w:pStyle w:val="DefinedTerms"/>
      </w:pPr>
      <w:r>
        <w:t>unassisted failure</w:t>
      </w:r>
      <w:r>
        <w:tab/>
        <w:t>28</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5" w:name="DefinedTerms"/>
    <w:bookmarkEnd w:id="1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45139"/>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 w:name="WAFER_20181204092849" w:val="RemoveTocBookmarks,RemoveUnusedBookmarks,RemoveLanguageTags,UsedStyles,ResetPageSize"/>
    <w:docVar w:name="WAFER_20181204092849_GUID" w:val="3bdfa59d-3e4d-4213-beb0-ebc91e39951d"/>
    <w:docVar w:name="WAFER_2021121514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45139_GUID" w:val="6a5ab46d-3d8e-4b6f-ba01-5448ced4b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3EDB488-25FD-4EDE-A447-AB4343A1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42A5-722C-4C29-BFB2-5ADF541A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12616</Words>
  <Characters>66489</Characters>
  <Application>Microsoft Office Word</Application>
  <DocSecurity>0</DocSecurity>
  <Lines>1846</Lines>
  <Paragraphs>1098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2015 - 00-f0-00</dc:title>
  <dc:subject/>
  <dc:creator/>
  <cp:keywords/>
  <dc:description/>
  <cp:lastModifiedBy>Master Repository Process</cp:lastModifiedBy>
  <cp:revision>4</cp:revision>
  <cp:lastPrinted>2018-12-06T04:40:00Z</cp:lastPrinted>
  <dcterms:created xsi:type="dcterms:W3CDTF">2021-12-16T08:05:00Z</dcterms:created>
  <dcterms:modified xsi:type="dcterms:W3CDTF">2021-12-16T08:05:00Z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AsAtDate">
    <vt:lpwstr>18 Dec 2021</vt:lpwstr>
  </property>
  <property fmtid="{D5CDD505-2E9C-101B-9397-08002B2CF9AE}" pid="5" name="Suffix">
    <vt:lpwstr>00-f0-00</vt:lpwstr>
  </property>
  <property fmtid="{D5CDD505-2E9C-101B-9397-08002B2CF9AE}" pid="6" name="CommencementDate">
    <vt:lpwstr>20211218</vt:lpwstr>
  </property>
</Properties>
</file>