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(Parnngurr Restricted Area)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(Parnngurr Restricted Area)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_Toc90469742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_Toc90469743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_Toc90469744 \h </w:instrText>
      </w:r>
      <w:r>
        <w:fldChar w:fldCharType="separate"/>
      </w:r>
      <w:r>
        <w:t>1</w:t>
      </w:r>
      <w:r>
        <w:fldChar w:fldCharType="end"/>
      </w:r>
    </w:p>
    <w:p>
      <w:pPr>
        <w:pStyle w:val="TOC8"/>
        <w:rPr>
          <w:rFonts w:asciiTheme="minorHAnsi" w:eastAsiaTheme="minorEastAsia" w:hAnsiTheme="minorHAnsi" w:cstheme="minorBidi"/>
          <w:szCs w:val="22"/>
        </w:rPr>
      </w:pPr>
      <w:r>
        <w:t>4.</w:t>
      </w:r>
      <w:r>
        <w:tab/>
        <w:t>Exempt person</w:t>
      </w:r>
      <w:r>
        <w:tab/>
      </w:r>
      <w:r>
        <w:fldChar w:fldCharType="begin"/>
      </w:r>
      <w:r>
        <w:instrText xml:space="preserve"> PAGEREF _Toc90469745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6.</w:t>
      </w:r>
      <w:r>
        <w:tab/>
        <w:t>Declaration of restricted area</w:t>
      </w:r>
      <w:r>
        <w:tab/>
      </w:r>
      <w:r>
        <w:fldChar w:fldCharType="begin"/>
      </w:r>
      <w:r>
        <w:instrText xml:space="preserve"> PAGEREF _Toc90469747 \h </w:instrText>
      </w:r>
      <w:r>
        <w:fldChar w:fldCharType="separate"/>
      </w:r>
      <w:r>
        <w:t>3</w:t>
      </w:r>
      <w:r>
        <w:fldChar w:fldCharType="end"/>
      </w:r>
    </w:p>
    <w:p>
      <w:pPr>
        <w:pStyle w:val="TOC8"/>
        <w:rPr>
          <w:rFonts w:asciiTheme="minorHAnsi" w:eastAsiaTheme="minorEastAsia" w:hAnsiTheme="minorHAnsi" w:cstheme="minorBidi"/>
          <w:szCs w:val="22"/>
        </w:rPr>
      </w:pPr>
      <w:r>
        <w:t>7.</w:t>
      </w:r>
      <w:r>
        <w:tab/>
        <w:t>Notice of restricted area</w:t>
      </w:r>
      <w:r>
        <w:tab/>
      </w:r>
      <w:r>
        <w:fldChar w:fldCharType="begin"/>
      </w:r>
      <w:r>
        <w:instrText xml:space="preserve"> PAGEREF _Toc90469748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8.</w:t>
      </w:r>
      <w:r>
        <w:tab/>
        <w:t>Prohibitions as to liquor in the Parnngurr Aboriginal Community</w:t>
      </w:r>
      <w:r>
        <w:tab/>
      </w:r>
      <w:r>
        <w:fldChar w:fldCharType="begin"/>
      </w:r>
      <w:r>
        <w:instrText xml:space="preserve"> PAGEREF _Toc90469750 \h </w:instrText>
      </w:r>
      <w:r>
        <w:fldChar w:fldCharType="separate"/>
      </w:r>
      <w:r>
        <w:t>4</w:t>
      </w:r>
      <w:r>
        <w:fldChar w:fldCharType="end"/>
      </w:r>
    </w:p>
    <w:p>
      <w:pPr>
        <w:pStyle w:val="TOC8"/>
        <w:rPr>
          <w:rFonts w:asciiTheme="minorHAnsi" w:eastAsiaTheme="minorEastAsia" w:hAnsiTheme="minorHAnsi" w:cstheme="minorBidi"/>
          <w:szCs w:val="22"/>
        </w:rPr>
      </w:pPr>
      <w:r>
        <w:t>9.</w:t>
      </w:r>
      <w:r>
        <w:tab/>
        <w:t>Exception to r. 8</w:t>
      </w:r>
      <w:r>
        <w:tab/>
      </w:r>
      <w:r>
        <w:fldChar w:fldCharType="begin"/>
      </w:r>
      <w:r>
        <w:instrText xml:space="preserve"> PAGEREF _Toc90469751 \h </w:instrText>
      </w:r>
      <w:r>
        <w:fldChar w:fldCharType="separate"/>
      </w:r>
      <w:r>
        <w:t>4</w:t>
      </w:r>
      <w:r>
        <w:fldChar w:fldCharType="end"/>
      </w:r>
    </w:p>
    <w:p>
      <w:pPr>
        <w:pStyle w:val="TOC8"/>
        <w:rPr>
          <w:rFonts w:asciiTheme="minorHAnsi" w:eastAsiaTheme="minorEastAsia" w:hAnsiTheme="minorHAnsi" w:cstheme="minorBidi"/>
          <w:szCs w:val="22"/>
        </w:rPr>
      </w:pPr>
      <w:r>
        <w:t>10.</w:t>
      </w:r>
      <w:r>
        <w:tab/>
        <w:t>Seizure and disposal of containers of liquor</w:t>
      </w:r>
      <w:r>
        <w:tab/>
      </w:r>
      <w:r>
        <w:fldChar w:fldCharType="begin"/>
      </w:r>
      <w:r>
        <w:instrText xml:space="preserve"> PAGEREF _Toc90469752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11.</w:t>
      </w:r>
      <w:r>
        <w:tab/>
        <w:t>Period during which these regulations have effect</w:t>
      </w:r>
      <w:r>
        <w:tab/>
      </w:r>
      <w:r>
        <w:fldChar w:fldCharType="begin"/>
      </w:r>
      <w:r>
        <w:instrText xml:space="preserve"> PAGEREF _Toc90469754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12.</w:t>
      </w:r>
      <w:r>
        <w:tab/>
        <w:t>Regulations amended</w:t>
      </w:r>
      <w:r>
        <w:tab/>
      </w:r>
      <w:r>
        <w:fldChar w:fldCharType="begin"/>
      </w:r>
      <w:r>
        <w:instrText xml:space="preserve"> PAGEREF _Toc90469756 \h </w:instrText>
      </w:r>
      <w:r>
        <w:fldChar w:fldCharType="separate"/>
      </w:r>
      <w:r>
        <w:t>6</w:t>
      </w:r>
      <w:r>
        <w:fldChar w:fldCharType="end"/>
      </w:r>
    </w:p>
    <w:p>
      <w:pPr>
        <w:pStyle w:val="TOC8"/>
        <w:rPr>
          <w:rFonts w:asciiTheme="minorHAnsi" w:eastAsiaTheme="minorEastAsia" w:hAnsiTheme="minorHAnsi" w:cstheme="minorBidi"/>
          <w:szCs w:val="22"/>
        </w:rPr>
      </w:pPr>
      <w:r>
        <w:t>13.</w:t>
      </w:r>
      <w:r>
        <w:tab/>
        <w:t>Regulation 27 amended</w:t>
      </w:r>
      <w:r>
        <w:tab/>
      </w:r>
      <w:r>
        <w:fldChar w:fldCharType="begin"/>
      </w:r>
      <w:r>
        <w:instrText xml:space="preserve"> PAGEREF _Toc90469757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_Toc90469759 \h </w:instrText>
      </w:r>
      <w:r>
        <w:fldChar w:fldCharType="separate"/>
      </w:r>
      <w:r>
        <w:t>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_Toc90469760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(Parnngurr Restricted Area) Regulations 2018</w:t>
      </w:r>
    </w:p>
    <w:p>
      <w:pPr>
        <w:pStyle w:val="Heading2"/>
        <w:pageBreakBefore w:val="0"/>
        <w:spacing w:before="240"/>
      </w:pPr>
      <w:bookmarkStart w:id="3" w:name="_Toc90458980"/>
      <w:bookmarkStart w:id="4" w:name="_Toc90459589"/>
      <w:bookmarkStart w:id="5" w:name="_Toc9046974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0469742"/>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Liquor Control (Parnngurr Restricted Area) Regulations 2018</w:t>
      </w:r>
      <w:r>
        <w:t>.</w:t>
      </w:r>
    </w:p>
    <w:p>
      <w:pPr>
        <w:pStyle w:val="Heading5"/>
        <w:rPr>
          <w:spacing w:val="-2"/>
        </w:rPr>
      </w:pPr>
      <w:bookmarkStart w:id="8" w:name="_Toc9046974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xml:space="preserve"> —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90469744"/>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Parnngurr Aboriginal Community</w:t>
      </w:r>
      <w:r>
        <w:t xml:space="preserve"> means the area of land within a radius of 30 km of the telecommunications aerial located at the point with the following Geocentric Datum of Australia 2020 (GDA2020) coordinates —</w:t>
      </w:r>
    </w:p>
    <w:p>
      <w:pPr>
        <w:pStyle w:val="Defpara"/>
      </w:pPr>
      <w:r>
        <w:tab/>
        <w:t>(a)</w:t>
      </w:r>
      <w:r>
        <w:tab/>
        <w:t>22.817097°S;</w:t>
      </w:r>
    </w:p>
    <w:p>
      <w:pPr>
        <w:pStyle w:val="Defpara"/>
      </w:pPr>
      <w:r>
        <w:tab/>
        <w:t>(b)</w:t>
      </w:r>
      <w:r>
        <w:tab/>
        <w:t>122.597667°E.</w:t>
      </w:r>
    </w:p>
    <w:p>
      <w:pPr>
        <w:pStyle w:val="Footnotesection"/>
      </w:pPr>
      <w:r>
        <w:tab/>
        <w:t>[Regulation 3 amended: SL 2021/209 r. 4.]</w:t>
      </w:r>
    </w:p>
    <w:p>
      <w:pPr>
        <w:pStyle w:val="Heading5"/>
      </w:pPr>
      <w:bookmarkStart w:id="10" w:name="_Toc90469745"/>
      <w:r>
        <w:rPr>
          <w:rStyle w:val="CharSectno"/>
        </w:rPr>
        <w:lastRenderedPageBreak/>
        <w:t>4</w:t>
      </w:r>
      <w:r>
        <w:t>.</w:t>
      </w:r>
      <w:r>
        <w:tab/>
        <w:t>Exempt person</w:t>
      </w:r>
      <w:bookmarkEnd w:id="10"/>
    </w:p>
    <w:p>
      <w:pPr>
        <w:pStyle w:val="Subsection"/>
        <w:keepNext/>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w:t>
      </w:r>
    </w:p>
    <w:p>
      <w:pPr>
        <w:pStyle w:val="Ednotesection"/>
      </w:pPr>
      <w:r>
        <w:t>[</w:t>
      </w:r>
      <w:r>
        <w:rPr>
          <w:b/>
        </w:rPr>
        <w:t>5.</w:t>
      </w:r>
      <w:r>
        <w:tab/>
        <w:t>Deleted: SL</w:t>
      </w:r>
      <w:r>
        <w:rPr>
          <w:b/>
        </w:rPr>
        <w:t> </w:t>
      </w:r>
      <w:r>
        <w:t>2021/113 r. 4.]</w:t>
      </w:r>
    </w:p>
    <w:p>
      <w:pPr>
        <w:pStyle w:val="Heading2"/>
      </w:pPr>
      <w:bookmarkStart w:id="11" w:name="_Toc90458985"/>
      <w:bookmarkStart w:id="12" w:name="_Toc90459594"/>
      <w:bookmarkStart w:id="13" w:name="_Toc90469746"/>
      <w:r>
        <w:rPr>
          <w:rStyle w:val="CharPartNo"/>
        </w:rPr>
        <w:lastRenderedPageBreak/>
        <w:t>Part 2</w:t>
      </w:r>
      <w:r>
        <w:rPr>
          <w:rStyle w:val="CharDivNo"/>
        </w:rPr>
        <w:t> </w:t>
      </w:r>
      <w:r>
        <w:t>—</w:t>
      </w:r>
      <w:r>
        <w:rPr>
          <w:rStyle w:val="CharDivText"/>
        </w:rPr>
        <w:t> </w:t>
      </w:r>
      <w:r>
        <w:rPr>
          <w:rStyle w:val="CharPartText"/>
        </w:rPr>
        <w:t>Restricted area</w:t>
      </w:r>
      <w:bookmarkEnd w:id="11"/>
      <w:bookmarkEnd w:id="12"/>
      <w:bookmarkEnd w:id="13"/>
    </w:p>
    <w:p>
      <w:pPr>
        <w:pStyle w:val="Heading5"/>
      </w:pPr>
      <w:bookmarkStart w:id="14" w:name="_Toc90469747"/>
      <w:r>
        <w:rPr>
          <w:rStyle w:val="CharSectno"/>
        </w:rPr>
        <w:t>6</w:t>
      </w:r>
      <w:r>
        <w:t>.</w:t>
      </w:r>
      <w:r>
        <w:tab/>
        <w:t>Declaration of restricted area</w:t>
      </w:r>
      <w:bookmarkEnd w:id="14"/>
    </w:p>
    <w:p>
      <w:pPr>
        <w:pStyle w:val="Subsection"/>
      </w:pPr>
      <w:r>
        <w:tab/>
      </w:r>
      <w:r>
        <w:tab/>
        <w:t>The Parnngurr Aboriginal Community is declared to be a restricted area for the purposes of section 175(1a) of the Act.</w:t>
      </w:r>
    </w:p>
    <w:p>
      <w:pPr>
        <w:pStyle w:val="Heading5"/>
      </w:pPr>
      <w:bookmarkStart w:id="15" w:name="_Toc90469748"/>
      <w:r>
        <w:rPr>
          <w:rStyle w:val="CharSectno"/>
        </w:rPr>
        <w:t>7</w:t>
      </w:r>
      <w:r>
        <w:t>.</w:t>
      </w:r>
      <w:r>
        <w:tab/>
        <w:t>Notice of restricted area</w:t>
      </w:r>
      <w:bookmarkEnd w:id="15"/>
    </w:p>
    <w:p>
      <w:pPr>
        <w:pStyle w:val="Subsection"/>
      </w:pPr>
      <w:r>
        <w:tab/>
        <w:t>(1)</w:t>
      </w:r>
      <w:r>
        <w:tab/>
        <w:t xml:space="preserve">The Director of Liquor Licensing must take all reasonable steps to cause to be posted, and while the Parnngurr Aboriginal Community continues to be a restricted area by operation of regulation 6 to be kept posted, at each place where a customary access route enters the Parnngurr Aboriginal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16" w:name="_Toc90458988"/>
      <w:bookmarkStart w:id="17" w:name="_Toc90459597"/>
      <w:bookmarkStart w:id="18" w:name="_Toc90469749"/>
      <w:r>
        <w:rPr>
          <w:rStyle w:val="CharPartNo"/>
        </w:rPr>
        <w:lastRenderedPageBreak/>
        <w:t>Part 3</w:t>
      </w:r>
      <w:r>
        <w:rPr>
          <w:rStyle w:val="CharDivNo"/>
        </w:rPr>
        <w:t> </w:t>
      </w:r>
      <w:r>
        <w:t>—</w:t>
      </w:r>
      <w:r>
        <w:rPr>
          <w:rStyle w:val="CharDivText"/>
        </w:rPr>
        <w:t> </w:t>
      </w:r>
      <w:r>
        <w:rPr>
          <w:rStyle w:val="CharPartText"/>
        </w:rPr>
        <w:t>Prohibitions and related provisions</w:t>
      </w:r>
      <w:bookmarkEnd w:id="16"/>
      <w:bookmarkEnd w:id="17"/>
      <w:bookmarkEnd w:id="18"/>
    </w:p>
    <w:p>
      <w:pPr>
        <w:pStyle w:val="Heading5"/>
      </w:pPr>
      <w:bookmarkStart w:id="19" w:name="_Toc90469750"/>
      <w:r>
        <w:rPr>
          <w:rStyle w:val="CharSectno"/>
        </w:rPr>
        <w:t>8</w:t>
      </w:r>
      <w:r>
        <w:t>.</w:t>
      </w:r>
      <w:r>
        <w:tab/>
        <w:t>Prohibitions as to liquor in the Parnngurr Aboriginal Community</w:t>
      </w:r>
      <w:bookmarkEnd w:id="19"/>
    </w:p>
    <w:p>
      <w:pPr>
        <w:pStyle w:val="Subsection"/>
      </w:pPr>
      <w:r>
        <w:tab/>
        <w:t>(1)</w:t>
      </w:r>
      <w:r>
        <w:tab/>
        <w:t xml:space="preserve">Subject to regulation 9, a person commits an offence if the person — </w:t>
      </w:r>
    </w:p>
    <w:p>
      <w:pPr>
        <w:pStyle w:val="Indenta"/>
      </w:pPr>
      <w:r>
        <w:tab/>
        <w:t>(a)</w:t>
      </w:r>
      <w:r>
        <w:tab/>
        <w:t>brings liquor into, or causes liquor to be brought into, the Parnngurr Aboriginal Community; or</w:t>
      </w:r>
    </w:p>
    <w:p>
      <w:pPr>
        <w:pStyle w:val="Indenta"/>
      </w:pPr>
      <w:r>
        <w:tab/>
        <w:t>(b)</w:t>
      </w:r>
      <w:r>
        <w:tab/>
        <w:t>possesses liquor in the Parnngurr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0" w:name="_Toc90469751"/>
      <w:r>
        <w:rPr>
          <w:rStyle w:val="CharSectno"/>
        </w:rPr>
        <w:t>9</w:t>
      </w:r>
      <w:r>
        <w:t>.</w:t>
      </w:r>
      <w:r>
        <w:tab/>
        <w:t>Exception to r. 8</w:t>
      </w:r>
      <w:bookmarkEnd w:id="20"/>
    </w:p>
    <w:p>
      <w:pPr>
        <w:pStyle w:val="Subsection"/>
      </w:pPr>
      <w:r>
        <w:tab/>
      </w:r>
      <w:r>
        <w:tab/>
        <w:t>A person who is an exempt person does not commit an offence under regulation 8(1) if the person continuously maintains possession of, but does not consume, the liquor.</w:t>
      </w:r>
    </w:p>
    <w:p>
      <w:pPr>
        <w:pStyle w:val="Heading5"/>
      </w:pPr>
      <w:bookmarkStart w:id="21" w:name="_Toc90469752"/>
      <w:r>
        <w:rPr>
          <w:rStyle w:val="CharSectno"/>
        </w:rPr>
        <w:t>10</w:t>
      </w:r>
      <w:r>
        <w:t>.</w:t>
      </w:r>
      <w:r>
        <w:tab/>
        <w:t>Seizure and disposal of containers of liquor</w:t>
      </w:r>
      <w:bookmarkEnd w:id="2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22" w:name="_Toc90458992"/>
      <w:bookmarkStart w:id="23" w:name="_Toc90459601"/>
      <w:bookmarkStart w:id="24" w:name="_Toc90469753"/>
      <w:r>
        <w:rPr>
          <w:rStyle w:val="CharPartNo"/>
        </w:rPr>
        <w:lastRenderedPageBreak/>
        <w:t>Part 4</w:t>
      </w:r>
      <w:r>
        <w:rPr>
          <w:rStyle w:val="CharDivNo"/>
        </w:rPr>
        <w:t> </w:t>
      </w:r>
      <w:r>
        <w:t>—</w:t>
      </w:r>
      <w:r>
        <w:rPr>
          <w:rStyle w:val="CharDivText"/>
        </w:rPr>
        <w:t> </w:t>
      </w:r>
      <w:r>
        <w:rPr>
          <w:rStyle w:val="CharPartText"/>
        </w:rPr>
        <w:t>Period of effect</w:t>
      </w:r>
      <w:bookmarkEnd w:id="22"/>
      <w:bookmarkEnd w:id="23"/>
      <w:bookmarkEnd w:id="24"/>
    </w:p>
    <w:p>
      <w:pPr>
        <w:pStyle w:val="Heading5"/>
      </w:pPr>
      <w:bookmarkStart w:id="25" w:name="_Toc90469754"/>
      <w:r>
        <w:rPr>
          <w:rStyle w:val="CharSectno"/>
        </w:rPr>
        <w:t>11</w:t>
      </w:r>
      <w:r>
        <w:t>.</w:t>
      </w:r>
      <w:r>
        <w:tab/>
        <w:t>Period during which these regulations have effect</w:t>
      </w:r>
      <w:bookmarkEnd w:id="25"/>
    </w:p>
    <w:p>
      <w:pPr>
        <w:pStyle w:val="Subsection"/>
      </w:pPr>
      <w:r>
        <w:tab/>
      </w:r>
      <w:r>
        <w:tab/>
        <w:t>Unless sooner repealed, these regulations have effect for the period that ends at the close of 7 January 2025.</w:t>
      </w:r>
    </w:p>
    <w:p>
      <w:pPr>
        <w:pStyle w:val="Footnotesection"/>
      </w:pPr>
      <w:r>
        <w:tab/>
        <w:t>[Regulation 11 inserted: SL 2021/113 r. 5; amended: SL 2021/209 r. 5.]</w:t>
      </w:r>
    </w:p>
    <w:p>
      <w:pPr>
        <w:pStyle w:val="Heading2"/>
      </w:pPr>
      <w:bookmarkStart w:id="26" w:name="_Toc90458994"/>
      <w:bookmarkStart w:id="27" w:name="_Toc90459603"/>
      <w:bookmarkStart w:id="28" w:name="_Toc90469755"/>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6"/>
      <w:bookmarkEnd w:id="27"/>
      <w:bookmarkEnd w:id="28"/>
    </w:p>
    <w:p>
      <w:pPr>
        <w:pStyle w:val="Heading5"/>
      </w:pPr>
      <w:bookmarkStart w:id="29" w:name="_Toc90469756"/>
      <w:r>
        <w:rPr>
          <w:rStyle w:val="CharSectno"/>
        </w:rPr>
        <w:t>12</w:t>
      </w:r>
      <w:r>
        <w:t>.</w:t>
      </w:r>
      <w:r>
        <w:tab/>
        <w:t>Regulations amended</w:t>
      </w:r>
      <w:bookmarkEnd w:id="29"/>
    </w:p>
    <w:p>
      <w:pPr>
        <w:pStyle w:val="Subsection"/>
      </w:pPr>
      <w:r>
        <w:tab/>
      </w:r>
      <w:r>
        <w:tab/>
        <w:t xml:space="preserve">This Part amends the </w:t>
      </w:r>
      <w:r>
        <w:rPr>
          <w:i/>
        </w:rPr>
        <w:t>Liquor Control Regulations 1989</w:t>
      </w:r>
      <w:r>
        <w:t>.</w:t>
      </w:r>
    </w:p>
    <w:p>
      <w:pPr>
        <w:pStyle w:val="Heading5"/>
      </w:pPr>
      <w:bookmarkStart w:id="30" w:name="_Toc90469757"/>
      <w:r>
        <w:rPr>
          <w:rStyle w:val="CharSectno"/>
        </w:rPr>
        <w:t>13</w:t>
      </w:r>
      <w:r>
        <w:t>.</w:t>
      </w:r>
      <w:r>
        <w:tab/>
        <w:t>Regulation 27 amended</w:t>
      </w:r>
      <w:bookmarkEnd w:id="30"/>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yTableNAm"/>
              <w:rPr>
                <w:sz w:val="24"/>
                <w:szCs w:val="24"/>
              </w:rPr>
            </w:pPr>
            <w:r>
              <w:rPr>
                <w:i/>
                <w:sz w:val="24"/>
                <w:szCs w:val="24"/>
              </w:rPr>
              <w:t xml:space="preserve">Liquor Control (Parnngurr Restricted Area) Regulations 2018 </w:t>
            </w:r>
            <w:r>
              <w:rPr>
                <w:sz w:val="24"/>
                <w:szCs w:val="24"/>
              </w:rPr>
              <w:t>regulation 8(1)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31" w:name="_Toc90458997"/>
      <w:bookmarkStart w:id="32" w:name="_Toc90459606"/>
      <w:bookmarkStart w:id="33" w:name="_Toc90469758"/>
      <w:r>
        <w:lastRenderedPageBreak/>
        <w:t>Notes</w:t>
      </w:r>
      <w:bookmarkEnd w:id="31"/>
      <w:bookmarkEnd w:id="32"/>
      <w:bookmarkEnd w:id="33"/>
    </w:p>
    <w:p>
      <w:pPr>
        <w:pStyle w:val="nStatement"/>
      </w:pPr>
      <w:r>
        <w:t xml:space="preserve">This is a compilation of the </w:t>
      </w:r>
      <w:r>
        <w:rPr>
          <w:i/>
          <w:noProof/>
        </w:rPr>
        <w:t>Liquor Control (Parnngurr Restricted Area) Regulations 2018</w:t>
      </w:r>
      <w:r>
        <w:t xml:space="preserve"> and includes amendments made by other written laws. For provisions that have come into operation see the compilation table.</w:t>
      </w:r>
    </w:p>
    <w:p>
      <w:pPr>
        <w:pStyle w:val="nHeading3"/>
      </w:pPr>
      <w:bookmarkStart w:id="34" w:name="_Toc90469759"/>
      <w:r>
        <w:t>Compilation table</w:t>
      </w:r>
      <w:bookmarkEnd w:id="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(Parnngurr Restricted Area) Regulations 2018</w:t>
            </w:r>
            <w:r>
              <w:rPr>
                <w:vertAlign w:val="superscript"/>
              </w:rPr>
              <w:t> 1</w:t>
            </w:r>
          </w:p>
        </w:tc>
        <w:tc>
          <w:tcPr>
            <w:tcW w:w="1276" w:type="dxa"/>
            <w:tcBorders>
              <w:bottom w:val="nil"/>
            </w:tcBorders>
          </w:tcPr>
          <w:p>
            <w:pPr>
              <w:pStyle w:val="nTable"/>
              <w:spacing w:after="40"/>
            </w:pPr>
            <w:r>
              <w:t>6 Jul 2018 p. 2546</w:t>
            </w:r>
            <w:r>
              <w:noBreakHyphen/>
              <w:t>8</w:t>
            </w:r>
          </w:p>
        </w:tc>
        <w:tc>
          <w:tcPr>
            <w:tcW w:w="2693" w:type="dxa"/>
            <w:tcBorders>
              <w:bottom w:val="nil"/>
            </w:tcBorders>
          </w:tcPr>
          <w:p>
            <w:pPr>
              <w:pStyle w:val="nTable"/>
              <w:spacing w:after="40"/>
            </w:pPr>
            <w:r>
              <w:rPr>
                <w:snapToGrid w:val="0"/>
              </w:rPr>
              <w:t>r. 1 and 2: 6 Jul 2018 (see r. 2(a));</w:t>
            </w:r>
            <w:r>
              <w:rPr>
                <w:snapToGrid w:val="0"/>
              </w:rPr>
              <w:br/>
              <w:t>Regulations other than r. 1 and 2: 7 Jul 2018</w:t>
            </w:r>
            <w:r>
              <w:t xml:space="preserve"> (see r. 2(b))</w:t>
            </w:r>
          </w:p>
        </w:tc>
      </w:tr>
      <w:tr>
        <w:tc>
          <w:tcPr>
            <w:tcW w:w="3118" w:type="dxa"/>
            <w:tcBorders>
              <w:top w:val="nil"/>
              <w:bottom w:val="nil"/>
            </w:tcBorders>
          </w:tcPr>
          <w:p>
            <w:pPr>
              <w:pStyle w:val="nTable"/>
              <w:spacing w:after="40"/>
              <w:rPr>
                <w:i/>
                <w:noProof/>
              </w:rPr>
            </w:pPr>
            <w:r>
              <w:rPr>
                <w:i/>
                <w:noProof/>
              </w:rPr>
              <w:t>Liquor Control (Parnngurr Restricted Area) Amendment Regulations 2021</w:t>
            </w:r>
          </w:p>
        </w:tc>
        <w:tc>
          <w:tcPr>
            <w:tcW w:w="1276" w:type="dxa"/>
            <w:tcBorders>
              <w:top w:val="nil"/>
              <w:bottom w:val="nil"/>
            </w:tcBorders>
          </w:tcPr>
          <w:p>
            <w:pPr>
              <w:pStyle w:val="nTable"/>
              <w:spacing w:after="40"/>
            </w:pPr>
            <w:r>
              <w:t>SL 2021/113</w:t>
            </w:r>
            <w:r>
              <w:br/>
              <w:t>2 Jul 2021</w:t>
            </w:r>
          </w:p>
        </w:tc>
        <w:tc>
          <w:tcPr>
            <w:tcW w:w="2693" w:type="dxa"/>
            <w:tcBorders>
              <w:top w:val="nil"/>
              <w:bottom w:val="nil"/>
            </w:tcBorders>
          </w:tcPr>
          <w:p>
            <w:pPr>
              <w:pStyle w:val="nTable"/>
              <w:spacing w:after="40"/>
              <w:rPr>
                <w:snapToGrid w:val="0"/>
              </w:rPr>
            </w:pPr>
            <w:r>
              <w:rPr>
                <w:snapToGrid w:val="0"/>
              </w:rPr>
              <w:t>r. 1 and 2: 2 Jul 2021 (see r. 2(a));</w:t>
            </w:r>
            <w:r>
              <w:rPr>
                <w:snapToGrid w:val="0"/>
              </w:rPr>
              <w:br/>
              <w:t>Regulations other than r. 1 and 2: 3 Jul 2021</w:t>
            </w:r>
            <w:r>
              <w:t xml:space="preserve"> (see r. 2(b))</w:t>
            </w:r>
          </w:p>
        </w:tc>
      </w:tr>
      <w:tr>
        <w:tc>
          <w:tcPr>
            <w:tcW w:w="3118" w:type="dxa"/>
            <w:tcBorders>
              <w:top w:val="nil"/>
              <w:bottom w:val="single" w:sz="4" w:space="0" w:color="auto"/>
            </w:tcBorders>
          </w:tcPr>
          <w:p>
            <w:pPr>
              <w:pStyle w:val="nTable"/>
              <w:spacing w:after="40"/>
              <w:rPr>
                <w:i/>
                <w:noProof/>
              </w:rPr>
            </w:pPr>
            <w:r>
              <w:rPr>
                <w:i/>
              </w:rPr>
              <w:t>Liquor Control (Parnngurr Restricted Area) Amendment Regulations (No. 2) 2021</w:t>
            </w:r>
          </w:p>
        </w:tc>
        <w:tc>
          <w:tcPr>
            <w:tcW w:w="1276" w:type="dxa"/>
            <w:tcBorders>
              <w:top w:val="nil"/>
              <w:bottom w:val="single" w:sz="4" w:space="0" w:color="auto"/>
            </w:tcBorders>
          </w:tcPr>
          <w:p>
            <w:pPr>
              <w:pStyle w:val="nTable"/>
              <w:spacing w:after="40"/>
            </w:pPr>
            <w:r>
              <w:t>SL 2021/209 17 Dec 2021</w:t>
            </w:r>
          </w:p>
        </w:tc>
        <w:tc>
          <w:tcPr>
            <w:tcW w:w="2693" w:type="dxa"/>
            <w:tcBorders>
              <w:top w:val="nil"/>
              <w:bottom w:val="single" w:sz="4" w:space="0" w:color="auto"/>
            </w:tcBorders>
          </w:tcPr>
          <w:p>
            <w:pPr>
              <w:pStyle w:val="nTable"/>
              <w:spacing w:after="40"/>
              <w:rPr>
                <w:snapToGrid w:val="0"/>
              </w:rPr>
            </w:pPr>
            <w:r>
              <w:rPr>
                <w:snapToGrid w:val="0"/>
              </w:rPr>
              <w:t>r. 1 and 2: 17 Dec 2021 (see r. 2(a));</w:t>
            </w:r>
            <w:r>
              <w:rPr>
                <w:snapToGrid w:val="0"/>
              </w:rPr>
              <w:br/>
              <w:t>Regulations other than r. 1 and 2: 18 Dec 2021 (see r. 2(b))</w:t>
            </w:r>
          </w:p>
        </w:tc>
      </w:tr>
    </w:tbl>
    <w:p>
      <w:pPr>
        <w:pStyle w:val="nHeading3"/>
      </w:pPr>
      <w:bookmarkStart w:id="35" w:name="_Toc90469760"/>
      <w:r>
        <w:t>Other notes</w:t>
      </w:r>
      <w:bookmarkEnd w:id="35"/>
    </w:p>
    <w:p>
      <w:pPr>
        <w:pStyle w:val="nNote"/>
      </w:pPr>
      <w:r>
        <w:rPr>
          <w:vertAlign w:val="superscript"/>
        </w:rPr>
        <w:t>1</w:t>
      </w:r>
      <w:r>
        <w:tab/>
        <w:t>These regulations expire at the close of 7 Jan 2025 (see r. 11).</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37" w:name="_Toc90459000"/>
      <w:bookmarkStart w:id="38" w:name="_Toc90459609"/>
      <w:bookmarkStart w:id="39" w:name="_Toc90469761"/>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3, 4</w:t>
      </w:r>
    </w:p>
    <w:p>
      <w:pPr>
        <w:pStyle w:val="DefinedTerms"/>
      </w:pPr>
      <w:r>
        <w:t>Parnngurr Aboriginal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(Parnngurr Restricted Area)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1108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927113941" w:val="RemoveTocBookmarks,RemoveUnusedBookmarks,RemoveLanguageTags,UsedStyles,ResetPageSize"/>
    <w:docVar w:name="WAFER_20170927113941_GUID" w:val="db1592d5-251b-4098-bc01-8e518915f3f4"/>
    <w:docVar w:name="WAFER_20170927125543" w:val="RemoveTocBookmarks,RemoveUnusedBookmarks,RemoveLanguageTags,UsedStyles,ResetPageSize"/>
    <w:docVar w:name="WAFER_20170927125543_GUID" w:val="6b714f8e-3ed4-4291-82ee-90178bccfde4"/>
    <w:docVar w:name="WAFER_20170927141915" w:val="RemoveTocBookmarks,RunningHeaders"/>
    <w:docVar w:name="WAFER_20170927141915_GUID" w:val="1506a613-fb6a-4649-b0d2-55651498efa4"/>
    <w:docVar w:name="WAFER_20171109135620" w:val="RemoveTocBookmarks,RemoveUnusedBookmarks,RemoveLanguageTags,UsedStyles,ResetPageSize"/>
    <w:docVar w:name="WAFER_20171109135620_GUID" w:val="0d7ad700-05b7-4632-ba1a-225ff474716a"/>
    <w:docVar w:name="WAFER_20180706092406" w:val="RemoveTocBookmarks,RemoveUnusedBookmarks,RemoveLanguageTags,UpdateStyles,UsedStyles,ResetPageSize"/>
    <w:docVar w:name="WAFER_20180706092406_GUID" w:val="ce67cd8b-bbaa-48dd-a832-7b3df583c0a5"/>
    <w:docVar w:name="WAFER_20210630103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3306_GUID" w:val="30d679a2-5fce-4b6e-9eaf-bf32c124d7da"/>
    <w:docVar w:name="WAFER_20210630103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3332_GUID" w:val="aff715d5-df19-462f-97b2-7eef197dc282"/>
    <w:docVar w:name="WAFER_202112151108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10837_GUID" w:val="ca468b6d-9cee-42bc-aba7-a02397da6b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84B6359-47FF-4EE5-9C64-EAD8414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3C3E-C9D5-4C8D-A0B5-331DF7AA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5614</Characters>
  <Application>Microsoft Office Word</Application>
  <DocSecurity>0</DocSecurity>
  <Lines>207</Lines>
  <Paragraphs>143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(Parnngurr Restricted Area) Regulations 2018 - 00-c0-00</dc:title>
  <dc:subject/>
  <dc:creator/>
  <cp:keywords/>
  <dc:description/>
  <cp:lastModifiedBy>Master Repository Process</cp:lastModifiedBy>
  <cp:revision>4</cp:revision>
  <cp:lastPrinted>2018-06-18T04:16:00Z</cp:lastPrinted>
  <dcterms:created xsi:type="dcterms:W3CDTF">2021-12-16T08:06:00Z</dcterms:created>
  <dcterms:modified xsi:type="dcterms:W3CDTF">2021-12-16T08:06:00Z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18 Dec 2021</vt:lpwstr>
  </property>
  <property fmtid="{D5CDD505-2E9C-101B-9397-08002B2CF9AE}" pid="4" name="Suffix">
    <vt:lpwstr>00-c0-00</vt:lpwstr>
  </property>
  <property fmtid="{D5CDD505-2E9C-101B-9397-08002B2CF9AE}" pid="5" name="CommencementDate">
    <vt:lpwstr>20211218</vt:lpwstr>
  </property>
</Properties>
</file>