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Police Act 1892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Police Act 1892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 Preliminary</w:t>
      </w:r>
    </w:p>
    <w:p>
      <w:pPr>
        <w:pStyle w:val="TOC8"/>
        <w:rPr>
          <w:rFonts w:asciiTheme="minorHAnsi" w:eastAsiaTheme="minorEastAsia" w:hAnsiTheme="minorHAnsi" w:cstheme="minorBidi"/>
          <w:szCs w:val="22"/>
        </w:rPr>
      </w:pPr>
      <w:r>
        <w:t>3</w:t>
      </w:r>
      <w:r>
        <w:rPr>
          <w:snapToGrid w:val="0"/>
        </w:rPr>
        <w:t>.</w:t>
      </w:r>
      <w:r>
        <w:rPr>
          <w:snapToGrid w:val="0"/>
        </w:rPr>
        <w:tab/>
        <w:t>Short title</w:t>
      </w:r>
      <w:r>
        <w:tab/>
      </w:r>
      <w:r>
        <w:fldChar w:fldCharType="begin"/>
      </w:r>
      <w:r>
        <w:instrText xml:space="preserve"> PAGEREF _Toc91142083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As to the appointment of officers and constables of the Police Force</w:t>
      </w:r>
    </w:p>
    <w:p>
      <w:pPr>
        <w:pStyle w:val="TOC8"/>
        <w:rPr>
          <w:rFonts w:asciiTheme="minorHAnsi" w:eastAsiaTheme="minorEastAsia" w:hAnsiTheme="minorHAnsi" w:cstheme="minorBidi"/>
          <w:szCs w:val="22"/>
        </w:rPr>
      </w:pPr>
      <w:r>
        <w:t>5</w:t>
      </w:r>
      <w:r>
        <w:rPr>
          <w:snapToGrid w:val="0"/>
        </w:rPr>
        <w:t>.</w:t>
      </w:r>
      <w:r>
        <w:rPr>
          <w:snapToGrid w:val="0"/>
        </w:rPr>
        <w:tab/>
        <w:t>Commissioner of Police, appointment and functions of</w:t>
      </w:r>
      <w:r>
        <w:tab/>
      </w:r>
      <w:r>
        <w:fldChar w:fldCharType="begin"/>
      </w:r>
      <w:r>
        <w:instrText xml:space="preserve"> PAGEREF _Toc91142085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Commissioned officers, appointment and control of</w:t>
      </w:r>
      <w:r>
        <w:tab/>
      </w:r>
      <w:r>
        <w:fldChar w:fldCharType="begin"/>
      </w:r>
      <w:r>
        <w:instrText xml:space="preserve"> PAGEREF _Toc91142086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Non</w:t>
      </w:r>
      <w:r>
        <w:rPr>
          <w:snapToGrid w:val="0"/>
        </w:rPr>
        <w:noBreakHyphen/>
        <w:t>commissioned officers, appointment and functions of</w:t>
      </w:r>
      <w:r>
        <w:tab/>
      </w:r>
      <w:r>
        <w:fldChar w:fldCharType="begin"/>
      </w:r>
      <w:r>
        <w:instrText xml:space="preserve"> PAGEREF _Toc91142087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Commissioned and non</w:t>
      </w:r>
      <w:r>
        <w:rPr>
          <w:snapToGrid w:val="0"/>
        </w:rPr>
        <w:noBreakHyphen/>
        <w:t>commissioned officers, removal of</w:t>
      </w:r>
      <w:r>
        <w:tab/>
      </w:r>
      <w:r>
        <w:fldChar w:fldCharType="begin"/>
      </w:r>
      <w:r>
        <w:instrText xml:space="preserve"> PAGEREF _Toc91142088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As to the regulations, duties and discipline of the Police Force</w:t>
      </w:r>
    </w:p>
    <w:p>
      <w:pPr>
        <w:pStyle w:val="TOC8"/>
        <w:rPr>
          <w:rFonts w:asciiTheme="minorHAnsi" w:eastAsiaTheme="minorEastAsia" w:hAnsiTheme="minorHAnsi" w:cstheme="minorBidi"/>
          <w:szCs w:val="22"/>
        </w:rPr>
      </w:pPr>
      <w:r>
        <w:t>9</w:t>
      </w:r>
      <w:r>
        <w:rPr>
          <w:snapToGrid w:val="0"/>
        </w:rPr>
        <w:t>.</w:t>
      </w:r>
      <w:r>
        <w:rPr>
          <w:snapToGrid w:val="0"/>
        </w:rPr>
        <w:tab/>
        <w:t>Commissioner may make rules, orders and regulations for members of the Police Force and others and for related matters</w:t>
      </w:r>
      <w:r>
        <w:tab/>
      </w:r>
      <w:r>
        <w:fldChar w:fldCharType="begin"/>
      </w:r>
      <w:r>
        <w:instrText xml:space="preserve"> PAGEREF _Toc91142090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Engagement to be subscribed by officers and constables</w:t>
      </w:r>
      <w:r>
        <w:tab/>
      </w:r>
      <w:r>
        <w:fldChar w:fldCharType="begin"/>
      </w:r>
      <w:r>
        <w:instrText xml:space="preserve"> PAGEREF _Toc91142091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 subscribing engagement bound to serve as member of the Police Force</w:t>
      </w:r>
      <w:r>
        <w:tab/>
      </w:r>
      <w:r>
        <w:fldChar w:fldCharType="begin"/>
      </w:r>
      <w:r>
        <w:instrText xml:space="preserve"> PAGEREF _Toc91142092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Non</w:t>
      </w:r>
      <w:r>
        <w:rPr>
          <w:snapToGrid w:val="0"/>
        </w:rPr>
        <w:noBreakHyphen/>
        <w:t>commissioned officer and constable not to resign without leave or notice</w:t>
      </w:r>
      <w:r>
        <w:tab/>
      </w:r>
      <w:r>
        <w:fldChar w:fldCharType="begin"/>
      </w:r>
      <w:r>
        <w:instrText xml:space="preserve"> PAGEREF _Toc91142093 \h </w:instrText>
      </w:r>
      <w:r>
        <w:fldChar w:fldCharType="separate"/>
      </w:r>
      <w:r>
        <w:t>6</w:t>
      </w:r>
      <w:r>
        <w:fldChar w:fldCharType="end"/>
      </w:r>
    </w:p>
    <w:p>
      <w:pPr>
        <w:pStyle w:val="TOC8"/>
        <w:rPr>
          <w:rFonts w:asciiTheme="minorHAnsi" w:eastAsiaTheme="minorEastAsia" w:hAnsiTheme="minorHAnsi" w:cstheme="minorBidi"/>
          <w:szCs w:val="22"/>
        </w:rPr>
      </w:pPr>
      <w:r>
        <w:lastRenderedPageBreak/>
        <w:t>13</w:t>
      </w:r>
      <w:r>
        <w:rPr>
          <w:snapToGrid w:val="0"/>
        </w:rPr>
        <w:t>.</w:t>
      </w:r>
      <w:r>
        <w:rPr>
          <w:snapToGrid w:val="0"/>
        </w:rPr>
        <w:tab/>
        <w:t>Former members of Police Force etc. to return uniforms etc.</w:t>
      </w:r>
      <w:r>
        <w:tab/>
      </w:r>
      <w:r>
        <w:fldChar w:fldCharType="begin"/>
      </w:r>
      <w:r>
        <w:instrText xml:space="preserve"> PAGEREF _Toc91142094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Officers and constables subject to duty in any part of the State, as if no Police District had been established</w:t>
      </w:r>
      <w:r>
        <w:tab/>
      </w:r>
      <w:r>
        <w:fldChar w:fldCharType="begin"/>
      </w:r>
      <w:r>
        <w:instrText xml:space="preserve"> PAGEREF _Toc91142095 \h </w:instrText>
      </w:r>
      <w:r>
        <w:fldChar w:fldCharType="separate"/>
      </w:r>
      <w:r>
        <w:t>7</w:t>
      </w:r>
      <w:r>
        <w:fldChar w:fldCharType="end"/>
      </w:r>
    </w:p>
    <w:p>
      <w:pPr>
        <w:pStyle w:val="TOC8"/>
        <w:rPr>
          <w:rFonts w:asciiTheme="minorHAnsi" w:eastAsiaTheme="minorEastAsia" w:hAnsiTheme="minorHAnsi" w:cstheme="minorBidi"/>
          <w:szCs w:val="22"/>
        </w:rPr>
      </w:pPr>
      <w:r>
        <w:t>16.</w:t>
      </w:r>
      <w:r>
        <w:tab/>
        <w:t>Police clothing, unauthorised possession of</w:t>
      </w:r>
      <w:r>
        <w:tab/>
      </w:r>
      <w:r>
        <w:fldChar w:fldCharType="begin"/>
      </w:r>
      <w:r>
        <w:instrText xml:space="preserve"> PAGEREF _Toc91142096 \h </w:instrText>
      </w:r>
      <w:r>
        <w:fldChar w:fldCharType="separate"/>
      </w:r>
      <w:r>
        <w:t>8</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Detective, unauthorised use of the term</w:t>
      </w:r>
      <w:r>
        <w:tab/>
      </w:r>
      <w:r>
        <w:fldChar w:fldCharType="begin"/>
      </w:r>
      <w:r>
        <w:instrText xml:space="preserve"> PAGEREF _Toc91142097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Repute to be evidence of appointment</w:t>
      </w:r>
      <w:r>
        <w:tab/>
      </w:r>
      <w:r>
        <w:fldChar w:fldCharType="begin"/>
      </w:r>
      <w:r>
        <w:instrText xml:space="preserve"> PAGEREF _Toc91142098 \h </w:instrText>
      </w:r>
      <w:r>
        <w:fldChar w:fldCharType="separate"/>
      </w:r>
      <w:r>
        <w:t>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Non</w:t>
      </w:r>
      <w:r>
        <w:rPr>
          <w:snapToGrid w:val="0"/>
        </w:rPr>
        <w:noBreakHyphen/>
        <w:t>commissioned officers and constables to execute court process</w:t>
      </w:r>
      <w:r>
        <w:tab/>
      </w:r>
      <w:r>
        <w:fldChar w:fldCharType="begin"/>
      </w:r>
      <w:r>
        <w:instrText xml:space="preserve"> PAGEREF _Toc91142099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Constables to attend courts of summary jurisdiction</w:t>
      </w:r>
      <w:r>
        <w:tab/>
      </w:r>
      <w:r>
        <w:fldChar w:fldCharType="begin"/>
      </w:r>
      <w:r>
        <w:instrText xml:space="preserve"> PAGEREF _Toc91142100 \h </w:instrText>
      </w:r>
      <w:r>
        <w:fldChar w:fldCharType="separate"/>
      </w:r>
      <w:r>
        <w:t>10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Disciplinary offences, how they are dealt with</w:t>
      </w:r>
      <w:r>
        <w:tab/>
      </w:r>
      <w:r>
        <w:fldChar w:fldCharType="begin"/>
      </w:r>
      <w:r>
        <w:instrText xml:space="preserve"> PAGEREF _Toc91142101 \h </w:instrText>
      </w:r>
      <w:r>
        <w:fldChar w:fldCharType="separate"/>
      </w:r>
      <w:r>
        <w:t>11</w:t>
      </w:r>
      <w:r>
        <w:fldChar w:fldCharType="end"/>
      </w:r>
    </w:p>
    <w:p>
      <w:pPr>
        <w:pStyle w:val="TOC8"/>
        <w:rPr>
          <w:rFonts w:asciiTheme="minorHAnsi" w:eastAsiaTheme="minorEastAsia" w:hAnsiTheme="minorHAnsi" w:cstheme="minorBidi"/>
          <w:szCs w:val="22"/>
        </w:rPr>
      </w:pPr>
      <w:r>
        <w:t>29.</w:t>
      </w:r>
      <w:r>
        <w:tab/>
        <w:t>Forfeiture of office for financial difficulty</w:t>
      </w:r>
      <w:r>
        <w:tab/>
      </w:r>
      <w:r>
        <w:fldChar w:fldCharType="begin"/>
      </w:r>
      <w:r>
        <w:instrText xml:space="preserve"> PAGEREF _Toc91142102 \h </w:instrText>
      </w:r>
      <w:r>
        <w:fldChar w:fldCharType="separate"/>
      </w:r>
      <w:r>
        <w:t>13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Bankrupt may be reinstated</w:t>
      </w:r>
      <w:r>
        <w:tab/>
      </w:r>
      <w:r>
        <w:fldChar w:fldCharType="begin"/>
      </w:r>
      <w:r>
        <w:instrText xml:space="preserve"> PAGEREF _Toc91142103 \h </w:instrText>
      </w:r>
      <w:r>
        <w:fldChar w:fldCharType="separate"/>
      </w:r>
      <w:r>
        <w:t>13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Obtaining admission into the Force by fraud</w:t>
      </w:r>
      <w:r>
        <w:tab/>
      </w:r>
      <w:r>
        <w:fldChar w:fldCharType="begin"/>
      </w:r>
      <w:r>
        <w:instrText xml:space="preserve"> PAGEREF _Toc91142104 \h </w:instrText>
      </w:r>
      <w:r>
        <w:fldChar w:fldCharType="separate"/>
      </w:r>
      <w:r>
        <w:t>13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Members of the Force not to influence voters at elections</w:t>
      </w:r>
      <w:r>
        <w:tab/>
      </w:r>
      <w:r>
        <w:fldChar w:fldCharType="begin"/>
      </w:r>
      <w:r>
        <w:instrText xml:space="preserve"> PAGEREF _Toc91142105 \h </w:instrText>
      </w:r>
      <w:r>
        <w:fldChar w:fldCharType="separate"/>
      </w:r>
      <w:r>
        <w:t>13</w:t>
      </w:r>
      <w:r>
        <w:fldChar w:fldCharType="end"/>
      </w:r>
    </w:p>
    <w:p>
      <w:pPr>
        <w:pStyle w:val="TOC8"/>
        <w:rPr>
          <w:rFonts w:asciiTheme="minorHAnsi" w:eastAsiaTheme="minorEastAsia" w:hAnsiTheme="minorHAnsi" w:cstheme="minorBidi"/>
          <w:szCs w:val="22"/>
        </w:rPr>
      </w:pPr>
      <w:r>
        <w:t>33.</w:t>
      </w:r>
      <w:r>
        <w:tab/>
        <w:t>Fines and penalties to be credited to Consolidated Account</w:t>
      </w:r>
      <w:r>
        <w:tab/>
      </w:r>
      <w:r>
        <w:fldChar w:fldCharType="begin"/>
      </w:r>
      <w:r>
        <w:instrText xml:space="preserve"> PAGEREF _Toc91142106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IIA — Police Appeal Board</w:t>
      </w:r>
    </w:p>
    <w:p>
      <w:pPr>
        <w:pStyle w:val="TOC8"/>
        <w:rPr>
          <w:rFonts w:asciiTheme="minorHAnsi" w:eastAsiaTheme="minorEastAsia" w:hAnsiTheme="minorHAnsi" w:cstheme="minorBidi"/>
          <w:szCs w:val="22"/>
        </w:rPr>
      </w:pPr>
      <w:r>
        <w:t>33A</w:t>
      </w:r>
      <w:r>
        <w:rPr>
          <w:snapToGrid w:val="0"/>
        </w:rPr>
        <w:t>.</w:t>
      </w:r>
      <w:r>
        <w:rPr>
          <w:snapToGrid w:val="0"/>
        </w:rPr>
        <w:tab/>
        <w:t>Terms used</w:t>
      </w:r>
      <w:r>
        <w:tab/>
      </w:r>
      <w:r>
        <w:fldChar w:fldCharType="begin"/>
      </w:r>
      <w:r>
        <w:instrText xml:space="preserve"> PAGEREF _Toc91142108 \h </w:instrText>
      </w:r>
      <w:r>
        <w:fldChar w:fldCharType="separate"/>
      </w:r>
      <w:r>
        <w:t>15</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Constitution of Board</w:t>
      </w:r>
      <w:r>
        <w:tab/>
      </w:r>
      <w:r>
        <w:fldChar w:fldCharType="begin"/>
      </w:r>
      <w:r>
        <w:instrText xml:space="preserve"> PAGEREF _Toc91142109 \h </w:instrText>
      </w:r>
      <w:r>
        <w:fldChar w:fldCharType="separate"/>
      </w:r>
      <w:r>
        <w:t>15</w:t>
      </w:r>
      <w:r>
        <w:fldChar w:fldCharType="end"/>
      </w:r>
    </w:p>
    <w:p>
      <w:pPr>
        <w:pStyle w:val="TOC8"/>
        <w:rPr>
          <w:rFonts w:asciiTheme="minorHAnsi" w:eastAsiaTheme="minorEastAsia" w:hAnsiTheme="minorHAnsi" w:cstheme="minorBidi"/>
          <w:szCs w:val="22"/>
        </w:rPr>
      </w:pPr>
      <w:r>
        <w:t>33C</w:t>
      </w:r>
      <w:r>
        <w:rPr>
          <w:snapToGrid w:val="0"/>
        </w:rPr>
        <w:t>.</w:t>
      </w:r>
      <w:r>
        <w:rPr>
          <w:snapToGrid w:val="0"/>
        </w:rPr>
        <w:tab/>
        <w:t>Tenure of office</w:t>
      </w:r>
      <w:r>
        <w:tab/>
      </w:r>
      <w:r>
        <w:fldChar w:fldCharType="begin"/>
      </w:r>
      <w:r>
        <w:instrText xml:space="preserve"> PAGEREF _Toc91142110 \h </w:instrText>
      </w:r>
      <w:r>
        <w:fldChar w:fldCharType="separate"/>
      </w:r>
      <w:r>
        <w:t>15</w:t>
      </w:r>
      <w:r>
        <w:fldChar w:fldCharType="end"/>
      </w:r>
    </w:p>
    <w:p>
      <w:pPr>
        <w:pStyle w:val="TOC8"/>
        <w:rPr>
          <w:rFonts w:asciiTheme="minorHAnsi" w:eastAsiaTheme="minorEastAsia" w:hAnsiTheme="minorHAnsi" w:cstheme="minorBidi"/>
          <w:szCs w:val="22"/>
        </w:rPr>
      </w:pPr>
      <w:r>
        <w:t>33D</w:t>
      </w:r>
      <w:r>
        <w:rPr>
          <w:snapToGrid w:val="0"/>
        </w:rPr>
        <w:t>.</w:t>
      </w:r>
      <w:r>
        <w:rPr>
          <w:snapToGrid w:val="0"/>
        </w:rPr>
        <w:tab/>
        <w:t>Secretary to Board</w:t>
      </w:r>
      <w:r>
        <w:tab/>
      </w:r>
      <w:r>
        <w:fldChar w:fldCharType="begin"/>
      </w:r>
      <w:r>
        <w:instrText xml:space="preserve"> PAGEREF _Toc91142111 \h </w:instrText>
      </w:r>
      <w:r>
        <w:fldChar w:fldCharType="separate"/>
      </w:r>
      <w:r>
        <w:t>17</w:t>
      </w:r>
      <w:r>
        <w:fldChar w:fldCharType="end"/>
      </w:r>
    </w:p>
    <w:p>
      <w:pPr>
        <w:pStyle w:val="TOC8"/>
        <w:rPr>
          <w:rFonts w:asciiTheme="minorHAnsi" w:eastAsiaTheme="minorEastAsia" w:hAnsiTheme="minorHAnsi" w:cstheme="minorBidi"/>
          <w:szCs w:val="22"/>
        </w:rPr>
      </w:pPr>
      <w:r>
        <w:t>33E</w:t>
      </w:r>
      <w:r>
        <w:rPr>
          <w:snapToGrid w:val="0"/>
        </w:rPr>
        <w:t>.</w:t>
      </w:r>
      <w:r>
        <w:rPr>
          <w:snapToGrid w:val="0"/>
        </w:rPr>
        <w:tab/>
        <w:t>Right of appeal to Board on disciplinary offences</w:t>
      </w:r>
      <w:r>
        <w:tab/>
      </w:r>
      <w:r>
        <w:fldChar w:fldCharType="begin"/>
      </w:r>
      <w:r>
        <w:instrText xml:space="preserve"> PAGEREF _Toc91142112 \h </w:instrText>
      </w:r>
      <w:r>
        <w:fldChar w:fldCharType="separate"/>
      </w:r>
      <w:r>
        <w:t>17</w:t>
      </w:r>
      <w:r>
        <w:fldChar w:fldCharType="end"/>
      </w:r>
    </w:p>
    <w:p>
      <w:pPr>
        <w:pStyle w:val="TOC8"/>
        <w:rPr>
          <w:rFonts w:asciiTheme="minorHAnsi" w:eastAsiaTheme="minorEastAsia" w:hAnsiTheme="minorHAnsi" w:cstheme="minorBidi"/>
          <w:szCs w:val="22"/>
        </w:rPr>
      </w:pPr>
      <w:r>
        <w:t>33F</w:t>
      </w:r>
      <w:r>
        <w:rPr>
          <w:snapToGrid w:val="0"/>
        </w:rPr>
        <w:t>.</w:t>
      </w:r>
      <w:r>
        <w:rPr>
          <w:snapToGrid w:val="0"/>
        </w:rPr>
        <w:tab/>
        <w:t>Institution of appeal</w:t>
      </w:r>
      <w:r>
        <w:tab/>
      </w:r>
      <w:r>
        <w:fldChar w:fldCharType="begin"/>
      </w:r>
      <w:r>
        <w:instrText xml:space="preserve"> PAGEREF _Toc91142113 \h </w:instrText>
      </w:r>
      <w:r>
        <w:fldChar w:fldCharType="separate"/>
      </w:r>
      <w:r>
        <w:t>17</w:t>
      </w:r>
      <w:r>
        <w:fldChar w:fldCharType="end"/>
      </w:r>
    </w:p>
    <w:p>
      <w:pPr>
        <w:pStyle w:val="TOC8"/>
        <w:rPr>
          <w:rFonts w:asciiTheme="minorHAnsi" w:eastAsiaTheme="minorEastAsia" w:hAnsiTheme="minorHAnsi" w:cstheme="minorBidi"/>
          <w:szCs w:val="22"/>
        </w:rPr>
      </w:pPr>
      <w:r>
        <w:t>33G</w:t>
      </w:r>
      <w:r>
        <w:rPr>
          <w:snapToGrid w:val="0"/>
        </w:rPr>
        <w:t>.</w:t>
      </w:r>
      <w:r>
        <w:rPr>
          <w:snapToGrid w:val="0"/>
        </w:rPr>
        <w:tab/>
        <w:t>Witnesses at and evidence taken on appeal</w:t>
      </w:r>
      <w:r>
        <w:tab/>
      </w:r>
      <w:r>
        <w:fldChar w:fldCharType="begin"/>
      </w:r>
      <w:r>
        <w:instrText xml:space="preserve"> PAGEREF _Toc91142114 \h </w:instrText>
      </w:r>
      <w:r>
        <w:fldChar w:fldCharType="separate"/>
      </w:r>
      <w:r>
        <w:t>18</w:t>
      </w:r>
      <w:r>
        <w:fldChar w:fldCharType="end"/>
      </w:r>
    </w:p>
    <w:p>
      <w:pPr>
        <w:pStyle w:val="TOC8"/>
        <w:rPr>
          <w:rFonts w:asciiTheme="minorHAnsi" w:eastAsiaTheme="minorEastAsia" w:hAnsiTheme="minorHAnsi" w:cstheme="minorBidi"/>
          <w:szCs w:val="22"/>
        </w:rPr>
      </w:pPr>
      <w:r>
        <w:t>33H</w:t>
      </w:r>
      <w:r>
        <w:rPr>
          <w:snapToGrid w:val="0"/>
        </w:rPr>
        <w:t>.</w:t>
      </w:r>
      <w:r>
        <w:rPr>
          <w:snapToGrid w:val="0"/>
        </w:rPr>
        <w:tab/>
        <w:t>Determination of appeal</w:t>
      </w:r>
      <w:r>
        <w:tab/>
      </w:r>
      <w:r>
        <w:fldChar w:fldCharType="begin"/>
      </w:r>
      <w:r>
        <w:instrText xml:space="preserve"> PAGEREF _Toc91142115 \h </w:instrText>
      </w:r>
      <w:r>
        <w:fldChar w:fldCharType="separate"/>
      </w:r>
      <w:r>
        <w:t>19</w:t>
      </w:r>
      <w:r>
        <w:fldChar w:fldCharType="end"/>
      </w:r>
    </w:p>
    <w:p>
      <w:pPr>
        <w:pStyle w:val="TOC8"/>
        <w:rPr>
          <w:rFonts w:asciiTheme="minorHAnsi" w:eastAsiaTheme="minorEastAsia" w:hAnsiTheme="minorHAnsi" w:cstheme="minorBidi"/>
          <w:szCs w:val="22"/>
        </w:rPr>
      </w:pPr>
      <w:r>
        <w:t>33I</w:t>
      </w:r>
      <w:r>
        <w:rPr>
          <w:snapToGrid w:val="0"/>
        </w:rPr>
        <w:t>.</w:t>
      </w:r>
      <w:r>
        <w:rPr>
          <w:snapToGrid w:val="0"/>
        </w:rPr>
        <w:tab/>
        <w:t>Decision to be sent to Commissioner</w:t>
      </w:r>
      <w:r>
        <w:tab/>
      </w:r>
      <w:r>
        <w:fldChar w:fldCharType="begin"/>
      </w:r>
      <w:r>
        <w:instrText xml:space="preserve"> PAGEREF _Toc91142116 \h </w:instrText>
      </w:r>
      <w:r>
        <w:fldChar w:fldCharType="separate"/>
      </w:r>
      <w:r>
        <w:t>20</w:t>
      </w:r>
      <w:r>
        <w:fldChar w:fldCharType="end"/>
      </w:r>
    </w:p>
    <w:p>
      <w:pPr>
        <w:pStyle w:val="TOC8"/>
        <w:rPr>
          <w:rFonts w:asciiTheme="minorHAnsi" w:eastAsiaTheme="minorEastAsia" w:hAnsiTheme="minorHAnsi" w:cstheme="minorBidi"/>
          <w:szCs w:val="22"/>
        </w:rPr>
      </w:pPr>
      <w:r>
        <w:t>33J</w:t>
      </w:r>
      <w:r>
        <w:rPr>
          <w:snapToGrid w:val="0"/>
        </w:rPr>
        <w:t>.</w:t>
      </w:r>
      <w:r>
        <w:rPr>
          <w:snapToGrid w:val="0"/>
        </w:rPr>
        <w:tab/>
        <w:t>Regulations</w:t>
      </w:r>
      <w:r>
        <w:tab/>
      </w:r>
      <w:r>
        <w:fldChar w:fldCharType="begin"/>
      </w:r>
      <w:r>
        <w:instrText xml:space="preserve"> PAGEREF _Toc91142117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IIB</w:t>
      </w:r>
      <w:r>
        <w:rPr>
          <w:b w:val="0"/>
        </w:rPr>
        <w:t> </w:t>
      </w:r>
      <w:r>
        <w:t>—</w:t>
      </w:r>
      <w:r>
        <w:rPr>
          <w:b w:val="0"/>
        </w:rPr>
        <w:t> </w:t>
      </w:r>
      <w:r>
        <w:t>Removal of members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33K.</w:t>
      </w:r>
      <w:r>
        <w:tab/>
        <w:t>Terms used</w:t>
      </w:r>
      <w:r>
        <w:tab/>
      </w:r>
      <w:r>
        <w:fldChar w:fldCharType="begin"/>
      </w:r>
      <w:r>
        <w:instrText xml:space="preserve"> PAGEREF _Toc91142120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Removal of members</w:t>
      </w:r>
    </w:p>
    <w:p>
      <w:pPr>
        <w:pStyle w:val="TOC8"/>
        <w:rPr>
          <w:rFonts w:asciiTheme="minorHAnsi" w:eastAsiaTheme="minorEastAsia" w:hAnsiTheme="minorHAnsi" w:cstheme="minorBidi"/>
          <w:szCs w:val="22"/>
        </w:rPr>
      </w:pPr>
      <w:r>
        <w:t>33L.</w:t>
      </w:r>
      <w:r>
        <w:tab/>
        <w:t>Notice of loss of confidence to be given before removal action is taken</w:t>
      </w:r>
      <w:r>
        <w:tab/>
      </w:r>
      <w:r>
        <w:fldChar w:fldCharType="begin"/>
      </w:r>
      <w:r>
        <w:instrText xml:space="preserve"> PAGEREF _Toc91142122 \h </w:instrText>
      </w:r>
      <w:r>
        <w:fldChar w:fldCharType="separate"/>
      </w:r>
      <w:r>
        <w:t>22</w:t>
      </w:r>
      <w:r>
        <w:fldChar w:fldCharType="end"/>
      </w:r>
    </w:p>
    <w:p>
      <w:pPr>
        <w:pStyle w:val="TOC8"/>
        <w:rPr>
          <w:rFonts w:asciiTheme="minorHAnsi" w:eastAsiaTheme="minorEastAsia" w:hAnsiTheme="minorHAnsi" w:cstheme="minorBidi"/>
          <w:szCs w:val="22"/>
        </w:rPr>
      </w:pPr>
      <w:r>
        <w:t>33M.</w:t>
      </w:r>
      <w:r>
        <w:tab/>
        <w:t>Maintenance payment</w:t>
      </w:r>
      <w:r>
        <w:tab/>
      </w:r>
      <w:r>
        <w:fldChar w:fldCharType="begin"/>
      </w:r>
      <w:r>
        <w:instrText xml:space="preserve"> PAGEREF _Toc91142123 \h </w:instrText>
      </w:r>
      <w:r>
        <w:fldChar w:fldCharType="separate"/>
      </w:r>
      <w:r>
        <w:t>23</w:t>
      </w:r>
      <w:r>
        <w:fldChar w:fldCharType="end"/>
      </w:r>
    </w:p>
    <w:p>
      <w:pPr>
        <w:pStyle w:val="TOC8"/>
        <w:rPr>
          <w:rFonts w:asciiTheme="minorHAnsi" w:eastAsiaTheme="minorEastAsia" w:hAnsiTheme="minorHAnsi" w:cstheme="minorBidi"/>
          <w:szCs w:val="22"/>
        </w:rPr>
      </w:pPr>
      <w:r>
        <w:lastRenderedPageBreak/>
        <w:t>33N.</w:t>
      </w:r>
      <w:r>
        <w:tab/>
        <w:t>Revocation of removal action</w:t>
      </w:r>
      <w:r>
        <w:tab/>
      </w:r>
      <w:r>
        <w:fldChar w:fldCharType="begin"/>
      </w:r>
      <w:r>
        <w:instrText xml:space="preserve"> PAGEREF _Toc91142124 \h </w:instrText>
      </w:r>
      <w:r>
        <w:fldChar w:fldCharType="separate"/>
      </w:r>
      <w:r>
        <w:t>24</w:t>
      </w:r>
      <w:r>
        <w:fldChar w:fldCharType="end"/>
      </w:r>
    </w:p>
    <w:p>
      <w:pPr>
        <w:pStyle w:val="TOC8"/>
        <w:rPr>
          <w:rFonts w:asciiTheme="minorHAnsi" w:eastAsiaTheme="minorEastAsia" w:hAnsiTheme="minorHAnsi" w:cstheme="minorBidi"/>
          <w:szCs w:val="22"/>
        </w:rPr>
      </w:pPr>
      <w:r>
        <w:t>33O.</w:t>
      </w:r>
      <w:r>
        <w:tab/>
        <w:t>Resignation of member who has been removed</w:t>
      </w:r>
      <w:r>
        <w:tab/>
      </w:r>
      <w:r>
        <w:fldChar w:fldCharType="begin"/>
      </w:r>
      <w:r>
        <w:instrText xml:space="preserve"> PAGEREF _Toc91142125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Appeal in relation to removal</w:t>
      </w:r>
    </w:p>
    <w:p>
      <w:pPr>
        <w:pStyle w:val="TOC8"/>
        <w:rPr>
          <w:rFonts w:asciiTheme="minorHAnsi" w:eastAsiaTheme="minorEastAsia" w:hAnsiTheme="minorHAnsi" w:cstheme="minorBidi"/>
          <w:szCs w:val="22"/>
        </w:rPr>
      </w:pPr>
      <w:r>
        <w:t>33P.</w:t>
      </w:r>
      <w:r>
        <w:tab/>
        <w:t>Appeal right</w:t>
      </w:r>
      <w:r>
        <w:tab/>
      </w:r>
      <w:r>
        <w:fldChar w:fldCharType="begin"/>
      </w:r>
      <w:r>
        <w:instrText xml:space="preserve"> PAGEREF _Toc91142127 \h </w:instrText>
      </w:r>
      <w:r>
        <w:fldChar w:fldCharType="separate"/>
      </w:r>
      <w:r>
        <w:t>25</w:t>
      </w:r>
      <w:r>
        <w:fldChar w:fldCharType="end"/>
      </w:r>
    </w:p>
    <w:p>
      <w:pPr>
        <w:pStyle w:val="TOC8"/>
        <w:rPr>
          <w:rFonts w:asciiTheme="minorHAnsi" w:eastAsiaTheme="minorEastAsia" w:hAnsiTheme="minorHAnsi" w:cstheme="minorBidi"/>
          <w:szCs w:val="22"/>
        </w:rPr>
      </w:pPr>
      <w:r>
        <w:t>33Q.</w:t>
      </w:r>
      <w:r>
        <w:tab/>
        <w:t>Proceedings on appeal</w:t>
      </w:r>
      <w:r>
        <w:tab/>
      </w:r>
      <w:r>
        <w:fldChar w:fldCharType="begin"/>
      </w:r>
      <w:r>
        <w:instrText xml:space="preserve"> PAGEREF _Toc91142128 \h </w:instrText>
      </w:r>
      <w:r>
        <w:fldChar w:fldCharType="separate"/>
      </w:r>
      <w:r>
        <w:t>26</w:t>
      </w:r>
      <w:r>
        <w:fldChar w:fldCharType="end"/>
      </w:r>
    </w:p>
    <w:p>
      <w:pPr>
        <w:pStyle w:val="TOC8"/>
        <w:rPr>
          <w:rFonts w:asciiTheme="minorHAnsi" w:eastAsiaTheme="minorEastAsia" w:hAnsiTheme="minorHAnsi" w:cstheme="minorBidi"/>
          <w:szCs w:val="22"/>
        </w:rPr>
      </w:pPr>
      <w:r>
        <w:t>33R.</w:t>
      </w:r>
      <w:r>
        <w:tab/>
        <w:t>New evidence on appeal</w:t>
      </w:r>
      <w:r>
        <w:tab/>
      </w:r>
      <w:r>
        <w:fldChar w:fldCharType="begin"/>
      </w:r>
      <w:r>
        <w:instrText xml:space="preserve"> PAGEREF _Toc91142129 \h </w:instrText>
      </w:r>
      <w:r>
        <w:fldChar w:fldCharType="separate"/>
      </w:r>
      <w:r>
        <w:t>27</w:t>
      </w:r>
      <w:r>
        <w:fldChar w:fldCharType="end"/>
      </w:r>
    </w:p>
    <w:p>
      <w:pPr>
        <w:pStyle w:val="TOC8"/>
        <w:rPr>
          <w:rFonts w:asciiTheme="minorHAnsi" w:eastAsiaTheme="minorEastAsia" w:hAnsiTheme="minorHAnsi" w:cstheme="minorBidi"/>
          <w:szCs w:val="22"/>
        </w:rPr>
      </w:pPr>
      <w:r>
        <w:t>33S.</w:t>
      </w:r>
      <w:r>
        <w:tab/>
        <w:t xml:space="preserve">Application of </w:t>
      </w:r>
      <w:r>
        <w:rPr>
          <w:i/>
        </w:rPr>
        <w:t>Industrial Relations Act 1979</w:t>
      </w:r>
      <w:r>
        <w:t xml:space="preserve"> to appeals</w:t>
      </w:r>
      <w:r>
        <w:tab/>
      </w:r>
      <w:r>
        <w:fldChar w:fldCharType="begin"/>
      </w:r>
      <w:r>
        <w:instrText xml:space="preserve"> PAGEREF _Toc91142130 \h </w:instrText>
      </w:r>
      <w:r>
        <w:fldChar w:fldCharType="separate"/>
      </w:r>
      <w:r>
        <w:t>29</w:t>
      </w:r>
      <w:r>
        <w:fldChar w:fldCharType="end"/>
      </w:r>
    </w:p>
    <w:p>
      <w:pPr>
        <w:pStyle w:val="TOC8"/>
        <w:rPr>
          <w:rFonts w:asciiTheme="minorHAnsi" w:eastAsiaTheme="minorEastAsia" w:hAnsiTheme="minorHAnsi" w:cstheme="minorBidi"/>
          <w:szCs w:val="22"/>
        </w:rPr>
      </w:pPr>
      <w:r>
        <w:t>33T.</w:t>
      </w:r>
      <w:r>
        <w:tab/>
        <w:t>Adjournment of appeal if appellant charged with offence</w:t>
      </w:r>
      <w:r>
        <w:tab/>
      </w:r>
      <w:r>
        <w:fldChar w:fldCharType="begin"/>
      </w:r>
      <w:r>
        <w:instrText xml:space="preserve"> PAGEREF _Toc91142131 \h </w:instrText>
      </w:r>
      <w:r>
        <w:fldChar w:fldCharType="separate"/>
      </w:r>
      <w:r>
        <w:t>32</w:t>
      </w:r>
      <w:r>
        <w:fldChar w:fldCharType="end"/>
      </w:r>
    </w:p>
    <w:p>
      <w:pPr>
        <w:pStyle w:val="TOC8"/>
        <w:rPr>
          <w:rFonts w:asciiTheme="minorHAnsi" w:eastAsiaTheme="minorEastAsia" w:hAnsiTheme="minorHAnsi" w:cstheme="minorBidi"/>
          <w:szCs w:val="22"/>
        </w:rPr>
      </w:pPr>
      <w:r>
        <w:t>33U.</w:t>
      </w:r>
      <w:r>
        <w:tab/>
        <w:t>Decision by the WAIRC</w:t>
      </w:r>
      <w:r>
        <w:tab/>
      </w:r>
      <w:r>
        <w:fldChar w:fldCharType="begin"/>
      </w:r>
      <w:r>
        <w:instrText xml:space="preserve"> PAGEREF _Toc91142132 \h </w:instrText>
      </w:r>
      <w:r>
        <w:fldChar w:fldCharType="separate"/>
      </w:r>
      <w:r>
        <w:t>33</w:t>
      </w:r>
      <w:r>
        <w:fldChar w:fldCharType="end"/>
      </w:r>
    </w:p>
    <w:p>
      <w:pPr>
        <w:pStyle w:val="TOC8"/>
        <w:rPr>
          <w:rFonts w:asciiTheme="minorHAnsi" w:eastAsiaTheme="minorEastAsia" w:hAnsiTheme="minorHAnsi" w:cstheme="minorBidi"/>
          <w:szCs w:val="22"/>
        </w:rPr>
      </w:pPr>
      <w:r>
        <w:t>33V.</w:t>
      </w:r>
      <w:r>
        <w:tab/>
        <w:t>Restriction on publication</w:t>
      </w:r>
      <w:r>
        <w:tab/>
      </w:r>
      <w:r>
        <w:fldChar w:fldCharType="begin"/>
      </w:r>
      <w:r>
        <w:instrText xml:space="preserve"> PAGEREF _Toc91142133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33W.</w:t>
      </w:r>
      <w:r>
        <w:tab/>
        <w:t>Effect of charge for an offence or an acquittal</w:t>
      </w:r>
      <w:r>
        <w:tab/>
      </w:r>
      <w:r>
        <w:fldChar w:fldCharType="begin"/>
      </w:r>
      <w:r>
        <w:instrText xml:space="preserve"> PAGEREF _Toc91142135 \h </w:instrText>
      </w:r>
      <w:r>
        <w:fldChar w:fldCharType="separate"/>
      </w:r>
      <w:r>
        <w:t>35</w:t>
      </w:r>
      <w:r>
        <w:fldChar w:fldCharType="end"/>
      </w:r>
    </w:p>
    <w:p>
      <w:pPr>
        <w:pStyle w:val="TOC8"/>
        <w:rPr>
          <w:rFonts w:asciiTheme="minorHAnsi" w:eastAsiaTheme="minorEastAsia" w:hAnsiTheme="minorHAnsi" w:cstheme="minorBidi"/>
          <w:szCs w:val="22"/>
        </w:rPr>
      </w:pPr>
      <w:r>
        <w:t>33X.</w:t>
      </w:r>
      <w:r>
        <w:tab/>
        <w:t>Failure to comply with procedure</w:t>
      </w:r>
      <w:r>
        <w:tab/>
      </w:r>
      <w:r>
        <w:fldChar w:fldCharType="begin"/>
      </w:r>
      <w:r>
        <w:instrText xml:space="preserve"> PAGEREF _Toc91142136 \h </w:instrText>
      </w:r>
      <w:r>
        <w:fldChar w:fldCharType="separate"/>
      </w:r>
      <w:r>
        <w:t>35</w:t>
      </w:r>
      <w:r>
        <w:fldChar w:fldCharType="end"/>
      </w:r>
    </w:p>
    <w:p>
      <w:pPr>
        <w:pStyle w:val="TOC8"/>
        <w:rPr>
          <w:rFonts w:asciiTheme="minorHAnsi" w:eastAsiaTheme="minorEastAsia" w:hAnsiTheme="minorHAnsi" w:cstheme="minorBidi"/>
          <w:szCs w:val="22"/>
        </w:rPr>
      </w:pPr>
      <w:r>
        <w:t>33Y.</w:t>
      </w:r>
      <w:r>
        <w:tab/>
        <w:t>Transfer, standing down and leave of member</w:t>
      </w:r>
      <w:r>
        <w:tab/>
      </w:r>
      <w:r>
        <w:fldChar w:fldCharType="begin"/>
      </w:r>
      <w:r>
        <w:instrText xml:space="preserve"> PAGEREF _Toc91142137 \h </w:instrText>
      </w:r>
      <w:r>
        <w:fldChar w:fldCharType="separate"/>
      </w:r>
      <w:r>
        <w:t>36</w:t>
      </w:r>
      <w:r>
        <w:fldChar w:fldCharType="end"/>
      </w:r>
    </w:p>
    <w:p>
      <w:pPr>
        <w:pStyle w:val="TOC8"/>
        <w:rPr>
          <w:rFonts w:asciiTheme="minorHAnsi" w:eastAsiaTheme="minorEastAsia" w:hAnsiTheme="minorHAnsi" w:cstheme="minorBidi"/>
          <w:szCs w:val="22"/>
        </w:rPr>
      </w:pPr>
      <w:r>
        <w:t>33Z.</w:t>
      </w:r>
      <w:r>
        <w:tab/>
        <w:t>Review of Part IIB</w:t>
      </w:r>
      <w:r>
        <w:tab/>
      </w:r>
      <w:r>
        <w:fldChar w:fldCharType="begin"/>
      </w:r>
      <w:r>
        <w:instrText xml:space="preserve"> PAGEREF _Toc91142138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IIC</w:t>
      </w:r>
      <w:r>
        <w:rPr>
          <w:b w:val="0"/>
        </w:rPr>
        <w:t> </w:t>
      </w:r>
      <w:r>
        <w:t>—</w:t>
      </w:r>
      <w:r>
        <w:rPr>
          <w:b w:val="0"/>
        </w:rPr>
        <w:t> </w:t>
      </w:r>
      <w:r>
        <w:t>Medical retirement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33ZA.</w:t>
      </w:r>
      <w:r>
        <w:tab/>
        <w:t>Summary of Part</w:t>
      </w:r>
      <w:r>
        <w:tab/>
      </w:r>
      <w:r>
        <w:fldChar w:fldCharType="begin"/>
      </w:r>
      <w:r>
        <w:instrText xml:space="preserve"> PAGEREF _Toc91142141 \h </w:instrText>
      </w:r>
      <w:r>
        <w:fldChar w:fldCharType="separate"/>
      </w:r>
      <w:r>
        <w:t>38</w:t>
      </w:r>
      <w:r>
        <w:fldChar w:fldCharType="end"/>
      </w:r>
    </w:p>
    <w:p>
      <w:pPr>
        <w:pStyle w:val="TOC8"/>
        <w:rPr>
          <w:rFonts w:asciiTheme="minorHAnsi" w:eastAsiaTheme="minorEastAsia" w:hAnsiTheme="minorHAnsi" w:cstheme="minorBidi"/>
          <w:szCs w:val="22"/>
        </w:rPr>
      </w:pPr>
      <w:r>
        <w:t>33ZB.</w:t>
      </w:r>
      <w:r>
        <w:tab/>
        <w:t>Terms used</w:t>
      </w:r>
      <w:r>
        <w:tab/>
      </w:r>
      <w:r>
        <w:fldChar w:fldCharType="begin"/>
      </w:r>
      <w:r>
        <w:instrText xml:space="preserve"> PAGEREF _Toc91142142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How members can be retired on medical grounds</w:t>
      </w:r>
    </w:p>
    <w:p>
      <w:pPr>
        <w:pStyle w:val="TOC8"/>
        <w:rPr>
          <w:rFonts w:asciiTheme="minorHAnsi" w:eastAsiaTheme="minorEastAsia" w:hAnsiTheme="minorHAnsi" w:cstheme="minorBidi"/>
          <w:szCs w:val="22"/>
        </w:rPr>
      </w:pPr>
      <w:r>
        <w:t>33ZC.</w:t>
      </w:r>
      <w:r>
        <w:tab/>
        <w:t>Examination of member by medical board</w:t>
      </w:r>
      <w:r>
        <w:tab/>
      </w:r>
      <w:r>
        <w:fldChar w:fldCharType="begin"/>
      </w:r>
      <w:r>
        <w:instrText xml:space="preserve"> PAGEREF _Toc91142144 \h </w:instrText>
      </w:r>
      <w:r>
        <w:fldChar w:fldCharType="separate"/>
      </w:r>
      <w:r>
        <w:t>39</w:t>
      </w:r>
      <w:r>
        <w:fldChar w:fldCharType="end"/>
      </w:r>
    </w:p>
    <w:p>
      <w:pPr>
        <w:pStyle w:val="TOC8"/>
        <w:rPr>
          <w:rFonts w:asciiTheme="minorHAnsi" w:eastAsiaTheme="minorEastAsia" w:hAnsiTheme="minorHAnsi" w:cstheme="minorBidi"/>
          <w:szCs w:val="22"/>
        </w:rPr>
      </w:pPr>
      <w:r>
        <w:t>33ZD.</w:t>
      </w:r>
      <w:r>
        <w:tab/>
        <w:t>Notice that Police Commissioner is of opinion that member is medically unfit</w:t>
      </w:r>
      <w:r>
        <w:tab/>
      </w:r>
      <w:r>
        <w:fldChar w:fldCharType="begin"/>
      </w:r>
      <w:r>
        <w:instrText xml:space="preserve"> PAGEREF _Toc91142145 \h </w:instrText>
      </w:r>
      <w:r>
        <w:fldChar w:fldCharType="separate"/>
      </w:r>
      <w:r>
        <w:t>40</w:t>
      </w:r>
      <w:r>
        <w:fldChar w:fldCharType="end"/>
      </w:r>
    </w:p>
    <w:p>
      <w:pPr>
        <w:pStyle w:val="TOC8"/>
        <w:rPr>
          <w:rFonts w:asciiTheme="minorHAnsi" w:eastAsiaTheme="minorEastAsia" w:hAnsiTheme="minorHAnsi" w:cstheme="minorBidi"/>
          <w:szCs w:val="22"/>
        </w:rPr>
      </w:pPr>
      <w:r>
        <w:t>33ZE.</w:t>
      </w:r>
      <w:r>
        <w:tab/>
        <w:t>Power to retire member on medical grounds</w:t>
      </w:r>
      <w:r>
        <w:tab/>
      </w:r>
      <w:r>
        <w:fldChar w:fldCharType="begin"/>
      </w:r>
      <w:r>
        <w:instrText xml:space="preserve"> PAGEREF _Toc91142146 \h </w:instrText>
      </w:r>
      <w:r>
        <w:fldChar w:fldCharType="separate"/>
      </w:r>
      <w:r>
        <w:t>41</w:t>
      </w:r>
      <w:r>
        <w:fldChar w:fldCharType="end"/>
      </w:r>
    </w:p>
    <w:p>
      <w:pPr>
        <w:pStyle w:val="TOC8"/>
        <w:rPr>
          <w:rFonts w:asciiTheme="minorHAnsi" w:eastAsiaTheme="minorEastAsia" w:hAnsiTheme="minorHAnsi" w:cstheme="minorBidi"/>
          <w:szCs w:val="22"/>
        </w:rPr>
      </w:pPr>
      <w:r>
        <w:t>33ZF.</w:t>
      </w:r>
      <w:r>
        <w:tab/>
        <w:t>Maintenance payment</w:t>
      </w:r>
      <w:r>
        <w:tab/>
      </w:r>
      <w:r>
        <w:fldChar w:fldCharType="begin"/>
      </w:r>
      <w:r>
        <w:instrText xml:space="preserve"> PAGEREF _Toc91142147 \h </w:instrText>
      </w:r>
      <w:r>
        <w:fldChar w:fldCharType="separate"/>
      </w:r>
      <w:r>
        <w:t>43</w:t>
      </w:r>
      <w:r>
        <w:fldChar w:fldCharType="end"/>
      </w:r>
    </w:p>
    <w:p>
      <w:pPr>
        <w:pStyle w:val="TOC8"/>
        <w:rPr>
          <w:rFonts w:asciiTheme="minorHAnsi" w:eastAsiaTheme="minorEastAsia" w:hAnsiTheme="minorHAnsi" w:cstheme="minorBidi"/>
          <w:szCs w:val="22"/>
        </w:rPr>
      </w:pPr>
      <w:r>
        <w:t>33ZG.</w:t>
      </w:r>
      <w:r>
        <w:tab/>
        <w:t>Revocation of decision that member should be retired</w:t>
      </w:r>
      <w:r>
        <w:tab/>
      </w:r>
      <w:r>
        <w:fldChar w:fldCharType="begin"/>
      </w:r>
      <w:r>
        <w:instrText xml:space="preserve"> PAGEREF _Toc91142148 \h </w:instrText>
      </w:r>
      <w:r>
        <w:fldChar w:fldCharType="separate"/>
      </w:r>
      <w:r>
        <w:t>43</w:t>
      </w:r>
      <w:r>
        <w:fldChar w:fldCharType="end"/>
      </w:r>
    </w:p>
    <w:p>
      <w:pPr>
        <w:pStyle w:val="TOC8"/>
        <w:rPr>
          <w:rFonts w:asciiTheme="minorHAnsi" w:eastAsiaTheme="minorEastAsia" w:hAnsiTheme="minorHAnsi" w:cstheme="minorBidi"/>
          <w:szCs w:val="22"/>
        </w:rPr>
      </w:pPr>
      <w:r>
        <w:t>33ZH.</w:t>
      </w:r>
      <w:r>
        <w:tab/>
        <w:t>Resignation of member who has been retired on medical grounds</w:t>
      </w:r>
      <w:r>
        <w:tab/>
      </w:r>
      <w:r>
        <w:fldChar w:fldCharType="begin"/>
      </w:r>
      <w:r>
        <w:instrText xml:space="preserve"> PAGEREF _Toc91142149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Appeal against decision that member should be retired on medical grounds</w:t>
      </w:r>
    </w:p>
    <w:p>
      <w:pPr>
        <w:pStyle w:val="TOC8"/>
        <w:rPr>
          <w:rFonts w:asciiTheme="minorHAnsi" w:eastAsiaTheme="minorEastAsia" w:hAnsiTheme="minorHAnsi" w:cstheme="minorBidi"/>
          <w:szCs w:val="22"/>
        </w:rPr>
      </w:pPr>
      <w:r>
        <w:t>33ZI.</w:t>
      </w:r>
      <w:r>
        <w:tab/>
        <w:t>Appeal right</w:t>
      </w:r>
      <w:r>
        <w:tab/>
      </w:r>
      <w:r>
        <w:fldChar w:fldCharType="begin"/>
      </w:r>
      <w:r>
        <w:instrText xml:space="preserve"> PAGEREF _Toc91142151 \h </w:instrText>
      </w:r>
      <w:r>
        <w:fldChar w:fldCharType="separate"/>
      </w:r>
      <w:r>
        <w:t>45</w:t>
      </w:r>
      <w:r>
        <w:fldChar w:fldCharType="end"/>
      </w:r>
    </w:p>
    <w:p>
      <w:pPr>
        <w:pStyle w:val="TOC8"/>
        <w:rPr>
          <w:rFonts w:asciiTheme="minorHAnsi" w:eastAsiaTheme="minorEastAsia" w:hAnsiTheme="minorHAnsi" w:cstheme="minorBidi"/>
          <w:szCs w:val="22"/>
        </w:rPr>
      </w:pPr>
      <w:r>
        <w:t>33ZJ.</w:t>
      </w:r>
      <w:r>
        <w:tab/>
        <w:t>Proceedings on appeal</w:t>
      </w:r>
      <w:r>
        <w:tab/>
      </w:r>
      <w:r>
        <w:fldChar w:fldCharType="begin"/>
      </w:r>
      <w:r>
        <w:instrText xml:space="preserve"> PAGEREF _Toc91142152 \h </w:instrText>
      </w:r>
      <w:r>
        <w:fldChar w:fldCharType="separate"/>
      </w:r>
      <w:r>
        <w:t>46</w:t>
      </w:r>
      <w:r>
        <w:fldChar w:fldCharType="end"/>
      </w:r>
    </w:p>
    <w:p>
      <w:pPr>
        <w:pStyle w:val="TOC8"/>
        <w:rPr>
          <w:rFonts w:asciiTheme="minorHAnsi" w:eastAsiaTheme="minorEastAsia" w:hAnsiTheme="minorHAnsi" w:cstheme="minorBidi"/>
          <w:szCs w:val="22"/>
        </w:rPr>
      </w:pPr>
      <w:r>
        <w:t>33ZK.</w:t>
      </w:r>
      <w:r>
        <w:tab/>
        <w:t>New evidence on appeal</w:t>
      </w:r>
      <w:r>
        <w:tab/>
      </w:r>
      <w:r>
        <w:fldChar w:fldCharType="begin"/>
      </w:r>
      <w:r>
        <w:instrText xml:space="preserve"> PAGEREF _Toc91142153 \h </w:instrText>
      </w:r>
      <w:r>
        <w:fldChar w:fldCharType="separate"/>
      </w:r>
      <w:r>
        <w:t>47</w:t>
      </w:r>
      <w:r>
        <w:fldChar w:fldCharType="end"/>
      </w:r>
    </w:p>
    <w:p>
      <w:pPr>
        <w:pStyle w:val="TOC8"/>
        <w:rPr>
          <w:rFonts w:asciiTheme="minorHAnsi" w:eastAsiaTheme="minorEastAsia" w:hAnsiTheme="minorHAnsi" w:cstheme="minorBidi"/>
          <w:szCs w:val="22"/>
        </w:rPr>
      </w:pPr>
      <w:r>
        <w:lastRenderedPageBreak/>
        <w:t>33ZL.</w:t>
      </w:r>
      <w:r>
        <w:tab/>
        <w:t xml:space="preserve">Application of </w:t>
      </w:r>
      <w:r>
        <w:rPr>
          <w:i/>
        </w:rPr>
        <w:t>Industrial Relations Act 1979</w:t>
      </w:r>
      <w:r>
        <w:t xml:space="preserve"> to the appeal</w:t>
      </w:r>
      <w:r>
        <w:tab/>
      </w:r>
      <w:r>
        <w:fldChar w:fldCharType="begin"/>
      </w:r>
      <w:r>
        <w:instrText xml:space="preserve"> PAGEREF _Toc91142154 \h </w:instrText>
      </w:r>
      <w:r>
        <w:fldChar w:fldCharType="separate"/>
      </w:r>
      <w:r>
        <w:t>49</w:t>
      </w:r>
      <w:r>
        <w:fldChar w:fldCharType="end"/>
      </w:r>
    </w:p>
    <w:p>
      <w:pPr>
        <w:pStyle w:val="TOC8"/>
        <w:rPr>
          <w:rFonts w:asciiTheme="minorHAnsi" w:eastAsiaTheme="minorEastAsia" w:hAnsiTheme="minorHAnsi" w:cstheme="minorBidi"/>
          <w:szCs w:val="22"/>
        </w:rPr>
      </w:pPr>
      <w:r>
        <w:t>33ZM.</w:t>
      </w:r>
      <w:r>
        <w:tab/>
        <w:t>Decision by the WAIRC</w:t>
      </w:r>
      <w:r>
        <w:tab/>
      </w:r>
      <w:r>
        <w:fldChar w:fldCharType="begin"/>
      </w:r>
      <w:r>
        <w:instrText xml:space="preserve"> PAGEREF _Toc91142155 \h </w:instrText>
      </w:r>
      <w:r>
        <w:fldChar w:fldCharType="separate"/>
      </w:r>
      <w:r>
        <w:t>52</w:t>
      </w:r>
      <w:r>
        <w:fldChar w:fldCharType="end"/>
      </w:r>
    </w:p>
    <w:p>
      <w:pPr>
        <w:pStyle w:val="TOC8"/>
        <w:rPr>
          <w:rFonts w:asciiTheme="minorHAnsi" w:eastAsiaTheme="minorEastAsia" w:hAnsiTheme="minorHAnsi" w:cstheme="minorBidi"/>
          <w:szCs w:val="22"/>
        </w:rPr>
      </w:pPr>
      <w:r>
        <w:t>33ZN.</w:t>
      </w:r>
      <w:r>
        <w:tab/>
        <w:t>Restriction on publication</w:t>
      </w:r>
      <w:r>
        <w:tab/>
      </w:r>
      <w:r>
        <w:fldChar w:fldCharType="begin"/>
      </w:r>
      <w:r>
        <w:instrText xml:space="preserve"> PAGEREF _Toc91142156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33ZO.</w:t>
      </w:r>
      <w:r>
        <w:tab/>
        <w:t>Failure to comply with procedure</w:t>
      </w:r>
      <w:r>
        <w:tab/>
      </w:r>
      <w:r>
        <w:fldChar w:fldCharType="begin"/>
      </w:r>
      <w:r>
        <w:instrText xml:space="preserve"> PAGEREF _Toc91142158 \h </w:instrText>
      </w:r>
      <w:r>
        <w:fldChar w:fldCharType="separate"/>
      </w:r>
      <w:r>
        <w:t>54</w:t>
      </w:r>
      <w:r>
        <w:fldChar w:fldCharType="end"/>
      </w:r>
    </w:p>
    <w:p>
      <w:pPr>
        <w:pStyle w:val="TOC8"/>
        <w:rPr>
          <w:rFonts w:asciiTheme="minorHAnsi" w:eastAsiaTheme="minorEastAsia" w:hAnsiTheme="minorHAnsi" w:cstheme="minorBidi"/>
          <w:szCs w:val="22"/>
        </w:rPr>
      </w:pPr>
      <w:r>
        <w:t>33ZP.</w:t>
      </w:r>
      <w:r>
        <w:tab/>
        <w:t>Transfer, standing down and leave of member</w:t>
      </w:r>
      <w:r>
        <w:tab/>
      </w:r>
      <w:r>
        <w:fldChar w:fldCharType="begin"/>
      </w:r>
      <w:r>
        <w:instrText xml:space="preserve"> PAGEREF _Toc91142159 \h </w:instrText>
      </w:r>
      <w:r>
        <w:fldChar w:fldCharType="separate"/>
      </w:r>
      <w:r>
        <w:t>54</w:t>
      </w:r>
      <w:r>
        <w:fldChar w:fldCharType="end"/>
      </w:r>
    </w:p>
    <w:p>
      <w:pPr>
        <w:pStyle w:val="TOC8"/>
        <w:rPr>
          <w:rFonts w:asciiTheme="minorHAnsi" w:eastAsiaTheme="minorEastAsia" w:hAnsiTheme="minorHAnsi" w:cstheme="minorBidi"/>
          <w:szCs w:val="22"/>
        </w:rPr>
      </w:pPr>
      <w:r>
        <w:t>33ZQ.</w:t>
      </w:r>
      <w:r>
        <w:tab/>
        <w:t>Transitional provision</w:t>
      </w:r>
      <w:r>
        <w:tab/>
      </w:r>
      <w:r>
        <w:fldChar w:fldCharType="begin"/>
      </w:r>
      <w:r>
        <w:instrText xml:space="preserve"> PAGEREF _Toc91142160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2D — Compensation scheme for medically retired members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33ZR.</w:t>
      </w:r>
      <w:r>
        <w:tab/>
        <w:t>Summary of Part</w:t>
      </w:r>
      <w:r>
        <w:tab/>
      </w:r>
      <w:r>
        <w:fldChar w:fldCharType="begin"/>
      </w:r>
      <w:r>
        <w:instrText xml:space="preserve"> PAGEREF _Toc91142163 \h </w:instrText>
      </w:r>
      <w:r>
        <w:fldChar w:fldCharType="separate"/>
      </w:r>
      <w:r>
        <w:t>57</w:t>
      </w:r>
      <w:r>
        <w:fldChar w:fldCharType="end"/>
      </w:r>
    </w:p>
    <w:p>
      <w:pPr>
        <w:pStyle w:val="TOC8"/>
        <w:rPr>
          <w:rFonts w:asciiTheme="minorHAnsi" w:eastAsiaTheme="minorEastAsia" w:hAnsiTheme="minorHAnsi" w:cstheme="minorBidi"/>
          <w:szCs w:val="22"/>
        </w:rPr>
      </w:pPr>
      <w:r>
        <w:t>33ZS.</w:t>
      </w:r>
      <w:r>
        <w:tab/>
        <w:t>Terms used</w:t>
      </w:r>
      <w:r>
        <w:tab/>
      </w:r>
      <w:r>
        <w:fldChar w:fldCharType="begin"/>
      </w:r>
      <w:r>
        <w:instrText xml:space="preserve"> PAGEREF _Toc91142164 \h </w:instrText>
      </w:r>
      <w:r>
        <w:fldChar w:fldCharType="separate"/>
      </w:r>
      <w:r>
        <w:t>57</w:t>
      </w:r>
      <w:r>
        <w:fldChar w:fldCharType="end"/>
      </w:r>
    </w:p>
    <w:p>
      <w:pPr>
        <w:pStyle w:val="TOC8"/>
        <w:rPr>
          <w:rFonts w:asciiTheme="minorHAnsi" w:eastAsiaTheme="minorEastAsia" w:hAnsiTheme="minorHAnsi" w:cstheme="minorBidi"/>
          <w:szCs w:val="22"/>
        </w:rPr>
      </w:pPr>
      <w:r>
        <w:t>33ZT.</w:t>
      </w:r>
      <w:r>
        <w:tab/>
        <w:t>No effect on other entitlements</w:t>
      </w:r>
      <w:r>
        <w:tab/>
      </w:r>
      <w:r>
        <w:fldChar w:fldCharType="begin"/>
      </w:r>
      <w:r>
        <w:instrText xml:space="preserve"> PAGEREF _Toc91142165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Compensation scheme</w:t>
      </w:r>
    </w:p>
    <w:p>
      <w:pPr>
        <w:pStyle w:val="TOC8"/>
        <w:rPr>
          <w:rFonts w:asciiTheme="minorHAnsi" w:eastAsiaTheme="minorEastAsia" w:hAnsiTheme="minorHAnsi" w:cstheme="minorBidi"/>
          <w:szCs w:val="22"/>
        </w:rPr>
      </w:pPr>
      <w:r>
        <w:t>33ZU.</w:t>
      </w:r>
      <w:r>
        <w:tab/>
        <w:t>Application of compensation scheme</w:t>
      </w:r>
      <w:r>
        <w:tab/>
      </w:r>
      <w:r>
        <w:fldChar w:fldCharType="begin"/>
      </w:r>
      <w:r>
        <w:instrText xml:space="preserve"> PAGEREF _Toc91142167 \h </w:instrText>
      </w:r>
      <w:r>
        <w:fldChar w:fldCharType="separate"/>
      </w:r>
      <w:r>
        <w:t>60</w:t>
      </w:r>
      <w:r>
        <w:fldChar w:fldCharType="end"/>
      </w:r>
    </w:p>
    <w:p>
      <w:pPr>
        <w:pStyle w:val="TOC8"/>
        <w:rPr>
          <w:rFonts w:asciiTheme="minorHAnsi" w:eastAsiaTheme="minorEastAsia" w:hAnsiTheme="minorHAnsi" w:cstheme="minorBidi"/>
          <w:szCs w:val="22"/>
        </w:rPr>
      </w:pPr>
      <w:r>
        <w:t>33ZV.</w:t>
      </w:r>
      <w:r>
        <w:tab/>
        <w:t>Police Commissioner to pay compensation</w:t>
      </w:r>
      <w:r>
        <w:tab/>
      </w:r>
      <w:r>
        <w:fldChar w:fldCharType="begin"/>
      </w:r>
      <w:r>
        <w:instrText xml:space="preserve"> PAGEREF _Toc91142168 \h </w:instrText>
      </w:r>
      <w:r>
        <w:fldChar w:fldCharType="separate"/>
      </w:r>
      <w:r>
        <w:t>61</w:t>
      </w:r>
      <w:r>
        <w:fldChar w:fldCharType="end"/>
      </w:r>
    </w:p>
    <w:p>
      <w:pPr>
        <w:pStyle w:val="TOC8"/>
        <w:rPr>
          <w:rFonts w:asciiTheme="minorHAnsi" w:eastAsiaTheme="minorEastAsia" w:hAnsiTheme="minorHAnsi" w:cstheme="minorBidi"/>
          <w:szCs w:val="22"/>
        </w:rPr>
      </w:pPr>
      <w:r>
        <w:t>33ZW.</w:t>
      </w:r>
      <w:r>
        <w:tab/>
        <w:t>Compensation for permanent impairment</w:t>
      </w:r>
      <w:r>
        <w:tab/>
      </w:r>
      <w:r>
        <w:fldChar w:fldCharType="begin"/>
      </w:r>
      <w:r>
        <w:instrText xml:space="preserve"> PAGEREF _Toc91142169 \h </w:instrText>
      </w:r>
      <w:r>
        <w:fldChar w:fldCharType="separate"/>
      </w:r>
      <w:r>
        <w:t>62</w:t>
      </w:r>
      <w:r>
        <w:fldChar w:fldCharType="end"/>
      </w:r>
    </w:p>
    <w:p>
      <w:pPr>
        <w:pStyle w:val="TOC8"/>
        <w:rPr>
          <w:rFonts w:asciiTheme="minorHAnsi" w:eastAsiaTheme="minorEastAsia" w:hAnsiTheme="minorHAnsi" w:cstheme="minorBidi"/>
          <w:szCs w:val="22"/>
        </w:rPr>
      </w:pPr>
      <w:r>
        <w:t>33ZX.</w:t>
      </w:r>
      <w:r>
        <w:tab/>
        <w:t>Noise induced hearing loss</w:t>
      </w:r>
      <w:r>
        <w:tab/>
      </w:r>
      <w:r>
        <w:fldChar w:fldCharType="begin"/>
      </w:r>
      <w:r>
        <w:instrText xml:space="preserve"> PAGEREF _Toc91142170 \h </w:instrText>
      </w:r>
      <w:r>
        <w:fldChar w:fldCharType="separate"/>
      </w:r>
      <w:r>
        <w:t>64</w:t>
      </w:r>
      <w:r>
        <w:fldChar w:fldCharType="end"/>
      </w:r>
    </w:p>
    <w:p>
      <w:pPr>
        <w:pStyle w:val="TOC8"/>
        <w:rPr>
          <w:rFonts w:asciiTheme="minorHAnsi" w:eastAsiaTheme="minorEastAsia" w:hAnsiTheme="minorHAnsi" w:cstheme="minorBidi"/>
          <w:szCs w:val="22"/>
        </w:rPr>
      </w:pPr>
      <w:r>
        <w:t>33ZY.</w:t>
      </w:r>
      <w:r>
        <w:tab/>
        <w:t>AIDS</w:t>
      </w:r>
      <w:r>
        <w:tab/>
      </w:r>
      <w:r>
        <w:fldChar w:fldCharType="begin"/>
      </w:r>
      <w:r>
        <w:instrText xml:space="preserve"> PAGEREF _Toc91142171 \h </w:instrText>
      </w:r>
      <w:r>
        <w:fldChar w:fldCharType="separate"/>
      </w:r>
      <w:r>
        <w:t>65</w:t>
      </w:r>
      <w:r>
        <w:fldChar w:fldCharType="end"/>
      </w:r>
    </w:p>
    <w:p>
      <w:pPr>
        <w:pStyle w:val="TOC8"/>
        <w:rPr>
          <w:rFonts w:asciiTheme="minorHAnsi" w:eastAsiaTheme="minorEastAsia" w:hAnsiTheme="minorHAnsi" w:cstheme="minorBidi"/>
          <w:szCs w:val="22"/>
        </w:rPr>
      </w:pPr>
      <w:r>
        <w:t>33ZZ.</w:t>
      </w:r>
      <w:r>
        <w:tab/>
        <w:t>Compensation for permanent total incapacity for work</w:t>
      </w:r>
      <w:r>
        <w:tab/>
      </w:r>
      <w:r>
        <w:fldChar w:fldCharType="begin"/>
      </w:r>
      <w:r>
        <w:instrText xml:space="preserve"> PAGEREF _Toc91142172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Dispute resolution</w:t>
      </w:r>
    </w:p>
    <w:p>
      <w:pPr>
        <w:pStyle w:val="TOC6"/>
        <w:tabs>
          <w:tab w:val="right" w:leader="dot" w:pos="7077"/>
        </w:tabs>
        <w:rPr>
          <w:rFonts w:asciiTheme="minorHAnsi" w:eastAsiaTheme="minorEastAsia" w:hAnsiTheme="minorHAnsi" w:cstheme="minorBidi"/>
          <w:b w:val="0"/>
          <w:sz w:val="22"/>
          <w:szCs w:val="22"/>
        </w:rPr>
      </w:pPr>
      <w:r>
        <w:t>Subdivision 1 — Police Compensation Tribunal</w:t>
      </w:r>
    </w:p>
    <w:p>
      <w:pPr>
        <w:pStyle w:val="TOC8"/>
        <w:rPr>
          <w:rFonts w:asciiTheme="minorHAnsi" w:eastAsiaTheme="minorEastAsia" w:hAnsiTheme="minorHAnsi" w:cstheme="minorBidi"/>
          <w:szCs w:val="22"/>
        </w:rPr>
      </w:pPr>
      <w:r>
        <w:t>33ZZA.</w:t>
      </w:r>
      <w:r>
        <w:tab/>
        <w:t>Establishment and jurisdiction</w:t>
      </w:r>
      <w:r>
        <w:tab/>
      </w:r>
      <w:r>
        <w:fldChar w:fldCharType="begin"/>
      </w:r>
      <w:r>
        <w:instrText xml:space="preserve"> PAGEREF _Toc91142175 \h </w:instrText>
      </w:r>
      <w:r>
        <w:fldChar w:fldCharType="separate"/>
      </w:r>
      <w:r>
        <w:t>68</w:t>
      </w:r>
      <w:r>
        <w:fldChar w:fldCharType="end"/>
      </w:r>
    </w:p>
    <w:p>
      <w:pPr>
        <w:pStyle w:val="TOC8"/>
        <w:rPr>
          <w:rFonts w:asciiTheme="minorHAnsi" w:eastAsiaTheme="minorEastAsia" w:hAnsiTheme="minorHAnsi" w:cstheme="minorBidi"/>
          <w:szCs w:val="22"/>
        </w:rPr>
      </w:pPr>
      <w:r>
        <w:t>33ZZB.</w:t>
      </w:r>
      <w:r>
        <w:tab/>
        <w:t>Lodgment of disputes</w:t>
      </w:r>
      <w:r>
        <w:tab/>
      </w:r>
      <w:r>
        <w:fldChar w:fldCharType="begin"/>
      </w:r>
      <w:r>
        <w:instrText xml:space="preserve"> PAGEREF _Toc91142176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Proceedings for dispute</w:t>
      </w:r>
    </w:p>
    <w:p>
      <w:pPr>
        <w:pStyle w:val="TOC8"/>
        <w:rPr>
          <w:rFonts w:asciiTheme="minorHAnsi" w:eastAsiaTheme="minorEastAsia" w:hAnsiTheme="minorHAnsi" w:cstheme="minorBidi"/>
          <w:szCs w:val="22"/>
        </w:rPr>
      </w:pPr>
      <w:r>
        <w:t>33ZZC.</w:t>
      </w:r>
      <w:r>
        <w:tab/>
        <w:t>Tribunal must deal with disputes lodged with it</w:t>
      </w:r>
      <w:r>
        <w:tab/>
      </w:r>
      <w:r>
        <w:fldChar w:fldCharType="begin"/>
      </w:r>
      <w:r>
        <w:instrText xml:space="preserve"> PAGEREF _Toc91142178 \h </w:instrText>
      </w:r>
      <w:r>
        <w:fldChar w:fldCharType="separate"/>
      </w:r>
      <w:r>
        <w:t>71</w:t>
      </w:r>
      <w:r>
        <w:fldChar w:fldCharType="end"/>
      </w:r>
    </w:p>
    <w:p>
      <w:pPr>
        <w:pStyle w:val="TOC8"/>
        <w:rPr>
          <w:rFonts w:asciiTheme="minorHAnsi" w:eastAsiaTheme="minorEastAsia" w:hAnsiTheme="minorHAnsi" w:cstheme="minorBidi"/>
          <w:szCs w:val="22"/>
        </w:rPr>
      </w:pPr>
      <w:r>
        <w:t>33ZZD.</w:t>
      </w:r>
      <w:r>
        <w:tab/>
        <w:t>Application of provisions of IR Act</w:t>
      </w:r>
      <w:r>
        <w:tab/>
      </w:r>
      <w:r>
        <w:fldChar w:fldCharType="begin"/>
      </w:r>
      <w:r>
        <w:instrText xml:space="preserve"> PAGEREF _Toc91142179 \h </w:instrText>
      </w:r>
      <w:r>
        <w:fldChar w:fldCharType="separate"/>
      </w:r>
      <w:r>
        <w:t>71</w:t>
      </w:r>
      <w:r>
        <w:fldChar w:fldCharType="end"/>
      </w:r>
    </w:p>
    <w:p>
      <w:pPr>
        <w:pStyle w:val="TOC8"/>
        <w:rPr>
          <w:rFonts w:asciiTheme="minorHAnsi" w:eastAsiaTheme="minorEastAsia" w:hAnsiTheme="minorHAnsi" w:cstheme="minorBidi"/>
          <w:szCs w:val="22"/>
        </w:rPr>
      </w:pPr>
      <w:r>
        <w:t>33ZZE.</w:t>
      </w:r>
      <w:r>
        <w:tab/>
        <w:t>Parties and representation</w:t>
      </w:r>
      <w:r>
        <w:tab/>
      </w:r>
      <w:r>
        <w:fldChar w:fldCharType="begin"/>
      </w:r>
      <w:r>
        <w:instrText xml:space="preserve"> PAGEREF _Toc91142180 \h </w:instrText>
      </w:r>
      <w:r>
        <w:fldChar w:fldCharType="separate"/>
      </w:r>
      <w:r>
        <w:t>72</w:t>
      </w:r>
      <w:r>
        <w:fldChar w:fldCharType="end"/>
      </w:r>
    </w:p>
    <w:p>
      <w:pPr>
        <w:pStyle w:val="TOC8"/>
        <w:rPr>
          <w:rFonts w:asciiTheme="minorHAnsi" w:eastAsiaTheme="minorEastAsia" w:hAnsiTheme="minorHAnsi" w:cstheme="minorBidi"/>
          <w:szCs w:val="22"/>
        </w:rPr>
      </w:pPr>
      <w:r>
        <w:t>33ZZF.</w:t>
      </w:r>
      <w:r>
        <w:tab/>
        <w:t>Conciliation</w:t>
      </w:r>
      <w:r>
        <w:tab/>
      </w:r>
      <w:r>
        <w:fldChar w:fldCharType="begin"/>
      </w:r>
      <w:r>
        <w:instrText xml:space="preserve"> PAGEREF _Toc91142181 \h </w:instrText>
      </w:r>
      <w:r>
        <w:fldChar w:fldCharType="separate"/>
      </w:r>
      <w:r>
        <w:t>73</w:t>
      </w:r>
      <w:r>
        <w:fldChar w:fldCharType="end"/>
      </w:r>
    </w:p>
    <w:p>
      <w:pPr>
        <w:pStyle w:val="TOC8"/>
        <w:rPr>
          <w:rFonts w:asciiTheme="minorHAnsi" w:eastAsiaTheme="minorEastAsia" w:hAnsiTheme="minorHAnsi" w:cstheme="minorBidi"/>
          <w:szCs w:val="22"/>
        </w:rPr>
      </w:pPr>
      <w:r>
        <w:t>33ZZG.</w:t>
      </w:r>
      <w:r>
        <w:tab/>
        <w:t>Compulsory attendance at conciliation</w:t>
      </w:r>
      <w:r>
        <w:tab/>
      </w:r>
      <w:r>
        <w:fldChar w:fldCharType="begin"/>
      </w:r>
      <w:r>
        <w:instrText xml:space="preserve"> PAGEREF _Toc91142182 \h </w:instrText>
      </w:r>
      <w:r>
        <w:fldChar w:fldCharType="separate"/>
      </w:r>
      <w:r>
        <w:t>74</w:t>
      </w:r>
      <w:r>
        <w:fldChar w:fldCharType="end"/>
      </w:r>
    </w:p>
    <w:p>
      <w:pPr>
        <w:pStyle w:val="TOC8"/>
        <w:rPr>
          <w:rFonts w:asciiTheme="minorHAnsi" w:eastAsiaTheme="minorEastAsia" w:hAnsiTheme="minorHAnsi" w:cstheme="minorBidi"/>
          <w:szCs w:val="22"/>
        </w:rPr>
      </w:pPr>
      <w:r>
        <w:t>33ZZH.</w:t>
      </w:r>
      <w:r>
        <w:tab/>
        <w:t>Arbitration</w:t>
      </w:r>
      <w:r>
        <w:tab/>
      </w:r>
      <w:r>
        <w:fldChar w:fldCharType="begin"/>
      </w:r>
      <w:r>
        <w:instrText xml:space="preserve"> PAGEREF _Toc91142183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 — Regulations</w:t>
      </w:r>
    </w:p>
    <w:p>
      <w:pPr>
        <w:pStyle w:val="TOC8"/>
        <w:rPr>
          <w:rFonts w:asciiTheme="minorHAnsi" w:eastAsiaTheme="minorEastAsia" w:hAnsiTheme="minorHAnsi" w:cstheme="minorBidi"/>
          <w:szCs w:val="22"/>
        </w:rPr>
      </w:pPr>
      <w:r>
        <w:t>33ZZI.</w:t>
      </w:r>
      <w:r>
        <w:tab/>
        <w:t>Regulations under section 138A may make provision for purposes of Part</w:t>
      </w:r>
      <w:r>
        <w:tab/>
      </w:r>
      <w:r>
        <w:fldChar w:fldCharType="begin"/>
      </w:r>
      <w:r>
        <w:instrText xml:space="preserve"> PAGEREF _Toc91142185 \h </w:instrText>
      </w:r>
      <w:r>
        <w:fldChar w:fldCharType="separate"/>
      </w:r>
      <w:r>
        <w:t>78</w:t>
      </w:r>
      <w:r>
        <w:fldChar w:fldCharType="end"/>
      </w:r>
    </w:p>
    <w:p>
      <w:pPr>
        <w:pStyle w:val="TOC8"/>
        <w:rPr>
          <w:rFonts w:asciiTheme="minorHAnsi" w:eastAsiaTheme="minorEastAsia" w:hAnsiTheme="minorHAnsi" w:cstheme="minorBidi"/>
          <w:szCs w:val="22"/>
        </w:rPr>
      </w:pPr>
      <w:r>
        <w:t>33ZZJ.</w:t>
      </w:r>
      <w:r>
        <w:tab/>
        <w:t>IR regulations</w:t>
      </w:r>
      <w:r>
        <w:tab/>
      </w:r>
      <w:r>
        <w:fldChar w:fldCharType="begin"/>
      </w:r>
      <w:r>
        <w:instrText xml:space="preserve"> PAGEREF _Toc91142186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Special constables</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_Toc91142188 \h </w:instrText>
      </w:r>
      <w:r>
        <w:fldChar w:fldCharType="separate"/>
      </w:r>
      <w:r>
        <w:t>81</w:t>
      </w:r>
      <w:r>
        <w:fldChar w:fldCharType="end"/>
      </w:r>
    </w:p>
    <w:p>
      <w:pPr>
        <w:pStyle w:val="TOC8"/>
        <w:rPr>
          <w:rFonts w:asciiTheme="minorHAnsi" w:eastAsiaTheme="minorEastAsia" w:hAnsiTheme="minorHAnsi" w:cstheme="minorBidi"/>
          <w:szCs w:val="22"/>
        </w:rPr>
      </w:pPr>
      <w:r>
        <w:t>35.</w:t>
      </w:r>
      <w:r>
        <w:tab/>
        <w:t>Appointing and terminating special constables</w:t>
      </w:r>
      <w:r>
        <w:tab/>
      </w:r>
      <w:r>
        <w:fldChar w:fldCharType="begin"/>
      </w:r>
      <w:r>
        <w:instrText xml:space="preserve"> PAGEREF _Toc91142189 \h </w:instrText>
      </w:r>
      <w:r>
        <w:fldChar w:fldCharType="separate"/>
      </w:r>
      <w:r>
        <w:t>81</w:t>
      </w:r>
      <w:r>
        <w:fldChar w:fldCharType="end"/>
      </w:r>
    </w:p>
    <w:p>
      <w:pPr>
        <w:pStyle w:val="TOC8"/>
        <w:rPr>
          <w:rFonts w:asciiTheme="minorHAnsi" w:eastAsiaTheme="minorEastAsia" w:hAnsiTheme="minorHAnsi" w:cstheme="minorBidi"/>
          <w:szCs w:val="22"/>
        </w:rPr>
      </w:pPr>
      <w:r>
        <w:t>36.</w:t>
      </w:r>
      <w:r>
        <w:tab/>
        <w:t>Functions of special constables</w:t>
      </w:r>
      <w:r>
        <w:tab/>
      </w:r>
      <w:r>
        <w:fldChar w:fldCharType="begin"/>
      </w:r>
      <w:r>
        <w:instrText xml:space="preserve"> PAGEREF _Toc91142190 \h </w:instrText>
      </w:r>
      <w:r>
        <w:fldChar w:fldCharType="separate"/>
      </w:r>
      <w:r>
        <w:t>82</w:t>
      </w:r>
      <w:r>
        <w:fldChar w:fldCharType="end"/>
      </w:r>
    </w:p>
    <w:p>
      <w:pPr>
        <w:pStyle w:val="TOC8"/>
        <w:rPr>
          <w:rFonts w:asciiTheme="minorHAnsi" w:eastAsiaTheme="minorEastAsia" w:hAnsiTheme="minorHAnsi" w:cstheme="minorBidi"/>
          <w:szCs w:val="22"/>
        </w:rPr>
      </w:pPr>
      <w:r>
        <w:t>37.</w:t>
      </w:r>
      <w:r>
        <w:tab/>
        <w:t>Special constables not in the Police Force</w:t>
      </w:r>
      <w:r>
        <w:tab/>
      </w:r>
      <w:r>
        <w:fldChar w:fldCharType="begin"/>
      </w:r>
      <w:r>
        <w:instrText xml:space="preserve"> PAGEREF _Toc91142191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IIIA</w:t>
      </w:r>
      <w:r>
        <w:rPr>
          <w:b w:val="0"/>
        </w:rPr>
        <w:t> </w:t>
      </w:r>
      <w:r>
        <w:t>—</w:t>
      </w:r>
      <w:r>
        <w:rPr>
          <w:b w:val="0"/>
        </w:rPr>
        <w:t> </w:t>
      </w:r>
      <w:r>
        <w:t>Aboriginal police liaison officers</w:t>
      </w:r>
    </w:p>
    <w:p>
      <w:pPr>
        <w:pStyle w:val="TOC8"/>
        <w:rPr>
          <w:rFonts w:asciiTheme="minorHAnsi" w:eastAsiaTheme="minorEastAsia" w:hAnsiTheme="minorHAnsi" w:cstheme="minorBidi"/>
          <w:szCs w:val="22"/>
        </w:rPr>
      </w:pPr>
      <w:r>
        <w:t>38A.</w:t>
      </w:r>
      <w:r>
        <w:tab/>
        <w:t>Terms used</w:t>
      </w:r>
      <w:r>
        <w:tab/>
      </w:r>
      <w:r>
        <w:fldChar w:fldCharType="begin"/>
      </w:r>
      <w:r>
        <w:instrText xml:space="preserve"> PAGEREF _Toc91142193 \h </w:instrText>
      </w:r>
      <w:r>
        <w:fldChar w:fldCharType="separate"/>
      </w:r>
      <w:r>
        <w:t>85</w:t>
      </w:r>
      <w:r>
        <w:fldChar w:fldCharType="end"/>
      </w:r>
    </w:p>
    <w:p>
      <w:pPr>
        <w:pStyle w:val="TOC8"/>
        <w:rPr>
          <w:rFonts w:asciiTheme="minorHAnsi" w:eastAsiaTheme="minorEastAsia" w:hAnsiTheme="minorHAnsi" w:cstheme="minorBidi"/>
          <w:szCs w:val="22"/>
        </w:rPr>
      </w:pPr>
      <w:r>
        <w:t>38B.</w:t>
      </w:r>
      <w:r>
        <w:tab/>
        <w:t>Appointing and terminating Aboriginal police liaison officers</w:t>
      </w:r>
      <w:r>
        <w:tab/>
      </w:r>
      <w:r>
        <w:fldChar w:fldCharType="begin"/>
      </w:r>
      <w:r>
        <w:instrText xml:space="preserve"> PAGEREF _Toc91142194 \h </w:instrText>
      </w:r>
      <w:r>
        <w:fldChar w:fldCharType="separate"/>
      </w:r>
      <w:r>
        <w:t>85</w:t>
      </w:r>
      <w:r>
        <w:fldChar w:fldCharType="end"/>
      </w:r>
    </w:p>
    <w:p>
      <w:pPr>
        <w:pStyle w:val="TOC8"/>
        <w:rPr>
          <w:rFonts w:asciiTheme="minorHAnsi" w:eastAsiaTheme="minorEastAsia" w:hAnsiTheme="minorHAnsi" w:cstheme="minorBidi"/>
          <w:szCs w:val="22"/>
        </w:rPr>
      </w:pPr>
      <w:r>
        <w:t>38C.</w:t>
      </w:r>
      <w:r>
        <w:tab/>
        <w:t>Functions of APLOs</w:t>
      </w:r>
      <w:r>
        <w:tab/>
      </w:r>
      <w:r>
        <w:fldChar w:fldCharType="begin"/>
      </w:r>
      <w:r>
        <w:instrText xml:space="preserve"> PAGEREF _Toc91142195 \h </w:instrText>
      </w:r>
      <w:r>
        <w:fldChar w:fldCharType="separate"/>
      </w:r>
      <w:r>
        <w:t>86</w:t>
      </w:r>
      <w:r>
        <w:fldChar w:fldCharType="end"/>
      </w:r>
    </w:p>
    <w:p>
      <w:pPr>
        <w:pStyle w:val="TOC8"/>
        <w:rPr>
          <w:rFonts w:asciiTheme="minorHAnsi" w:eastAsiaTheme="minorEastAsia" w:hAnsiTheme="minorHAnsi" w:cstheme="minorBidi"/>
          <w:szCs w:val="22"/>
        </w:rPr>
      </w:pPr>
      <w:r>
        <w:t>38D.</w:t>
      </w:r>
      <w:r>
        <w:tab/>
        <w:t>APLOs not in the Police Force</w:t>
      </w:r>
      <w:r>
        <w:tab/>
      </w:r>
      <w:r>
        <w:fldChar w:fldCharType="begin"/>
      </w:r>
      <w:r>
        <w:instrText xml:space="preserve"> PAGEREF _Toc91142196 \h </w:instrText>
      </w:r>
      <w:r>
        <w:fldChar w:fldCharType="separate"/>
      </w:r>
      <w:r>
        <w:t>87</w:t>
      </w:r>
      <w:r>
        <w:fldChar w:fldCharType="end"/>
      </w:r>
    </w:p>
    <w:p>
      <w:pPr>
        <w:pStyle w:val="TOC8"/>
        <w:rPr>
          <w:rFonts w:asciiTheme="minorHAnsi" w:eastAsiaTheme="minorEastAsia" w:hAnsiTheme="minorHAnsi" w:cstheme="minorBidi"/>
          <w:szCs w:val="22"/>
        </w:rPr>
      </w:pPr>
      <w:r>
        <w:t>38E.</w:t>
      </w:r>
      <w:r>
        <w:tab/>
        <w:t>Transitional</w:t>
      </w:r>
      <w:r>
        <w:tab/>
      </w:r>
      <w:r>
        <w:fldChar w:fldCharType="begin"/>
      </w:r>
      <w:r>
        <w:instrText xml:space="preserve"> PAGEREF _Toc91142197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IIIB</w:t>
      </w:r>
      <w:r>
        <w:rPr>
          <w:b w:val="0"/>
        </w:rPr>
        <w:t> </w:t>
      </w:r>
      <w:r>
        <w:t>—</w:t>
      </w:r>
      <w:r>
        <w:rPr>
          <w:b w:val="0"/>
        </w:rPr>
        <w:t> </w:t>
      </w:r>
      <w:r>
        <w:t>Police auxiliary officers</w:t>
      </w:r>
    </w:p>
    <w:p>
      <w:pPr>
        <w:pStyle w:val="TOC8"/>
        <w:rPr>
          <w:rFonts w:asciiTheme="minorHAnsi" w:eastAsiaTheme="minorEastAsia" w:hAnsiTheme="minorHAnsi" w:cstheme="minorBidi"/>
          <w:szCs w:val="22"/>
        </w:rPr>
      </w:pPr>
      <w:r>
        <w:t>38F.</w:t>
      </w:r>
      <w:r>
        <w:tab/>
        <w:t>Terms used</w:t>
      </w:r>
      <w:r>
        <w:tab/>
      </w:r>
      <w:r>
        <w:fldChar w:fldCharType="begin"/>
      </w:r>
      <w:r>
        <w:instrText xml:space="preserve"> PAGEREF _Toc91142199 \h </w:instrText>
      </w:r>
      <w:r>
        <w:fldChar w:fldCharType="separate"/>
      </w:r>
      <w:r>
        <w:t>89</w:t>
      </w:r>
      <w:r>
        <w:fldChar w:fldCharType="end"/>
      </w:r>
    </w:p>
    <w:p>
      <w:pPr>
        <w:pStyle w:val="TOC8"/>
        <w:rPr>
          <w:rFonts w:asciiTheme="minorHAnsi" w:eastAsiaTheme="minorEastAsia" w:hAnsiTheme="minorHAnsi" w:cstheme="minorBidi"/>
          <w:szCs w:val="22"/>
        </w:rPr>
      </w:pPr>
      <w:r>
        <w:t>38G.</w:t>
      </w:r>
      <w:r>
        <w:tab/>
        <w:t>Appointing police auxiliary officers</w:t>
      </w:r>
      <w:r>
        <w:tab/>
      </w:r>
      <w:r>
        <w:fldChar w:fldCharType="begin"/>
      </w:r>
      <w:r>
        <w:instrText xml:space="preserve"> PAGEREF _Toc91142200 \h </w:instrText>
      </w:r>
      <w:r>
        <w:fldChar w:fldCharType="separate"/>
      </w:r>
      <w:r>
        <w:t>89</w:t>
      </w:r>
      <w:r>
        <w:fldChar w:fldCharType="end"/>
      </w:r>
    </w:p>
    <w:p>
      <w:pPr>
        <w:pStyle w:val="TOC8"/>
        <w:rPr>
          <w:rFonts w:asciiTheme="minorHAnsi" w:eastAsiaTheme="minorEastAsia" w:hAnsiTheme="minorHAnsi" w:cstheme="minorBidi"/>
          <w:szCs w:val="22"/>
        </w:rPr>
      </w:pPr>
      <w:r>
        <w:t>38H.</w:t>
      </w:r>
      <w:r>
        <w:tab/>
        <w:t>Functions of police auxiliary officers</w:t>
      </w:r>
      <w:r>
        <w:tab/>
      </w:r>
      <w:r>
        <w:fldChar w:fldCharType="begin"/>
      </w:r>
      <w:r>
        <w:instrText xml:space="preserve"> PAGEREF _Toc91142201 \h </w:instrText>
      </w:r>
      <w:r>
        <w:fldChar w:fldCharType="separate"/>
      </w:r>
      <w:r>
        <w:t>90</w:t>
      </w:r>
      <w:r>
        <w:fldChar w:fldCharType="end"/>
      </w:r>
    </w:p>
    <w:p>
      <w:pPr>
        <w:pStyle w:val="TOC8"/>
        <w:rPr>
          <w:rFonts w:asciiTheme="minorHAnsi" w:eastAsiaTheme="minorEastAsia" w:hAnsiTheme="minorHAnsi" w:cstheme="minorBidi"/>
          <w:szCs w:val="22"/>
        </w:rPr>
      </w:pPr>
      <w:r>
        <w:t>38I.</w:t>
      </w:r>
      <w:r>
        <w:tab/>
        <w:t>Police auxiliary officers not in the Police Force</w:t>
      </w:r>
      <w:r>
        <w:tab/>
      </w:r>
      <w:r>
        <w:fldChar w:fldCharType="begin"/>
      </w:r>
      <w:r>
        <w:instrText xml:space="preserve"> PAGEREF _Toc91142202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IV — As to the establishment of Police Districts</w:t>
      </w:r>
    </w:p>
    <w:p>
      <w:pPr>
        <w:pStyle w:val="TOC8"/>
        <w:rPr>
          <w:rFonts w:asciiTheme="minorHAnsi" w:eastAsiaTheme="minorEastAsia" w:hAnsiTheme="minorHAnsi" w:cstheme="minorBidi"/>
          <w:szCs w:val="22"/>
        </w:rPr>
      </w:pPr>
      <w:r>
        <w:t>39</w:t>
      </w:r>
      <w:r>
        <w:rPr>
          <w:snapToGrid w:val="0"/>
        </w:rPr>
        <w:t>.</w:t>
      </w:r>
      <w:r>
        <w:rPr>
          <w:snapToGrid w:val="0"/>
        </w:rPr>
        <w:tab/>
        <w:t>Police Districts</w:t>
      </w:r>
      <w:r>
        <w:tab/>
      </w:r>
      <w:r>
        <w:fldChar w:fldCharType="begin"/>
      </w:r>
      <w:r>
        <w:instrText xml:space="preserve"> PAGEREF _Toc91142204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IVA — Use of police property in relation to advertising</w:t>
      </w:r>
    </w:p>
    <w:p>
      <w:pPr>
        <w:pStyle w:val="TOC8"/>
        <w:rPr>
          <w:rFonts w:asciiTheme="minorHAnsi" w:eastAsiaTheme="minorEastAsia" w:hAnsiTheme="minorHAnsi" w:cstheme="minorBidi"/>
          <w:szCs w:val="22"/>
        </w:rPr>
      </w:pPr>
      <w:r>
        <w:t>39A</w:t>
      </w:r>
      <w:r>
        <w:rPr>
          <w:snapToGrid w:val="0"/>
        </w:rPr>
        <w:t>.</w:t>
      </w:r>
      <w:r>
        <w:rPr>
          <w:snapToGrid w:val="0"/>
        </w:rPr>
        <w:tab/>
        <w:t>Terms used</w:t>
      </w:r>
      <w:r>
        <w:tab/>
      </w:r>
      <w:r>
        <w:fldChar w:fldCharType="begin"/>
      </w:r>
      <w:r>
        <w:instrText xml:space="preserve"> PAGEREF _Toc91142206 \h </w:instrText>
      </w:r>
      <w:r>
        <w:fldChar w:fldCharType="separate"/>
      </w:r>
      <w:r>
        <w:t>93</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Contracts for advertising using police property</w:t>
      </w:r>
      <w:r>
        <w:tab/>
      </w:r>
      <w:r>
        <w:fldChar w:fldCharType="begin"/>
      </w:r>
      <w:r>
        <w:instrText xml:space="preserve"> PAGEREF _Toc91142207 \h </w:instrText>
      </w:r>
      <w:r>
        <w:fldChar w:fldCharType="separate"/>
      </w:r>
      <w:r>
        <w:t>93</w:t>
      </w:r>
      <w:r>
        <w:fldChar w:fldCharType="end"/>
      </w:r>
    </w:p>
    <w:p>
      <w:pPr>
        <w:pStyle w:val="TOC8"/>
        <w:rPr>
          <w:rFonts w:asciiTheme="minorHAnsi" w:eastAsiaTheme="minorEastAsia" w:hAnsiTheme="minorHAnsi" w:cstheme="minorBidi"/>
          <w:szCs w:val="22"/>
        </w:rPr>
      </w:pPr>
      <w:r>
        <w:t>39C</w:t>
      </w:r>
      <w:r>
        <w:rPr>
          <w:snapToGrid w:val="0"/>
        </w:rPr>
        <w:t>.</w:t>
      </w:r>
      <w:r>
        <w:rPr>
          <w:snapToGrid w:val="0"/>
        </w:rPr>
        <w:tab/>
        <w:t>Financial provisions relating to contracts</w:t>
      </w:r>
      <w:r>
        <w:tab/>
      </w:r>
      <w:r>
        <w:fldChar w:fldCharType="begin"/>
      </w:r>
      <w:r>
        <w:instrText xml:space="preserve"> PAGEREF _Toc91142208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IVB — Charging for services at major events</w:t>
      </w:r>
    </w:p>
    <w:p>
      <w:pPr>
        <w:pStyle w:val="TOC8"/>
        <w:rPr>
          <w:rFonts w:asciiTheme="minorHAnsi" w:eastAsiaTheme="minorEastAsia" w:hAnsiTheme="minorHAnsi" w:cstheme="minorBidi"/>
          <w:szCs w:val="22"/>
        </w:rPr>
      </w:pPr>
      <w:r>
        <w:t>39D.</w:t>
      </w:r>
      <w:r>
        <w:tab/>
        <w:t>Purpose of this Part</w:t>
      </w:r>
      <w:r>
        <w:tab/>
      </w:r>
      <w:r>
        <w:fldChar w:fldCharType="begin"/>
      </w:r>
      <w:r>
        <w:instrText xml:space="preserve"> PAGEREF _Toc91142210 \h </w:instrText>
      </w:r>
      <w:r>
        <w:fldChar w:fldCharType="separate"/>
      </w:r>
      <w:r>
        <w:t>95</w:t>
      </w:r>
      <w:r>
        <w:fldChar w:fldCharType="end"/>
      </w:r>
    </w:p>
    <w:p>
      <w:pPr>
        <w:pStyle w:val="TOC8"/>
        <w:rPr>
          <w:rFonts w:asciiTheme="minorHAnsi" w:eastAsiaTheme="minorEastAsia" w:hAnsiTheme="minorHAnsi" w:cstheme="minorBidi"/>
          <w:szCs w:val="22"/>
        </w:rPr>
      </w:pPr>
      <w:r>
        <w:t>39E.</w:t>
      </w:r>
      <w:r>
        <w:tab/>
        <w:t>Terms used</w:t>
      </w:r>
      <w:r>
        <w:tab/>
      </w:r>
      <w:r>
        <w:fldChar w:fldCharType="begin"/>
      </w:r>
      <w:r>
        <w:instrText xml:space="preserve"> PAGEREF _Toc91142211 \h </w:instrText>
      </w:r>
      <w:r>
        <w:fldChar w:fldCharType="separate"/>
      </w:r>
      <w:r>
        <w:t>95</w:t>
      </w:r>
      <w:r>
        <w:fldChar w:fldCharType="end"/>
      </w:r>
    </w:p>
    <w:p>
      <w:pPr>
        <w:pStyle w:val="TOC8"/>
        <w:rPr>
          <w:rFonts w:asciiTheme="minorHAnsi" w:eastAsiaTheme="minorEastAsia" w:hAnsiTheme="minorHAnsi" w:cstheme="minorBidi"/>
          <w:szCs w:val="22"/>
        </w:rPr>
      </w:pPr>
      <w:r>
        <w:t>39F.</w:t>
      </w:r>
      <w:r>
        <w:tab/>
        <w:t>Term used: major event</w:t>
      </w:r>
      <w:r>
        <w:tab/>
      </w:r>
      <w:r>
        <w:fldChar w:fldCharType="begin"/>
      </w:r>
      <w:r>
        <w:instrText xml:space="preserve"> PAGEREF _Toc91142212 \h </w:instrText>
      </w:r>
      <w:r>
        <w:fldChar w:fldCharType="separate"/>
      </w:r>
      <w:r>
        <w:t>97</w:t>
      </w:r>
      <w:r>
        <w:fldChar w:fldCharType="end"/>
      </w:r>
    </w:p>
    <w:p>
      <w:pPr>
        <w:pStyle w:val="TOC8"/>
        <w:rPr>
          <w:rFonts w:asciiTheme="minorHAnsi" w:eastAsiaTheme="minorEastAsia" w:hAnsiTheme="minorHAnsi" w:cstheme="minorBidi"/>
          <w:szCs w:val="22"/>
        </w:rPr>
      </w:pPr>
      <w:r>
        <w:t>39G.</w:t>
      </w:r>
      <w:r>
        <w:tab/>
        <w:t>Providing and charging for services at major events</w:t>
      </w:r>
      <w:r>
        <w:tab/>
      </w:r>
      <w:r>
        <w:fldChar w:fldCharType="begin"/>
      </w:r>
      <w:r>
        <w:instrText xml:space="preserve"> PAGEREF _Toc91142213 \h </w:instrText>
      </w:r>
      <w:r>
        <w:fldChar w:fldCharType="separate"/>
      </w:r>
      <w:r>
        <w:t>97</w:t>
      </w:r>
      <w:r>
        <w:fldChar w:fldCharType="end"/>
      </w:r>
    </w:p>
    <w:p>
      <w:pPr>
        <w:pStyle w:val="TOC8"/>
        <w:rPr>
          <w:rFonts w:asciiTheme="minorHAnsi" w:eastAsiaTheme="minorEastAsia" w:hAnsiTheme="minorHAnsi" w:cstheme="minorBidi"/>
          <w:szCs w:val="22"/>
        </w:rPr>
      </w:pPr>
      <w:r>
        <w:lastRenderedPageBreak/>
        <w:t>39H.</w:t>
      </w:r>
      <w:r>
        <w:tab/>
        <w:t>Minister may exempt government</w:t>
      </w:r>
      <w:r>
        <w:noBreakHyphen/>
        <w:t>sponsored events</w:t>
      </w:r>
      <w:r>
        <w:tab/>
      </w:r>
      <w:r>
        <w:fldChar w:fldCharType="begin"/>
      </w:r>
      <w:r>
        <w:instrText xml:space="preserve"> PAGEREF _Toc91142214 \h </w:instrText>
      </w:r>
      <w:r>
        <w:fldChar w:fldCharType="separate"/>
      </w:r>
      <w:r>
        <w:t>98</w:t>
      </w:r>
      <w:r>
        <w:fldChar w:fldCharType="end"/>
      </w:r>
    </w:p>
    <w:p>
      <w:pPr>
        <w:pStyle w:val="TOC8"/>
        <w:rPr>
          <w:rFonts w:asciiTheme="minorHAnsi" w:eastAsiaTheme="minorEastAsia" w:hAnsiTheme="minorHAnsi" w:cstheme="minorBidi"/>
          <w:szCs w:val="22"/>
        </w:rPr>
      </w:pPr>
      <w:r>
        <w:t>39I.</w:t>
      </w:r>
      <w:r>
        <w:tab/>
        <w:t>Regulations prescribing amounts chargeable for police services at major events</w:t>
      </w:r>
      <w:r>
        <w:tab/>
      </w:r>
      <w:r>
        <w:fldChar w:fldCharType="begin"/>
      </w:r>
      <w:r>
        <w:instrText xml:space="preserve"> PAGEREF _Toc91142215 \h </w:instrText>
      </w:r>
      <w:r>
        <w:fldChar w:fldCharType="separate"/>
      </w:r>
      <w:r>
        <w:t>99</w:t>
      </w:r>
      <w:r>
        <w:fldChar w:fldCharType="end"/>
      </w:r>
    </w:p>
    <w:p>
      <w:pPr>
        <w:pStyle w:val="TOC8"/>
        <w:rPr>
          <w:rFonts w:asciiTheme="minorHAnsi" w:eastAsiaTheme="minorEastAsia" w:hAnsiTheme="minorHAnsi" w:cstheme="minorBidi"/>
          <w:szCs w:val="22"/>
        </w:rPr>
      </w:pPr>
      <w:r>
        <w:t>39J.</w:t>
      </w:r>
      <w:r>
        <w:tab/>
        <w:t>Recovery of amounts payable</w:t>
      </w:r>
      <w:r>
        <w:tab/>
      </w:r>
      <w:r>
        <w:fldChar w:fldCharType="begin"/>
      </w:r>
      <w:r>
        <w:instrText xml:space="preserve"> PAGEREF _Toc91142216 \h </w:instrText>
      </w:r>
      <w:r>
        <w:fldChar w:fldCharType="separate"/>
      </w:r>
      <w:r>
        <w:t>100</w:t>
      </w:r>
      <w:r>
        <w:fldChar w:fldCharType="end"/>
      </w:r>
    </w:p>
    <w:p>
      <w:pPr>
        <w:pStyle w:val="TOC8"/>
        <w:rPr>
          <w:rFonts w:asciiTheme="minorHAnsi" w:eastAsiaTheme="minorEastAsia" w:hAnsiTheme="minorHAnsi" w:cstheme="minorBidi"/>
          <w:szCs w:val="22"/>
        </w:rPr>
      </w:pPr>
      <w:r>
        <w:t>39K.</w:t>
      </w:r>
      <w:r>
        <w:tab/>
        <w:t>Power to waive or refund amounts payable</w:t>
      </w:r>
      <w:r>
        <w:tab/>
      </w:r>
      <w:r>
        <w:fldChar w:fldCharType="begin"/>
      </w:r>
      <w:r>
        <w:instrText xml:space="preserve"> PAGEREF _Toc91142217 \h </w:instrText>
      </w:r>
      <w:r>
        <w:fldChar w:fldCharType="separate"/>
      </w:r>
      <w:r>
        <w:t>100</w:t>
      </w:r>
      <w:r>
        <w:fldChar w:fldCharType="end"/>
      </w:r>
    </w:p>
    <w:p>
      <w:pPr>
        <w:pStyle w:val="TOC8"/>
        <w:rPr>
          <w:rFonts w:asciiTheme="minorHAnsi" w:eastAsiaTheme="minorEastAsia" w:hAnsiTheme="minorHAnsi" w:cstheme="minorBidi"/>
          <w:szCs w:val="22"/>
        </w:rPr>
      </w:pPr>
      <w:r>
        <w:t>39L.</w:t>
      </w:r>
      <w:r>
        <w:tab/>
        <w:t>Commissioner of Police to publish charging policy</w:t>
      </w:r>
      <w:r>
        <w:tab/>
      </w:r>
      <w:r>
        <w:fldChar w:fldCharType="begin"/>
      </w:r>
      <w:r>
        <w:instrText xml:space="preserve"> PAGEREF _Toc91142218 \h </w:instrText>
      </w:r>
      <w:r>
        <w:fldChar w:fldCharType="separate"/>
      </w:r>
      <w:r>
        <w:t>101</w:t>
      </w:r>
      <w:r>
        <w:fldChar w:fldCharType="end"/>
      </w:r>
    </w:p>
    <w:p>
      <w:pPr>
        <w:pStyle w:val="TOC8"/>
        <w:rPr>
          <w:rFonts w:asciiTheme="minorHAnsi" w:eastAsiaTheme="minorEastAsia" w:hAnsiTheme="minorHAnsi" w:cstheme="minorBidi"/>
          <w:szCs w:val="22"/>
        </w:rPr>
      </w:pPr>
      <w:r>
        <w:t>39M.</w:t>
      </w:r>
      <w:r>
        <w:tab/>
        <w:t>Delegation by Commissioner of Police</w:t>
      </w:r>
      <w:r>
        <w:tab/>
      </w:r>
      <w:r>
        <w:fldChar w:fldCharType="begin"/>
      </w:r>
      <w:r>
        <w:instrText xml:space="preserve"> PAGEREF _Toc91142219 \h </w:instrText>
      </w:r>
      <w:r>
        <w:fldChar w:fldCharType="separate"/>
      </w:r>
      <w:r>
        <w:t>101</w:t>
      </w:r>
      <w:r>
        <w:fldChar w:fldCharType="end"/>
      </w:r>
    </w:p>
    <w:p>
      <w:pPr>
        <w:pStyle w:val="TOC8"/>
        <w:rPr>
          <w:rFonts w:asciiTheme="minorHAnsi" w:eastAsiaTheme="minorEastAsia" w:hAnsiTheme="minorHAnsi" w:cstheme="minorBidi"/>
          <w:szCs w:val="22"/>
        </w:rPr>
      </w:pPr>
      <w:r>
        <w:t>39N.</w:t>
      </w:r>
      <w:r>
        <w:tab/>
        <w:t>Review of Part IVB</w:t>
      </w:r>
      <w:r>
        <w:tab/>
      </w:r>
      <w:r>
        <w:fldChar w:fldCharType="begin"/>
      </w:r>
      <w:r>
        <w:instrText xml:space="preserve"> PAGEREF _Toc91142220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 provisions</w:t>
      </w:r>
    </w:p>
    <w:p>
      <w:pPr>
        <w:pStyle w:val="TOC8"/>
        <w:rPr>
          <w:rFonts w:asciiTheme="minorHAnsi" w:eastAsiaTheme="minorEastAsia" w:hAnsiTheme="minorHAnsi" w:cstheme="minorBidi"/>
          <w:szCs w:val="22"/>
        </w:rPr>
      </w:pPr>
      <w:r>
        <w:t>135.</w:t>
      </w:r>
      <w:r>
        <w:tab/>
        <w:t>Family violence incident reporting</w:t>
      </w:r>
      <w:r>
        <w:tab/>
      </w:r>
      <w:r>
        <w:fldChar w:fldCharType="begin"/>
      </w:r>
      <w:r>
        <w:instrText xml:space="preserve"> PAGEREF _Toc91142222 \h </w:instrText>
      </w:r>
      <w:r>
        <w:fldChar w:fldCharType="separate"/>
      </w:r>
      <w:r>
        <w:t>106</w:t>
      </w:r>
      <w:r>
        <w:fldChar w:fldCharType="end"/>
      </w:r>
    </w:p>
    <w:p>
      <w:pPr>
        <w:pStyle w:val="TOC8"/>
        <w:rPr>
          <w:rFonts w:asciiTheme="minorHAnsi" w:eastAsiaTheme="minorEastAsia" w:hAnsiTheme="minorHAnsi" w:cstheme="minorBidi"/>
          <w:szCs w:val="22"/>
        </w:rPr>
      </w:pPr>
      <w:r>
        <w:t>136.</w:t>
      </w:r>
      <w:r>
        <w:tab/>
        <w:t>Terms used in s. 137 and 138</w:t>
      </w:r>
      <w:r>
        <w:tab/>
      </w:r>
      <w:r>
        <w:fldChar w:fldCharType="begin"/>
      </w:r>
      <w:r>
        <w:instrText xml:space="preserve"> PAGEREF _Toc91142223 \h </w:instrText>
      </w:r>
      <w:r>
        <w:fldChar w:fldCharType="separate"/>
      </w:r>
      <w:r>
        <w:t>107</w:t>
      </w:r>
      <w:r>
        <w:fldChar w:fldCharType="end"/>
      </w:r>
    </w:p>
    <w:p>
      <w:pPr>
        <w:pStyle w:val="TOC8"/>
        <w:rPr>
          <w:rFonts w:asciiTheme="minorHAnsi" w:eastAsiaTheme="minorEastAsia" w:hAnsiTheme="minorHAnsi" w:cstheme="minorBidi"/>
          <w:szCs w:val="22"/>
        </w:rPr>
      </w:pPr>
      <w:r>
        <w:t>137.</w:t>
      </w:r>
      <w:r>
        <w:tab/>
        <w:t>Protection from personal liability</w:t>
      </w:r>
      <w:r>
        <w:tab/>
      </w:r>
      <w:r>
        <w:fldChar w:fldCharType="begin"/>
      </w:r>
      <w:r>
        <w:instrText xml:space="preserve"> PAGEREF _Toc91142224 \h </w:instrText>
      </w:r>
      <w:r>
        <w:fldChar w:fldCharType="separate"/>
      </w:r>
      <w:r>
        <w:t>107</w:t>
      </w:r>
      <w:r>
        <w:fldChar w:fldCharType="end"/>
      </w:r>
    </w:p>
    <w:p>
      <w:pPr>
        <w:pStyle w:val="TOC8"/>
        <w:rPr>
          <w:rFonts w:asciiTheme="minorHAnsi" w:eastAsiaTheme="minorEastAsia" w:hAnsiTheme="minorHAnsi" w:cstheme="minorBidi"/>
          <w:szCs w:val="22"/>
        </w:rPr>
      </w:pPr>
      <w:r>
        <w:t>138.</w:t>
      </w:r>
      <w:r>
        <w:tab/>
        <w:t>Corrupt or malicious acts by police</w:t>
      </w:r>
      <w:r>
        <w:tab/>
      </w:r>
      <w:r>
        <w:fldChar w:fldCharType="begin"/>
      </w:r>
      <w:r>
        <w:instrText xml:space="preserve"> PAGEREF _Toc91142225 \h </w:instrText>
      </w:r>
      <w:r>
        <w:fldChar w:fldCharType="separate"/>
      </w:r>
      <w:r>
        <w:t>109</w:t>
      </w:r>
      <w:r>
        <w:fldChar w:fldCharType="end"/>
      </w:r>
    </w:p>
    <w:p>
      <w:pPr>
        <w:pStyle w:val="TOC8"/>
        <w:rPr>
          <w:rFonts w:asciiTheme="minorHAnsi" w:eastAsiaTheme="minorEastAsia" w:hAnsiTheme="minorHAnsi" w:cstheme="minorBidi"/>
          <w:szCs w:val="22"/>
        </w:rPr>
      </w:pPr>
      <w:r>
        <w:t>138AA.</w:t>
      </w:r>
      <w:r>
        <w:tab/>
        <w:t xml:space="preserve">Application of </w:t>
      </w:r>
      <w:r>
        <w:rPr>
          <w:i/>
        </w:rPr>
        <w:t>Financial Management Act 2006</w:t>
      </w:r>
      <w:r>
        <w:rPr>
          <w:iCs/>
        </w:rPr>
        <w:t xml:space="preserve"> and </w:t>
      </w:r>
      <w:r>
        <w:rPr>
          <w:i/>
          <w:iCs/>
        </w:rPr>
        <w:t>Auditor General Act 2006</w:t>
      </w:r>
      <w:r>
        <w:rPr>
          <w:iCs/>
        </w:rPr>
        <w:t xml:space="preserve"> to moneys received by Commissioner</w:t>
      </w:r>
      <w:r>
        <w:tab/>
      </w:r>
      <w:r>
        <w:fldChar w:fldCharType="begin"/>
      </w:r>
      <w:r>
        <w:instrText xml:space="preserve"> PAGEREF _Toc91142226 \h </w:instrText>
      </w:r>
      <w:r>
        <w:fldChar w:fldCharType="separate"/>
      </w:r>
      <w:r>
        <w:t>110</w:t>
      </w:r>
      <w:r>
        <w:fldChar w:fldCharType="end"/>
      </w:r>
    </w:p>
    <w:p>
      <w:pPr>
        <w:pStyle w:val="TOC8"/>
        <w:rPr>
          <w:rFonts w:asciiTheme="minorHAnsi" w:eastAsiaTheme="minorEastAsia" w:hAnsiTheme="minorHAnsi" w:cstheme="minorBidi"/>
          <w:szCs w:val="22"/>
        </w:rPr>
      </w:pPr>
      <w:r>
        <w:t>138A</w:t>
      </w:r>
      <w:r>
        <w:rPr>
          <w:snapToGrid w:val="0"/>
        </w:rPr>
        <w:t>.</w:t>
      </w:r>
      <w:r>
        <w:rPr>
          <w:snapToGrid w:val="0"/>
        </w:rPr>
        <w:tab/>
        <w:t>Regulations</w:t>
      </w:r>
      <w:r>
        <w:tab/>
      </w:r>
      <w:r>
        <w:fldChar w:fldCharType="begin"/>
      </w:r>
      <w:r>
        <w:instrText xml:space="preserve"> PAGEREF _Toc91142227 \h </w:instrText>
      </w:r>
      <w:r>
        <w:fldChar w:fldCharType="separate"/>
      </w:r>
      <w:r>
        <w:t>111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Commencement of Act</w:t>
      </w:r>
      <w:r>
        <w:tab/>
      </w:r>
      <w:r>
        <w:fldChar w:fldCharType="begin"/>
      </w:r>
      <w:r>
        <w:instrText xml:space="preserve"> PAGEREF _Toc91142228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_Toc91142230 \h </w:instrText>
      </w:r>
      <w:r>
        <w:fldChar w:fldCharType="separate"/>
      </w:r>
      <w:r>
        <w:t>113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_Toc91142231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720" w:after="720"/>
      </w:pPr>
      <w:r>
        <w:t xml:space="preserve">Police Act 1892 </w:t>
      </w:r>
    </w:p>
    <w:p>
      <w:pPr>
        <w:pStyle w:val="LongTitle"/>
        <w:spacing w:before="360" w:after="360"/>
        <w:rPr>
          <w:snapToGrid w:val="0"/>
        </w:rPr>
      </w:pPr>
      <w:r>
        <w:rPr>
          <w:snapToGrid w:val="0"/>
        </w:rPr>
        <w:t xml:space="preserve">An Act to consolidate and amend the law relating to the police in Western Australia. </w:t>
      </w:r>
    </w:p>
    <w:p>
      <w:pPr>
        <w:pStyle w:val="Heading2"/>
      </w:pPr>
      <w:bookmarkStart w:id="3" w:name="_Toc90989492"/>
      <w:bookmarkStart w:id="4" w:name="_Toc90990513"/>
      <w:bookmarkStart w:id="5" w:name="_Toc91142082"/>
      <w:r>
        <w:rPr>
          <w:rStyle w:val="CharPartNo"/>
        </w:rPr>
        <w:lastRenderedPageBreak/>
        <w:t>Part IA</w:t>
      </w:r>
      <w:r>
        <w:rPr>
          <w:rStyle w:val="CharDivNo"/>
        </w:rPr>
        <w:t> </w:t>
      </w:r>
      <w:r>
        <w:t>—</w:t>
      </w:r>
      <w:r>
        <w:rPr>
          <w:rStyle w:val="CharDivText"/>
        </w:rPr>
        <w:t> </w:t>
      </w:r>
      <w:r>
        <w:rPr>
          <w:rStyle w:val="CharPartText"/>
        </w:rPr>
        <w:t>Preliminary</w:t>
      </w:r>
      <w:bookmarkEnd w:id="3"/>
      <w:bookmarkEnd w:id="4"/>
      <w:bookmarkEnd w:id="5"/>
    </w:p>
    <w:p>
      <w:pPr>
        <w:pStyle w:val="Footnoteheading"/>
      </w:pPr>
      <w:r>
        <w:tab/>
        <w:t>[Heading inserted: No. 19 of 2010 s. 43(2).]</w:t>
      </w:r>
    </w:p>
    <w:p>
      <w:pPr>
        <w:pStyle w:val="Ednotesection"/>
      </w:pPr>
      <w:r>
        <w:t>[</w:t>
      </w:r>
      <w:r>
        <w:rPr>
          <w:b/>
        </w:rPr>
        <w:t>1.</w:t>
      </w:r>
      <w:r>
        <w:rPr>
          <w:b/>
        </w:rPr>
        <w:tab/>
      </w:r>
      <w:r>
        <w:t>Omitted under the Reprints Act 1984 s. 7(4)(f).]</w:t>
      </w:r>
    </w:p>
    <w:p>
      <w:pPr>
        <w:pStyle w:val="Ednotesection"/>
      </w:pPr>
      <w:r>
        <w:t>[</w:t>
      </w:r>
      <w:r>
        <w:rPr>
          <w:b/>
        </w:rPr>
        <w:t>2.</w:t>
      </w:r>
      <w:r>
        <w:tab/>
        <w:t>Deleted: No. 59 of 2006 s. 61.]</w:t>
      </w:r>
    </w:p>
    <w:p>
      <w:pPr>
        <w:pStyle w:val="Heading5"/>
        <w:rPr>
          <w:snapToGrid w:val="0"/>
        </w:rPr>
      </w:pPr>
      <w:bookmarkStart w:id="6" w:name="_Toc91142083"/>
      <w:r>
        <w:rPr>
          <w:rStyle w:val="CharSectno"/>
        </w:rPr>
        <w:t>3</w:t>
      </w:r>
      <w:r>
        <w:rPr>
          <w:snapToGrid w:val="0"/>
        </w:rPr>
        <w:t>.</w:t>
      </w:r>
      <w:r>
        <w:rPr>
          <w:snapToGrid w:val="0"/>
        </w:rPr>
        <w:tab/>
        <w:t>Short title</w:t>
      </w:r>
      <w:bookmarkEnd w:id="6"/>
    </w:p>
    <w:p>
      <w:pPr>
        <w:pStyle w:val="Subsection"/>
        <w:keepNext/>
        <w:keepLines/>
        <w:rPr>
          <w:snapToGrid w:val="0"/>
        </w:rPr>
      </w:pPr>
      <w:r>
        <w:rPr>
          <w:snapToGrid w:val="0"/>
        </w:rPr>
        <w:tab/>
      </w:r>
      <w:r>
        <w:rPr>
          <w:snapToGrid w:val="0"/>
        </w:rPr>
        <w:tab/>
        <w:t xml:space="preserve">This Act may be cited as the </w:t>
      </w:r>
      <w:r>
        <w:rPr>
          <w:i/>
          <w:snapToGrid w:val="0"/>
        </w:rPr>
        <w:t>Police Act 1892</w:t>
      </w:r>
      <w:r>
        <w:rPr>
          <w:snapToGrid w:val="0"/>
        </w:rPr>
        <w:t xml:space="preserve">. </w:t>
      </w:r>
    </w:p>
    <w:p>
      <w:pPr>
        <w:pStyle w:val="Footnotesection"/>
        <w:keepNext/>
      </w:pPr>
      <w:r>
        <w:tab/>
        <w:t xml:space="preserve">[Section 3 amended: No. 15 of 1952 s. 4 and 5; No. 28 of 1953 s. 3; No. 25 of 1954 s. 3; No. 28 of 1964 s. 3; No. 18 of 1975 s. 2; No. 146 of 1976 s. 3; No. 57 of 1981 s. 23; No. 108 of 1982 s. 3; No. 21 of 1983 s. 4; No. 14 of 1996 s. 4; No. 10 of 1998 s. 59.] </w:t>
      </w:r>
    </w:p>
    <w:p>
      <w:pPr>
        <w:pStyle w:val="Heading2"/>
      </w:pPr>
      <w:bookmarkStart w:id="7" w:name="_Toc90989494"/>
      <w:bookmarkStart w:id="8" w:name="_Toc90990515"/>
      <w:bookmarkStart w:id="9" w:name="_Toc91142084"/>
      <w:r>
        <w:rPr>
          <w:rStyle w:val="CharPartNo"/>
        </w:rPr>
        <w:lastRenderedPageBreak/>
        <w:t>Part I</w:t>
      </w:r>
      <w:r>
        <w:rPr>
          <w:rStyle w:val="CharDivNo"/>
        </w:rPr>
        <w:t> </w:t>
      </w:r>
      <w:r>
        <w:t>—</w:t>
      </w:r>
      <w:r>
        <w:rPr>
          <w:rStyle w:val="CharDivText"/>
        </w:rPr>
        <w:t> </w:t>
      </w:r>
      <w:r>
        <w:rPr>
          <w:rStyle w:val="CharPartText"/>
        </w:rPr>
        <w:t>As to the appointment of officers and constables of the Police Force</w:t>
      </w:r>
      <w:bookmarkEnd w:id="7"/>
      <w:bookmarkEnd w:id="8"/>
      <w:bookmarkEnd w:id="9"/>
      <w:r>
        <w:rPr>
          <w:rStyle w:val="CharPartText"/>
        </w:rPr>
        <w:t xml:space="preserve"> </w:t>
      </w:r>
    </w:p>
    <w:p>
      <w:pPr>
        <w:pStyle w:val="Ednotesection"/>
      </w:pPr>
      <w:r>
        <w:t>[</w:t>
      </w:r>
      <w:r>
        <w:rPr>
          <w:b/>
        </w:rPr>
        <w:t>4.</w:t>
      </w:r>
      <w:r>
        <w:tab/>
        <w:t>Omitted under the Reprints Act 1984 s. 7(4)(e).]</w:t>
      </w:r>
    </w:p>
    <w:p>
      <w:pPr>
        <w:pStyle w:val="Heading5"/>
        <w:rPr>
          <w:snapToGrid w:val="0"/>
        </w:rPr>
      </w:pPr>
      <w:bookmarkStart w:id="10" w:name="_Toc91142085"/>
      <w:r>
        <w:rPr>
          <w:rStyle w:val="CharSectno"/>
        </w:rPr>
        <w:t>5</w:t>
      </w:r>
      <w:r>
        <w:rPr>
          <w:snapToGrid w:val="0"/>
        </w:rPr>
        <w:t>.</w:t>
      </w:r>
      <w:r>
        <w:rPr>
          <w:snapToGrid w:val="0"/>
        </w:rPr>
        <w:tab/>
        <w:t>Commissioner of Police, appointment and functions of</w:t>
      </w:r>
      <w:bookmarkEnd w:id="10"/>
    </w:p>
    <w:p>
      <w:pPr>
        <w:pStyle w:val="Subsection"/>
        <w:rPr>
          <w:snapToGrid w:val="0"/>
        </w:rPr>
      </w:pPr>
      <w:r>
        <w:rPr>
          <w:snapToGrid w:val="0"/>
        </w:rPr>
        <w:tab/>
      </w:r>
      <w:r>
        <w:rPr>
          <w:snapToGrid w:val="0"/>
        </w:rPr>
        <w:tab/>
        <w:t>The Governor may from time to time appoint a fit and proper person to be Commissioner of Police throughout the said State, and as occasion shall require may remove any Commissioner of Police and appoint another in his stead; and every Commissioner of Police shall be charged and vested with the general control and management of the Police Force of the said State, and also of any special constables who may be appointed as hereinafter provided.</w:t>
      </w:r>
    </w:p>
    <w:p>
      <w:pPr>
        <w:pStyle w:val="Heading5"/>
        <w:rPr>
          <w:snapToGrid w:val="0"/>
        </w:rPr>
      </w:pPr>
      <w:bookmarkStart w:id="11" w:name="_Toc91142086"/>
      <w:r>
        <w:rPr>
          <w:rStyle w:val="CharSectno"/>
        </w:rPr>
        <w:t>6</w:t>
      </w:r>
      <w:r>
        <w:rPr>
          <w:snapToGrid w:val="0"/>
        </w:rPr>
        <w:t>.</w:t>
      </w:r>
      <w:r>
        <w:rPr>
          <w:snapToGrid w:val="0"/>
        </w:rPr>
        <w:tab/>
        <w:t>Commissioned officers, appointment and control of</w:t>
      </w:r>
      <w:bookmarkEnd w:id="11"/>
      <w:r>
        <w:rPr>
          <w:snapToGrid w:val="0"/>
        </w:rPr>
        <w:t xml:space="preserve"> </w:t>
      </w:r>
    </w:p>
    <w:p>
      <w:pPr>
        <w:pStyle w:val="Subsection"/>
        <w:rPr>
          <w:snapToGrid w:val="0"/>
        </w:rPr>
      </w:pPr>
      <w:r>
        <w:rPr>
          <w:snapToGrid w:val="0"/>
        </w:rPr>
        <w:tab/>
      </w:r>
      <w:r>
        <w:rPr>
          <w:snapToGrid w:val="0"/>
        </w:rPr>
        <w:tab/>
        <w:t>The Governor may appoint such officers of police as may be found necessary, who shall hold commissions under the hand of the Governor for such appointments; and such commissioned officers shall be subject to the control and discipline of the Commissioner of Police, and shall be respectively charged with the government and superintendence of such portion of the Police Force as such Commissioner may from time to time direct.</w:t>
      </w:r>
    </w:p>
    <w:p>
      <w:pPr>
        <w:pStyle w:val="Footnotesection"/>
      </w:pPr>
      <w:r>
        <w:tab/>
        <w:t xml:space="preserve">[Section 6 amended: No. 24 of 1969 s. 2; No. 6 of 1978 s. 2.] </w:t>
      </w:r>
    </w:p>
    <w:p>
      <w:pPr>
        <w:pStyle w:val="Heading5"/>
        <w:rPr>
          <w:snapToGrid w:val="0"/>
        </w:rPr>
      </w:pPr>
      <w:bookmarkStart w:id="12" w:name="_Toc91142087"/>
      <w:r>
        <w:rPr>
          <w:rStyle w:val="CharSectno"/>
        </w:rPr>
        <w:t>7</w:t>
      </w:r>
      <w:r>
        <w:rPr>
          <w:snapToGrid w:val="0"/>
        </w:rPr>
        <w:t>.</w:t>
      </w:r>
      <w:r>
        <w:rPr>
          <w:snapToGrid w:val="0"/>
        </w:rPr>
        <w:tab/>
        <w:t>Non</w:t>
      </w:r>
      <w:r>
        <w:rPr>
          <w:snapToGrid w:val="0"/>
        </w:rPr>
        <w:noBreakHyphen/>
        <w:t>commissioned officers, appointment and functions of</w:t>
      </w:r>
      <w:bookmarkEnd w:id="12"/>
      <w:r>
        <w:rPr>
          <w:snapToGrid w:val="0"/>
        </w:rPr>
        <w:t xml:space="preserve"> </w:t>
      </w:r>
    </w:p>
    <w:p>
      <w:pPr>
        <w:pStyle w:val="Subsection"/>
        <w:rPr>
          <w:snapToGrid w:val="0"/>
        </w:rPr>
      </w:pPr>
      <w:r>
        <w:rPr>
          <w:snapToGrid w:val="0"/>
        </w:rPr>
        <w:tab/>
        <w:t>(1)</w:t>
      </w:r>
      <w:r>
        <w:rPr>
          <w:snapToGrid w:val="0"/>
        </w:rPr>
        <w:tab/>
        <w:t>The Commissioner of Police may appoint so many non</w:t>
      </w:r>
      <w:r>
        <w:rPr>
          <w:snapToGrid w:val="0"/>
        </w:rPr>
        <w:noBreakHyphen/>
        <w:t>commissioned officers and constables of different grades as he shall deem necessary for preservation of peace and order throughout the said State, subject, however, to the approval of the Governor.</w:t>
      </w:r>
    </w:p>
    <w:p>
      <w:pPr>
        <w:pStyle w:val="Subsection"/>
        <w:rPr>
          <w:snapToGrid w:val="0"/>
        </w:rPr>
      </w:pPr>
      <w:r>
        <w:rPr>
          <w:snapToGrid w:val="0"/>
        </w:rPr>
        <w:tab/>
        <w:t>(2)</w:t>
      </w:r>
      <w:r>
        <w:rPr>
          <w:snapToGrid w:val="0"/>
        </w:rPr>
        <w:tab/>
        <w:t xml:space="preserve">The Minister, or a person authorised by him, may appoint persons to be police cadets who shall have such powers and </w:t>
      </w:r>
      <w:r>
        <w:rPr>
          <w:snapToGrid w:val="0"/>
        </w:rPr>
        <w:lastRenderedPageBreak/>
        <w:t>privileges and be liable to such duties and obligations as may be prescribed, but shall not be members of the Police Force.</w:t>
      </w:r>
    </w:p>
    <w:p>
      <w:pPr>
        <w:pStyle w:val="Footnotesection"/>
      </w:pPr>
      <w:r>
        <w:tab/>
        <w:t xml:space="preserve">[Section 7 amended: No. 6 of 1978 s. 3; No. 59 of 2006 s. 62.] </w:t>
      </w:r>
    </w:p>
    <w:p>
      <w:pPr>
        <w:pStyle w:val="Heading5"/>
        <w:rPr>
          <w:snapToGrid w:val="0"/>
        </w:rPr>
      </w:pPr>
      <w:bookmarkStart w:id="13" w:name="_Toc91142088"/>
      <w:r>
        <w:rPr>
          <w:rStyle w:val="CharSectno"/>
        </w:rPr>
        <w:t>8</w:t>
      </w:r>
      <w:r>
        <w:rPr>
          <w:snapToGrid w:val="0"/>
        </w:rPr>
        <w:t>.</w:t>
      </w:r>
      <w:r>
        <w:rPr>
          <w:snapToGrid w:val="0"/>
        </w:rPr>
        <w:tab/>
        <w:t>Commissioned and non</w:t>
      </w:r>
      <w:r>
        <w:rPr>
          <w:snapToGrid w:val="0"/>
        </w:rPr>
        <w:noBreakHyphen/>
        <w:t>commissioned officers, removal of</w:t>
      </w:r>
      <w:bookmarkEnd w:id="13"/>
      <w:r>
        <w:rPr>
          <w:snapToGrid w:val="0"/>
        </w:rPr>
        <w:t xml:space="preserve"> </w:t>
      </w:r>
    </w:p>
    <w:p>
      <w:pPr>
        <w:pStyle w:val="Subsection"/>
        <w:rPr>
          <w:snapToGrid w:val="0"/>
        </w:rPr>
      </w:pPr>
      <w:r>
        <w:rPr>
          <w:snapToGrid w:val="0"/>
        </w:rPr>
        <w:tab/>
        <w:t>(1)</w:t>
      </w:r>
      <w:r>
        <w:rPr>
          <w:snapToGrid w:val="0"/>
        </w:rPr>
        <w:tab/>
        <w:t>The Governor may, from time to time as he shall see fit, remove any commissioned officer of police, and upon any vacancy for a commissioned officer, by death, removal, or otherwise, the Governor may appoint some other fit person to fill the same; and the Commissioner of Police may, from time to time, as he shall think fit, suspend and, subject to the approval of the Minister, remove any non</w:t>
      </w:r>
      <w:r>
        <w:rPr>
          <w:snapToGrid w:val="0"/>
        </w:rPr>
        <w:noBreakHyphen/>
        <w:t xml:space="preserve">commissioned officer or constable; and in case of any vacancy in the Police Force by reason of the death, </w:t>
      </w:r>
      <w:r>
        <w:t>removal or</w:t>
      </w:r>
      <w:r>
        <w:rPr>
          <w:snapToGrid w:val="0"/>
        </w:rPr>
        <w:t xml:space="preserve"> otherwise of any non</w:t>
      </w:r>
      <w:r>
        <w:rPr>
          <w:snapToGrid w:val="0"/>
        </w:rPr>
        <w:noBreakHyphen/>
        <w:t>commissioned officer or constable, the Commissioner of Police may appoint another person to fill such vacancy.</w:t>
      </w:r>
    </w:p>
    <w:p>
      <w:pPr>
        <w:pStyle w:val="Subsection"/>
      </w:pPr>
      <w:r>
        <w:tab/>
        <w:t>(2)</w:t>
      </w:r>
      <w:r>
        <w:tab/>
        <w:t>The powers of removal referred to in subsection (1) can be exercised only if the Commissioner of Police has complied with section 33L and that removal action has not been revoked under section 33N(1).</w:t>
      </w:r>
    </w:p>
    <w:p>
      <w:pPr>
        <w:pStyle w:val="Subsection"/>
      </w:pPr>
      <w:r>
        <w:tab/>
        <w:t>(3)</w:t>
      </w:r>
      <w:r>
        <w:tab/>
        <w:t xml:space="preserve">Subsection (2) does not apply where a person is removed from a commissioned office to be appointed to another commissioned office so long as that appointment — </w:t>
      </w:r>
    </w:p>
    <w:p>
      <w:pPr>
        <w:pStyle w:val="Indenta"/>
      </w:pPr>
      <w:r>
        <w:tab/>
        <w:t>(a)</w:t>
      </w:r>
      <w:r>
        <w:tab/>
        <w:t>is to an office at a level not less than the level of the office from which the person was removed; or</w:t>
      </w:r>
    </w:p>
    <w:p>
      <w:pPr>
        <w:pStyle w:val="Indenta"/>
      </w:pPr>
      <w:r>
        <w:tab/>
        <w:t>(b)</w:t>
      </w:r>
      <w:r>
        <w:tab/>
        <w:t>is made with the consent of the person.</w:t>
      </w:r>
    </w:p>
    <w:p>
      <w:pPr>
        <w:pStyle w:val="Subsection"/>
      </w:pPr>
      <w:r>
        <w:tab/>
        <w:t>(4)</w:t>
      </w:r>
      <w:r>
        <w:tab/>
        <w:t>Subsection (2) does not apply to the removal of a police probationary constable.</w:t>
      </w:r>
    </w:p>
    <w:p>
      <w:pPr>
        <w:pStyle w:val="Footnotesection"/>
      </w:pPr>
      <w:r>
        <w:tab/>
        <w:t xml:space="preserve">[Section 8 amended: No. 24 of 1969 s. 3; No. 7 of 2003 s. 4; No. 19 of 2019 s. 4.] </w:t>
      </w:r>
    </w:p>
    <w:p>
      <w:pPr>
        <w:pStyle w:val="Heading2"/>
      </w:pPr>
      <w:bookmarkStart w:id="14" w:name="_Toc90989499"/>
      <w:bookmarkStart w:id="15" w:name="_Toc90990520"/>
      <w:bookmarkStart w:id="16" w:name="_Toc91142089"/>
      <w:r>
        <w:rPr>
          <w:rStyle w:val="CharPartNo"/>
        </w:rPr>
        <w:lastRenderedPageBreak/>
        <w:t>Part II</w:t>
      </w:r>
      <w:r>
        <w:rPr>
          <w:rStyle w:val="CharDivNo"/>
        </w:rPr>
        <w:t> </w:t>
      </w:r>
      <w:r>
        <w:t>—</w:t>
      </w:r>
      <w:r>
        <w:rPr>
          <w:rStyle w:val="CharDivText"/>
        </w:rPr>
        <w:t> </w:t>
      </w:r>
      <w:r>
        <w:rPr>
          <w:rStyle w:val="CharPartText"/>
        </w:rPr>
        <w:t>As to the regulations, duties and discipline of the Police Force</w:t>
      </w:r>
      <w:bookmarkEnd w:id="14"/>
      <w:bookmarkEnd w:id="15"/>
      <w:bookmarkEnd w:id="16"/>
    </w:p>
    <w:p>
      <w:pPr>
        <w:pStyle w:val="Heading5"/>
        <w:rPr>
          <w:snapToGrid w:val="0"/>
        </w:rPr>
      </w:pPr>
      <w:bookmarkStart w:id="17" w:name="_Toc91142090"/>
      <w:r>
        <w:rPr>
          <w:rStyle w:val="CharSectno"/>
        </w:rPr>
        <w:t>9</w:t>
      </w:r>
      <w:r>
        <w:rPr>
          <w:snapToGrid w:val="0"/>
        </w:rPr>
        <w:t>.</w:t>
      </w:r>
      <w:r>
        <w:rPr>
          <w:snapToGrid w:val="0"/>
        </w:rPr>
        <w:tab/>
        <w:t>Commissioner may make rules, orders and regulations for members of the Police Force and others and for related matters</w:t>
      </w:r>
      <w:bookmarkEnd w:id="17"/>
      <w:r>
        <w:rPr>
          <w:snapToGrid w:val="0"/>
        </w:rPr>
        <w:t xml:space="preserve"> </w:t>
      </w:r>
    </w:p>
    <w:p>
      <w:pPr>
        <w:pStyle w:val="Subsection"/>
        <w:rPr>
          <w:snapToGrid w:val="0"/>
        </w:rPr>
      </w:pPr>
      <w:r>
        <w:rPr>
          <w:snapToGrid w:val="0"/>
        </w:rPr>
        <w:tab/>
      </w:r>
      <w:r>
        <w:rPr>
          <w:snapToGrid w:val="0"/>
        </w:rPr>
        <w:tab/>
        <w:t>The Commissioner of Police may, from time to time, with the approval of the Minister, frame rules, orders, and regulations for the general government of the members of the Police Force</w:t>
      </w:r>
      <w:r>
        <w:t>, police auxiliary officers, police cadets and Aboriginal police liaison officers,</w:t>
      </w:r>
      <w:r>
        <w:rPr>
          <w:snapToGrid w:val="0"/>
        </w:rPr>
        <w:t xml:space="preserve"> as well with respect to their places of residence, their classification, grade, distribution, particular service, and inspection, as to the description of the arms, accoutrements, and other necessaries to be furnished to them and all such other rules, orders, and regulations relative to the Police Force</w:t>
      </w:r>
      <w:r>
        <w:t>, police auxiliary officers, cadets and Aboriginal police liaison officers</w:t>
      </w:r>
      <w:r>
        <w:rPr>
          <w:snapToGrid w:val="0"/>
        </w:rPr>
        <w:t>, and the control, management, and discipline thereof as may be necessary for rendering the same efficient for the discharge of the several duties thereof, and for the purpose of preventing neglect or abuse; and as the Minister considers necessary or desirable for establishing and conducting a Police Force Canteen.</w:t>
      </w:r>
    </w:p>
    <w:p>
      <w:pPr>
        <w:pStyle w:val="Footnotesection"/>
      </w:pPr>
      <w:r>
        <w:tab/>
        <w:t xml:space="preserve">[Section 9 amended: No. 40 of 1958 s. 8; No. 91 of 1975 s. 3; No. 6 of 1978 s. 4; No. 8 of 2008 s. 4; No. 42 of 2009 s. 4.] </w:t>
      </w:r>
    </w:p>
    <w:p>
      <w:pPr>
        <w:pStyle w:val="Heading5"/>
        <w:rPr>
          <w:snapToGrid w:val="0"/>
        </w:rPr>
      </w:pPr>
      <w:bookmarkStart w:id="18" w:name="_Toc91142091"/>
      <w:r>
        <w:rPr>
          <w:rStyle w:val="CharSectno"/>
        </w:rPr>
        <w:t>10</w:t>
      </w:r>
      <w:r>
        <w:rPr>
          <w:snapToGrid w:val="0"/>
        </w:rPr>
        <w:t>.</w:t>
      </w:r>
      <w:r>
        <w:rPr>
          <w:snapToGrid w:val="0"/>
        </w:rPr>
        <w:tab/>
        <w:t>Engagement to be subscribed by officers and constables</w:t>
      </w:r>
      <w:bookmarkEnd w:id="18"/>
      <w:r>
        <w:rPr>
          <w:snapToGrid w:val="0"/>
        </w:rPr>
        <w:t xml:space="preserve"> </w:t>
      </w:r>
    </w:p>
    <w:p>
      <w:pPr>
        <w:pStyle w:val="Subsection"/>
        <w:rPr>
          <w:snapToGrid w:val="0"/>
          <w:spacing w:val="-4"/>
        </w:rPr>
      </w:pPr>
      <w:r>
        <w:rPr>
          <w:snapToGrid w:val="0"/>
        </w:rPr>
        <w:tab/>
      </w:r>
      <w:r>
        <w:rPr>
          <w:snapToGrid w:val="0"/>
        </w:rPr>
        <w:tab/>
      </w:r>
      <w:r>
        <w:rPr>
          <w:snapToGrid w:val="0"/>
          <w:spacing w:val="-4"/>
        </w:rPr>
        <w:t>No person shall be capable of holding any office, or appointment in the Police Force, or of acting in any way therein, until he shall have subscribed the following engagement, namely — </w:t>
      </w:r>
    </w:p>
    <w:p>
      <w:pPr>
        <w:pStyle w:val="Indenta"/>
        <w:rPr>
          <w:snapToGrid w:val="0"/>
        </w:rPr>
      </w:pPr>
      <w:r>
        <w:rPr>
          <w:snapToGrid w:val="0"/>
        </w:rPr>
        <w:tab/>
      </w:r>
      <w:r>
        <w:rPr>
          <w:snapToGrid w:val="0"/>
        </w:rPr>
        <w:tab/>
        <w:t>I, A.B., engage and promise that I will well and truly serve our Sovereign Lady the Queen, in the office of [</w:t>
      </w:r>
      <w:r>
        <w:rPr>
          <w:i/>
          <w:snapToGrid w:val="0"/>
        </w:rPr>
        <w:t>Commissioner of Police, inspector, sub</w:t>
      </w:r>
      <w:r>
        <w:rPr>
          <w:i/>
          <w:snapToGrid w:val="0"/>
        </w:rPr>
        <w:noBreakHyphen/>
        <w:t>inspector, or other officer, or constable, as the case may be</w:t>
      </w:r>
      <w:r>
        <w:rPr>
          <w:snapToGrid w:val="0"/>
        </w:rPr>
        <w:t xml:space="preserve">], without favour or affection, malice, or illwill, until I am legally discharged; that I will see and cause Her Majesty’s </w:t>
      </w:r>
      <w:r>
        <w:rPr>
          <w:snapToGrid w:val="0"/>
        </w:rPr>
        <w:lastRenderedPageBreak/>
        <w:t>peace to be kept and preserved, and that I will prevent, to the best of my power, all offences against the same; and that, while I shall continue to hold the said office, I will, to the best of my skill and knowledge, discharge all the duties thereof faithfully according to law.</w:t>
      </w:r>
    </w:p>
    <w:p>
      <w:pPr>
        <w:pStyle w:val="Subsection"/>
        <w:spacing w:before="100"/>
        <w:rPr>
          <w:snapToGrid w:val="0"/>
        </w:rPr>
      </w:pPr>
      <w:r>
        <w:rPr>
          <w:snapToGrid w:val="0"/>
        </w:rPr>
        <w:tab/>
      </w:r>
      <w:r>
        <w:rPr>
          <w:snapToGrid w:val="0"/>
        </w:rPr>
        <w:tab/>
        <w:t>And the said engagement shall be subscribed in the presence of and attested by a Justice or commissioned officer of the Force.</w:t>
      </w:r>
    </w:p>
    <w:p>
      <w:pPr>
        <w:pStyle w:val="Footnotesection"/>
      </w:pPr>
      <w:r>
        <w:tab/>
        <w:t xml:space="preserve">[Section 10 amended: No. 91 of 1975 s. 4.] </w:t>
      </w:r>
    </w:p>
    <w:p>
      <w:pPr>
        <w:pStyle w:val="Heading5"/>
        <w:rPr>
          <w:snapToGrid w:val="0"/>
        </w:rPr>
      </w:pPr>
      <w:bookmarkStart w:id="19" w:name="_Toc91142092"/>
      <w:r>
        <w:rPr>
          <w:rStyle w:val="CharSectno"/>
        </w:rPr>
        <w:t>11</w:t>
      </w:r>
      <w:r>
        <w:rPr>
          <w:snapToGrid w:val="0"/>
        </w:rPr>
        <w:t>.</w:t>
      </w:r>
      <w:r>
        <w:rPr>
          <w:snapToGrid w:val="0"/>
        </w:rPr>
        <w:tab/>
        <w:t>Person subscribing engagement bound to serve as member of the Police Force</w:t>
      </w:r>
      <w:bookmarkEnd w:id="19"/>
      <w:r>
        <w:rPr>
          <w:snapToGrid w:val="0"/>
        </w:rPr>
        <w:t xml:space="preserve"> </w:t>
      </w:r>
    </w:p>
    <w:p>
      <w:pPr>
        <w:pStyle w:val="Subsection"/>
        <w:spacing w:before="120"/>
        <w:rPr>
          <w:snapToGrid w:val="0"/>
        </w:rPr>
      </w:pPr>
      <w:r>
        <w:rPr>
          <w:snapToGrid w:val="0"/>
        </w:rPr>
        <w:tab/>
      </w:r>
      <w:r>
        <w:rPr>
          <w:snapToGrid w:val="0"/>
        </w:rPr>
        <w:tab/>
        <w:t>Every person, on subscribing such engagement, shall be thereby bound to serve Her Majesty as a member of the Police Force, at the current rate of pay for such member, and until legally discharged, from the day on which such engagement shall have been subscribed: Provided that no such engagement shall be set aside for the want of reciprocity: Provided further, that such engagement may be cancelled at any time by the lawful discharge, dismissal, or removal from office of any such person, or by the resignation of any such person being accepted by the Commissioner of Police.</w:t>
      </w:r>
    </w:p>
    <w:p>
      <w:pPr>
        <w:pStyle w:val="Heading5"/>
        <w:rPr>
          <w:snapToGrid w:val="0"/>
        </w:rPr>
      </w:pPr>
      <w:bookmarkStart w:id="20" w:name="_Toc91142093"/>
      <w:r>
        <w:rPr>
          <w:rStyle w:val="CharSectno"/>
        </w:rPr>
        <w:t>12</w:t>
      </w:r>
      <w:r>
        <w:rPr>
          <w:snapToGrid w:val="0"/>
        </w:rPr>
        <w:t>.</w:t>
      </w:r>
      <w:r>
        <w:rPr>
          <w:snapToGrid w:val="0"/>
        </w:rPr>
        <w:tab/>
        <w:t>Non</w:t>
      </w:r>
      <w:r>
        <w:rPr>
          <w:snapToGrid w:val="0"/>
        </w:rPr>
        <w:noBreakHyphen/>
        <w:t>commissioned officer and constable not to resign without leave or notice</w:t>
      </w:r>
      <w:bookmarkEnd w:id="20"/>
      <w:r>
        <w:rPr>
          <w:snapToGrid w:val="0"/>
        </w:rPr>
        <w:t xml:space="preserve"> </w:t>
      </w:r>
    </w:p>
    <w:p>
      <w:pPr>
        <w:pStyle w:val="Subsection"/>
        <w:spacing w:before="120"/>
        <w:rPr>
          <w:snapToGrid w:val="0"/>
        </w:rPr>
      </w:pPr>
      <w:r>
        <w:rPr>
          <w:snapToGrid w:val="0"/>
        </w:rPr>
        <w:tab/>
      </w:r>
      <w:r>
        <w:rPr>
          <w:snapToGrid w:val="0"/>
        </w:rPr>
        <w:tab/>
        <w:t>No non</w:t>
      </w:r>
      <w:r>
        <w:rPr>
          <w:snapToGrid w:val="0"/>
        </w:rPr>
        <w:noBreakHyphen/>
        <w:t xml:space="preserve">commissioned officer or constable shall be at liberty to resign his office, or to withdraw himself from the duties thereof, notwithstanding the period of his engagement shall have expired, unless expressly authorised in writing to do so by the Commissioner of Police, or unless he shall have given to such Commissioner 3 calendar months’ notice of his intention so to resign or withdraw, if stationed north of the 18th parallel of south latitude or one calendar month’s notice if stationed elsewhere, and every member who shall so resign or withdraw himself without such leave or notice shall, upon conviction thereof, be liable to forfeit all arrears of pay then due to him, </w:t>
      </w:r>
      <w:r>
        <w:rPr>
          <w:snapToGrid w:val="0"/>
        </w:rPr>
        <w:lastRenderedPageBreak/>
        <w:t>and to a penalty of not more than $50, or may be committed to prison for a period not exceeding 14 days.</w:t>
      </w:r>
    </w:p>
    <w:p>
      <w:pPr>
        <w:pStyle w:val="Footnotesection"/>
        <w:keepLines w:val="0"/>
        <w:spacing w:before="80"/>
        <w:ind w:left="890" w:hanging="890"/>
      </w:pPr>
      <w:r>
        <w:tab/>
        <w:t xml:space="preserve">[Section 12 amended: No. 28 of 1964 s. 4; No. 113 of 1965 s. 8; No. 91 of 1975 s. 5; No. 59 of 2004 s. 141.] </w:t>
      </w:r>
    </w:p>
    <w:p>
      <w:pPr>
        <w:pStyle w:val="Heading5"/>
        <w:rPr>
          <w:snapToGrid w:val="0"/>
        </w:rPr>
      </w:pPr>
      <w:bookmarkStart w:id="21" w:name="_Toc91142094"/>
      <w:r>
        <w:rPr>
          <w:rStyle w:val="CharSectno"/>
        </w:rPr>
        <w:t>13</w:t>
      </w:r>
      <w:r>
        <w:rPr>
          <w:snapToGrid w:val="0"/>
        </w:rPr>
        <w:t>.</w:t>
      </w:r>
      <w:r>
        <w:rPr>
          <w:snapToGrid w:val="0"/>
        </w:rPr>
        <w:tab/>
        <w:t>Former members of Police Force etc. to return uniforms etc.</w:t>
      </w:r>
      <w:bookmarkEnd w:id="21"/>
      <w:r>
        <w:rPr>
          <w:snapToGrid w:val="0"/>
        </w:rPr>
        <w:t xml:space="preserve"> </w:t>
      </w:r>
    </w:p>
    <w:p>
      <w:pPr>
        <w:pStyle w:val="Subsection"/>
        <w:rPr>
          <w:snapToGrid w:val="0"/>
        </w:rPr>
      </w:pPr>
      <w:r>
        <w:rPr>
          <w:snapToGrid w:val="0"/>
        </w:rPr>
        <w:tab/>
      </w:r>
      <w:r>
        <w:rPr>
          <w:snapToGrid w:val="0"/>
        </w:rPr>
        <w:tab/>
        <w:t xml:space="preserve">Every member of the Police Force, whether special or ordinary, </w:t>
      </w:r>
      <w:r>
        <w:t xml:space="preserve">and every police auxiliary officer and Aboriginal police liaison officer, </w:t>
      </w:r>
      <w:r>
        <w:rPr>
          <w:snapToGrid w:val="0"/>
        </w:rPr>
        <w:t>having been dismissed from, or having ceased to hold his office, shall forthwith deliver to the Commissioner of Police, or to such person, and at such time and place, as the said Commissioner or a commissioned officer of the Force may direct, all and every the clothing, arms, ammunition, and accoutrements, horses, saddles, bridles, appointments, and other property which have been supplied to him for the execution of his duty, or which may be in his custody by virtue of his office; and in default of such delivery shall, on conviction thereof, be liable to a penalty not exceeding $300, in addition to the value of the property not so delivered; and any Justice may issue his warrant to search for and seize all and every the clothing, arms, ammunition, and accoutrements, horses, saddles, bridles, appointments, and property not so delivered, wherever the same may be found.</w:t>
      </w:r>
    </w:p>
    <w:p>
      <w:pPr>
        <w:pStyle w:val="Footnotesection"/>
      </w:pPr>
      <w:r>
        <w:tab/>
        <w:t xml:space="preserve">[Section 13 amended: No. 28 of 1964 s. 5; No. 113 of 1965 s. 8; No. 91 of 1975 s. 6; No. 51 of 1992 s. 16(3); No. 78 of 1995 s. 147; No. 59 of 2004 s. 141; No. 8 of 2008 s. 5; No. 42 of 2009 s. 5.] </w:t>
      </w:r>
    </w:p>
    <w:p>
      <w:pPr>
        <w:pStyle w:val="Heading5"/>
        <w:rPr>
          <w:snapToGrid w:val="0"/>
        </w:rPr>
      </w:pPr>
      <w:bookmarkStart w:id="22" w:name="_Toc91142095"/>
      <w:r>
        <w:rPr>
          <w:rStyle w:val="CharSectno"/>
        </w:rPr>
        <w:t>14</w:t>
      </w:r>
      <w:r>
        <w:rPr>
          <w:snapToGrid w:val="0"/>
        </w:rPr>
        <w:t>.</w:t>
      </w:r>
      <w:r>
        <w:rPr>
          <w:snapToGrid w:val="0"/>
        </w:rPr>
        <w:tab/>
        <w:t>Officers and constables subject to duty in any part of the State, as if no Police District had been established</w:t>
      </w:r>
      <w:bookmarkEnd w:id="22"/>
      <w:r>
        <w:rPr>
          <w:snapToGrid w:val="0"/>
        </w:rPr>
        <w:t xml:space="preserve"> </w:t>
      </w:r>
    </w:p>
    <w:p>
      <w:pPr>
        <w:pStyle w:val="Subsection"/>
        <w:rPr>
          <w:snapToGrid w:val="0"/>
        </w:rPr>
      </w:pPr>
      <w:r>
        <w:rPr>
          <w:snapToGrid w:val="0"/>
        </w:rPr>
        <w:tab/>
      </w:r>
      <w:r>
        <w:rPr>
          <w:snapToGrid w:val="0"/>
        </w:rPr>
        <w:tab/>
        <w:t xml:space="preserve">Notwithstanding the establishment of any Police District, all officers and constables belonging to the Police Force who may be stationed in any such district shall continue as part of such Force and be subject to the same authority, and be liable, if required, to perform the same duty in any part of the said State or elsewhere, as if no such Police District had been established; </w:t>
      </w:r>
      <w:r>
        <w:rPr>
          <w:snapToGrid w:val="0"/>
        </w:rPr>
        <w:lastRenderedPageBreak/>
        <w:t>and if any members of the Police Force be employed beyond the limits of the said State every member so employed shall be amenable to and obey in all respects the lawful commands of his superior officers, and shall be liable to the same penalties, forfeitures, and punishments, in all respects, for any offence against the discipline of the Police Force, in any service in which he may be so employed beyond the limits of the said State, in the same manner as if such offence against the discipline of the Police Force had been committed within the said State.</w:t>
      </w:r>
    </w:p>
    <w:p>
      <w:pPr>
        <w:pStyle w:val="Footnotesection"/>
      </w:pPr>
      <w:r>
        <w:tab/>
        <w:t xml:space="preserve">[Section 14 amended: No. 6 of 1978 s. 5.] </w:t>
      </w:r>
    </w:p>
    <w:p>
      <w:pPr>
        <w:pStyle w:val="Ednotesection"/>
      </w:pPr>
      <w:r>
        <w:t>[</w:t>
      </w:r>
      <w:r>
        <w:rPr>
          <w:b/>
          <w:bCs/>
        </w:rPr>
        <w:t>15.</w:t>
      </w:r>
      <w:r>
        <w:rPr>
          <w:b/>
          <w:bCs/>
        </w:rPr>
        <w:tab/>
      </w:r>
      <w:r>
        <w:t>Deleted: No. 8 of 2008 s. 6.]</w:t>
      </w:r>
    </w:p>
    <w:p>
      <w:pPr>
        <w:pStyle w:val="Heading5"/>
      </w:pPr>
      <w:bookmarkStart w:id="23" w:name="_Toc91142096"/>
      <w:r>
        <w:rPr>
          <w:rStyle w:val="CharSectno"/>
        </w:rPr>
        <w:t>16</w:t>
      </w:r>
      <w:r>
        <w:t>.</w:t>
      </w:r>
      <w:r>
        <w:tab/>
        <w:t>Police clothing, unauthorised possession of</w:t>
      </w:r>
      <w:bookmarkEnd w:id="23"/>
    </w:p>
    <w:p>
      <w:pPr>
        <w:pStyle w:val="Subsection"/>
        <w:spacing w:before="120"/>
      </w:pPr>
      <w:r>
        <w:tab/>
        <w:t>(1)</w:t>
      </w:r>
      <w:r>
        <w:tab/>
        <w:t>In this section —</w:t>
      </w:r>
    </w:p>
    <w:p>
      <w:pPr>
        <w:pStyle w:val="Defstart"/>
      </w:pPr>
      <w:r>
        <w:tab/>
      </w:r>
      <w:r>
        <w:rPr>
          <w:rStyle w:val="CharDefText"/>
        </w:rPr>
        <w:t>police clothing</w:t>
      </w:r>
      <w:r>
        <w:t xml:space="preserve"> means any article of clothing or any accessory that is issued to a member of the Police Force to be worn in the course of the member’s duties.</w:t>
      </w:r>
    </w:p>
    <w:p>
      <w:pPr>
        <w:pStyle w:val="Subsection"/>
      </w:pPr>
      <w:r>
        <w:tab/>
        <w:t>(2)</w:t>
      </w:r>
      <w:r>
        <w:tab/>
        <w:t>A person who is not a member of the Police Force must not, without lawful excuse, be in possession of police clothing.</w:t>
      </w:r>
    </w:p>
    <w:p>
      <w:pPr>
        <w:pStyle w:val="Penstart"/>
      </w:pPr>
      <w:r>
        <w:tab/>
        <w:t>Penalty: a fine of $9 000 and imprisonment for 9 months.</w:t>
      </w:r>
    </w:p>
    <w:p>
      <w:pPr>
        <w:pStyle w:val="Subsection"/>
      </w:pPr>
      <w:r>
        <w:tab/>
        <w:t>(3)</w:t>
      </w:r>
      <w:r>
        <w:tab/>
        <w:t>Subsection (2) does not apply to a person who, with the approval of the Commissioner, possesses police clothing for use in the course of his or her duties —</w:t>
      </w:r>
    </w:p>
    <w:p>
      <w:pPr>
        <w:pStyle w:val="Indenta"/>
      </w:pPr>
      <w:r>
        <w:tab/>
        <w:t>(a)</w:t>
      </w:r>
      <w:r>
        <w:tab/>
        <w:t>as a supervisor of a Police and Citizens’ Youth Club;</w:t>
      </w:r>
    </w:p>
    <w:p>
      <w:pPr>
        <w:pStyle w:val="Indenta"/>
      </w:pPr>
      <w:r>
        <w:tab/>
        <w:t>(b)</w:t>
      </w:r>
      <w:r>
        <w:tab/>
        <w:t>as a member of the Police Band; or</w:t>
      </w:r>
    </w:p>
    <w:p>
      <w:pPr>
        <w:pStyle w:val="Indenta"/>
      </w:pPr>
      <w:r>
        <w:tab/>
        <w:t>(c)</w:t>
      </w:r>
      <w:r>
        <w:tab/>
        <w:t>as a chaplain to the Police Force.</w:t>
      </w:r>
    </w:p>
    <w:p>
      <w:pPr>
        <w:pStyle w:val="Subsection"/>
      </w:pPr>
      <w:r>
        <w:tab/>
        <w:t>(4)</w:t>
      </w:r>
      <w:r>
        <w:tab/>
        <w:t>An allegation in a charge of an offence under this section that at the material time the accused was not a member of the Police Force or was not authorised under subsection (3) must be taken to be proved, unless the contrary is proved.</w:t>
      </w:r>
    </w:p>
    <w:p>
      <w:pPr>
        <w:pStyle w:val="Subsection"/>
      </w:pPr>
      <w:r>
        <w:lastRenderedPageBreak/>
        <w:tab/>
        <w:t>(5)</w:t>
      </w:r>
      <w:r>
        <w:tab/>
        <w:t>In a prosecution for an offence under subsection (2), the accused has the onus of proving that the accused had a lawful excuse.</w:t>
      </w:r>
    </w:p>
    <w:p>
      <w:pPr>
        <w:pStyle w:val="Footnotesection"/>
      </w:pPr>
      <w:r>
        <w:tab/>
        <w:t xml:space="preserve">[Section 16 inserted: No. 70 of 2004 s. 41.] </w:t>
      </w:r>
    </w:p>
    <w:p>
      <w:pPr>
        <w:pStyle w:val="Heading5"/>
        <w:rPr>
          <w:snapToGrid w:val="0"/>
        </w:rPr>
      </w:pPr>
      <w:bookmarkStart w:id="24" w:name="_Toc91142097"/>
      <w:r>
        <w:rPr>
          <w:rStyle w:val="CharSectno"/>
        </w:rPr>
        <w:t>16A</w:t>
      </w:r>
      <w:r>
        <w:rPr>
          <w:snapToGrid w:val="0"/>
        </w:rPr>
        <w:t>.</w:t>
      </w:r>
      <w:r>
        <w:rPr>
          <w:snapToGrid w:val="0"/>
        </w:rPr>
        <w:tab/>
        <w:t>Detective, unauthorised use of the term</w:t>
      </w:r>
      <w:bookmarkEnd w:id="24"/>
      <w:r>
        <w:rPr>
          <w:snapToGrid w:val="0"/>
        </w:rPr>
        <w:t xml:space="preserve"> </w:t>
      </w:r>
    </w:p>
    <w:p>
      <w:pPr>
        <w:pStyle w:val="Subsection"/>
        <w:rPr>
          <w:snapToGrid w:val="0"/>
        </w:rPr>
      </w:pPr>
      <w:r>
        <w:rPr>
          <w:snapToGrid w:val="0"/>
        </w:rPr>
        <w:tab/>
        <w:t>(1)</w:t>
      </w:r>
      <w:r>
        <w:rPr>
          <w:snapToGrid w:val="0"/>
        </w:rPr>
        <w:tab/>
        <w:t>Any person, not being either a member of the Police Force of this State or a member of the Police Force of the Commonwealth or of any other State of the Commonwealth temporarily residing in this State, who uses in any manner whatsoever the word “detective” as descriptive of the nature of his business, vocation, calling, or means of livelihood with a view to soliciting, procuring or obtaining the engagement or employment by other persons of his service as an inquiry agent or investigator in respect of matters in relation to which such other persons require information or evidence shall be guilty of an offence.</w:t>
      </w:r>
    </w:p>
    <w:p>
      <w:pPr>
        <w:pStyle w:val="Penstart"/>
        <w:rPr>
          <w:snapToGrid w:val="0"/>
        </w:rPr>
      </w:pPr>
      <w:r>
        <w:rPr>
          <w:snapToGrid w:val="0"/>
        </w:rPr>
        <w:tab/>
      </w:r>
      <w:r>
        <w:t>Penalty: $2 500.</w:t>
      </w:r>
    </w:p>
    <w:p>
      <w:pPr>
        <w:pStyle w:val="Subsection"/>
        <w:rPr>
          <w:snapToGrid w:val="0"/>
        </w:rPr>
      </w:pPr>
      <w:r>
        <w:rPr>
          <w:snapToGrid w:val="0"/>
        </w:rPr>
        <w:tab/>
        <w:t>(2)</w:t>
      </w:r>
      <w:r>
        <w:rPr>
          <w:snapToGrid w:val="0"/>
        </w:rPr>
        <w:tab/>
        <w:t xml:space="preserve">On the trial of a person charged with an offence under subsection (1) the averment in the </w:t>
      </w:r>
      <w:r>
        <w:t>charge</w:t>
      </w:r>
      <w:r>
        <w:rPr>
          <w:snapToGrid w:val="0"/>
        </w:rPr>
        <w:t xml:space="preserve"> that he was not at some particular time either a member of the Police Force of this State or a member of the Police Force of the Commonwealth or any other State of the Commonwealth is sufficient evidence of the fact until the contrary is proved.</w:t>
      </w:r>
    </w:p>
    <w:p>
      <w:pPr>
        <w:pStyle w:val="Footnotesection"/>
      </w:pPr>
      <w:r>
        <w:tab/>
        <w:t xml:space="preserve">[Section 16A inserted: No. 5 of 1945 s. 2; amended: No. 28 of 1964 s. 8; No. 113 of 1965 s. 8; No. 24 of 1969 s. 5; No. 91 of 1975 s. 9; No. 50 of 2003 s. 85(4); No. 84 of 2004 s. 80.] </w:t>
      </w:r>
    </w:p>
    <w:p>
      <w:pPr>
        <w:pStyle w:val="Heading5"/>
        <w:rPr>
          <w:snapToGrid w:val="0"/>
        </w:rPr>
      </w:pPr>
      <w:bookmarkStart w:id="25" w:name="_Toc91142098"/>
      <w:r>
        <w:rPr>
          <w:rStyle w:val="CharSectno"/>
        </w:rPr>
        <w:t>17</w:t>
      </w:r>
      <w:r>
        <w:rPr>
          <w:snapToGrid w:val="0"/>
        </w:rPr>
        <w:t>.</w:t>
      </w:r>
      <w:r>
        <w:rPr>
          <w:snapToGrid w:val="0"/>
        </w:rPr>
        <w:tab/>
        <w:t>Repute to be evidence of appointment</w:t>
      </w:r>
      <w:bookmarkEnd w:id="25"/>
      <w:r>
        <w:rPr>
          <w:snapToGrid w:val="0"/>
        </w:rPr>
        <w:t xml:space="preserve"> </w:t>
      </w:r>
    </w:p>
    <w:p>
      <w:pPr>
        <w:pStyle w:val="Subsection"/>
        <w:rPr>
          <w:snapToGrid w:val="0"/>
        </w:rPr>
      </w:pPr>
      <w:r>
        <w:rPr>
          <w:snapToGrid w:val="0"/>
        </w:rPr>
        <w:tab/>
      </w:r>
      <w:r>
        <w:rPr>
          <w:snapToGrid w:val="0"/>
        </w:rPr>
        <w:tab/>
        <w:t>If any question shall arise as to the right of the Commissioner of Police, or any other officer or member of the Police Force, to hold or execute his office, common reputation shall to all intents and purposes be deemed sufficient evidence of such right, and it shall not be necessary to have or produce any written appointment, or any oath, or other document or matter whatsoever, in proof of such right.</w:t>
      </w:r>
    </w:p>
    <w:p>
      <w:pPr>
        <w:pStyle w:val="Ednotesection"/>
      </w:pPr>
      <w:r>
        <w:lastRenderedPageBreak/>
        <w:t>[</w:t>
      </w:r>
      <w:r>
        <w:rPr>
          <w:b/>
        </w:rPr>
        <w:t>18.</w:t>
      </w:r>
      <w:r>
        <w:tab/>
        <w:t xml:space="preserve">Deleted: No. 70 of 2004 s. 42.] </w:t>
      </w:r>
    </w:p>
    <w:p>
      <w:pPr>
        <w:pStyle w:val="Ednotesection"/>
      </w:pPr>
      <w:r>
        <w:t>[</w:t>
      </w:r>
      <w:r>
        <w:rPr>
          <w:b/>
        </w:rPr>
        <w:t>19.</w:t>
      </w:r>
      <w:r>
        <w:tab/>
        <w:t xml:space="preserve">Deleted: No. 6 of 1978 s. 6.] </w:t>
      </w:r>
    </w:p>
    <w:p>
      <w:pPr>
        <w:pStyle w:val="Ednotesection"/>
      </w:pPr>
      <w:r>
        <w:t>[</w:t>
      </w:r>
      <w:r>
        <w:rPr>
          <w:b/>
        </w:rPr>
        <w:t>20.</w:t>
      </w:r>
      <w:r>
        <w:tab/>
        <w:t xml:space="preserve">Deleted: No. 70 of 2004 s. 43.] </w:t>
      </w:r>
    </w:p>
    <w:p>
      <w:pPr>
        <w:pStyle w:val="Heading5"/>
        <w:rPr>
          <w:snapToGrid w:val="0"/>
        </w:rPr>
      </w:pPr>
      <w:bookmarkStart w:id="26" w:name="_Toc91142099"/>
      <w:r>
        <w:rPr>
          <w:rStyle w:val="CharSectno"/>
        </w:rPr>
        <w:t>21</w:t>
      </w:r>
      <w:r>
        <w:rPr>
          <w:snapToGrid w:val="0"/>
        </w:rPr>
        <w:t>.</w:t>
      </w:r>
      <w:r>
        <w:rPr>
          <w:snapToGrid w:val="0"/>
        </w:rPr>
        <w:tab/>
        <w:t>Non</w:t>
      </w:r>
      <w:r>
        <w:rPr>
          <w:snapToGrid w:val="0"/>
        </w:rPr>
        <w:noBreakHyphen/>
        <w:t>commissioned officers and constables to execute court process</w:t>
      </w:r>
      <w:bookmarkEnd w:id="26"/>
      <w:r>
        <w:rPr>
          <w:snapToGrid w:val="0"/>
        </w:rPr>
        <w:t xml:space="preserve"> </w:t>
      </w:r>
    </w:p>
    <w:p>
      <w:pPr>
        <w:pStyle w:val="Subsection"/>
        <w:rPr>
          <w:snapToGrid w:val="0"/>
        </w:rPr>
      </w:pPr>
      <w:r>
        <w:rPr>
          <w:snapToGrid w:val="0"/>
        </w:rPr>
        <w:tab/>
      </w:r>
      <w:r>
        <w:rPr>
          <w:snapToGrid w:val="0"/>
        </w:rPr>
        <w:tab/>
        <w:t>Every non</w:t>
      </w:r>
      <w:r>
        <w:rPr>
          <w:snapToGrid w:val="0"/>
        </w:rPr>
        <w:noBreakHyphen/>
        <w:t>commissioned officer and constable of the Police Force shall execute all process to him directed for levying the amount of any recognisance forfeited to Her Majesty, or of any fine imposed on any jurors, witnesses, parties, or persons, at any Court of Judicature, or any other fine imposed under any Act in force in the said State, and any process, or any other warrant or command of any Justice directed, delivered, or given to any such non</w:t>
      </w:r>
      <w:r>
        <w:rPr>
          <w:snapToGrid w:val="0"/>
        </w:rPr>
        <w:noBreakHyphen/>
        <w:t>commissioned officer or constable, shall or may be executed and enforced by any other such officer or constable, or his assistants; and every such last</w:t>
      </w:r>
      <w:r>
        <w:rPr>
          <w:snapToGrid w:val="0"/>
        </w:rPr>
        <w:noBreakHyphen/>
        <w:t>mentioned officer, constable, and his assistants, shall have all and every the same rights, powers, and authorities for and in the execution of such process, order, warrant, or command, as if the same had originally been directed to him or them expressly by name. And a breach of the condition of a recognisance may be proved upon ex parte proof on oath thereof.</w:t>
      </w:r>
    </w:p>
    <w:p>
      <w:pPr>
        <w:pStyle w:val="Footnotesection"/>
      </w:pPr>
      <w:r>
        <w:tab/>
        <w:t xml:space="preserve">[Section 21 amended: No. 92 of 1994 s. 32; No. 59 of 2004 s. 141.] </w:t>
      </w:r>
    </w:p>
    <w:p>
      <w:pPr>
        <w:pStyle w:val="Heading5"/>
        <w:rPr>
          <w:snapToGrid w:val="0"/>
        </w:rPr>
      </w:pPr>
      <w:bookmarkStart w:id="27" w:name="_Toc91142100"/>
      <w:r>
        <w:rPr>
          <w:rStyle w:val="CharSectno"/>
        </w:rPr>
        <w:t>22</w:t>
      </w:r>
      <w:r>
        <w:rPr>
          <w:snapToGrid w:val="0"/>
        </w:rPr>
        <w:t>.</w:t>
      </w:r>
      <w:r>
        <w:rPr>
          <w:snapToGrid w:val="0"/>
        </w:rPr>
        <w:tab/>
        <w:t>Constables to attend courts of summary jurisdiction</w:t>
      </w:r>
      <w:bookmarkEnd w:id="27"/>
      <w:r>
        <w:rPr>
          <w:snapToGrid w:val="0"/>
        </w:rPr>
        <w:t xml:space="preserve"> </w:t>
      </w:r>
    </w:p>
    <w:p>
      <w:pPr>
        <w:pStyle w:val="Subsection"/>
        <w:rPr>
          <w:snapToGrid w:val="0"/>
        </w:rPr>
      </w:pPr>
      <w:r>
        <w:rPr>
          <w:snapToGrid w:val="0"/>
        </w:rPr>
        <w:tab/>
      </w:r>
      <w:r>
        <w:rPr>
          <w:snapToGrid w:val="0"/>
        </w:rPr>
        <w:tab/>
        <w:t xml:space="preserve">The Commissioner or other commissioned officer of police shall take care that a sufficient number of police constables shall be available to every </w:t>
      </w:r>
      <w:r>
        <w:t>court of summary jurisdiction</w:t>
      </w:r>
      <w:r>
        <w:rPr>
          <w:snapToGrid w:val="0"/>
        </w:rPr>
        <w:t xml:space="preserve"> for the purpose of executing such summonses and warrants as may be directed to them, and returning the same.</w:t>
      </w:r>
    </w:p>
    <w:p>
      <w:pPr>
        <w:pStyle w:val="Footnotesection"/>
      </w:pPr>
      <w:r>
        <w:tab/>
        <w:t xml:space="preserve">[Section 22 amended: No. 30 of 1983 s. 3; No. 47 of 1999 s. 30; No. 59 of 2004 s. 141.] </w:t>
      </w:r>
    </w:p>
    <w:p>
      <w:pPr>
        <w:pStyle w:val="Ednotedivision"/>
      </w:pPr>
      <w:r>
        <w:lastRenderedPageBreak/>
        <w:t>[Heading deleted: No. 19 of 2010 s. 44(3).]</w:t>
      </w:r>
    </w:p>
    <w:p>
      <w:pPr>
        <w:pStyle w:val="Heading5"/>
        <w:rPr>
          <w:snapToGrid w:val="0"/>
        </w:rPr>
      </w:pPr>
      <w:bookmarkStart w:id="28" w:name="_Toc91142101"/>
      <w:r>
        <w:rPr>
          <w:rStyle w:val="CharSectno"/>
        </w:rPr>
        <w:t>23</w:t>
      </w:r>
      <w:r>
        <w:rPr>
          <w:snapToGrid w:val="0"/>
        </w:rPr>
        <w:t>.</w:t>
      </w:r>
      <w:r>
        <w:rPr>
          <w:snapToGrid w:val="0"/>
        </w:rPr>
        <w:tab/>
        <w:t>Disciplinary offences, how they are dealt with</w:t>
      </w:r>
      <w:bookmarkEnd w:id="28"/>
    </w:p>
    <w:p>
      <w:pPr>
        <w:pStyle w:val="Subsection"/>
        <w:rPr>
          <w:snapToGrid w:val="0"/>
        </w:rPr>
      </w:pPr>
      <w:r>
        <w:rPr>
          <w:snapToGrid w:val="0"/>
        </w:rPr>
        <w:tab/>
        <w:t>(1)</w:t>
      </w:r>
      <w:r>
        <w:rPr>
          <w:snapToGrid w:val="0"/>
        </w:rPr>
        <w:tab/>
        <w:t>The Commissioner, or an officer appointed by the Commissioner for the purpose, may examine on oath any member of the Police Force</w:t>
      </w:r>
      <w:r>
        <w:t>, police auxiliary officer, police cadet or Aboriginal police liaison officer</w:t>
      </w:r>
      <w:r>
        <w:rPr>
          <w:snapToGrid w:val="0"/>
        </w:rPr>
        <w:t xml:space="preserve"> upon a charge of an offence against the discipline of the Police Force being made against any member of the Force</w:t>
      </w:r>
      <w:r>
        <w:t>, police auxiliary officer, cadet or liaison officer.</w:t>
      </w:r>
    </w:p>
    <w:p>
      <w:pPr>
        <w:pStyle w:val="Subsection"/>
        <w:rPr>
          <w:snapToGrid w:val="0"/>
        </w:rPr>
      </w:pPr>
      <w:r>
        <w:rPr>
          <w:snapToGrid w:val="0"/>
        </w:rPr>
        <w:tab/>
        <w:t>(2)</w:t>
      </w:r>
      <w:r>
        <w:rPr>
          <w:snapToGrid w:val="0"/>
        </w:rPr>
        <w:tab/>
        <w:t>Where the member of the Force against whom the charge is alleged is an officer, an examination under this section shall be conducted by an officer of the rank of Chief Superintendent or above.</w:t>
      </w:r>
    </w:p>
    <w:p>
      <w:pPr>
        <w:pStyle w:val="Subsection"/>
        <w:rPr>
          <w:snapToGrid w:val="0"/>
        </w:rPr>
      </w:pPr>
      <w:r>
        <w:rPr>
          <w:snapToGrid w:val="0"/>
        </w:rPr>
        <w:tab/>
        <w:t>(3)</w:t>
      </w:r>
      <w:r>
        <w:rPr>
          <w:snapToGrid w:val="0"/>
        </w:rPr>
        <w:tab/>
        <w:t>The Commissioner or officer conducting an examination under this section shall have the same power to summon and examine witnesses and to administer oaths as a Justice.</w:t>
      </w:r>
    </w:p>
    <w:p>
      <w:pPr>
        <w:pStyle w:val="Subsection"/>
        <w:rPr>
          <w:snapToGrid w:val="0"/>
        </w:rPr>
      </w:pPr>
      <w:r>
        <w:rPr>
          <w:snapToGrid w:val="0"/>
        </w:rPr>
        <w:tab/>
        <w:t>(4)</w:t>
      </w:r>
      <w:r>
        <w:rPr>
          <w:snapToGrid w:val="0"/>
        </w:rPr>
        <w:tab/>
        <w:t xml:space="preserve">Where the Commissioner or officer conducting an examination under this section determines as a result of that examination that any other member of the Police Force </w:t>
      </w:r>
      <w:r>
        <w:t>or any police auxiliary officer, police cadet or Aboriginal police liaison officer</w:t>
      </w:r>
      <w:r>
        <w:rPr>
          <w:snapToGrid w:val="0"/>
        </w:rPr>
        <w:t xml:space="preserve"> has committed an offence against the discipline of the Police Force, he shall record that determination in writing and, subject to the provisions of subsection (5), may thereupon caution such member</w:t>
      </w:r>
      <w:r>
        <w:t xml:space="preserve">, police auxiliary officer, cadet or liaison officer </w:t>
      </w:r>
      <w:r>
        <w:rPr>
          <w:snapToGrid w:val="0"/>
        </w:rPr>
        <w:t>or by order in writing impose on him one or more of the following punishments — </w:t>
      </w:r>
    </w:p>
    <w:p>
      <w:pPr>
        <w:pStyle w:val="Indenta"/>
        <w:rPr>
          <w:snapToGrid w:val="0"/>
        </w:rPr>
      </w:pPr>
      <w:r>
        <w:rPr>
          <w:snapToGrid w:val="0"/>
        </w:rPr>
        <w:tab/>
        <w:t>(a)</w:t>
      </w:r>
      <w:r>
        <w:rPr>
          <w:snapToGrid w:val="0"/>
        </w:rPr>
        <w:tab/>
        <w:t>a reprimand;</w:t>
      </w:r>
    </w:p>
    <w:p>
      <w:pPr>
        <w:pStyle w:val="Indenta"/>
      </w:pPr>
      <w:r>
        <w:tab/>
        <w:t>(b)</w:t>
      </w:r>
      <w:r>
        <w:tab/>
        <w:t>a fine of not more than 3% of the annual base rate of pay of the member, police auxiliary officer, cadet or liaison officer;</w:t>
      </w:r>
    </w:p>
    <w:p>
      <w:pPr>
        <w:pStyle w:val="Indenta"/>
      </w:pPr>
      <w:r>
        <w:tab/>
        <w:t>(c)</w:t>
      </w:r>
      <w:r>
        <w:tab/>
        <w:t>demotion;</w:t>
      </w:r>
    </w:p>
    <w:p>
      <w:pPr>
        <w:pStyle w:val="Indenta"/>
        <w:rPr>
          <w:snapToGrid w:val="0"/>
        </w:rPr>
      </w:pPr>
      <w:r>
        <w:rPr>
          <w:snapToGrid w:val="0"/>
        </w:rPr>
        <w:tab/>
        <w:t>(d)</w:t>
      </w:r>
      <w:r>
        <w:rPr>
          <w:snapToGrid w:val="0"/>
        </w:rPr>
        <w:tab/>
        <w:t xml:space="preserve">reduction in salary to a specified rate within the limits of salary fixed in relation to the </w:t>
      </w:r>
      <w:r>
        <w:t>office</w:t>
      </w:r>
      <w:r>
        <w:rPr>
          <w:snapToGrid w:val="0"/>
        </w:rPr>
        <w:t xml:space="preserve"> held by him;</w:t>
      </w:r>
    </w:p>
    <w:p>
      <w:pPr>
        <w:pStyle w:val="Indenta"/>
        <w:rPr>
          <w:snapToGrid w:val="0"/>
        </w:rPr>
      </w:pPr>
      <w:r>
        <w:rPr>
          <w:snapToGrid w:val="0"/>
        </w:rPr>
        <w:lastRenderedPageBreak/>
        <w:tab/>
        <w:t>(e)</w:t>
      </w:r>
      <w:r>
        <w:rPr>
          <w:snapToGrid w:val="0"/>
        </w:rPr>
        <w:tab/>
        <w:t>suspension from duty;</w:t>
      </w:r>
    </w:p>
    <w:p>
      <w:pPr>
        <w:pStyle w:val="Indenta"/>
        <w:rPr>
          <w:snapToGrid w:val="0"/>
        </w:rPr>
      </w:pPr>
      <w:r>
        <w:rPr>
          <w:snapToGrid w:val="0"/>
        </w:rPr>
        <w:tab/>
        <w:t>(f)</w:t>
      </w:r>
      <w:r>
        <w:rPr>
          <w:snapToGrid w:val="0"/>
        </w:rPr>
        <w:tab/>
        <w:t>discharge or dismissal from the Force</w:t>
      </w:r>
      <w:r>
        <w:t xml:space="preserve"> or, in the case of a police auxiliary officer or Aboriginal police liaison officer, cancellation of his appointment</w:t>
      </w:r>
      <w:r>
        <w:rPr>
          <w:snapToGrid w:val="0"/>
        </w:rPr>
        <w:t>.</w:t>
      </w:r>
    </w:p>
    <w:p>
      <w:pPr>
        <w:pStyle w:val="Subsection"/>
        <w:rPr>
          <w:snapToGrid w:val="0"/>
        </w:rPr>
      </w:pPr>
      <w:r>
        <w:rPr>
          <w:snapToGrid w:val="0"/>
        </w:rPr>
        <w:tab/>
        <w:t>(5)</w:t>
      </w:r>
      <w:r>
        <w:rPr>
          <w:snapToGrid w:val="0"/>
        </w:rPr>
        <w:tab/>
        <w:t xml:space="preserve">An order made under subsection (4) for </w:t>
      </w:r>
      <w:r>
        <w:t>demotion or reduction in</w:t>
      </w:r>
      <w:r>
        <w:rPr>
          <w:snapToGrid w:val="0"/>
        </w:rPr>
        <w:t xml:space="preserve"> salary, suspension from duty, discharge or for dismissal</w:t>
      </w:r>
      <w:r>
        <w:t xml:space="preserve"> or cancellation of appointment</w:t>
      </w:r>
      <w:r>
        <w:rPr>
          <w:snapToGrid w:val="0"/>
        </w:rPr>
        <w:t>, shall not have effect unless or until — </w:t>
      </w:r>
    </w:p>
    <w:p>
      <w:pPr>
        <w:pStyle w:val="Indenta"/>
        <w:rPr>
          <w:snapToGrid w:val="0"/>
        </w:rPr>
      </w:pPr>
      <w:r>
        <w:rPr>
          <w:snapToGrid w:val="0"/>
        </w:rPr>
        <w:tab/>
        <w:t>(a)</w:t>
      </w:r>
      <w:r>
        <w:rPr>
          <w:snapToGrid w:val="0"/>
        </w:rPr>
        <w:tab/>
        <w:t xml:space="preserve">in the case of a member who is not an officer, </w:t>
      </w:r>
      <w:r>
        <w:t xml:space="preserve">or of a police auxiliary officer, </w:t>
      </w:r>
      <w:r>
        <w:rPr>
          <w:snapToGrid w:val="0"/>
        </w:rPr>
        <w:t>cadet</w:t>
      </w:r>
      <w:r>
        <w:t xml:space="preserve"> or liaison officer</w:t>
      </w:r>
      <w:r>
        <w:rPr>
          <w:snapToGrid w:val="0"/>
        </w:rPr>
        <w:t>, it is imposed or confirmed by the Commissioner; or</w:t>
      </w:r>
    </w:p>
    <w:p>
      <w:pPr>
        <w:pStyle w:val="Indenta"/>
        <w:rPr>
          <w:snapToGrid w:val="0"/>
        </w:rPr>
      </w:pPr>
      <w:r>
        <w:rPr>
          <w:snapToGrid w:val="0"/>
        </w:rPr>
        <w:tab/>
        <w:t>(b)</w:t>
      </w:r>
      <w:r>
        <w:rPr>
          <w:snapToGrid w:val="0"/>
        </w:rPr>
        <w:tab/>
        <w:t>in the case of an officer, it is confirmed by the Governor.</w:t>
      </w:r>
    </w:p>
    <w:p>
      <w:pPr>
        <w:pStyle w:val="Subsection"/>
        <w:rPr>
          <w:snapToGrid w:val="0"/>
        </w:rPr>
      </w:pPr>
      <w:r>
        <w:rPr>
          <w:snapToGrid w:val="0"/>
        </w:rPr>
        <w:tab/>
        <w:t>(6)</w:t>
      </w:r>
      <w:r>
        <w:rPr>
          <w:snapToGrid w:val="0"/>
        </w:rPr>
        <w:tab/>
        <w:t>An order made under subsection (4) which is subject to confirmation by the Governor shall not be submitted to the Governor for such confirmation unless or until — </w:t>
      </w:r>
    </w:p>
    <w:p>
      <w:pPr>
        <w:pStyle w:val="Indenta"/>
        <w:rPr>
          <w:snapToGrid w:val="0"/>
        </w:rPr>
      </w:pPr>
      <w:r>
        <w:rPr>
          <w:snapToGrid w:val="0"/>
        </w:rPr>
        <w:tab/>
        <w:t>(a)</w:t>
      </w:r>
      <w:r>
        <w:rPr>
          <w:snapToGrid w:val="0"/>
        </w:rPr>
        <w:tab/>
        <w:t>the time within which an appeal to the Board against the punishment, decision or finding to which the order relates may be made under this Act has elapsed and no such appeal has been instituted; or</w:t>
      </w:r>
    </w:p>
    <w:p>
      <w:pPr>
        <w:pStyle w:val="Indenta"/>
        <w:rPr>
          <w:snapToGrid w:val="0"/>
        </w:rPr>
      </w:pPr>
      <w:r>
        <w:rPr>
          <w:snapToGrid w:val="0"/>
        </w:rPr>
        <w:tab/>
        <w:t>(b)</w:t>
      </w:r>
      <w:r>
        <w:rPr>
          <w:snapToGrid w:val="0"/>
        </w:rPr>
        <w:tab/>
        <w:t>such an appeal to the Board has been instituted and has been determined by the Board in accordance with the provisions of this Act.</w:t>
      </w:r>
    </w:p>
    <w:p>
      <w:pPr>
        <w:pStyle w:val="Subsection"/>
      </w:pPr>
      <w:r>
        <w:tab/>
        <w:t>(7)</w:t>
      </w:r>
      <w:r>
        <w:tab/>
        <w:t>A fine imposed on a person under this section may be recovered —</w:t>
      </w:r>
    </w:p>
    <w:p>
      <w:pPr>
        <w:pStyle w:val="Indenta"/>
      </w:pPr>
      <w:r>
        <w:tab/>
        <w:t>(a)</w:t>
      </w:r>
      <w:r>
        <w:tab/>
        <w:t>by deducting the amount from the salary of the person as a single sum or by instalments, as the Commissioner decides; or</w:t>
      </w:r>
    </w:p>
    <w:p>
      <w:pPr>
        <w:pStyle w:val="Indenta"/>
      </w:pPr>
      <w:r>
        <w:tab/>
        <w:t>(b)</w:t>
      </w:r>
      <w:r>
        <w:tab/>
        <w:t>as a debt due to the State in a court of competent jurisdiction.</w:t>
      </w:r>
    </w:p>
    <w:p>
      <w:pPr>
        <w:pStyle w:val="Footnotesection"/>
      </w:pPr>
      <w:r>
        <w:tab/>
        <w:t xml:space="preserve">[Section 23 inserted: No. 6 of 1978 s. 7; amended: No. 7 of 2003 s. 5; No. 8 of 2008 s. 7; No. 42 of 2009 s. 6.] </w:t>
      </w:r>
    </w:p>
    <w:p>
      <w:pPr>
        <w:pStyle w:val="Ednotesection"/>
      </w:pPr>
      <w:r>
        <w:t>[</w:t>
      </w:r>
      <w:r>
        <w:rPr>
          <w:b/>
        </w:rPr>
        <w:t>24</w:t>
      </w:r>
      <w:r>
        <w:rPr>
          <w:b/>
        </w:rPr>
        <w:noBreakHyphen/>
        <w:t>25.</w:t>
      </w:r>
      <w:r>
        <w:tab/>
        <w:t xml:space="preserve">Deleted: No. 6 of 1978 s. 7.] </w:t>
      </w:r>
    </w:p>
    <w:p>
      <w:pPr>
        <w:pStyle w:val="Ednotesection"/>
      </w:pPr>
      <w:r>
        <w:lastRenderedPageBreak/>
        <w:t>[</w:t>
      </w:r>
      <w:r>
        <w:rPr>
          <w:b/>
        </w:rPr>
        <w:t>26.</w:t>
      </w:r>
      <w:r>
        <w:tab/>
        <w:t xml:space="preserve">Deleted: No. 25 of 1954 s. 6.] </w:t>
      </w:r>
    </w:p>
    <w:p>
      <w:pPr>
        <w:pStyle w:val="Ednotesection"/>
      </w:pPr>
      <w:r>
        <w:t>[</w:t>
      </w:r>
      <w:r>
        <w:rPr>
          <w:b/>
        </w:rPr>
        <w:t>27.</w:t>
      </w:r>
      <w:r>
        <w:tab/>
        <w:t xml:space="preserve">Deleted: No. 28 of 2003 s. 156.] </w:t>
      </w:r>
    </w:p>
    <w:p>
      <w:pPr>
        <w:pStyle w:val="Ednotesection"/>
      </w:pPr>
      <w:r>
        <w:t>[</w:t>
      </w:r>
      <w:r>
        <w:rPr>
          <w:b/>
        </w:rPr>
        <w:t>28.</w:t>
      </w:r>
      <w:r>
        <w:tab/>
        <w:t xml:space="preserve">Deleted: No. 6 of 1978 s. 8.] </w:t>
      </w:r>
    </w:p>
    <w:p>
      <w:pPr>
        <w:pStyle w:val="Heading5"/>
      </w:pPr>
      <w:bookmarkStart w:id="29" w:name="_Toc91142102"/>
      <w:r>
        <w:rPr>
          <w:rStyle w:val="CharSectno"/>
        </w:rPr>
        <w:t>29</w:t>
      </w:r>
      <w:r>
        <w:t>.</w:t>
      </w:r>
      <w:r>
        <w:tab/>
        <w:t>Forfeiture of office for financial difficulty</w:t>
      </w:r>
      <w:bookmarkEnd w:id="29"/>
    </w:p>
    <w:p>
      <w:pPr>
        <w:pStyle w:val="Subsection"/>
      </w:pPr>
      <w:r>
        <w:tab/>
      </w:r>
      <w:r>
        <w:tab/>
        <w:t>A</w:t>
      </w:r>
      <w:r>
        <w:rPr>
          <w:snapToGrid w:val="0"/>
        </w:rPr>
        <w:t xml:space="preserve"> person who </w:t>
      </w:r>
      <w:r>
        <w:t>is</w:t>
      </w:r>
      <w:r>
        <w:rPr>
          <w:snapToGrid w:val="0"/>
        </w:rPr>
        <w:t xml:space="preserve"> a member of the Force forfeits the person’s office as a member of the Force if the person is</w:t>
      </w:r>
      <w:r>
        <w:t xml:space="preserve">, according to the </w:t>
      </w:r>
      <w:r>
        <w:rPr>
          <w:i/>
        </w:rPr>
        <w:t>Interpretation Act 1984</w:t>
      </w:r>
      <w:r>
        <w:t xml:space="preserve"> section 13D, a bankrupt or a person whose affairs are under insolvency laws.</w:t>
      </w:r>
    </w:p>
    <w:p>
      <w:pPr>
        <w:pStyle w:val="Footnotesection"/>
      </w:pPr>
      <w:r>
        <w:tab/>
        <w:t>[Section 29 inserted: No. 18 of 2009 s. 68.]</w:t>
      </w:r>
    </w:p>
    <w:p>
      <w:pPr>
        <w:pStyle w:val="Heading5"/>
        <w:rPr>
          <w:snapToGrid w:val="0"/>
        </w:rPr>
      </w:pPr>
      <w:bookmarkStart w:id="30" w:name="_Toc91142103"/>
      <w:r>
        <w:rPr>
          <w:rStyle w:val="CharSectno"/>
        </w:rPr>
        <w:t>30</w:t>
      </w:r>
      <w:r>
        <w:rPr>
          <w:snapToGrid w:val="0"/>
        </w:rPr>
        <w:t>.</w:t>
      </w:r>
      <w:r>
        <w:rPr>
          <w:snapToGrid w:val="0"/>
        </w:rPr>
        <w:tab/>
        <w:t>Bankrupt may be reinstated</w:t>
      </w:r>
      <w:bookmarkEnd w:id="30"/>
      <w:r>
        <w:rPr>
          <w:snapToGrid w:val="0"/>
        </w:rPr>
        <w:t xml:space="preserve"> </w:t>
      </w:r>
    </w:p>
    <w:p>
      <w:pPr>
        <w:pStyle w:val="Subsection"/>
        <w:rPr>
          <w:snapToGrid w:val="0"/>
        </w:rPr>
      </w:pPr>
      <w:r>
        <w:rPr>
          <w:snapToGrid w:val="0"/>
        </w:rPr>
        <w:tab/>
      </w:r>
      <w:r>
        <w:rPr>
          <w:snapToGrid w:val="0"/>
        </w:rPr>
        <w:tab/>
        <w:t>When any such member of the Force has so forfeited his office, if he prove to the satisfaction of the Governor that such embarrassment has not been caused or attended by any fraud, extravagance, or dishonourable conduct, the Governor may reinstate such member of the Force in his former position in the service.</w:t>
      </w:r>
    </w:p>
    <w:p>
      <w:pPr>
        <w:pStyle w:val="Heading5"/>
        <w:rPr>
          <w:snapToGrid w:val="0"/>
        </w:rPr>
      </w:pPr>
      <w:bookmarkStart w:id="31" w:name="_Toc91142104"/>
      <w:r>
        <w:rPr>
          <w:rStyle w:val="CharSectno"/>
        </w:rPr>
        <w:t>31</w:t>
      </w:r>
      <w:r>
        <w:rPr>
          <w:snapToGrid w:val="0"/>
        </w:rPr>
        <w:t>.</w:t>
      </w:r>
      <w:r>
        <w:rPr>
          <w:snapToGrid w:val="0"/>
        </w:rPr>
        <w:tab/>
        <w:t>Obtaining admission into the Force by fraud</w:t>
      </w:r>
      <w:bookmarkEnd w:id="31"/>
    </w:p>
    <w:p>
      <w:pPr>
        <w:pStyle w:val="Subsection"/>
        <w:rPr>
          <w:snapToGrid w:val="0"/>
        </w:rPr>
      </w:pPr>
      <w:r>
        <w:rPr>
          <w:snapToGrid w:val="0"/>
        </w:rPr>
        <w:tab/>
      </w:r>
      <w:r>
        <w:rPr>
          <w:snapToGrid w:val="0"/>
        </w:rPr>
        <w:tab/>
        <w:t>Any person having been dismissed from the Force who shall, by concealing the fact of such dismissal, or any person who shall by any false or forged certificates or any false representations, obtain admission into the Force, or who by any such means shall receive any pay, gratuity, or pension, shall be liable, on conviction thereof, to a fine not exceeding $2 500.</w:t>
      </w:r>
    </w:p>
    <w:p>
      <w:pPr>
        <w:pStyle w:val="Footnotesection"/>
      </w:pPr>
      <w:r>
        <w:tab/>
        <w:t xml:space="preserve">[Section 31 amended: No. 28 of 1964 s. 11; No. 113 of 1965 s. 8; No. 91 of 1975 s. 16; No. 50 of 2003 s. 85(6); No. 59 of 2004 s. 141.] </w:t>
      </w:r>
    </w:p>
    <w:p>
      <w:pPr>
        <w:pStyle w:val="Heading5"/>
        <w:rPr>
          <w:snapToGrid w:val="0"/>
        </w:rPr>
      </w:pPr>
      <w:bookmarkStart w:id="32" w:name="_Toc91142105"/>
      <w:r>
        <w:rPr>
          <w:rStyle w:val="CharSectno"/>
        </w:rPr>
        <w:t>32</w:t>
      </w:r>
      <w:r>
        <w:rPr>
          <w:snapToGrid w:val="0"/>
        </w:rPr>
        <w:t>.</w:t>
      </w:r>
      <w:r>
        <w:rPr>
          <w:snapToGrid w:val="0"/>
        </w:rPr>
        <w:tab/>
        <w:t>Members of the Force not to influence voters at elections</w:t>
      </w:r>
      <w:bookmarkEnd w:id="32"/>
      <w:r>
        <w:rPr>
          <w:snapToGrid w:val="0"/>
        </w:rPr>
        <w:t xml:space="preserve"> </w:t>
      </w:r>
    </w:p>
    <w:p>
      <w:pPr>
        <w:pStyle w:val="Subsection"/>
        <w:rPr>
          <w:snapToGrid w:val="0"/>
        </w:rPr>
      </w:pPr>
      <w:r>
        <w:rPr>
          <w:snapToGrid w:val="0"/>
        </w:rPr>
        <w:tab/>
      </w:r>
      <w:r>
        <w:rPr>
          <w:snapToGrid w:val="0"/>
        </w:rPr>
        <w:tab/>
        <w:t xml:space="preserve">No member of the Force shall in any manner influence any elector in giving his vote for the choice of any person to be a </w:t>
      </w:r>
      <w:r>
        <w:rPr>
          <w:snapToGrid w:val="0"/>
        </w:rPr>
        <w:lastRenderedPageBreak/>
        <w:t xml:space="preserve">member to serve in the Legislative Council or Legislative Assembly; and if any person being a member of the Force shall offend herein he shall forfeit a sum not less than $10 nor exceeding $200, to be recovered by any person who shall first sue for the same by action in </w:t>
      </w:r>
      <w:r>
        <w:t>the Magistrates Court</w:t>
      </w:r>
      <w:r>
        <w:rPr>
          <w:snapToGrid w:val="0"/>
        </w:rPr>
        <w:t xml:space="preserve"> to be commenced within 6 months after commission of the offence; but nothing herein contained shall subject any member of the Force to any penalty for any act done by him at or concerning any of the said elections in the discharge of his duty.</w:t>
      </w:r>
    </w:p>
    <w:p>
      <w:pPr>
        <w:pStyle w:val="Footnotesection"/>
      </w:pPr>
      <w:r>
        <w:tab/>
        <w:t xml:space="preserve">[Section 32 amended: No. 113 of 1965 s. 8; No. 59 of 2004 s. 141.] </w:t>
      </w:r>
    </w:p>
    <w:p>
      <w:pPr>
        <w:pStyle w:val="Heading5"/>
      </w:pPr>
      <w:bookmarkStart w:id="33" w:name="_Toc91142106"/>
      <w:r>
        <w:rPr>
          <w:rStyle w:val="CharSectno"/>
        </w:rPr>
        <w:t>33</w:t>
      </w:r>
      <w:r>
        <w:t>.</w:t>
      </w:r>
      <w:r>
        <w:tab/>
        <w:t>Fines and penalties to be credited to Consolidated Account</w:t>
      </w:r>
      <w:bookmarkEnd w:id="33"/>
    </w:p>
    <w:p>
      <w:pPr>
        <w:pStyle w:val="Subsection"/>
      </w:pPr>
      <w:r>
        <w:tab/>
      </w:r>
      <w:r>
        <w:tab/>
        <w:t>All fines and penalties imposed under this Part on a person appointed under this Act must be credited to the Consolidated Account.</w:t>
      </w:r>
    </w:p>
    <w:p>
      <w:pPr>
        <w:pStyle w:val="Footnotesection"/>
      </w:pPr>
      <w:r>
        <w:tab/>
        <w:t>[Section 33 inserted: No. 42 of 2009 s. 7.]</w:t>
      </w:r>
    </w:p>
    <w:p>
      <w:pPr>
        <w:pStyle w:val="Heading2"/>
      </w:pPr>
      <w:bookmarkStart w:id="34" w:name="_Toc90989517"/>
      <w:bookmarkStart w:id="35" w:name="_Toc90990538"/>
      <w:bookmarkStart w:id="36" w:name="_Toc91142107"/>
      <w:r>
        <w:rPr>
          <w:rStyle w:val="CharPartNo"/>
        </w:rPr>
        <w:lastRenderedPageBreak/>
        <w:t>Part IIA</w:t>
      </w:r>
      <w:r>
        <w:rPr>
          <w:rStyle w:val="CharDivNo"/>
        </w:rPr>
        <w:t> </w:t>
      </w:r>
      <w:r>
        <w:t>—</w:t>
      </w:r>
      <w:r>
        <w:rPr>
          <w:rStyle w:val="CharDivText"/>
        </w:rPr>
        <w:t> </w:t>
      </w:r>
      <w:r>
        <w:rPr>
          <w:rStyle w:val="CharPartText"/>
        </w:rPr>
        <w:t>Police Appeal Board</w:t>
      </w:r>
      <w:bookmarkEnd w:id="34"/>
      <w:bookmarkEnd w:id="35"/>
      <w:bookmarkEnd w:id="36"/>
      <w:r>
        <w:rPr>
          <w:rStyle w:val="CharPartText"/>
        </w:rPr>
        <w:t xml:space="preserve"> </w:t>
      </w:r>
    </w:p>
    <w:p>
      <w:pPr>
        <w:pStyle w:val="Footnoteheading"/>
        <w:ind w:left="890"/>
        <w:rPr>
          <w:snapToGrid w:val="0"/>
        </w:rPr>
      </w:pPr>
      <w:r>
        <w:rPr>
          <w:snapToGrid w:val="0"/>
        </w:rPr>
        <w:tab/>
        <w:t xml:space="preserve">[Heading inserted: No. 25 of 1954 s. 7.] </w:t>
      </w:r>
    </w:p>
    <w:p>
      <w:pPr>
        <w:pStyle w:val="Heading5"/>
        <w:rPr>
          <w:snapToGrid w:val="0"/>
        </w:rPr>
      </w:pPr>
      <w:bookmarkStart w:id="37" w:name="_Toc91142108"/>
      <w:r>
        <w:rPr>
          <w:rStyle w:val="CharSectno"/>
        </w:rPr>
        <w:t>33A</w:t>
      </w:r>
      <w:r>
        <w:rPr>
          <w:snapToGrid w:val="0"/>
        </w:rPr>
        <w:t>.</w:t>
      </w:r>
      <w:r>
        <w:rPr>
          <w:snapToGrid w:val="0"/>
        </w:rPr>
        <w:tab/>
        <w:t>Terms used</w:t>
      </w:r>
      <w:bookmarkEnd w:id="37"/>
    </w:p>
    <w:p>
      <w:pPr>
        <w:pStyle w:val="Subsection"/>
        <w:rPr>
          <w:snapToGrid w:val="0"/>
        </w:rPr>
      </w:pPr>
      <w:r>
        <w:rPr>
          <w:snapToGrid w:val="0"/>
        </w:rPr>
        <w:tab/>
      </w:r>
      <w:r>
        <w:rPr>
          <w:snapToGrid w:val="0"/>
        </w:rPr>
        <w:tab/>
        <w:t>In this Part unless the context requires otherwise — </w:t>
      </w:r>
    </w:p>
    <w:p>
      <w:pPr>
        <w:pStyle w:val="Defstart"/>
      </w:pPr>
      <w:r>
        <w:rPr>
          <w:b/>
        </w:rPr>
        <w:tab/>
      </w:r>
      <w:r>
        <w:rPr>
          <w:rStyle w:val="CharDefText"/>
        </w:rPr>
        <w:t>Board</w:t>
      </w:r>
      <w:r>
        <w:t xml:space="preserve"> means the Police Appeal Board constituted under this Part;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Commissioner</w:t>
      </w:r>
      <w:r>
        <w:t xml:space="preserve"> means the person for the time being holding the office of Commissioner of Police;</w:t>
      </w:r>
    </w:p>
    <w:p>
      <w:pPr>
        <w:pStyle w:val="Defstart"/>
      </w:pPr>
      <w:r>
        <w:rPr>
          <w:b/>
        </w:rPr>
        <w:tab/>
      </w:r>
      <w:r>
        <w:rPr>
          <w:rStyle w:val="CharDefText"/>
        </w:rPr>
        <w:t>member</w:t>
      </w:r>
      <w:r>
        <w:t xml:space="preserve"> means a member of the Board.</w:t>
      </w:r>
    </w:p>
    <w:p>
      <w:pPr>
        <w:pStyle w:val="Footnotesection"/>
      </w:pPr>
      <w:r>
        <w:tab/>
        <w:t xml:space="preserve">[Section 33A inserted: No. 25 of 1954 s. 7.] </w:t>
      </w:r>
    </w:p>
    <w:p>
      <w:pPr>
        <w:pStyle w:val="Heading5"/>
        <w:rPr>
          <w:snapToGrid w:val="0"/>
        </w:rPr>
      </w:pPr>
      <w:bookmarkStart w:id="38" w:name="_Toc91142109"/>
      <w:r>
        <w:rPr>
          <w:rStyle w:val="CharSectno"/>
        </w:rPr>
        <w:t>33B</w:t>
      </w:r>
      <w:r>
        <w:rPr>
          <w:snapToGrid w:val="0"/>
        </w:rPr>
        <w:t>.</w:t>
      </w:r>
      <w:r>
        <w:rPr>
          <w:snapToGrid w:val="0"/>
        </w:rPr>
        <w:tab/>
        <w:t>Constitution of Board</w:t>
      </w:r>
      <w:bookmarkEnd w:id="38"/>
      <w:r>
        <w:rPr>
          <w:snapToGrid w:val="0"/>
        </w:rPr>
        <w:t xml:space="preserve"> </w:t>
      </w:r>
    </w:p>
    <w:p>
      <w:pPr>
        <w:pStyle w:val="Subsection"/>
        <w:rPr>
          <w:snapToGrid w:val="0"/>
        </w:rPr>
      </w:pPr>
      <w:r>
        <w:rPr>
          <w:snapToGrid w:val="0"/>
        </w:rPr>
        <w:tab/>
        <w:t>(1)</w:t>
      </w:r>
      <w:r>
        <w:rPr>
          <w:snapToGrid w:val="0"/>
        </w:rPr>
        <w:tab/>
        <w:t>A Police Appeal Board is constituted in accordance with this Part.</w:t>
      </w:r>
    </w:p>
    <w:p>
      <w:pPr>
        <w:pStyle w:val="Subsection"/>
        <w:rPr>
          <w:snapToGrid w:val="0"/>
        </w:rPr>
      </w:pPr>
      <w:r>
        <w:rPr>
          <w:snapToGrid w:val="0"/>
        </w:rPr>
        <w:tab/>
        <w:t>(2)</w:t>
      </w:r>
      <w:r>
        <w:rPr>
          <w:snapToGrid w:val="0"/>
        </w:rPr>
        <w:tab/>
        <w:t>The Board consists of 3 members — </w:t>
      </w:r>
    </w:p>
    <w:p>
      <w:pPr>
        <w:pStyle w:val="Indenta"/>
        <w:rPr>
          <w:snapToGrid w:val="0"/>
        </w:rPr>
      </w:pPr>
      <w:r>
        <w:rPr>
          <w:snapToGrid w:val="0"/>
        </w:rPr>
        <w:tab/>
        <w:t>(a)</w:t>
      </w:r>
      <w:r>
        <w:rPr>
          <w:snapToGrid w:val="0"/>
        </w:rPr>
        <w:tab/>
        <w:t>a magistrate appointed by the Governor and who shall be Chairman;</w:t>
      </w:r>
    </w:p>
    <w:p>
      <w:pPr>
        <w:pStyle w:val="Indenta"/>
        <w:rPr>
          <w:snapToGrid w:val="0"/>
        </w:rPr>
      </w:pPr>
      <w:r>
        <w:rPr>
          <w:snapToGrid w:val="0"/>
        </w:rPr>
        <w:tab/>
        <w:t>(b)</w:t>
      </w:r>
      <w:r>
        <w:rPr>
          <w:snapToGrid w:val="0"/>
        </w:rPr>
        <w:tab/>
        <w:t>a person appointed by the Commissioner; and</w:t>
      </w:r>
    </w:p>
    <w:p>
      <w:pPr>
        <w:pStyle w:val="Indenta"/>
        <w:rPr>
          <w:snapToGrid w:val="0"/>
        </w:rPr>
      </w:pPr>
      <w:r>
        <w:rPr>
          <w:snapToGrid w:val="0"/>
        </w:rPr>
        <w:tab/>
        <w:t>(c)</w:t>
      </w:r>
      <w:r>
        <w:rPr>
          <w:snapToGrid w:val="0"/>
        </w:rPr>
        <w:tab/>
        <w:t>a member of the Police Force elected by the members of the Police Force in manner prescribed.</w:t>
      </w:r>
    </w:p>
    <w:p>
      <w:pPr>
        <w:pStyle w:val="Subsection"/>
        <w:rPr>
          <w:snapToGrid w:val="0"/>
        </w:rPr>
      </w:pPr>
      <w:r>
        <w:rPr>
          <w:snapToGrid w:val="0"/>
        </w:rPr>
        <w:tab/>
        <w:t>(3)</w:t>
      </w:r>
      <w:r>
        <w:rPr>
          <w:snapToGrid w:val="0"/>
        </w:rPr>
        <w:tab/>
        <w:t>Each member of the Board is entitled to such allowances for out of pocket expenses as the Minister may determine.</w:t>
      </w:r>
    </w:p>
    <w:p>
      <w:pPr>
        <w:pStyle w:val="Footnotesection"/>
      </w:pPr>
      <w:r>
        <w:tab/>
        <w:t xml:space="preserve">[Section 33B inserted: No. 25 of 1954 s. 7; amended: No. 59 of 2004 s. 141.] </w:t>
      </w:r>
    </w:p>
    <w:p>
      <w:pPr>
        <w:pStyle w:val="Heading5"/>
        <w:rPr>
          <w:snapToGrid w:val="0"/>
        </w:rPr>
      </w:pPr>
      <w:bookmarkStart w:id="39" w:name="_Toc91142110"/>
      <w:r>
        <w:rPr>
          <w:rStyle w:val="CharSectno"/>
        </w:rPr>
        <w:t>33C</w:t>
      </w:r>
      <w:r>
        <w:rPr>
          <w:snapToGrid w:val="0"/>
        </w:rPr>
        <w:t>.</w:t>
      </w:r>
      <w:r>
        <w:rPr>
          <w:snapToGrid w:val="0"/>
        </w:rPr>
        <w:tab/>
        <w:t>Tenure of office</w:t>
      </w:r>
      <w:bookmarkEnd w:id="39"/>
      <w:r>
        <w:rPr>
          <w:snapToGrid w:val="0"/>
        </w:rPr>
        <w:t xml:space="preserve"> </w:t>
      </w:r>
    </w:p>
    <w:p>
      <w:pPr>
        <w:pStyle w:val="Subsection"/>
        <w:rPr>
          <w:snapToGrid w:val="0"/>
        </w:rPr>
      </w:pPr>
      <w:r>
        <w:rPr>
          <w:snapToGrid w:val="0"/>
        </w:rPr>
        <w:tab/>
        <w:t>(1)</w:t>
      </w:r>
      <w:r>
        <w:rPr>
          <w:snapToGrid w:val="0"/>
        </w:rPr>
        <w:tab/>
        <w:t xml:space="preserve">Subject to the provisions of subsection (2), every member shall hold office until 30 June in the second year after the year in </w:t>
      </w:r>
      <w:r>
        <w:rPr>
          <w:snapToGrid w:val="0"/>
        </w:rPr>
        <w:lastRenderedPageBreak/>
        <w:t>which he was appointed or elected and at the expiration of his term is eligible for reappointment.</w:t>
      </w:r>
    </w:p>
    <w:p>
      <w:pPr>
        <w:pStyle w:val="Subsection"/>
        <w:rPr>
          <w:snapToGrid w:val="0"/>
        </w:rPr>
      </w:pPr>
      <w:r>
        <w:rPr>
          <w:snapToGrid w:val="0"/>
        </w:rPr>
        <w:tab/>
        <w:t>(2)</w:t>
      </w:r>
      <w:r>
        <w:rPr>
          <w:snapToGrid w:val="0"/>
        </w:rPr>
        <w:tab/>
        <w:t>If any member — </w:t>
      </w:r>
    </w:p>
    <w:p>
      <w:pPr>
        <w:pStyle w:val="Indenta"/>
        <w:rPr>
          <w:snapToGrid w:val="0"/>
        </w:rPr>
      </w:pPr>
      <w:r>
        <w:rPr>
          <w:snapToGrid w:val="0"/>
        </w:rPr>
        <w:tab/>
        <w:t>(a)</w:t>
      </w:r>
      <w:r>
        <w:rPr>
          <w:snapToGrid w:val="0"/>
        </w:rPr>
        <w:tab/>
        <w:t>dies or resigns his office;</w:t>
      </w:r>
    </w:p>
    <w:p>
      <w:pPr>
        <w:pStyle w:val="Indenta"/>
        <w:rPr>
          <w:snapToGrid w:val="0"/>
        </w:rPr>
      </w:pPr>
      <w:r>
        <w:rPr>
          <w:snapToGrid w:val="0"/>
        </w:rPr>
        <w:tab/>
        <w:t>(b)</w:t>
      </w:r>
      <w:r>
        <w:rPr>
          <w:snapToGrid w:val="0"/>
        </w:rPr>
        <w:tab/>
        <w:t>becomes incapable of continuing as a member;</w:t>
      </w:r>
    </w:p>
    <w:p>
      <w:pPr>
        <w:pStyle w:val="Indenta"/>
        <w:rPr>
          <w:snapToGrid w:val="0"/>
        </w:rPr>
      </w:pPr>
      <w:r>
        <w:rPr>
          <w:snapToGrid w:val="0"/>
        </w:rPr>
        <w:tab/>
        <w:t>(c)</w:t>
      </w:r>
      <w:r>
        <w:rPr>
          <w:snapToGrid w:val="0"/>
        </w:rPr>
        <w:tab/>
        <w:t>is guilty of misbehaviour or of incapacity;</w:t>
      </w:r>
    </w:p>
    <w:p>
      <w:pPr>
        <w:pStyle w:val="Indenta"/>
        <w:rPr>
          <w:snapToGrid w:val="0"/>
        </w:rPr>
      </w:pPr>
      <w:r>
        <w:rPr>
          <w:snapToGrid w:val="0"/>
        </w:rPr>
        <w:tab/>
        <w:t>(d)</w:t>
      </w:r>
      <w:r>
        <w:rPr>
          <w:snapToGrid w:val="0"/>
        </w:rPr>
        <w:tab/>
        <w:t>ceases to hold the required qualifications to be a member;</w:t>
      </w:r>
    </w:p>
    <w:p>
      <w:pPr>
        <w:pStyle w:val="Indenta"/>
        <w:rPr>
          <w:snapToGrid w:val="0"/>
        </w:rPr>
      </w:pPr>
      <w:r>
        <w:rPr>
          <w:snapToGrid w:val="0"/>
        </w:rPr>
        <w:tab/>
        <w:t>(e)</w:t>
      </w:r>
      <w:r>
        <w:rPr>
          <w:snapToGrid w:val="0"/>
        </w:rPr>
        <w:tab/>
        <w:t>is required to carry out duties the location or nature of which in the opinion of the Minister make it inconvenient or undesirable that he continue as a member,</w:t>
      </w:r>
    </w:p>
    <w:p>
      <w:pPr>
        <w:pStyle w:val="Subsection"/>
        <w:rPr>
          <w:snapToGrid w:val="0"/>
        </w:rPr>
      </w:pPr>
      <w:r>
        <w:rPr>
          <w:snapToGrid w:val="0"/>
        </w:rPr>
        <w:tab/>
      </w:r>
      <w:r>
        <w:rPr>
          <w:snapToGrid w:val="0"/>
        </w:rPr>
        <w:tab/>
        <w:t>his office on the Board becomes vacant and a successor shall be appointed who shall hold office for the residue of the term for which his predecessor was appointed.</w:t>
      </w:r>
    </w:p>
    <w:p>
      <w:pPr>
        <w:pStyle w:val="Subsection"/>
        <w:rPr>
          <w:snapToGrid w:val="0"/>
        </w:rPr>
      </w:pPr>
      <w:r>
        <w:rPr>
          <w:snapToGrid w:val="0"/>
        </w:rPr>
        <w:tab/>
        <w:t>(3A)</w:t>
      </w:r>
      <w:r>
        <w:rPr>
          <w:snapToGrid w:val="0"/>
        </w:rPr>
        <w:tab/>
        <w:t>Where the office of the elective member becomes vacant or the person holding that office is for any reason temporarily unable to act in his office, the member of the Police Force who received the second highest number of votes at the last previous election held under this Part, shall be appointed by the executive of the Police Union of Workers of Western Australia to fill the vacancy for the remainder of the term for which his predecessor was elected, or shall be so appointed to be acting member during the period of inability as the case may be.</w:t>
      </w:r>
    </w:p>
    <w:p>
      <w:pPr>
        <w:pStyle w:val="Subsection"/>
        <w:rPr>
          <w:snapToGrid w:val="0"/>
        </w:rPr>
      </w:pPr>
      <w:r>
        <w:rPr>
          <w:snapToGrid w:val="0"/>
        </w:rPr>
        <w:tab/>
        <w:t>(3B)</w:t>
      </w:r>
      <w:r>
        <w:rPr>
          <w:snapToGrid w:val="0"/>
        </w:rPr>
        <w:tab/>
        <w:t>Where there is only one candidate at the election or if for any reason the person who received the second highest number of votes at the election is unable to act the executive of the union may appoint a member of the Police Force to fill the vacancy or be the acting member.</w:t>
      </w:r>
    </w:p>
    <w:p>
      <w:pPr>
        <w:pStyle w:val="Subsection"/>
        <w:rPr>
          <w:snapToGrid w:val="0"/>
        </w:rPr>
      </w:pPr>
      <w:r>
        <w:rPr>
          <w:snapToGrid w:val="0"/>
        </w:rPr>
        <w:tab/>
        <w:t>(4)</w:t>
      </w:r>
      <w:r>
        <w:rPr>
          <w:snapToGrid w:val="0"/>
        </w:rPr>
        <w:tab/>
        <w:t xml:space="preserve">Where the office of the Chairman or the member appointed by the Commissioner becomes vacant or the person holding the office is temporarily unable to act in his office, the Governor may appoint a magistrate or the Commissioner may appoint a </w:t>
      </w:r>
      <w:r>
        <w:rPr>
          <w:snapToGrid w:val="0"/>
        </w:rPr>
        <w:lastRenderedPageBreak/>
        <w:t>person as the case may require, to fill the vacancy for the remainder of the term for which his predecessor was appointed or to be acting Chairman or member during the period of inability as the case may be.</w:t>
      </w:r>
    </w:p>
    <w:p>
      <w:pPr>
        <w:pStyle w:val="Footnotesection"/>
      </w:pPr>
      <w:r>
        <w:tab/>
        <w:t xml:space="preserve">[Section 33C inserted: No. 25 of 1954 s. 7; amended: No. 59 of 2004 s. 141; No. 19 of 2010 s. 51.] </w:t>
      </w:r>
    </w:p>
    <w:p>
      <w:pPr>
        <w:pStyle w:val="Heading5"/>
        <w:rPr>
          <w:snapToGrid w:val="0"/>
        </w:rPr>
      </w:pPr>
      <w:bookmarkStart w:id="40" w:name="_Toc91142111"/>
      <w:r>
        <w:rPr>
          <w:rStyle w:val="CharSectno"/>
        </w:rPr>
        <w:t>33D</w:t>
      </w:r>
      <w:r>
        <w:rPr>
          <w:snapToGrid w:val="0"/>
        </w:rPr>
        <w:t>.</w:t>
      </w:r>
      <w:r>
        <w:rPr>
          <w:snapToGrid w:val="0"/>
        </w:rPr>
        <w:tab/>
        <w:t>Secretary to Board</w:t>
      </w:r>
      <w:bookmarkEnd w:id="40"/>
      <w:r>
        <w:rPr>
          <w:snapToGrid w:val="0"/>
        </w:rPr>
        <w:t xml:space="preserve"> </w:t>
      </w:r>
    </w:p>
    <w:p>
      <w:pPr>
        <w:pStyle w:val="Subsection"/>
        <w:rPr>
          <w:snapToGrid w:val="0"/>
        </w:rPr>
      </w:pPr>
      <w:r>
        <w:rPr>
          <w:snapToGrid w:val="0"/>
        </w:rPr>
        <w:tab/>
      </w:r>
      <w:r>
        <w:rPr>
          <w:snapToGrid w:val="0"/>
        </w:rPr>
        <w:tab/>
        <w:t>The Minister shall appoint a person to be secretary to the Board, who shall convene all meetings of the Board, keep a record of all its proceedings and decisions and carry out such other duties as may be prescribed.</w:t>
      </w:r>
    </w:p>
    <w:p>
      <w:pPr>
        <w:pStyle w:val="Footnotesection"/>
      </w:pPr>
      <w:r>
        <w:tab/>
        <w:t xml:space="preserve">[Section 33D inserted: No. 25 of 1954 s. 7.] </w:t>
      </w:r>
    </w:p>
    <w:p>
      <w:pPr>
        <w:pStyle w:val="Heading5"/>
        <w:rPr>
          <w:snapToGrid w:val="0"/>
        </w:rPr>
      </w:pPr>
      <w:bookmarkStart w:id="41" w:name="_Toc91142112"/>
      <w:r>
        <w:rPr>
          <w:rStyle w:val="CharSectno"/>
        </w:rPr>
        <w:t>33E</w:t>
      </w:r>
      <w:r>
        <w:rPr>
          <w:snapToGrid w:val="0"/>
        </w:rPr>
        <w:t>.</w:t>
      </w:r>
      <w:r>
        <w:rPr>
          <w:snapToGrid w:val="0"/>
        </w:rPr>
        <w:tab/>
        <w:t>Right of appeal to Board on disciplinary offences</w:t>
      </w:r>
      <w:bookmarkEnd w:id="41"/>
    </w:p>
    <w:p>
      <w:pPr>
        <w:pStyle w:val="Subsection"/>
        <w:rPr>
          <w:snapToGrid w:val="0"/>
        </w:rPr>
      </w:pPr>
      <w:r>
        <w:rPr>
          <w:snapToGrid w:val="0"/>
        </w:rPr>
        <w:tab/>
      </w:r>
      <w:r>
        <w:rPr>
          <w:snapToGrid w:val="0"/>
        </w:rPr>
        <w:tab/>
        <w:t>Where under the provisions of this Act a member of the Police Force</w:t>
      </w:r>
      <w:r>
        <w:t>, a police auxiliary officer, a police cadet or an Aboriginal police liaison officer</w:t>
      </w:r>
      <w:r>
        <w:rPr>
          <w:snapToGrid w:val="0"/>
        </w:rPr>
        <w:t xml:space="preserve"> has been convicted upon a summary investigation by the Commissioner or other officer appointed by the Commissioner, of an offence against the discipline of the Police Force, if </w:t>
      </w:r>
      <w:r>
        <w:t xml:space="preserve">that member, cadet, police auxiliary officer, or liaison officer </w:t>
      </w:r>
      <w:r>
        <w:rPr>
          <w:snapToGrid w:val="0"/>
        </w:rPr>
        <w:t xml:space="preserve">is punished by the Commissioner or other officer as the case may be, by being discharged or dismissed from the Police Force, suspended from duty, </w:t>
      </w:r>
      <w:r>
        <w:t xml:space="preserve">removed from the office of police auxiliary officer or Aboriginal police liaison officer, </w:t>
      </w:r>
      <w:r>
        <w:rPr>
          <w:snapToGrid w:val="0"/>
        </w:rPr>
        <w:t>reduced in rank, fined or transferred by way of punishment, he may appeal to the Board in accordance with the provisions of this Act against the punishment and against any decision or finding on which the punishment was based.</w:t>
      </w:r>
    </w:p>
    <w:p>
      <w:pPr>
        <w:pStyle w:val="Footnotesection"/>
      </w:pPr>
      <w:r>
        <w:tab/>
        <w:t xml:space="preserve">[Section 33E inserted: No. 25 of 1954 s. 7; amended: No. 6 of 1978 s. 9; No. 8 of 2008 s. 8; No. 42 of 2009 s. 8.] </w:t>
      </w:r>
    </w:p>
    <w:p>
      <w:pPr>
        <w:pStyle w:val="Heading5"/>
        <w:rPr>
          <w:snapToGrid w:val="0"/>
        </w:rPr>
      </w:pPr>
      <w:bookmarkStart w:id="42" w:name="_Toc91142113"/>
      <w:r>
        <w:rPr>
          <w:rStyle w:val="CharSectno"/>
        </w:rPr>
        <w:t>33F</w:t>
      </w:r>
      <w:r>
        <w:rPr>
          <w:snapToGrid w:val="0"/>
        </w:rPr>
        <w:t>.</w:t>
      </w:r>
      <w:r>
        <w:rPr>
          <w:snapToGrid w:val="0"/>
        </w:rPr>
        <w:tab/>
        <w:t>Institution of appeal</w:t>
      </w:r>
      <w:bookmarkEnd w:id="42"/>
      <w:r>
        <w:rPr>
          <w:snapToGrid w:val="0"/>
        </w:rPr>
        <w:t xml:space="preserve"> </w:t>
      </w:r>
    </w:p>
    <w:p>
      <w:pPr>
        <w:pStyle w:val="Subsection"/>
        <w:rPr>
          <w:snapToGrid w:val="0"/>
        </w:rPr>
      </w:pPr>
      <w:r>
        <w:rPr>
          <w:snapToGrid w:val="0"/>
        </w:rPr>
        <w:tab/>
        <w:t>(1)</w:t>
      </w:r>
      <w:r>
        <w:rPr>
          <w:snapToGrid w:val="0"/>
        </w:rPr>
        <w:tab/>
        <w:t xml:space="preserve">An appeal shall be instituted by a notice of appeal containing the matters prescribed given by the appellant to the secretary of </w:t>
      </w:r>
      <w:r>
        <w:rPr>
          <w:snapToGrid w:val="0"/>
        </w:rPr>
        <w:lastRenderedPageBreak/>
        <w:t>the Board within 14 days from the date the punishment, decision or finding appealed against is given and the Board shall hear the appeal within 30 days from the date the notice of appeal is so lodged.</w:t>
      </w:r>
    </w:p>
    <w:p>
      <w:pPr>
        <w:pStyle w:val="Subsection"/>
        <w:rPr>
          <w:snapToGrid w:val="0"/>
        </w:rPr>
      </w:pPr>
      <w:r>
        <w:rPr>
          <w:snapToGrid w:val="0"/>
        </w:rPr>
        <w:tab/>
        <w:t>(2)</w:t>
      </w:r>
      <w:r>
        <w:rPr>
          <w:snapToGrid w:val="0"/>
        </w:rPr>
        <w:tab/>
        <w:t>The Chairman shall fix a time and place for the appeal and the secretary shall give the appellant and the Commissioner at least 7 days’ notice of the time and place so fixed.</w:t>
      </w:r>
    </w:p>
    <w:p>
      <w:pPr>
        <w:pStyle w:val="Subsection"/>
        <w:rPr>
          <w:snapToGrid w:val="0"/>
        </w:rPr>
      </w:pPr>
      <w:r>
        <w:rPr>
          <w:snapToGrid w:val="0"/>
        </w:rPr>
        <w:tab/>
        <w:t>(3)</w:t>
      </w:r>
      <w:r>
        <w:rPr>
          <w:snapToGrid w:val="0"/>
        </w:rPr>
        <w:tab/>
        <w:t>Where the hearing of the appeal is not commenced within the period of 30 days as prescribed by subsection (1), the punishment, decision or finding appealed against is rescinded and the appellant shall be reimbursed from moneys appropriated by Parliament for the administration of this Act, any loss of salary or expenses he has incurred as a result of the punishment, decision or finding, but if the hearing of the appeal is commenced within the period of 30 days the Board may allow any adjournment it thinks fit.</w:t>
      </w:r>
    </w:p>
    <w:p>
      <w:pPr>
        <w:pStyle w:val="Footnotesection"/>
      </w:pPr>
      <w:r>
        <w:tab/>
        <w:t xml:space="preserve">[Section 33F inserted: No. 25 of 1954 s. 7.] </w:t>
      </w:r>
    </w:p>
    <w:p>
      <w:pPr>
        <w:pStyle w:val="Heading5"/>
        <w:rPr>
          <w:snapToGrid w:val="0"/>
        </w:rPr>
      </w:pPr>
      <w:bookmarkStart w:id="43" w:name="_Toc91142114"/>
      <w:r>
        <w:rPr>
          <w:rStyle w:val="CharSectno"/>
        </w:rPr>
        <w:t>33G</w:t>
      </w:r>
      <w:r>
        <w:rPr>
          <w:snapToGrid w:val="0"/>
        </w:rPr>
        <w:t>.</w:t>
      </w:r>
      <w:r>
        <w:rPr>
          <w:snapToGrid w:val="0"/>
        </w:rPr>
        <w:tab/>
        <w:t>Witnesses at and evidence taken on appeal</w:t>
      </w:r>
      <w:bookmarkEnd w:id="43"/>
      <w:r>
        <w:rPr>
          <w:snapToGrid w:val="0"/>
        </w:rPr>
        <w:t xml:space="preserve"> </w:t>
      </w:r>
    </w:p>
    <w:p>
      <w:pPr>
        <w:pStyle w:val="Subsection"/>
        <w:rPr>
          <w:snapToGrid w:val="0"/>
        </w:rPr>
      </w:pPr>
      <w:r>
        <w:rPr>
          <w:snapToGrid w:val="0"/>
        </w:rPr>
        <w:tab/>
        <w:t>(1)</w:t>
      </w:r>
      <w:r>
        <w:rPr>
          <w:snapToGrid w:val="0"/>
        </w:rPr>
        <w:tab/>
        <w:t>Upon the hearing of the appeal the Board may — </w:t>
      </w:r>
    </w:p>
    <w:p>
      <w:pPr>
        <w:pStyle w:val="Indenta"/>
        <w:rPr>
          <w:snapToGrid w:val="0"/>
        </w:rPr>
      </w:pPr>
      <w:r>
        <w:rPr>
          <w:snapToGrid w:val="0"/>
        </w:rPr>
        <w:tab/>
        <w:t>(a)</w:t>
      </w:r>
      <w:r>
        <w:rPr>
          <w:snapToGrid w:val="0"/>
        </w:rPr>
        <w:tab/>
        <w:t>take evidence on oath or affirmation;</w:t>
      </w:r>
    </w:p>
    <w:p>
      <w:pPr>
        <w:pStyle w:val="Indenta"/>
        <w:rPr>
          <w:snapToGrid w:val="0"/>
        </w:rPr>
      </w:pPr>
      <w:r>
        <w:rPr>
          <w:snapToGrid w:val="0"/>
        </w:rPr>
        <w:tab/>
        <w:t>(b)</w:t>
      </w:r>
      <w:r>
        <w:rPr>
          <w:snapToGrid w:val="0"/>
        </w:rPr>
        <w:tab/>
        <w:t>admit evidence taken at any summary investigation held under the provisions of sections 23 and 24 and at which the appellant was present and had an opportunity of hearing the evidence and of giving evidence;</w:t>
      </w:r>
    </w:p>
    <w:p>
      <w:pPr>
        <w:pStyle w:val="Indenta"/>
        <w:rPr>
          <w:snapToGrid w:val="0"/>
        </w:rPr>
      </w:pPr>
      <w:r>
        <w:rPr>
          <w:snapToGrid w:val="0"/>
        </w:rPr>
        <w:tab/>
        <w:t>(c)</w:t>
      </w:r>
      <w:r>
        <w:rPr>
          <w:snapToGrid w:val="0"/>
        </w:rPr>
        <w:tab/>
        <w:t>admit as evidence any statement or document which in its opinion is relevant to the subject matter of the appeal.</w:t>
      </w:r>
    </w:p>
    <w:p>
      <w:pPr>
        <w:pStyle w:val="Subsection"/>
        <w:rPr>
          <w:snapToGrid w:val="0"/>
        </w:rPr>
      </w:pPr>
      <w:r>
        <w:rPr>
          <w:snapToGrid w:val="0"/>
        </w:rPr>
        <w:tab/>
        <w:t>(2)</w:t>
      </w:r>
      <w:r>
        <w:rPr>
          <w:snapToGrid w:val="0"/>
        </w:rPr>
        <w:tab/>
        <w:t>The Board may — </w:t>
      </w:r>
    </w:p>
    <w:p>
      <w:pPr>
        <w:pStyle w:val="Indenta"/>
        <w:rPr>
          <w:snapToGrid w:val="0"/>
        </w:rPr>
      </w:pPr>
      <w:r>
        <w:rPr>
          <w:snapToGrid w:val="0"/>
        </w:rPr>
        <w:tab/>
        <w:t>(a)</w:t>
      </w:r>
      <w:r>
        <w:rPr>
          <w:snapToGrid w:val="0"/>
        </w:rPr>
        <w:tab/>
        <w:t xml:space="preserve">issue summonses under the hand of the Chairman or the secretary of the Board requiring any witnesses to attend before the Board and give evidence, or to produce to the Board any books, documents or writings in his </w:t>
      </w:r>
      <w:r>
        <w:rPr>
          <w:snapToGrid w:val="0"/>
        </w:rPr>
        <w:lastRenderedPageBreak/>
        <w:t>possession or under his control, which are relevant to the subject matter of the appeal;</w:t>
      </w:r>
    </w:p>
    <w:p>
      <w:pPr>
        <w:pStyle w:val="Indenta"/>
        <w:rPr>
          <w:snapToGrid w:val="0"/>
        </w:rPr>
      </w:pPr>
      <w:r>
        <w:rPr>
          <w:snapToGrid w:val="0"/>
        </w:rPr>
        <w:tab/>
        <w:t>(b)</w:t>
      </w:r>
      <w:r>
        <w:rPr>
          <w:snapToGrid w:val="0"/>
        </w:rPr>
        <w:tab/>
        <w:t>require any person before the Board to take an oath or affirmation and answer questions put to him by the Board or by or on behalf of any party to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refuses or fails to comply with any requirement of a summons issued by the Board under this section and served on him;</w:t>
      </w:r>
    </w:p>
    <w:p>
      <w:pPr>
        <w:pStyle w:val="Indenta"/>
        <w:rPr>
          <w:snapToGrid w:val="0"/>
        </w:rPr>
      </w:pPr>
      <w:r>
        <w:rPr>
          <w:snapToGrid w:val="0"/>
        </w:rPr>
        <w:tab/>
        <w:t>(b)</w:t>
      </w:r>
      <w:r>
        <w:rPr>
          <w:snapToGrid w:val="0"/>
        </w:rPr>
        <w:tab/>
        <w:t>refuses to take an oath or affirmation when required by the Board;</w:t>
      </w:r>
    </w:p>
    <w:p>
      <w:pPr>
        <w:pStyle w:val="Indenta"/>
        <w:rPr>
          <w:snapToGrid w:val="0"/>
        </w:rPr>
      </w:pPr>
      <w:r>
        <w:rPr>
          <w:snapToGrid w:val="0"/>
        </w:rPr>
        <w:tab/>
        <w:t>(c)</w:t>
      </w:r>
      <w:r>
        <w:rPr>
          <w:snapToGrid w:val="0"/>
        </w:rPr>
        <w:tab/>
        <w:t>without lawful excuse refuses to answer a question which the Board requires him to answer;</w:t>
      </w:r>
    </w:p>
    <w:p>
      <w:pPr>
        <w:pStyle w:val="Indenta"/>
        <w:rPr>
          <w:snapToGrid w:val="0"/>
        </w:rPr>
      </w:pPr>
      <w:r>
        <w:rPr>
          <w:snapToGrid w:val="0"/>
        </w:rPr>
        <w:tab/>
        <w:t>(d)</w:t>
      </w:r>
      <w:r>
        <w:rPr>
          <w:snapToGrid w:val="0"/>
        </w:rPr>
        <w:tab/>
        <w:t>wilfully interrupts the proceedings of the Board or in the course of the proceedings behaves offensively to the Chairman or a member,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$100.</w:t>
      </w:r>
    </w:p>
    <w:p>
      <w:pPr>
        <w:pStyle w:val="Subsection"/>
        <w:rPr>
          <w:snapToGrid w:val="0"/>
        </w:rPr>
      </w:pPr>
      <w:r>
        <w:rPr>
          <w:snapToGrid w:val="0"/>
        </w:rPr>
        <w:tab/>
        <w:t>(4)</w:t>
      </w:r>
      <w:r>
        <w:rPr>
          <w:snapToGrid w:val="0"/>
        </w:rPr>
        <w:tab/>
        <w:t>In any proceedings before the Board any party to the appeal may respectively be represented by his counsel, solicitor or agent duly appointed in writing for the purpose, who may examine and cross examine witnesses and address the Board.</w:t>
      </w:r>
    </w:p>
    <w:p>
      <w:pPr>
        <w:pStyle w:val="Footnotesection"/>
      </w:pPr>
      <w:r>
        <w:tab/>
        <w:t xml:space="preserve">[Section 33G inserted: No. 25 of 1954 s. 7; amended: No. 113 of 1965 s. 8.] </w:t>
      </w:r>
    </w:p>
    <w:p>
      <w:pPr>
        <w:pStyle w:val="Heading5"/>
        <w:rPr>
          <w:snapToGrid w:val="0"/>
        </w:rPr>
      </w:pPr>
      <w:bookmarkStart w:id="44" w:name="_Toc91142115"/>
      <w:r>
        <w:rPr>
          <w:rStyle w:val="CharSectno"/>
        </w:rPr>
        <w:t>33H</w:t>
      </w:r>
      <w:r>
        <w:rPr>
          <w:snapToGrid w:val="0"/>
        </w:rPr>
        <w:t>.</w:t>
      </w:r>
      <w:r>
        <w:rPr>
          <w:snapToGrid w:val="0"/>
        </w:rPr>
        <w:tab/>
        <w:t>Determination of appeal</w:t>
      </w:r>
      <w:bookmarkEnd w:id="44"/>
      <w:r>
        <w:rPr>
          <w:snapToGrid w:val="0"/>
        </w:rPr>
        <w:t xml:space="preserve"> </w:t>
      </w:r>
    </w:p>
    <w:p>
      <w:pPr>
        <w:pStyle w:val="Subsection"/>
        <w:rPr>
          <w:snapToGrid w:val="0"/>
        </w:rPr>
      </w:pPr>
      <w:r>
        <w:rPr>
          <w:snapToGrid w:val="0"/>
        </w:rPr>
        <w:tab/>
        <w:t>(1A)</w:t>
      </w:r>
      <w:r>
        <w:rPr>
          <w:snapToGrid w:val="0"/>
        </w:rPr>
        <w:tab/>
        <w:t>Upon an appeal the Board may confirm, modify or reverse any decision, finding or punishment appealed against or make such other order thereon which the Board deems just and the decision of the Board is final.</w:t>
      </w:r>
    </w:p>
    <w:p>
      <w:pPr>
        <w:pStyle w:val="Subsection"/>
        <w:rPr>
          <w:snapToGrid w:val="0"/>
        </w:rPr>
      </w:pPr>
      <w:r>
        <w:rPr>
          <w:snapToGrid w:val="0"/>
        </w:rPr>
        <w:tab/>
        <w:t>(1B)</w:t>
      </w:r>
      <w:r>
        <w:rPr>
          <w:snapToGrid w:val="0"/>
        </w:rPr>
        <w:tab/>
        <w:t xml:space="preserve">The Board may fix the costs of any appeal and direct by whom and the proportions in which they are payable but in every case </w:t>
      </w:r>
      <w:r>
        <w:rPr>
          <w:snapToGrid w:val="0"/>
        </w:rPr>
        <w:lastRenderedPageBreak/>
        <w:t>the Board shall award costs against an appellant whose appeal is considered by the Board to be trivial, frivolous or vexatious.</w:t>
      </w:r>
    </w:p>
    <w:p>
      <w:pPr>
        <w:pStyle w:val="Subsection"/>
        <w:rPr>
          <w:snapToGrid w:val="0"/>
        </w:rPr>
      </w:pPr>
      <w:r>
        <w:rPr>
          <w:snapToGrid w:val="0"/>
        </w:rPr>
        <w:tab/>
        <w:t>(1C)</w:t>
      </w:r>
      <w:r>
        <w:rPr>
          <w:snapToGrid w:val="0"/>
        </w:rPr>
        <w:tab/>
        <w:t>Costs awarded against an appellant are recoverable in a court of competent jurisdiction as a debt due to the Crown.</w:t>
      </w:r>
    </w:p>
    <w:p>
      <w:pPr>
        <w:pStyle w:val="Subsection"/>
        <w:rPr>
          <w:snapToGrid w:val="0"/>
        </w:rPr>
      </w:pPr>
      <w:r>
        <w:rPr>
          <w:snapToGrid w:val="0"/>
        </w:rPr>
        <w:tab/>
        <w:t>(1D)</w:t>
      </w:r>
      <w:r>
        <w:rPr>
          <w:snapToGrid w:val="0"/>
        </w:rPr>
        <w:tab/>
        <w:t>Costs awarded to an appellant shall be paid from moneys appropriated by Parliament for the purpose of the administration of this Act.</w:t>
      </w:r>
    </w:p>
    <w:p>
      <w:pPr>
        <w:pStyle w:val="Subsection"/>
        <w:rPr>
          <w:snapToGrid w:val="0"/>
        </w:rPr>
      </w:pPr>
      <w:r>
        <w:rPr>
          <w:snapToGrid w:val="0"/>
        </w:rPr>
        <w:tab/>
        <w:t>(2)</w:t>
      </w:r>
      <w:r>
        <w:rPr>
          <w:snapToGrid w:val="0"/>
        </w:rPr>
        <w:tab/>
        <w:t>The decision of any 2 members is the decision of the Board; but the deliberations of the Board and the individual views of a member except of his own volition shall not be disclosed or published.</w:t>
      </w:r>
    </w:p>
    <w:p>
      <w:pPr>
        <w:pStyle w:val="Footnotesection"/>
      </w:pPr>
      <w:r>
        <w:tab/>
        <w:t xml:space="preserve">[Section 33H inserted: No. 25 of 1954 s. 7; amended: No. 19 of 2010 s. 51.] </w:t>
      </w:r>
    </w:p>
    <w:p>
      <w:pPr>
        <w:pStyle w:val="Heading5"/>
        <w:rPr>
          <w:snapToGrid w:val="0"/>
        </w:rPr>
      </w:pPr>
      <w:bookmarkStart w:id="45" w:name="_Toc91142116"/>
      <w:r>
        <w:rPr>
          <w:rStyle w:val="CharSectno"/>
        </w:rPr>
        <w:t>33I</w:t>
      </w:r>
      <w:r>
        <w:rPr>
          <w:snapToGrid w:val="0"/>
        </w:rPr>
        <w:t>.</w:t>
      </w:r>
      <w:r>
        <w:rPr>
          <w:snapToGrid w:val="0"/>
        </w:rPr>
        <w:tab/>
        <w:t>Decision to be sent to Commissioner</w:t>
      </w:r>
      <w:bookmarkEnd w:id="45"/>
    </w:p>
    <w:p>
      <w:pPr>
        <w:pStyle w:val="Subsection"/>
        <w:rPr>
          <w:snapToGrid w:val="0"/>
        </w:rPr>
      </w:pPr>
      <w:r>
        <w:rPr>
          <w:snapToGrid w:val="0"/>
        </w:rPr>
        <w:tab/>
      </w:r>
      <w:r>
        <w:rPr>
          <w:snapToGrid w:val="0"/>
        </w:rPr>
        <w:tab/>
        <w:t>The Chairman shall forward to the Commissioner a copy, certified by the Chairman as correct, of the decision of the Board and the Commissioner shall give effect to the decision of the Board.</w:t>
      </w:r>
    </w:p>
    <w:p>
      <w:pPr>
        <w:pStyle w:val="Footnotesection"/>
      </w:pPr>
      <w:r>
        <w:tab/>
        <w:t xml:space="preserve">[Section 33I inserted: No. 25 of 1954 s. 7.] </w:t>
      </w:r>
    </w:p>
    <w:p>
      <w:pPr>
        <w:pStyle w:val="Heading5"/>
        <w:rPr>
          <w:snapToGrid w:val="0"/>
        </w:rPr>
      </w:pPr>
      <w:bookmarkStart w:id="46" w:name="_Toc91142117"/>
      <w:r>
        <w:rPr>
          <w:rStyle w:val="CharSectno"/>
        </w:rPr>
        <w:t>33J</w:t>
      </w:r>
      <w:r>
        <w:rPr>
          <w:snapToGrid w:val="0"/>
        </w:rPr>
        <w:t>.</w:t>
      </w:r>
      <w:r>
        <w:rPr>
          <w:snapToGrid w:val="0"/>
        </w:rPr>
        <w:tab/>
        <w:t>Regulations</w:t>
      </w:r>
      <w:bookmarkEnd w:id="46"/>
      <w:r>
        <w:rPr>
          <w:snapToGrid w:val="0"/>
        </w:rPr>
        <w:t xml:space="preserve"> </w:t>
      </w:r>
    </w:p>
    <w:p>
      <w:pPr>
        <w:pStyle w:val="Subsection"/>
        <w:rPr>
          <w:snapToGrid w:val="0"/>
        </w:rPr>
      </w:pPr>
      <w:r>
        <w:rPr>
          <w:snapToGrid w:val="0"/>
        </w:rPr>
        <w:tab/>
      </w:r>
      <w:r>
        <w:rPr>
          <w:snapToGrid w:val="0"/>
        </w:rPr>
        <w:tab/>
        <w:t>The Governor may make regulations prescribing any matters necessary or convenient to be prescribed for giving effect to this Part and without limiting the generality of this power, with respect to — </w:t>
      </w:r>
    </w:p>
    <w:p>
      <w:pPr>
        <w:pStyle w:val="Indenta"/>
        <w:rPr>
          <w:snapToGrid w:val="0"/>
        </w:rPr>
      </w:pPr>
      <w:r>
        <w:rPr>
          <w:snapToGrid w:val="0"/>
        </w:rPr>
        <w:tab/>
        <w:t>(a)</w:t>
      </w:r>
      <w:r>
        <w:rPr>
          <w:snapToGrid w:val="0"/>
        </w:rPr>
        <w:tab/>
        <w:t>the nomination and election of members;</w:t>
      </w:r>
    </w:p>
    <w:p>
      <w:pPr>
        <w:pStyle w:val="Indenta"/>
        <w:rPr>
          <w:snapToGrid w:val="0"/>
        </w:rPr>
      </w:pPr>
      <w:r>
        <w:rPr>
          <w:snapToGrid w:val="0"/>
        </w:rPr>
        <w:tab/>
        <w:t>(b)</w:t>
      </w:r>
      <w:r>
        <w:rPr>
          <w:snapToGrid w:val="0"/>
        </w:rPr>
        <w:tab/>
        <w:t>the mode of appealing and the practice and procedure on appeal; and</w:t>
      </w:r>
    </w:p>
    <w:p>
      <w:pPr>
        <w:pStyle w:val="Indenta"/>
        <w:rPr>
          <w:snapToGrid w:val="0"/>
        </w:rPr>
      </w:pPr>
      <w:r>
        <w:rPr>
          <w:snapToGrid w:val="0"/>
        </w:rPr>
        <w:tab/>
        <w:t>(c)</w:t>
      </w:r>
      <w:r>
        <w:rPr>
          <w:snapToGrid w:val="0"/>
        </w:rPr>
        <w:tab/>
        <w:t>the duties to be performed by the secretary of the Board.</w:t>
      </w:r>
    </w:p>
    <w:p>
      <w:pPr>
        <w:pStyle w:val="Footnotesection"/>
      </w:pPr>
      <w:r>
        <w:tab/>
        <w:t xml:space="preserve">[Section 33J inserted: No. 25 of 1954 s. 7.] </w:t>
      </w:r>
    </w:p>
    <w:p>
      <w:pPr>
        <w:pStyle w:val="Heading2"/>
      </w:pPr>
      <w:bookmarkStart w:id="47" w:name="_Toc90989528"/>
      <w:bookmarkStart w:id="48" w:name="_Toc90990549"/>
      <w:bookmarkStart w:id="49" w:name="_Toc91142118"/>
      <w:r>
        <w:rPr>
          <w:rStyle w:val="CharPartNo"/>
        </w:rPr>
        <w:lastRenderedPageBreak/>
        <w:t>Part IIB</w:t>
      </w:r>
      <w:r>
        <w:rPr>
          <w:b w:val="0"/>
        </w:rPr>
        <w:t> </w:t>
      </w:r>
      <w:r>
        <w:t>—</w:t>
      </w:r>
      <w:r>
        <w:rPr>
          <w:b w:val="0"/>
        </w:rPr>
        <w:t> </w:t>
      </w:r>
      <w:r>
        <w:rPr>
          <w:rStyle w:val="CharPartText"/>
        </w:rPr>
        <w:t>Removal of members</w:t>
      </w:r>
      <w:bookmarkEnd w:id="47"/>
      <w:bookmarkEnd w:id="48"/>
      <w:bookmarkEnd w:id="49"/>
    </w:p>
    <w:p>
      <w:pPr>
        <w:pStyle w:val="Footnoteheading"/>
        <w:ind w:left="890"/>
        <w:rPr>
          <w:snapToGrid w:val="0"/>
        </w:rPr>
      </w:pPr>
      <w:r>
        <w:rPr>
          <w:snapToGrid w:val="0"/>
        </w:rPr>
        <w:tab/>
        <w:t xml:space="preserve">[Heading inserted: No. 7 of 2003 s. 6.] </w:t>
      </w:r>
    </w:p>
    <w:p>
      <w:pPr>
        <w:pStyle w:val="Heading3"/>
      </w:pPr>
      <w:bookmarkStart w:id="50" w:name="_Toc90989529"/>
      <w:bookmarkStart w:id="51" w:name="_Toc90990550"/>
      <w:bookmarkStart w:id="52" w:name="_Toc91142119"/>
      <w:r>
        <w:rPr>
          <w:rStyle w:val="CharDivNo"/>
        </w:rPr>
        <w:t>Division 1</w:t>
      </w:r>
      <w:r>
        <w:t> — </w:t>
      </w:r>
      <w:r>
        <w:rPr>
          <w:rStyle w:val="CharDivText"/>
        </w:rPr>
        <w:t>Preliminary</w:t>
      </w:r>
      <w:bookmarkEnd w:id="50"/>
      <w:bookmarkEnd w:id="51"/>
      <w:bookmarkEnd w:id="52"/>
    </w:p>
    <w:p>
      <w:pPr>
        <w:pStyle w:val="Footnoteheading"/>
        <w:ind w:left="890"/>
        <w:rPr>
          <w:snapToGrid w:val="0"/>
        </w:rPr>
      </w:pPr>
      <w:r>
        <w:rPr>
          <w:snapToGrid w:val="0"/>
        </w:rPr>
        <w:tab/>
        <w:t xml:space="preserve">[Heading inserted: No. 7 of 2003 s. 6.] </w:t>
      </w:r>
    </w:p>
    <w:p>
      <w:pPr>
        <w:pStyle w:val="Heading5"/>
      </w:pPr>
      <w:bookmarkStart w:id="53" w:name="_Toc91142120"/>
      <w:r>
        <w:rPr>
          <w:rStyle w:val="CharSectno"/>
        </w:rPr>
        <w:t>33K</w:t>
      </w:r>
      <w:r>
        <w:t>.</w:t>
      </w:r>
      <w:r>
        <w:tab/>
        <w:t>Terms used</w:t>
      </w:r>
      <w:bookmarkEnd w:id="53"/>
    </w:p>
    <w:p>
      <w:pPr>
        <w:pStyle w:val="Subsection"/>
      </w:pPr>
      <w:r>
        <w:tab/>
      </w:r>
      <w:r>
        <w:tab/>
        <w:t xml:space="preserve">In this Part, unless the contrary intention appears — </w:t>
      </w:r>
    </w:p>
    <w:p>
      <w:pPr>
        <w:pStyle w:val="Defstart"/>
      </w:pPr>
      <w:r>
        <w:rPr>
          <w:b/>
        </w:rPr>
        <w:tab/>
      </w:r>
      <w:r>
        <w:rPr>
          <w:rStyle w:val="CharDefText"/>
        </w:rPr>
        <w:t>appellant</w:t>
      </w:r>
      <w:r>
        <w:t xml:space="preserve"> means a person who institutes an appeal under section 33P;</w:t>
      </w:r>
    </w:p>
    <w:p>
      <w:pPr>
        <w:pStyle w:val="Defstart"/>
      </w:pPr>
      <w:r>
        <w:rPr>
          <w:b/>
        </w:rPr>
        <w:tab/>
      </w:r>
      <w:r>
        <w:rPr>
          <w:rStyle w:val="CharDefText"/>
        </w:rPr>
        <w:t>Chief Commissioner</w:t>
      </w:r>
      <w:r>
        <w:t xml:space="preserve"> has the same meaning as it has in the </w:t>
      </w:r>
      <w:r>
        <w:rPr>
          <w:i/>
        </w:rPr>
        <w:t>Industrial Relations Act 1979</w:t>
      </w:r>
      <w:r>
        <w:t>;</w:t>
      </w:r>
    </w:p>
    <w:p>
      <w:pPr>
        <w:pStyle w:val="Defstart"/>
      </w:pPr>
      <w:r>
        <w:rPr>
          <w:b/>
        </w:rPr>
        <w:tab/>
      </w:r>
      <w:r>
        <w:rPr>
          <w:rStyle w:val="CharDefText"/>
        </w:rPr>
        <w:t>industrial Commissioner</w:t>
      </w:r>
      <w:r>
        <w:t xml:space="preserve"> has the same meaning as </w:t>
      </w:r>
      <w:r>
        <w:rPr>
          <w:b/>
          <w:bCs/>
          <w:i/>
          <w:iCs/>
        </w:rPr>
        <w:t>Commissioner</w:t>
      </w:r>
      <w:r>
        <w:t xml:space="preserve"> has in the </w:t>
      </w:r>
      <w:r>
        <w:rPr>
          <w:i/>
        </w:rPr>
        <w:t>Industrial Relations Act 1979</w:t>
      </w:r>
      <w:r>
        <w:t>;</w:t>
      </w:r>
    </w:p>
    <w:p>
      <w:pPr>
        <w:pStyle w:val="Defstart"/>
      </w:pPr>
      <w:r>
        <w:rPr>
          <w:b/>
        </w:rPr>
        <w:tab/>
      </w:r>
      <w:r>
        <w:rPr>
          <w:rStyle w:val="CharDefText"/>
        </w:rPr>
        <w:t>member</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police liaison officer;</w:t>
      </w:r>
    </w:p>
    <w:p>
      <w:pPr>
        <w:pStyle w:val="Defpara"/>
      </w:pPr>
      <w:r>
        <w:tab/>
        <w:t>(e)</w:t>
      </w:r>
      <w:r>
        <w:tab/>
        <w:t>a police auxiliary officer;</w:t>
      </w:r>
    </w:p>
    <w:p>
      <w:pPr>
        <w:pStyle w:val="Defstart"/>
      </w:pPr>
      <w:r>
        <w:rPr>
          <w:b/>
        </w:rPr>
        <w:tab/>
      </w:r>
      <w:r>
        <w:rPr>
          <w:rStyle w:val="CharDefText"/>
        </w:rPr>
        <w:t>removal action</w:t>
      </w:r>
      <w:r>
        <w:t xml:space="preserve"> means — </w:t>
      </w:r>
    </w:p>
    <w:p>
      <w:pPr>
        <w:pStyle w:val="Defpara"/>
      </w:pPr>
      <w:r>
        <w:tab/>
        <w:t>(a)</w:t>
      </w:r>
      <w:r>
        <w:tab/>
        <w:t>a recommendation by the Commissioner of Police that the Minister advise the Governor to remove a commissioned officer under section 8;</w:t>
      </w:r>
    </w:p>
    <w:p>
      <w:pPr>
        <w:pStyle w:val="Defpara"/>
      </w:pPr>
      <w:r>
        <w:tab/>
        <w:t>(b)</w:t>
      </w:r>
      <w:r>
        <w:tab/>
        <w:t>a recommendation by the Commissioner of Police that the Minister approve the removal of a non</w:t>
      </w:r>
      <w:r>
        <w:noBreakHyphen/>
        <w:t>commissioned officer or constable under section 8;</w:t>
      </w:r>
    </w:p>
    <w:p>
      <w:pPr>
        <w:pStyle w:val="Defpara"/>
      </w:pPr>
      <w:r>
        <w:tab/>
        <w:t>(c)</w:t>
      </w:r>
      <w:r>
        <w:tab/>
        <w:t>the cancellation of the appointment of an Aboriginal police liaison officer under section 38B(4);</w:t>
      </w:r>
    </w:p>
    <w:p>
      <w:pPr>
        <w:pStyle w:val="Defpara"/>
      </w:pPr>
      <w:r>
        <w:tab/>
        <w:t>(d)</w:t>
      </w:r>
      <w:r>
        <w:tab/>
        <w:t>the cancellation of the appointment of a police auxiliary officer under section 38G(4);</w:t>
      </w:r>
    </w:p>
    <w:p>
      <w:pPr>
        <w:pStyle w:val="Defstart"/>
      </w:pPr>
      <w:r>
        <w:rPr>
          <w:b/>
        </w:rPr>
        <w:lastRenderedPageBreak/>
        <w:tab/>
      </w:r>
      <w:r>
        <w:rPr>
          <w:rStyle w:val="CharDefText"/>
        </w:rPr>
        <w:t>removal from office</w:t>
      </w:r>
      <w:r>
        <w:t xml:space="preserve"> means — </w:t>
      </w:r>
    </w:p>
    <w:p>
      <w:pPr>
        <w:pStyle w:val="Defpara"/>
      </w:pPr>
      <w:r>
        <w:tab/>
        <w:t>(a)</w:t>
      </w:r>
      <w:r>
        <w:tab/>
        <w:t>a removal under section 8; or</w:t>
      </w:r>
    </w:p>
    <w:p>
      <w:pPr>
        <w:pStyle w:val="Defpara"/>
      </w:pPr>
      <w:r>
        <w:tab/>
        <w:t>(b)</w:t>
      </w:r>
      <w:r>
        <w:tab/>
        <w:t>the cancellation of the appointment of an Aboriginal police liaison officer under section 38B(4);</w:t>
      </w:r>
    </w:p>
    <w:p>
      <w:pPr>
        <w:pStyle w:val="Defpara"/>
      </w:pPr>
      <w:r>
        <w:tab/>
        <w:t>(c)</w:t>
      </w:r>
      <w:r>
        <w:tab/>
        <w:t>the cancellation of the appointment of a police auxiliary officer under section 38G(4);</w:t>
      </w:r>
    </w:p>
    <w:p>
      <w:pPr>
        <w:pStyle w:val="Defstart"/>
      </w:pPr>
      <w:r>
        <w:rPr>
          <w:b/>
        </w:rPr>
        <w:tab/>
      </w:r>
      <w:r>
        <w:rPr>
          <w:rStyle w:val="CharDefText"/>
        </w:rPr>
        <w:t>Senior Commissioner</w:t>
      </w:r>
      <w:r>
        <w:t xml:space="preserve"> has the same meaning as it has in the </w:t>
      </w:r>
      <w:r>
        <w:rPr>
          <w:i/>
        </w:rPr>
        <w:t>Industrial Relations Act 1979</w:t>
      </w:r>
      <w:r>
        <w:t>;</w:t>
      </w:r>
    </w:p>
    <w:p>
      <w:pPr>
        <w:pStyle w:val="Defstart"/>
      </w:pPr>
      <w:r>
        <w:rPr>
          <w:b/>
        </w:rP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 xml:space="preserve">[Section 33K inserted: No. 7 of 2003 s. 6; amended: No. 8 of 2008 s. 9; No. 21 of 2008 s. 692; No. 42 of 2009 s. 9; No. 19 of 2019 s. 5.] </w:t>
      </w:r>
    </w:p>
    <w:p>
      <w:pPr>
        <w:pStyle w:val="Heading3"/>
      </w:pPr>
      <w:bookmarkStart w:id="54" w:name="_Toc90989531"/>
      <w:bookmarkStart w:id="55" w:name="_Toc90990552"/>
      <w:bookmarkStart w:id="56" w:name="_Toc91142121"/>
      <w:r>
        <w:rPr>
          <w:rStyle w:val="CharDivNo"/>
        </w:rPr>
        <w:t>Division 2</w:t>
      </w:r>
      <w:r>
        <w:t> — </w:t>
      </w:r>
      <w:r>
        <w:rPr>
          <w:rStyle w:val="CharDivText"/>
        </w:rPr>
        <w:t>Removal of members</w:t>
      </w:r>
      <w:bookmarkEnd w:id="54"/>
      <w:bookmarkEnd w:id="55"/>
      <w:bookmarkEnd w:id="56"/>
    </w:p>
    <w:p>
      <w:pPr>
        <w:pStyle w:val="Footnoteheading"/>
        <w:ind w:left="890"/>
        <w:rPr>
          <w:snapToGrid w:val="0"/>
        </w:rPr>
      </w:pPr>
      <w:r>
        <w:rPr>
          <w:snapToGrid w:val="0"/>
        </w:rPr>
        <w:tab/>
        <w:t xml:space="preserve">[Heading inserted: No. 7 of 2003 s. 6.] </w:t>
      </w:r>
    </w:p>
    <w:p>
      <w:pPr>
        <w:pStyle w:val="Heading5"/>
      </w:pPr>
      <w:bookmarkStart w:id="57" w:name="_Toc91142122"/>
      <w:r>
        <w:rPr>
          <w:rStyle w:val="CharSectno"/>
        </w:rPr>
        <w:t>33L</w:t>
      </w:r>
      <w:r>
        <w:t>.</w:t>
      </w:r>
      <w:r>
        <w:tab/>
        <w:t>Notice of loss of confidence to be given before removal action is taken</w:t>
      </w:r>
      <w:bookmarkEnd w:id="57"/>
    </w:p>
    <w:p>
      <w:pPr>
        <w:pStyle w:val="Subsection"/>
      </w:pPr>
      <w:r>
        <w:tab/>
        <w:t>(1)</w:t>
      </w:r>
      <w:r>
        <w:tab/>
        <w:t>If the Commissioner of Police does not have confidence in a member’s suitability to continue as a member, having regard to the member’s integrity, honesty, competence, performance or conduct, the Commissioner may give the member a written notice setting out the grounds on which the Commissioner does not have confidence in the member’s suitability to continue as a member.</w:t>
      </w:r>
    </w:p>
    <w:p>
      <w:pPr>
        <w:pStyle w:val="Subsection"/>
      </w:pPr>
      <w:r>
        <w:tab/>
        <w:t>(2)</w:t>
      </w:r>
      <w:r>
        <w:tab/>
        <w:t>If a notice is given to a member under subsection (1), the member may, before the expiration of the period of 21 days after the day on which the notice is given or such longer period as is allowed by the Commissioner of Police, make written submissions to the Commissioner of Police in respect of the grounds on which the Commissioner has lost confidence in the member’s suitability to continue as a member.</w:t>
      </w:r>
    </w:p>
    <w:p>
      <w:pPr>
        <w:pStyle w:val="Subsection"/>
      </w:pPr>
      <w:r>
        <w:lastRenderedPageBreak/>
        <w:tab/>
        <w:t>(3)</w:t>
      </w:r>
      <w:r>
        <w:tab/>
        <w:t xml:space="preserve">After the end of the period referred to in subsection (2), the Commissioner of Police shall — </w:t>
      </w:r>
    </w:p>
    <w:p>
      <w:pPr>
        <w:pStyle w:val="Indenta"/>
      </w:pPr>
      <w:r>
        <w:tab/>
        <w:t>(a)</w:t>
      </w:r>
      <w:r>
        <w:tab/>
        <w:t>decide whether or not to take removal action; and</w:t>
      </w:r>
    </w:p>
    <w:p>
      <w:pPr>
        <w:pStyle w:val="Indenta"/>
      </w:pPr>
      <w:r>
        <w:tab/>
        <w:t>(b)</w:t>
      </w:r>
      <w:r>
        <w:tab/>
        <w:t>give the member written notice of the decision.</w:t>
      </w:r>
    </w:p>
    <w:p>
      <w:pPr>
        <w:pStyle w:val="Subsection"/>
      </w:pPr>
      <w:r>
        <w:tab/>
        <w:t>(4)</w:t>
      </w:r>
      <w:r>
        <w:tab/>
        <w:t xml:space="preserve">The Commissioner of Police shall not decide to take removal action unless the Commissioner — </w:t>
      </w:r>
    </w:p>
    <w:p>
      <w:pPr>
        <w:pStyle w:val="Indenta"/>
      </w:pPr>
      <w:r>
        <w:tab/>
        <w:t>(a)</w:t>
      </w:r>
      <w:r>
        <w:tab/>
        <w:t>has taken into account any written submissions received from the member under subsection (2) during the period referred to in that subsection; and</w:t>
      </w:r>
    </w:p>
    <w:p>
      <w:pPr>
        <w:pStyle w:val="Indenta"/>
      </w:pPr>
      <w:r>
        <w:tab/>
        <w:t>(b)</w:t>
      </w:r>
      <w:r>
        <w:tab/>
        <w:t>still does not have confidence in a member’s suitability to continue as a member, having regard to the member’s integrity, honesty, competence, performance or conduct.</w:t>
      </w:r>
    </w:p>
    <w:p>
      <w:pPr>
        <w:pStyle w:val="Subsection"/>
      </w:pPr>
      <w:r>
        <w:tab/>
        <w:t>(5)</w:t>
      </w:r>
      <w:r>
        <w:tab/>
        <w:t xml:space="preserve">If the Commissioner of Police decides to take removal action — </w:t>
      </w:r>
    </w:p>
    <w:p>
      <w:pPr>
        <w:pStyle w:val="Indenta"/>
      </w:pPr>
      <w:r>
        <w:tab/>
        <w:t>(a)</w:t>
      </w:r>
      <w:r>
        <w:tab/>
        <w:t>the notice under subsection (3)(b) shall advise the member of the reasons for the decision;</w:t>
      </w:r>
    </w:p>
    <w:p>
      <w:pPr>
        <w:pStyle w:val="Indenta"/>
      </w:pPr>
      <w:r>
        <w:tab/>
        <w:t>(b)</w:t>
      </w:r>
      <w:r>
        <w:tab/>
        <w:t>except to the extent that the regulations otherwise provide, the Commissioner shall, within 7 days of giving the notice of the decision under subsection (3)(b), provide to the member a copy of any documents and make available to the member for inspection any other materials that were examined and taken into account by the Commissioner in making the decision; and</w:t>
      </w:r>
    </w:p>
    <w:p>
      <w:pPr>
        <w:pStyle w:val="Indenta"/>
      </w:pPr>
      <w:r>
        <w:tab/>
        <w:t>(c)</w:t>
      </w:r>
      <w:r>
        <w:tab/>
        <w:t>the removal action may be taken when, or at any time after, the notice under subsection (3)(b) is given.</w:t>
      </w:r>
    </w:p>
    <w:p>
      <w:pPr>
        <w:pStyle w:val="Footnotesection"/>
      </w:pPr>
      <w:r>
        <w:tab/>
        <w:t xml:space="preserve">[Section 33L inserted: No. 7 of 2003 s. 6.] </w:t>
      </w:r>
    </w:p>
    <w:p>
      <w:pPr>
        <w:pStyle w:val="Heading5"/>
      </w:pPr>
      <w:bookmarkStart w:id="58" w:name="_Toc91142123"/>
      <w:r>
        <w:rPr>
          <w:rStyle w:val="CharSectno"/>
        </w:rPr>
        <w:t>33M</w:t>
      </w:r>
      <w:r>
        <w:t>.</w:t>
      </w:r>
      <w:r>
        <w:tab/>
        <w:t>Maintenance payment</w:t>
      </w:r>
      <w:bookmarkEnd w:id="58"/>
    </w:p>
    <w:p>
      <w:pPr>
        <w:pStyle w:val="Subsection"/>
      </w:pPr>
      <w:r>
        <w:tab/>
        <w:t>(1)</w:t>
      </w:r>
      <w:r>
        <w:tab/>
        <w:t>If removal from office occurs by or as a result of removal action taken in accordance with section 33L, the member is entitled to receive a maintenance payment for the period of 28 days after the day on which the member is removed.</w:t>
      </w:r>
    </w:p>
    <w:p>
      <w:pPr>
        <w:pStyle w:val="Subsection"/>
      </w:pPr>
      <w:r>
        <w:tab/>
        <w:t>(2)</w:t>
      </w:r>
      <w:r>
        <w:tab/>
        <w:t xml:space="preserve">In relation to a period after the 28 day period referred to in subsection (1), the Minister may, in exceptional circumstances, </w:t>
      </w:r>
      <w:r>
        <w:lastRenderedPageBreak/>
        <w:t>direct that a maintenance payment shall be paid to the member for a specified period.</w:t>
      </w:r>
    </w:p>
    <w:p>
      <w:pPr>
        <w:pStyle w:val="Subsection"/>
      </w:pPr>
      <w:r>
        <w:tab/>
        <w:t>(3)</w:t>
      </w:r>
      <w:r>
        <w:tab/>
        <w:t>For the purpose of subsection (2), the specified period is such period not exceeding 6 months as is specified by the Minister but in any event ending on the day any appeal instituted under section 33P is determined by the WAIRC.</w:t>
      </w:r>
    </w:p>
    <w:p>
      <w:pPr>
        <w:pStyle w:val="Subsection"/>
      </w:pPr>
      <w:r>
        <w:tab/>
        <w:t>(4)</w:t>
      </w:r>
      <w:r>
        <w:tab/>
        <w:t>Any maintenance payment is to be calculated on the basis of the salary of the member at the time of removal from office.</w:t>
      </w:r>
    </w:p>
    <w:p>
      <w:pPr>
        <w:pStyle w:val="Footnotesection"/>
      </w:pPr>
      <w:r>
        <w:tab/>
        <w:t xml:space="preserve">[Section 33M inserted: No. 7 of 2003 s. 6.] </w:t>
      </w:r>
    </w:p>
    <w:p>
      <w:pPr>
        <w:pStyle w:val="Heading5"/>
      </w:pPr>
      <w:bookmarkStart w:id="59" w:name="_Toc91142124"/>
      <w:r>
        <w:rPr>
          <w:rStyle w:val="CharSectno"/>
        </w:rPr>
        <w:t>33N</w:t>
      </w:r>
      <w:r>
        <w:t>.</w:t>
      </w:r>
      <w:r>
        <w:tab/>
        <w:t>Revocation of removal action</w:t>
      </w:r>
      <w:bookmarkEnd w:id="59"/>
    </w:p>
    <w:p>
      <w:pPr>
        <w:pStyle w:val="Subsection"/>
      </w:pPr>
      <w:r>
        <w:tab/>
        <w:t>(1)</w:t>
      </w:r>
      <w:r>
        <w:tab/>
        <w:t>If removal action has been taken in accordance with section 33L but removal from office has not resulted from it, the Commissioner of Police may, by notice in writing to the Minister, revoke the removal action.</w:t>
      </w:r>
    </w:p>
    <w:p>
      <w:pPr>
        <w:pStyle w:val="Subsection"/>
      </w:pPr>
      <w:r>
        <w:tab/>
        <w:t>(2)</w:t>
      </w:r>
      <w:r>
        <w:tab/>
        <w:t xml:space="preserve">If removal from office has occurred by or as a result of removal action taken in accordance with section 33L, the Commissioner of Police may, by notice in the </w:t>
      </w:r>
      <w:r>
        <w:rPr>
          <w:i/>
        </w:rPr>
        <w:t>Gazette</w:t>
      </w:r>
      <w:r>
        <w:t>, revoke the removal action.</w:t>
      </w:r>
    </w:p>
    <w:p>
      <w:pPr>
        <w:pStyle w:val="Subsection"/>
      </w:pPr>
      <w:r>
        <w:tab/>
        <w:t>(3)</w:t>
      </w:r>
      <w:r>
        <w:tab/>
        <w:t>The Commissioner of Police shall not revoke removal action under subsection (2) in the case of a commissioned officer without the approval of the Minister.</w:t>
      </w:r>
    </w:p>
    <w:p>
      <w:pPr>
        <w:pStyle w:val="Subsection"/>
      </w:pPr>
      <w:r>
        <w:tab/>
        <w:t>(4)</w:t>
      </w:r>
      <w:r>
        <w:tab/>
        <w:t>Subsection (2) applies even if an appeal has been instituted under section 33P in respect of the decision under section 33L to take removal action.</w:t>
      </w:r>
    </w:p>
    <w:p>
      <w:pPr>
        <w:pStyle w:val="Subsection"/>
      </w:pPr>
      <w:r>
        <w:tab/>
        <w:t>(5)</w:t>
      </w:r>
      <w:r>
        <w:tab/>
        <w:t>Despite any other enactment, if removal action is revoked under subsection (2) the removal from office is to be taken to be of no effect and to have never had any effect.</w:t>
      </w:r>
    </w:p>
    <w:p>
      <w:pPr>
        <w:pStyle w:val="Subsection"/>
        <w:keepNext/>
      </w:pPr>
      <w:r>
        <w:tab/>
        <w:t>(6)</w:t>
      </w:r>
      <w:r>
        <w:tab/>
        <w:t xml:space="preserve">If the Commissioner of Police revokes removal action in relation to a member under subsection (2), the member is not </w:t>
      </w:r>
      <w:r>
        <w:lastRenderedPageBreak/>
        <w:t>entitled to be paid his or her salary for any period the member received a maintenance payment under section 33M.</w:t>
      </w:r>
    </w:p>
    <w:p>
      <w:pPr>
        <w:pStyle w:val="Footnotesection"/>
      </w:pPr>
      <w:r>
        <w:tab/>
        <w:t xml:space="preserve">[Section 33N inserted: No. 7 of 2003 s. 6.] </w:t>
      </w:r>
    </w:p>
    <w:p>
      <w:pPr>
        <w:pStyle w:val="Heading5"/>
      </w:pPr>
      <w:bookmarkStart w:id="60" w:name="_Toc91142125"/>
      <w:r>
        <w:rPr>
          <w:rStyle w:val="CharSectno"/>
        </w:rPr>
        <w:t>33O</w:t>
      </w:r>
      <w:r>
        <w:t>.</w:t>
      </w:r>
      <w:r>
        <w:tab/>
        <w:t>Resignation of member who has been removed</w:t>
      </w:r>
      <w:bookmarkEnd w:id="60"/>
    </w:p>
    <w:p>
      <w:pPr>
        <w:pStyle w:val="Subsection"/>
      </w:pPr>
      <w:r>
        <w:tab/>
        <w:t>(1)</w:t>
      </w:r>
      <w:r>
        <w:tab/>
        <w:t>Even if a member has been removed from office by or as a result of removal action taken in accordance with section 33L, the member may resign at any time before the expiration of the period of 28 days after the day on which the removal occurs.</w:t>
      </w:r>
    </w:p>
    <w:p>
      <w:pPr>
        <w:pStyle w:val="Subsection"/>
      </w:pPr>
      <w:r>
        <w:tab/>
        <w:t>(2)</w:t>
      </w:r>
      <w:r>
        <w:tab/>
        <w:t>Subsection (1) does not apply if an appeal has been instituted under section 33P in respect of the decision to take removal action.</w:t>
      </w:r>
    </w:p>
    <w:p>
      <w:pPr>
        <w:pStyle w:val="Subsection"/>
      </w:pPr>
      <w:r>
        <w:tab/>
        <w:t>(3)</w:t>
      </w:r>
      <w:r>
        <w:tab/>
        <w:t>A resignation under subsection (1) takes effect at the end of the 28 day period referred to in the subsection.</w:t>
      </w:r>
    </w:p>
    <w:p>
      <w:pPr>
        <w:pStyle w:val="Subsection"/>
      </w:pPr>
      <w:r>
        <w:tab/>
        <w:t>(4)</w:t>
      </w:r>
      <w:r>
        <w:tab/>
        <w:t>Despite any other enactment, if a member resigns under subsection (1), the removal from office is to be taken to be of no effect and to have never had any effect.</w:t>
      </w:r>
    </w:p>
    <w:p>
      <w:pPr>
        <w:pStyle w:val="Footnotesection"/>
      </w:pPr>
      <w:r>
        <w:tab/>
        <w:t xml:space="preserve">[Section 33O inserted: No. 7 of 2003 s. 6.] </w:t>
      </w:r>
    </w:p>
    <w:p>
      <w:pPr>
        <w:pStyle w:val="Heading3"/>
      </w:pPr>
      <w:bookmarkStart w:id="61" w:name="_Toc90989536"/>
      <w:bookmarkStart w:id="62" w:name="_Toc90990557"/>
      <w:bookmarkStart w:id="63" w:name="_Toc91142126"/>
      <w:r>
        <w:rPr>
          <w:rStyle w:val="CharDivNo"/>
        </w:rPr>
        <w:t>Division 3</w:t>
      </w:r>
      <w:r>
        <w:t> — </w:t>
      </w:r>
      <w:r>
        <w:rPr>
          <w:rStyle w:val="CharDivText"/>
        </w:rPr>
        <w:t>Appeal in relation to removal</w:t>
      </w:r>
      <w:bookmarkEnd w:id="61"/>
      <w:bookmarkEnd w:id="62"/>
      <w:bookmarkEnd w:id="63"/>
    </w:p>
    <w:p>
      <w:pPr>
        <w:pStyle w:val="Footnoteheading"/>
        <w:ind w:left="890"/>
        <w:rPr>
          <w:snapToGrid w:val="0"/>
        </w:rPr>
      </w:pPr>
      <w:r>
        <w:rPr>
          <w:snapToGrid w:val="0"/>
        </w:rPr>
        <w:tab/>
        <w:t xml:space="preserve">[Heading inserted: No. 7 of 2003 s. 6.] </w:t>
      </w:r>
    </w:p>
    <w:p>
      <w:pPr>
        <w:pStyle w:val="Heading5"/>
      </w:pPr>
      <w:bookmarkStart w:id="64" w:name="_Toc91142127"/>
      <w:r>
        <w:rPr>
          <w:rStyle w:val="CharSectno"/>
        </w:rPr>
        <w:t>33P</w:t>
      </w:r>
      <w:r>
        <w:t>.</w:t>
      </w:r>
      <w:r>
        <w:tab/>
        <w:t>Appeal right</w:t>
      </w:r>
      <w:bookmarkEnd w:id="64"/>
    </w:p>
    <w:p>
      <w:pPr>
        <w:pStyle w:val="Subsection"/>
      </w:pPr>
      <w:r>
        <w:tab/>
        <w:t>(1)</w:t>
      </w:r>
      <w:r>
        <w:tab/>
        <w:t>A member who has been removed from office by or as a result of removal action taken in accordance with section 33L may appeal to the WAIRC on the ground that the decision of the Commissioner of Police to take removal action relating to the member was harsh, oppressive or unfair.</w:t>
      </w:r>
    </w:p>
    <w:p>
      <w:pPr>
        <w:pStyle w:val="Subsection"/>
      </w:pPr>
      <w:r>
        <w:tab/>
        <w:t>(2)</w:t>
      </w:r>
      <w:r>
        <w:tab/>
        <w:t xml:space="preserve">The appellant shall institute an appeal by a notice to the Commissioner of Police stating — </w:t>
      </w:r>
    </w:p>
    <w:p>
      <w:pPr>
        <w:pStyle w:val="Indenta"/>
      </w:pPr>
      <w:r>
        <w:tab/>
        <w:t>(a)</w:t>
      </w:r>
      <w:r>
        <w:tab/>
        <w:t>the reasons for the decision the subject of the appeal being harsh, oppressive or unfair; and</w:t>
      </w:r>
    </w:p>
    <w:p>
      <w:pPr>
        <w:pStyle w:val="Indenta"/>
      </w:pPr>
      <w:r>
        <w:lastRenderedPageBreak/>
        <w:tab/>
        <w:t>(b)</w:t>
      </w:r>
      <w:r>
        <w:tab/>
        <w:t>the nature of the relief sought.</w:t>
      </w:r>
    </w:p>
    <w:p>
      <w:pPr>
        <w:pStyle w:val="Subsection"/>
      </w:pPr>
      <w:r>
        <w:tab/>
        <w:t>(3)</w:t>
      </w:r>
      <w:r>
        <w:tab/>
        <w:t>The appeal shall not be instituted later than 28 days after the day on which the member was removed from office and shall not be instituted if the member has resigned under section 33O(1).</w:t>
      </w:r>
    </w:p>
    <w:p>
      <w:pPr>
        <w:pStyle w:val="Subsection"/>
      </w:pPr>
      <w:r>
        <w:tab/>
        <w:t>(4)</w:t>
      </w:r>
      <w:r>
        <w:tab/>
        <w:t>For the purposes of proceedings relating to an appeal instituted under this section the WAIRC is to be constituted by not less than 3 industrial Commissioners, at least one of whom shall be the Chief Commissioner or the Senior Commissioner.</w:t>
      </w:r>
    </w:p>
    <w:p>
      <w:pPr>
        <w:pStyle w:val="Subsection"/>
      </w:pPr>
      <w:r>
        <w:tab/>
        <w:t>(5)</w:t>
      </w:r>
      <w:r>
        <w:tab/>
        <w:t>The parties to an appeal are the appellant and the Commissioner of Police and no other person may be a party to the appeal.</w:t>
      </w:r>
    </w:p>
    <w:p>
      <w:pPr>
        <w:pStyle w:val="Footnotesection"/>
      </w:pPr>
      <w:r>
        <w:tab/>
        <w:t xml:space="preserve">[Section 33P inserted: No. 7 of 2003 s. 6.] </w:t>
      </w:r>
    </w:p>
    <w:p>
      <w:pPr>
        <w:pStyle w:val="Heading5"/>
      </w:pPr>
      <w:bookmarkStart w:id="65" w:name="_Toc91142128"/>
      <w:r>
        <w:rPr>
          <w:rStyle w:val="CharSectno"/>
        </w:rPr>
        <w:t>33Q</w:t>
      </w:r>
      <w:r>
        <w:t>.</w:t>
      </w:r>
      <w:r>
        <w:tab/>
        <w:t>Proceedings on appeal</w:t>
      </w:r>
      <w:bookmarkEnd w:id="65"/>
    </w:p>
    <w:p>
      <w:pPr>
        <w:pStyle w:val="Subsection"/>
      </w:pPr>
      <w:r>
        <w:tab/>
        <w:t>(1)</w:t>
      </w:r>
      <w:r>
        <w:tab/>
        <w:t xml:space="preserve">On the hearing of an appeal instituted under this Part, the WAIRC shall proceed as follows — </w:t>
      </w:r>
    </w:p>
    <w:p>
      <w:pPr>
        <w:pStyle w:val="Indenta"/>
      </w:pPr>
      <w:r>
        <w:tab/>
        <w:t>(a)</w:t>
      </w:r>
      <w:r>
        <w:tab/>
        <w:t>first, it shall consider the Commissioner of Police’s reasons for deciding to take removal action;</w:t>
      </w:r>
    </w:p>
    <w:p>
      <w:pPr>
        <w:pStyle w:val="Indenta"/>
      </w:pPr>
      <w:r>
        <w:tab/>
        <w:t>(b)</w:t>
      </w:r>
      <w:r>
        <w:tab/>
        <w:t>secondly, it shall consider the case presented by the appellant as to why that decision was harsh, oppressive or unfair;</w:t>
      </w:r>
    </w:p>
    <w:p>
      <w:pPr>
        <w:pStyle w:val="Indenta"/>
      </w:pPr>
      <w:r>
        <w:tab/>
        <w:t>(c)</w:t>
      </w:r>
      <w:r>
        <w:tab/>
        <w:t>thirdly, it shall consider the case presented by the Commissioner in answer to the appellant’s case.</w:t>
      </w:r>
    </w:p>
    <w:p>
      <w:pPr>
        <w:pStyle w:val="Subsection"/>
      </w:pPr>
      <w:r>
        <w:tab/>
        <w:t>(2)</w:t>
      </w:r>
      <w:r>
        <w:tab/>
        <w:t>The appellant has at all times the burden of establishing that the decision to take removal action was harsh, oppressive or unfair.</w:t>
      </w:r>
    </w:p>
    <w:p>
      <w:pPr>
        <w:pStyle w:val="Subsection"/>
      </w:pPr>
      <w:r>
        <w:tab/>
        <w:t>(3)</w:t>
      </w:r>
      <w:r>
        <w:tab/>
        <w:t>Subsection (2) has effect despite any law or practice to the contrary.</w:t>
      </w:r>
    </w:p>
    <w:p>
      <w:pPr>
        <w:pStyle w:val="Subsection"/>
      </w:pPr>
      <w:r>
        <w:tab/>
        <w:t>(4)</w:t>
      </w:r>
      <w:r>
        <w:tab/>
        <w:t>Without limiting the matters to which the WAIRC is otherwise required or permitted</w:t>
      </w:r>
      <w:r>
        <w:rPr>
          <w:b/>
          <w:i/>
        </w:rPr>
        <w:t xml:space="preserve"> </w:t>
      </w:r>
      <w:r>
        <w:t xml:space="preserve">to have regard in determining the appeal, it shall have regard to — </w:t>
      </w:r>
    </w:p>
    <w:p>
      <w:pPr>
        <w:pStyle w:val="Indenta"/>
      </w:pPr>
      <w:r>
        <w:tab/>
        <w:t>(a)</w:t>
      </w:r>
      <w:r>
        <w:tab/>
        <w:t>the interests of the appellant; and</w:t>
      </w:r>
    </w:p>
    <w:p>
      <w:pPr>
        <w:pStyle w:val="Indenta"/>
        <w:keepNext/>
      </w:pPr>
      <w:r>
        <w:lastRenderedPageBreak/>
        <w:tab/>
        <w:t>(b)</w:t>
      </w:r>
      <w:r>
        <w:tab/>
        <w:t xml:space="preserve">the public interest which is taken to include — </w:t>
      </w:r>
    </w:p>
    <w:p>
      <w:pPr>
        <w:pStyle w:val="Indenti"/>
      </w:pPr>
      <w:r>
        <w:tab/>
        <w:t>(i)</w:t>
      </w:r>
      <w:r>
        <w:tab/>
        <w:t>the importance of maintaining public confidence in the integrity, honesty, conduct and standard of performance of members of the Police Force; and</w:t>
      </w:r>
    </w:p>
    <w:p>
      <w:pPr>
        <w:pStyle w:val="Indenti"/>
      </w:pPr>
      <w:r>
        <w:tab/>
        <w:t>(ii)</w:t>
      </w:r>
      <w:r>
        <w:tab/>
        <w:t>the special nature of the relationship between the Commissioner of Police and members of the Force.</w:t>
      </w:r>
    </w:p>
    <w:p>
      <w:pPr>
        <w:pStyle w:val="Footnotesection"/>
      </w:pPr>
      <w:r>
        <w:tab/>
        <w:t xml:space="preserve">[Section 33Q inserted: No. 7 of 2003 s. 6.] </w:t>
      </w:r>
    </w:p>
    <w:p>
      <w:pPr>
        <w:pStyle w:val="Heading5"/>
        <w:spacing w:before="180"/>
      </w:pPr>
      <w:bookmarkStart w:id="66" w:name="_Toc91142129"/>
      <w:r>
        <w:rPr>
          <w:rStyle w:val="CharSectno"/>
        </w:rPr>
        <w:t>33R</w:t>
      </w:r>
      <w:r>
        <w:t>.</w:t>
      </w:r>
      <w:r>
        <w:tab/>
        <w:t>New evidence on appeal</w:t>
      </w:r>
      <w:bookmarkEnd w:id="66"/>
    </w:p>
    <w:p>
      <w:pPr>
        <w:pStyle w:val="Subsection"/>
      </w:pPr>
      <w:r>
        <w:tab/>
        <w:t>(1)</w:t>
      </w:r>
      <w:r>
        <w:tab/>
        <w:t>New evidence shall not be tendered to the WAIRC during a hearing of an appeal instituted under this Part unless the Commission grants leave under subsection (2) or (3).</w:t>
      </w:r>
    </w:p>
    <w:p>
      <w:pPr>
        <w:pStyle w:val="Subsection"/>
      </w:pPr>
      <w:r>
        <w:tab/>
        <w:t>(2)</w:t>
      </w:r>
      <w:r>
        <w:tab/>
        <w:t>The WAIRC may grant the Commissioner of Police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Commissioner of Police consents; or</w:t>
      </w:r>
    </w:p>
    <w:p>
      <w:pPr>
        <w:pStyle w:val="Indenta"/>
      </w:pPr>
      <w:r>
        <w:tab/>
        <w:t>(b)</w:t>
      </w:r>
      <w:r>
        <w:tab/>
        <w:t xml:space="preserve">the Commission is satisfied that — </w:t>
      </w:r>
    </w:p>
    <w:p>
      <w:pPr>
        <w:pStyle w:val="Indenti"/>
      </w:pPr>
      <w:r>
        <w:tab/>
        <w:t>(i)</w:t>
      </w:r>
      <w:r>
        <w:tab/>
        <w:t>the appellant is likely to be able to show that the Commissioner of Police has acted upon wrong or mistaken information;</w:t>
      </w:r>
    </w:p>
    <w:p>
      <w:pPr>
        <w:pStyle w:val="Indenti"/>
      </w:pPr>
      <w:r>
        <w:tab/>
        <w:t>(ii)</w:t>
      </w:r>
      <w:r>
        <w:tab/>
        <w:t>the new evidence might materially have affected the Commissioner of Police’s decision to take removal action; or</w:t>
      </w:r>
    </w:p>
    <w:p>
      <w:pPr>
        <w:pStyle w:val="Indenti"/>
      </w:pPr>
      <w:r>
        <w:tab/>
        <w:t>(iii)</w:t>
      </w:r>
      <w:r>
        <w:tab/>
        <w:t>it is in the interests of justice to do so.</w:t>
      </w:r>
    </w:p>
    <w:p>
      <w:pPr>
        <w:pStyle w:val="Subsection"/>
        <w:keepNext/>
      </w:pPr>
      <w:r>
        <w:lastRenderedPageBreak/>
        <w:tab/>
        <w:t>(4)</w:t>
      </w:r>
      <w:r>
        <w:tab/>
        <w:t xml:space="preserve">In the exercise of its discretion under subsection (3) the Commission shall have regard to — </w:t>
      </w:r>
    </w:p>
    <w:p>
      <w:pPr>
        <w:pStyle w:val="Indenta"/>
      </w:pPr>
      <w:r>
        <w:tab/>
        <w:t>(a)</w:t>
      </w:r>
      <w:r>
        <w:tab/>
        <w:t>whether or not the appellant was aware of the substance of the new evidence; and</w:t>
      </w:r>
    </w:p>
    <w:p>
      <w:pPr>
        <w:pStyle w:val="Indenta"/>
      </w:pPr>
      <w:r>
        <w:tab/>
        <w:t>(b)</w:t>
      </w:r>
      <w:r>
        <w:tab/>
        <w:t>whether or not the substance of the new evidence was contained in a document to which the appellant had reasonable access,</w:t>
      </w:r>
    </w:p>
    <w:p>
      <w:pPr>
        <w:pStyle w:val="Subsection"/>
        <w:spacing w:before="100"/>
      </w:pPr>
      <w:r>
        <w:tab/>
      </w:r>
      <w:r>
        <w:tab/>
        <w:t>before his or her removal from office.</w:t>
      </w:r>
    </w:p>
    <w:p>
      <w:pPr>
        <w:pStyle w:val="Subsection"/>
      </w:pPr>
      <w:r>
        <w:tab/>
        <w:t>(5)</w:t>
      </w:r>
      <w:r>
        <w:tab/>
        <w:t>If the Commissioner of Police is given leave to tender new evidence under subsection (2), the WAIRC shall give the appellant a reasonable opportunity to consider the new evidence and the appellant may tender new evidence without the leave of the WAIRC under this section in response to the new evidence tendered by the Commissioner.</w:t>
      </w:r>
    </w:p>
    <w:p>
      <w:pPr>
        <w:pStyle w:val="Subsection"/>
      </w:pPr>
      <w:r>
        <w:tab/>
        <w:t>(6)</w:t>
      </w:r>
      <w:r>
        <w:tab/>
        <w:t>If the appellant is given leave to tender new evidence under subsection (3), the WAIRC shall give the Commissioner a reasonable opportunity to consider the new evidence.</w:t>
      </w:r>
    </w:p>
    <w:p>
      <w:pPr>
        <w:pStyle w:val="Subsection"/>
      </w:pPr>
      <w:r>
        <w:tab/>
        <w:t>(7)</w:t>
      </w:r>
      <w:r>
        <w:tab/>
        <w:t>If, having considered any new evidence, the Commissioner of Police revokes the removal action under section 33N(2), the Commissioner shall give the WAIRC notice of the revocation and the hearing of the appeal is discontinued when the WAIRC receives the notice.</w:t>
      </w:r>
    </w:p>
    <w:p>
      <w:pPr>
        <w:pStyle w:val="Subsection"/>
      </w:pPr>
      <w:r>
        <w:tab/>
        <w:t>(8)</w:t>
      </w:r>
      <w:r>
        <w:tab/>
        <w:t xml:space="preserve">If the Commissioner of Police does not give notice under subsection (7), the hearing of the appeal shall continue but the Commissioner of Police may — </w:t>
      </w:r>
    </w:p>
    <w:p>
      <w:pPr>
        <w:pStyle w:val="Indenta"/>
      </w:pPr>
      <w:r>
        <w:tab/>
        <w:t>(a)</w:t>
      </w:r>
      <w:r>
        <w:tab/>
        <w:t>reformulate his or her reasons for not having confidence in the appellant’s suitability to continue as a member, having regard to the appellant’s integrity, honesty, competence, performance or conduct; and</w:t>
      </w:r>
    </w:p>
    <w:p>
      <w:pPr>
        <w:pStyle w:val="Indenta"/>
      </w:pPr>
      <w:r>
        <w:tab/>
        <w:t>(b)</w:t>
      </w:r>
      <w:r>
        <w:tab/>
        <w:t>tender new evidence without the leave of the WAIRC under this section in response to the new evidence tendered by the appellant.</w:t>
      </w:r>
    </w:p>
    <w:p>
      <w:pPr>
        <w:pStyle w:val="Subsection"/>
      </w:pPr>
      <w:r>
        <w:lastRenderedPageBreak/>
        <w:tab/>
        <w:t>(9)</w:t>
      </w:r>
      <w:r>
        <w:tab/>
        <w:t>Reasons reformulated under subsection (8)(a) may differ from, or be additional to, the reasons given to the appellant under section 33L(5)(a).</w:t>
      </w:r>
    </w:p>
    <w:p>
      <w:pPr>
        <w:pStyle w:val="Subsection"/>
        <w:keepNext/>
      </w:pPr>
      <w:r>
        <w:tab/>
        <w:t>(10)</w:t>
      </w:r>
      <w:r>
        <w:tab/>
        <w:t xml:space="preserve">If the Commissioner of Police reformulates reasons under subsection (8)(a) — </w:t>
      </w:r>
    </w:p>
    <w:p>
      <w:pPr>
        <w:pStyle w:val="Indenta"/>
      </w:pPr>
      <w:r>
        <w:tab/>
        <w:t>(a)</w:t>
      </w:r>
      <w:r>
        <w:tab/>
        <w:t>the Commissioner shall give the WAIRC and the appellant notice in writing of the reasons before the resumption of the hearing of the appeal; and</w:t>
      </w:r>
    </w:p>
    <w:p>
      <w:pPr>
        <w:pStyle w:val="Indenta"/>
      </w:pPr>
      <w:r>
        <w:tab/>
        <w:t>(b)</w:t>
      </w:r>
      <w:r>
        <w:tab/>
        <w:t>the WAIRC shall consider the reasons as if they had been reasons given to the appellant under section 33L(5)(a).</w:t>
      </w:r>
    </w:p>
    <w:p>
      <w:pPr>
        <w:pStyle w:val="Subsection"/>
      </w:pPr>
      <w:r>
        <w:tab/>
        <w:t>(11)</w:t>
      </w:r>
      <w:r>
        <w:tab/>
        <w:t xml:space="preserve">In this section — </w:t>
      </w:r>
    </w:p>
    <w:p>
      <w:pPr>
        <w:pStyle w:val="Defstart"/>
      </w:pPr>
      <w:r>
        <w:rPr>
          <w:b/>
        </w:rPr>
        <w:tab/>
      </w:r>
      <w:r>
        <w:rPr>
          <w:rStyle w:val="CharDefText"/>
        </w:rPr>
        <w:t>new evidence</w:t>
      </w:r>
      <w:r>
        <w:t xml:space="preserve"> means evidence other than evidence of — </w:t>
      </w:r>
    </w:p>
    <w:p>
      <w:pPr>
        <w:pStyle w:val="Defpara"/>
      </w:pPr>
      <w:r>
        <w:tab/>
        <w:t>(a)</w:t>
      </w:r>
      <w:r>
        <w:tab/>
        <w:t>any document or other material that was examined and taken into account by the Commissioner of Police in making a decision to take removal action;</w:t>
      </w:r>
    </w:p>
    <w:p>
      <w:pPr>
        <w:pStyle w:val="Defpara"/>
      </w:pPr>
      <w:r>
        <w:tab/>
        <w:t>(b)</w:t>
      </w:r>
      <w:r>
        <w:tab/>
        <w:t>the notice given under section 33L(1);</w:t>
      </w:r>
    </w:p>
    <w:p>
      <w:pPr>
        <w:pStyle w:val="Defpara"/>
      </w:pPr>
      <w:r>
        <w:tab/>
        <w:t>(c)</w:t>
      </w:r>
      <w:r>
        <w:tab/>
        <w:t>a written submission made to the Commissioner of Police by the appellant under section 33L(2);</w:t>
      </w:r>
    </w:p>
    <w:p>
      <w:pPr>
        <w:pStyle w:val="Defpara"/>
      </w:pPr>
      <w:r>
        <w:tab/>
        <w:t>(d)</w:t>
      </w:r>
      <w:r>
        <w:tab/>
        <w:t>the notice given under section 33L(3)(b); and</w:t>
      </w:r>
    </w:p>
    <w:p>
      <w:pPr>
        <w:pStyle w:val="Defpara"/>
      </w:pPr>
      <w:r>
        <w:tab/>
        <w:t>(e)</w:t>
      </w:r>
      <w:r>
        <w:tab/>
        <w:t>a notification of the removal from office.</w:t>
      </w:r>
    </w:p>
    <w:p>
      <w:pPr>
        <w:pStyle w:val="Footnotesection"/>
      </w:pPr>
      <w:r>
        <w:tab/>
        <w:t xml:space="preserve">[Section 33R inserted: No. 7 of 2003 s. 6.] </w:t>
      </w:r>
    </w:p>
    <w:p>
      <w:pPr>
        <w:pStyle w:val="Heading5"/>
      </w:pPr>
      <w:bookmarkStart w:id="67" w:name="_Toc91142130"/>
      <w:r>
        <w:rPr>
          <w:rStyle w:val="CharSectno"/>
        </w:rPr>
        <w:t>33S</w:t>
      </w:r>
      <w:r>
        <w:t>.</w:t>
      </w:r>
      <w:r>
        <w:tab/>
        <w:t xml:space="preserve">Application of </w:t>
      </w:r>
      <w:r>
        <w:rPr>
          <w:i/>
        </w:rPr>
        <w:t>Industrial Relations Act 1979</w:t>
      </w:r>
      <w:r>
        <w:t xml:space="preserve"> to appeals</w:t>
      </w:r>
      <w:bookmarkEnd w:id="67"/>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an appeal and a determination of an appeal instituted under this Part.</w:t>
      </w:r>
    </w:p>
    <w:p>
      <w:pPr>
        <w:pStyle w:val="THeadingNAm"/>
      </w:pPr>
      <w:r>
        <w:lastRenderedPageBreak/>
        <w:t>Table</w:t>
      </w:r>
    </w:p>
    <w:tbl>
      <w:tblPr>
        <w:tblW w:w="0" w:type="auto"/>
        <w:tblInd w:w="959" w:type="dxa"/>
        <w:tblLayout w:type="fixed"/>
        <w:tblLook w:val="0000" w:firstRow="0" w:lastRow="0" w:firstColumn="0" w:lastColumn="0" w:noHBand="0" w:noVBand="0"/>
      </w:tblPr>
      <w:tblGrid>
        <w:gridCol w:w="1843"/>
        <w:gridCol w:w="4252"/>
      </w:tblGrid>
      <w:tr>
        <w:trPr>
          <w:cantSplit/>
        </w:trPr>
        <w:tc>
          <w:tcPr>
            <w:tcW w:w="1843" w:type="dxa"/>
          </w:tcPr>
          <w:p>
            <w:pPr>
              <w:pStyle w:val="TableNAm"/>
              <w:keepNext/>
              <w:ind w:left="241" w:hanging="241"/>
            </w:pPr>
            <w:r>
              <w:t>s. 26(1)(a) and (b)</w:t>
            </w:r>
          </w:p>
        </w:tc>
        <w:tc>
          <w:tcPr>
            <w:tcW w:w="4252" w:type="dxa"/>
          </w:tcPr>
          <w:p>
            <w:pPr>
              <w:pStyle w:val="TableNAm"/>
              <w:keepNext/>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ind w:left="241" w:hanging="241"/>
            </w:pPr>
            <w:r>
              <w:t>s. 27(1)(b), (c), (d), (e), (f), (h), (ha), (hb), (l), (m), (n), (o) and (v)</w:t>
            </w:r>
          </w:p>
        </w:tc>
        <w:tc>
          <w:tcPr>
            <w:tcW w:w="4252" w:type="dxa"/>
          </w:tcPr>
          <w:p>
            <w:pPr>
              <w:pStyle w:val="TableNAm"/>
            </w:pPr>
            <w:r>
              <w:t>An order under section 27(1)(o) may be made by any one of the industrial Commissioners constituting the WAIRC to hear the appeal.</w:t>
            </w: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But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tabs>
                <w:tab w:val="clear" w:pos="567"/>
                <w:tab w:val="left" w:pos="438"/>
                <w:tab w:val="left" w:pos="1038"/>
              </w:tabs>
              <w:ind w:left="1038" w:hanging="1038"/>
            </w:pPr>
            <w:r>
              <w:t>“</w:t>
            </w:r>
            <w:r>
              <w:tab/>
              <w:t>(b)</w:t>
            </w:r>
            <w:r>
              <w:tab/>
              <w:t>with the leave of the Commission, by an agent; or</w:t>
            </w:r>
          </w:p>
          <w:p>
            <w:pPr>
              <w:pStyle w:val="TableNAm"/>
              <w:tabs>
                <w:tab w:val="clear" w:pos="567"/>
                <w:tab w:val="left" w:pos="438"/>
                <w:tab w:val="left" w:pos="1038"/>
              </w:tabs>
              <w:ind w:left="1038" w:hanging="1038"/>
              <w:rPr>
                <w:rStyle w:val="DraftersNotes"/>
                <w:b w:val="0"/>
                <w:i w:val="0"/>
              </w:rPr>
            </w:pPr>
            <w:r>
              <w:tab/>
              <w:t>(c)</w:t>
            </w:r>
            <w:r>
              <w:tab/>
              <w:t>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Police Act 1892</w:t>
            </w:r>
            <w:r>
              <w:t xml:space="preserve"> section 33P, the Commission may recommend that the parties to the appeal”.</w:t>
            </w:r>
          </w:p>
        </w:tc>
      </w:tr>
      <w:tr>
        <w:trPr>
          <w:cantSplit/>
        </w:trPr>
        <w:tc>
          <w:tcPr>
            <w:tcW w:w="1843" w:type="dxa"/>
          </w:tcPr>
          <w:p>
            <w:pPr>
              <w:pStyle w:val="TableNAm"/>
            </w:pPr>
          </w:p>
        </w:tc>
        <w:tc>
          <w:tcPr>
            <w:tcW w:w="4252" w:type="dxa"/>
          </w:tcPr>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 </w:t>
            </w:r>
            <w:r>
              <w:br/>
              <w:t>Subsections (4), (6), (7) and (8) do not apply.</w:t>
            </w:r>
          </w:p>
        </w:tc>
      </w:tr>
      <w:tr>
        <w:trPr>
          <w:cantSplit/>
        </w:trPr>
        <w:tc>
          <w:tcPr>
            <w:tcW w:w="1843" w:type="dxa"/>
          </w:tcPr>
          <w:p>
            <w:pPr>
              <w:pStyle w:val="TableNAm"/>
            </w:pPr>
            <w:r>
              <w:t>s. 33</w:t>
            </w:r>
          </w:p>
        </w:tc>
        <w:tc>
          <w:tcPr>
            <w:tcW w:w="4252" w:type="dxa"/>
          </w:tcPr>
          <w:p>
            <w:pPr>
              <w:pStyle w:val="TableNAm"/>
            </w:pPr>
            <w:r>
              <w:t>A summons shall not be issued under section 33(1)(a) to the Governor.</w:t>
            </w:r>
          </w:p>
          <w:p>
            <w:pPr>
              <w:pStyle w:val="TableNAm"/>
            </w:pPr>
            <w:r>
              <w:t xml:space="preserve">A summons may be issued to the Commissioner of Police or the Minister but only at the direction of a Commissioner appointed under the </w:t>
            </w:r>
            <w:r>
              <w:rPr>
                <w:i/>
              </w:rPr>
              <w:t>Industrial Relations Act 1979</w:t>
            </w:r>
            <w:r>
              <w:t xml:space="preserve"> if that Commissioner is satisfied that there are extraordinary grounds for doing so.</w:t>
            </w:r>
          </w:p>
        </w:tc>
      </w:tr>
      <w:tr>
        <w:trPr>
          <w:cantSplit/>
        </w:trPr>
        <w:tc>
          <w:tcPr>
            <w:tcW w:w="1843" w:type="dxa"/>
          </w:tcPr>
          <w:p>
            <w:pPr>
              <w:pStyle w:val="TableNAm"/>
            </w:pPr>
          </w:p>
        </w:tc>
        <w:tc>
          <w:tcPr>
            <w:tcW w:w="4252" w:type="dxa"/>
          </w:tcPr>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But not in relation to costs and expenses other than expenses of witnesses.</w:t>
            </w:r>
          </w:p>
        </w:tc>
      </w:tr>
      <w:tr>
        <w:trPr>
          <w:cantSplit/>
        </w:trPr>
        <w:tc>
          <w:tcPr>
            <w:tcW w:w="1843" w:type="dxa"/>
          </w:tcPr>
          <w:p>
            <w:pPr>
              <w:pStyle w:val="TableNAm"/>
            </w:pPr>
            <w:r>
              <w:lastRenderedPageBreak/>
              <w:t>s. 90</w:t>
            </w:r>
          </w:p>
        </w:tc>
        <w:tc>
          <w:tcPr>
            <w:tcW w:w="4252" w:type="dxa"/>
          </w:tcPr>
          <w:p>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Police Act 1892 </w:t>
            </w:r>
            <w:r>
              <w:t>section 33U”.</w:t>
            </w:r>
          </w:p>
        </w:tc>
      </w:tr>
    </w:tbl>
    <w:p>
      <w:pPr>
        <w:pStyle w:val="Footnotesection"/>
      </w:pPr>
      <w:r>
        <w:tab/>
        <w:t xml:space="preserve">[Section 33S inserted: No. 7 of 2003 s. 6; amended: No. 39 of 2018 s. 70.] </w:t>
      </w:r>
    </w:p>
    <w:p>
      <w:pPr>
        <w:pStyle w:val="Heading5"/>
      </w:pPr>
      <w:bookmarkStart w:id="68" w:name="_Toc91142131"/>
      <w:r>
        <w:rPr>
          <w:rStyle w:val="CharSectno"/>
        </w:rPr>
        <w:t>33T</w:t>
      </w:r>
      <w:r>
        <w:t>.</w:t>
      </w:r>
      <w:r>
        <w:tab/>
        <w:t>Adjournment of appeal if appellant charged with offence</w:t>
      </w:r>
      <w:bookmarkEnd w:id="68"/>
    </w:p>
    <w:p>
      <w:pPr>
        <w:pStyle w:val="Subsection"/>
      </w:pPr>
      <w:r>
        <w:tab/>
        <w:t>(1)</w:t>
      </w:r>
      <w:r>
        <w:tab/>
        <w:t xml:space="preserve">If an appellant has been — </w:t>
      </w:r>
    </w:p>
    <w:p>
      <w:pPr>
        <w:pStyle w:val="Indenta"/>
      </w:pPr>
      <w:r>
        <w:tab/>
        <w:t>(a)</w:t>
      </w:r>
      <w:r>
        <w:tab/>
        <w:t>charged with an offence relating to any matter, act or omission that was taken into account by the Commissioner of Police in deciding that he or she did not have confidence in the appellant’s suitability to continue as a member; and</w:t>
      </w:r>
    </w:p>
    <w:p>
      <w:pPr>
        <w:pStyle w:val="Indenta"/>
      </w:pPr>
      <w:r>
        <w:tab/>
        <w:t>(b)</w:t>
      </w:r>
      <w:r>
        <w:tab/>
        <w:t xml:space="preserve">the charge has not been finally determined by a court or otherwise disposed of, </w:t>
      </w:r>
    </w:p>
    <w:p>
      <w:pPr>
        <w:pStyle w:val="Subsection"/>
      </w:pPr>
      <w:r>
        <w:tab/>
      </w:r>
      <w:r>
        <w:tab/>
        <w:t>the Commissioner or the appellant may apply to the WAIRC for an adjournment of the hearing of the appeal.</w:t>
      </w:r>
    </w:p>
    <w:p>
      <w:pPr>
        <w:pStyle w:val="Subsection"/>
      </w:pPr>
      <w:r>
        <w:tab/>
        <w:t>(2)</w:t>
      </w:r>
      <w:r>
        <w:tab/>
        <w:t>If an application is made by the Commissioner of Police, the WAIRC may adjourn the hearing of the appeal if it considers that it is in the interests of justice to do so.</w:t>
      </w:r>
    </w:p>
    <w:p>
      <w:pPr>
        <w:pStyle w:val="Subsection"/>
      </w:pPr>
      <w:r>
        <w:tab/>
        <w:t>(3)</w:t>
      </w:r>
      <w:r>
        <w:tab/>
        <w:t>If an application for an adjournment is made by the appellant, the WAIRC shall adjourn the hearing of the appeal.</w:t>
      </w:r>
    </w:p>
    <w:p>
      <w:pPr>
        <w:pStyle w:val="Subsection"/>
      </w:pPr>
      <w:r>
        <w:tab/>
        <w:t>(4)</w:t>
      </w:r>
      <w:r>
        <w:tab/>
        <w:t>An adjournment under subsection (3) shall be for such period not exceeding 12 months as is requested by the appellant.</w:t>
      </w:r>
    </w:p>
    <w:p>
      <w:pPr>
        <w:pStyle w:val="Subsection"/>
      </w:pPr>
      <w:r>
        <w:tab/>
        <w:t>(5)</w:t>
      </w:r>
      <w:r>
        <w:tab/>
        <w:t xml:space="preserve">If the charge is finally determined by a court or otherwise disposed of before the expiration of the period of the adjournment, the Commissioner of Police or the appellant may </w:t>
      </w:r>
      <w:r>
        <w:lastRenderedPageBreak/>
        <w:t>apply to the WAIRC for the hearing of the appeal to be resumed on a date specified by the Commission.</w:t>
      </w:r>
    </w:p>
    <w:p>
      <w:pPr>
        <w:pStyle w:val="Subsection"/>
      </w:pPr>
      <w:r>
        <w:tab/>
        <w:t>(6)</w:t>
      </w:r>
      <w:r>
        <w:tab/>
        <w:t>Before the expiration of any period of adjournment under this section, the Commissioner of Police or the appellant may apply to the WAIRC for a further adjournment under this section and, if it is in the interests of justice to do so, the WAIRC may grant a further adjournment for a period specified by it.</w:t>
      </w:r>
    </w:p>
    <w:p>
      <w:pPr>
        <w:pStyle w:val="Subsection"/>
      </w:pPr>
      <w:r>
        <w:tab/>
        <w:t>(7)</w:t>
      </w:r>
      <w:r>
        <w:tab/>
        <w:t>Subsections (2) and (6) do not affect any other power of the WAIRC to grant an adjournment.</w:t>
      </w:r>
    </w:p>
    <w:p>
      <w:pPr>
        <w:pStyle w:val="Footnotesection"/>
      </w:pPr>
      <w:r>
        <w:tab/>
        <w:t xml:space="preserve">[Section 33T inserted: No. 7 of 2003 s. 6.] </w:t>
      </w:r>
    </w:p>
    <w:p>
      <w:pPr>
        <w:pStyle w:val="Heading5"/>
      </w:pPr>
      <w:bookmarkStart w:id="69" w:name="_Toc91142132"/>
      <w:r>
        <w:rPr>
          <w:rStyle w:val="CharSectno"/>
        </w:rPr>
        <w:t>33U</w:t>
      </w:r>
      <w:r>
        <w:t>.</w:t>
      </w:r>
      <w:r>
        <w:tab/>
        <w:t>Decision by the WAIRC</w:t>
      </w:r>
      <w:bookmarkEnd w:id="69"/>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If this section applies and unless an order is made under subsection (3) the WAIRC may order that the appellant’s removal from office is and is to be taken to have always been of no effect.</w:t>
      </w:r>
    </w:p>
    <w:p>
      <w:pPr>
        <w:pStyle w:val="Subsection"/>
      </w:pPr>
      <w:r>
        <w:tab/>
        <w:t>(3)</w:t>
      </w:r>
      <w:r>
        <w:tab/>
        <w:t>If, and only if, the WAIRC considers that it is impracticable for it to be taken that the appellant’s removal from office is and has always been of no effect, the Commission may instead of making an order under subsection (2), subject to subsections (5) and (6), order the Commissioner of Police to pay the appellant an amount of compensation for loss or injury caused by the removal.</w:t>
      </w:r>
    </w:p>
    <w:p>
      <w:pPr>
        <w:pStyle w:val="Subsection"/>
      </w:pPr>
      <w:r>
        <w:tab/>
        <w:t>(4)</w:t>
      </w:r>
      <w:r>
        <w:tab/>
        <w:t xml:space="preserve">In considering whether or not it is impracticable for it to be taken that the appellant’s removal from office is and has always been of no effect it is relevant to consider — </w:t>
      </w:r>
    </w:p>
    <w:p>
      <w:pPr>
        <w:pStyle w:val="Indenta"/>
      </w:pPr>
      <w:r>
        <w:tab/>
        <w:t>(a)</w:t>
      </w:r>
      <w:r>
        <w:tab/>
        <w:t>whether the position occupied by the appellant at the time of his or her removal is vacant; and</w:t>
      </w:r>
    </w:p>
    <w:p>
      <w:pPr>
        <w:pStyle w:val="Indenta"/>
      </w:pPr>
      <w:r>
        <w:tab/>
        <w:t>(b)</w:t>
      </w:r>
      <w:r>
        <w:tab/>
        <w:t>whether there is another suitable vacant position in the Police Force.</w:t>
      </w:r>
    </w:p>
    <w:p>
      <w:pPr>
        <w:pStyle w:val="Subsection"/>
      </w:pPr>
      <w:r>
        <w:lastRenderedPageBreak/>
        <w:tab/>
        <w:t>(5)</w:t>
      </w:r>
      <w:r>
        <w:tab/>
        <w:t xml:space="preserve">In deciding the amount of compensation for the purpose of making an order under subsection (3), the WAIRC shall have regard to — </w:t>
      </w:r>
    </w:p>
    <w:p>
      <w:pPr>
        <w:pStyle w:val="Indenta"/>
      </w:pPr>
      <w:r>
        <w:tab/>
        <w:t>(a)</w:t>
      </w:r>
      <w:r>
        <w:tab/>
        <w:t>the efforts, if any, of the Commissioner of Police and the appellant to mitigate the loss suffered by the appellant as a result of the removal;</w:t>
      </w:r>
    </w:p>
    <w:p>
      <w:pPr>
        <w:pStyle w:val="Indenta"/>
      </w:pPr>
      <w:r>
        <w:tab/>
        <w:t>(b)</w:t>
      </w:r>
      <w:r>
        <w:tab/>
        <w:t>any maintenance payment received by the appellant under section 33M;</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 and</w:t>
      </w:r>
    </w:p>
    <w:p>
      <w:pPr>
        <w:pStyle w:val="Indenta"/>
      </w:pPr>
      <w:r>
        <w:tab/>
        <w:t>(d)</w:t>
      </w:r>
      <w:r>
        <w:tab/>
        <w:t>any other matter that the WAIRC considers relevant.</w:t>
      </w:r>
    </w:p>
    <w:p>
      <w:pPr>
        <w:pStyle w:val="Subsection"/>
      </w:pPr>
      <w:r>
        <w:tab/>
        <w:t>(6)</w:t>
      </w:r>
      <w:r>
        <w:tab/>
        <w:t>The amount ordered to be paid under subsection (3) shall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shall not be entitled to be paid his or her remuneration as a member for any period the appellant received a maintenance payment under section 33M.</w:t>
      </w:r>
    </w:p>
    <w:p>
      <w:pPr>
        <w:pStyle w:val="Subsection"/>
      </w:pPr>
      <w:r>
        <w:tab/>
        <w:t>(9)</w:t>
      </w:r>
      <w:r>
        <w:tab/>
        <w:t>An order under this section may require that it be complied with within a specified time.</w:t>
      </w:r>
    </w:p>
    <w:p>
      <w:pPr>
        <w:pStyle w:val="Footnotesection"/>
      </w:pPr>
      <w:r>
        <w:tab/>
        <w:t xml:space="preserve">[Section 33U inserted: No. 7 of 2003 s. 6.] </w:t>
      </w:r>
    </w:p>
    <w:p>
      <w:pPr>
        <w:pStyle w:val="Heading5"/>
      </w:pPr>
      <w:bookmarkStart w:id="70" w:name="_Toc91142133"/>
      <w:r>
        <w:rPr>
          <w:rStyle w:val="CharSectno"/>
        </w:rPr>
        <w:t>33V</w:t>
      </w:r>
      <w:r>
        <w:t>.</w:t>
      </w:r>
      <w:r>
        <w:tab/>
        <w:t>Restriction on publication</w:t>
      </w:r>
      <w:bookmarkEnd w:id="70"/>
    </w:p>
    <w:p>
      <w:pPr>
        <w:pStyle w:val="Subsection"/>
      </w:pPr>
      <w:r>
        <w:tab/>
        <w:t>(1)</w:t>
      </w:r>
      <w:r>
        <w:tab/>
        <w:t xml:space="preserve">If the WAIRC is satisfied that it is in the public interest, it may direct either or both that — </w:t>
      </w:r>
    </w:p>
    <w:p>
      <w:pPr>
        <w:pStyle w:val="Indenta"/>
      </w:pPr>
      <w:r>
        <w:tab/>
        <w:t>(a)</w:t>
      </w:r>
      <w:r>
        <w:tab/>
        <w:t>any evidence given before the Commission;</w:t>
      </w:r>
    </w:p>
    <w:p>
      <w:pPr>
        <w:pStyle w:val="Indenta"/>
      </w:pPr>
      <w:r>
        <w:lastRenderedPageBreak/>
        <w:tab/>
        <w:t>(b)</w:t>
      </w:r>
      <w:r>
        <w:tab/>
        <w:t>the contents of any document produced to the Commission,</w:t>
      </w:r>
    </w:p>
    <w:p>
      <w:pPr>
        <w:pStyle w:val="Subsection"/>
      </w:pPr>
      <w:r>
        <w:tab/>
      </w:r>
      <w:r>
        <w:tab/>
        <w:t>on an appeal must not be published or must not be published except in such manner, and to such persons, as the Commission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Footnotesection"/>
        <w:ind w:left="890" w:hanging="890"/>
      </w:pPr>
      <w:r>
        <w:tab/>
        <w:t xml:space="preserve">[Section 33V inserted: No. 7 of 2003 s. 6.] </w:t>
      </w:r>
    </w:p>
    <w:p>
      <w:pPr>
        <w:pStyle w:val="Heading3"/>
      </w:pPr>
      <w:bookmarkStart w:id="71" w:name="_Toc90989544"/>
      <w:bookmarkStart w:id="72" w:name="_Toc90990565"/>
      <w:bookmarkStart w:id="73" w:name="_Toc91142134"/>
      <w:r>
        <w:rPr>
          <w:rStyle w:val="CharDivNo"/>
        </w:rPr>
        <w:t>Division 4</w:t>
      </w:r>
      <w:r>
        <w:t> — </w:t>
      </w:r>
      <w:r>
        <w:rPr>
          <w:rStyle w:val="CharDivText"/>
        </w:rPr>
        <w:t>General</w:t>
      </w:r>
      <w:bookmarkEnd w:id="71"/>
      <w:bookmarkEnd w:id="72"/>
      <w:bookmarkEnd w:id="73"/>
    </w:p>
    <w:p>
      <w:pPr>
        <w:pStyle w:val="Footnoteheading"/>
        <w:ind w:left="890"/>
        <w:rPr>
          <w:snapToGrid w:val="0"/>
        </w:rPr>
      </w:pPr>
      <w:r>
        <w:rPr>
          <w:snapToGrid w:val="0"/>
        </w:rPr>
        <w:tab/>
        <w:t xml:space="preserve">[Heading inserted: No. 7 of 2003 s. 6.] </w:t>
      </w:r>
    </w:p>
    <w:p>
      <w:pPr>
        <w:pStyle w:val="Heading5"/>
      </w:pPr>
      <w:bookmarkStart w:id="74" w:name="_Toc91142135"/>
      <w:r>
        <w:rPr>
          <w:rStyle w:val="CharSectno"/>
        </w:rPr>
        <w:t>33W</w:t>
      </w:r>
      <w:r>
        <w:t>.</w:t>
      </w:r>
      <w:r>
        <w:tab/>
        <w:t>Effect of charge for an offence or an acquittal</w:t>
      </w:r>
      <w:bookmarkEnd w:id="74"/>
    </w:p>
    <w:p>
      <w:pPr>
        <w:pStyle w:val="Subsection"/>
      </w:pPr>
      <w:r>
        <w:tab/>
      </w:r>
      <w:r>
        <w:tab/>
        <w:t xml:space="preserve">To avoid doubt, it is declared that if a member — </w:t>
      </w:r>
    </w:p>
    <w:p>
      <w:pPr>
        <w:pStyle w:val="Indenta"/>
      </w:pPr>
      <w:r>
        <w:tab/>
        <w:t>(a)</w:t>
      </w:r>
      <w:r>
        <w:tab/>
        <w:t>has been charged with committing an offence; or</w:t>
      </w:r>
    </w:p>
    <w:p>
      <w:pPr>
        <w:pStyle w:val="Indenta"/>
      </w:pPr>
      <w:r>
        <w:tab/>
        <w:t>(b)</w:t>
      </w:r>
      <w:r>
        <w:tab/>
        <w:t>has been acquitted of an offence,</w:t>
      </w:r>
    </w:p>
    <w:p>
      <w:pPr>
        <w:pStyle w:val="Subsection"/>
      </w:pPr>
      <w:r>
        <w:tab/>
      </w:r>
      <w:r>
        <w:tab/>
        <w:t>that charge, the existence of proceedings relating to that charge or the acquittal does not preclude the Commissioner of Police from taking any action under this Part in relation to any matter, act or omission relating to or being an element of the offence.</w:t>
      </w:r>
    </w:p>
    <w:p>
      <w:pPr>
        <w:pStyle w:val="Footnotesection"/>
      </w:pPr>
      <w:r>
        <w:tab/>
        <w:t xml:space="preserve">[Section 33W inserted: No. 7 of 2003 s. 6.] </w:t>
      </w:r>
    </w:p>
    <w:p>
      <w:pPr>
        <w:pStyle w:val="Heading5"/>
      </w:pPr>
      <w:bookmarkStart w:id="75" w:name="_Toc91142136"/>
      <w:r>
        <w:rPr>
          <w:rStyle w:val="CharSectno"/>
        </w:rPr>
        <w:t>33X</w:t>
      </w:r>
      <w:r>
        <w:t>.</w:t>
      </w:r>
      <w:r>
        <w:tab/>
        <w:t>Failure to comply with procedure</w:t>
      </w:r>
      <w:bookmarkEnd w:id="75"/>
    </w:p>
    <w:p>
      <w:pPr>
        <w:pStyle w:val="Subsection"/>
      </w:pPr>
      <w:r>
        <w:tab/>
      </w:r>
      <w:r>
        <w:tab/>
        <w:t>An act or omission of the Governor, the Minister or the Commissioner of Police shall not be invalid or called in question on the ground of a failure to comply with the procedure prescribed under Division 2 or regulations relating to the removal of members on the ground of a failure to comply with the procedure prescribed under that Division or those regulations if the failure is not substantive.</w:t>
      </w:r>
    </w:p>
    <w:p>
      <w:pPr>
        <w:pStyle w:val="Footnotesection"/>
      </w:pPr>
      <w:r>
        <w:tab/>
        <w:t xml:space="preserve">[Section 33X inserted: No. 7 of 2003 s. 6.] </w:t>
      </w:r>
    </w:p>
    <w:p>
      <w:pPr>
        <w:pStyle w:val="Heading5"/>
      </w:pPr>
      <w:bookmarkStart w:id="76" w:name="_Toc91142137"/>
      <w:r>
        <w:rPr>
          <w:rStyle w:val="CharSectno"/>
        </w:rPr>
        <w:lastRenderedPageBreak/>
        <w:t>33Y</w:t>
      </w:r>
      <w:r>
        <w:t>.</w:t>
      </w:r>
      <w:r>
        <w:tab/>
        <w:t>Transfer, standing down and leave of member</w:t>
      </w:r>
      <w:bookmarkEnd w:id="76"/>
    </w:p>
    <w:p>
      <w:pPr>
        <w:pStyle w:val="Subsection"/>
      </w:pPr>
      <w:r>
        <w:tab/>
        <w:t>(1)</w:t>
      </w:r>
      <w:r>
        <w:tab/>
        <w:t xml:space="preserve">Nothing in this Part derogates from the Commissioner of Police’s power to — </w:t>
      </w:r>
    </w:p>
    <w:p>
      <w:pPr>
        <w:pStyle w:val="Indenta"/>
      </w:pPr>
      <w:r>
        <w:tab/>
        <w:t>(a)</w:t>
      </w:r>
      <w:r>
        <w:tab/>
        <w:t>transfer a member;</w:t>
      </w:r>
    </w:p>
    <w:p>
      <w:pPr>
        <w:pStyle w:val="Indenta"/>
      </w:pPr>
      <w:r>
        <w:tab/>
        <w:t>(b)</w:t>
      </w:r>
      <w:r>
        <w:tab/>
        <w:t>stand a member down from performing that member’s usual duties on full pay until the member is directed by the Commissioner to return to those duties; or</w:t>
      </w:r>
    </w:p>
    <w:p>
      <w:pPr>
        <w:pStyle w:val="Indenta"/>
      </w:pPr>
      <w:r>
        <w:tab/>
        <w:t>(c)</w:t>
      </w:r>
      <w:r>
        <w:tab/>
        <w:t>allocate duties to a member other than the member’s usual duties.</w:t>
      </w:r>
    </w:p>
    <w:p>
      <w:pPr>
        <w:pStyle w:val="Subsection"/>
      </w:pPr>
      <w:r>
        <w:tab/>
        <w:t>(2)</w:t>
      </w:r>
      <w:r>
        <w:tab/>
        <w:t>If the Commissioner stands down a member who is being dealt with under this Part, the Commissioner shall review the decision to stand the member down every 60 days and advise the member in writing of the result of the review.</w:t>
      </w:r>
    </w:p>
    <w:p>
      <w:pPr>
        <w:pStyle w:val="Subsection"/>
      </w:pPr>
      <w:r>
        <w:tab/>
        <w:t>(3)</w:t>
      </w:r>
      <w:r>
        <w:tab/>
        <w:t>The Commissioner shall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 xml:space="preserve">[Section 33Y inserted: No. 7 of 2003 s. 6.] </w:t>
      </w:r>
    </w:p>
    <w:p>
      <w:pPr>
        <w:pStyle w:val="Heading5"/>
      </w:pPr>
      <w:bookmarkStart w:id="77" w:name="_Toc91142138"/>
      <w:r>
        <w:rPr>
          <w:rStyle w:val="CharSectno"/>
        </w:rPr>
        <w:t>33Z</w:t>
      </w:r>
      <w:r>
        <w:t>.</w:t>
      </w:r>
      <w:r>
        <w:tab/>
        <w:t>Review of Part IIB</w:t>
      </w:r>
      <w:bookmarkEnd w:id="77"/>
    </w:p>
    <w:p>
      <w:pPr>
        <w:pStyle w:val="Subsection"/>
      </w:pPr>
      <w:r>
        <w:tab/>
        <w:t>(1)</w:t>
      </w:r>
      <w:r>
        <w:tab/>
        <w:t xml:space="preserve">In this section — </w:t>
      </w:r>
    </w:p>
    <w:p>
      <w:pPr>
        <w:pStyle w:val="Defstart"/>
      </w:pPr>
      <w:r>
        <w:rPr>
          <w:b/>
        </w:rPr>
        <w:tab/>
      </w:r>
      <w:r>
        <w:rPr>
          <w:rStyle w:val="CharDefText"/>
        </w:rPr>
        <w:t>commencement day</w:t>
      </w:r>
      <w:r>
        <w:t xml:space="preserve"> means the day on which section 6 of the </w:t>
      </w:r>
      <w:r>
        <w:rPr>
          <w:i/>
        </w:rPr>
        <w:t>Police Amendment Act 2003</w:t>
      </w:r>
      <w:r>
        <w:t xml:space="preserve"> comes into operation.</w:t>
      </w:r>
    </w:p>
    <w:p>
      <w:pPr>
        <w:pStyle w:val="Subsection"/>
      </w:pPr>
      <w:r>
        <w:tab/>
        <w:t>(2)</w:t>
      </w:r>
      <w:r>
        <w:tab/>
        <w:t>The Minister is to carry out a review of the operation and effectiveness of this Part as soon as is practicable after the expiration of 24 months after the commencement day and in the course of that review the Minister is to consider and have regard to —</w:t>
      </w:r>
    </w:p>
    <w:p>
      <w:pPr>
        <w:pStyle w:val="Indenta"/>
      </w:pPr>
      <w:r>
        <w:tab/>
        <w:t>(a)</w:t>
      </w:r>
      <w:r>
        <w:tab/>
        <w:t>the effectiveness of the Part;</w:t>
      </w:r>
    </w:p>
    <w:p>
      <w:pPr>
        <w:pStyle w:val="Indenta"/>
      </w:pPr>
      <w:r>
        <w:tab/>
        <w:t>(b)</w:t>
      </w:r>
      <w:r>
        <w:tab/>
        <w:t>the need for the retention of the Part; and</w:t>
      </w:r>
    </w:p>
    <w:p>
      <w:pPr>
        <w:pStyle w:val="Indenta"/>
      </w:pPr>
      <w:r>
        <w:lastRenderedPageBreak/>
        <w:tab/>
        <w:t>(c)</w:t>
      </w:r>
      <w:r>
        <w:tab/>
        <w:t>any other matters that appear to the Minister to be relevant to the operation and effectiveness of this Part.</w:t>
      </w:r>
    </w:p>
    <w:p>
      <w:pPr>
        <w:pStyle w:val="Subsection"/>
      </w:pPr>
      <w:r>
        <w:tab/>
        <w:t>(3)</w:t>
      </w:r>
      <w:r>
        <w:tab/>
        <w:t>Without limiting subsection (2), in carrying out a review under that subsection, the Minister shall consult with and have regard to the views of the Chief Commissioner of The Western Australian Industrial Relations Commission, the Commissioner of Police and the Western Australian Police Union of Workers.</w:t>
      </w:r>
    </w:p>
    <w:p>
      <w:pPr>
        <w:pStyle w:val="Subsection"/>
      </w:pPr>
      <w:r>
        <w:tab/>
        <w:t>(4)</w:t>
      </w:r>
      <w:r>
        <w:tab/>
        <w:t>The Minister is to prepare a report based on the review and, as soon as is practicable after the report is prepared (and in any event not more than 30 months after the commencement day), cause it to be laid before each House of Parliament.</w:t>
      </w:r>
    </w:p>
    <w:p>
      <w:pPr>
        <w:pStyle w:val="Footnotesection"/>
      </w:pPr>
      <w:r>
        <w:tab/>
        <w:t xml:space="preserve">[Section 33Z inserted: No. 7 of 2003 s. 6.] </w:t>
      </w:r>
    </w:p>
    <w:p>
      <w:pPr>
        <w:pStyle w:val="Heading2"/>
      </w:pPr>
      <w:bookmarkStart w:id="78" w:name="_Toc90989549"/>
      <w:bookmarkStart w:id="79" w:name="_Toc90990570"/>
      <w:bookmarkStart w:id="80" w:name="_Toc91142139"/>
      <w:r>
        <w:rPr>
          <w:rStyle w:val="CharPartNo"/>
        </w:rPr>
        <w:lastRenderedPageBreak/>
        <w:t>Part IIC</w:t>
      </w:r>
      <w:r>
        <w:rPr>
          <w:b w:val="0"/>
        </w:rPr>
        <w:t> </w:t>
      </w:r>
      <w:r>
        <w:t>—</w:t>
      </w:r>
      <w:r>
        <w:rPr>
          <w:b w:val="0"/>
        </w:rPr>
        <w:t> </w:t>
      </w:r>
      <w:r>
        <w:rPr>
          <w:rStyle w:val="CharPartText"/>
        </w:rPr>
        <w:t>Medical retirement</w:t>
      </w:r>
      <w:bookmarkEnd w:id="78"/>
      <w:bookmarkEnd w:id="79"/>
      <w:bookmarkEnd w:id="80"/>
    </w:p>
    <w:p>
      <w:pPr>
        <w:pStyle w:val="Footnoteheading"/>
      </w:pPr>
      <w:r>
        <w:tab/>
        <w:t>[Heading inserted: No. 19 of 2019 s. 6.]</w:t>
      </w:r>
    </w:p>
    <w:p>
      <w:pPr>
        <w:pStyle w:val="Heading3"/>
      </w:pPr>
      <w:bookmarkStart w:id="81" w:name="_Toc90989550"/>
      <w:bookmarkStart w:id="82" w:name="_Toc90990571"/>
      <w:bookmarkStart w:id="83" w:name="_Toc91142140"/>
      <w:r>
        <w:rPr>
          <w:rStyle w:val="CharDivNo"/>
        </w:rPr>
        <w:t>Division 1</w:t>
      </w:r>
      <w:r>
        <w:t> — </w:t>
      </w:r>
      <w:r>
        <w:rPr>
          <w:rStyle w:val="CharDivText"/>
        </w:rPr>
        <w:t>Preliminary</w:t>
      </w:r>
      <w:bookmarkEnd w:id="81"/>
      <w:bookmarkEnd w:id="82"/>
      <w:bookmarkEnd w:id="83"/>
    </w:p>
    <w:p>
      <w:pPr>
        <w:pStyle w:val="Footnoteheading"/>
      </w:pPr>
      <w:r>
        <w:tab/>
        <w:t>[Heading inserted: No. 19 of 2019 s. 6.]</w:t>
      </w:r>
    </w:p>
    <w:p>
      <w:pPr>
        <w:pStyle w:val="Heading5"/>
      </w:pPr>
      <w:bookmarkStart w:id="84" w:name="_Toc91142141"/>
      <w:r>
        <w:rPr>
          <w:rStyle w:val="CharSectno"/>
        </w:rPr>
        <w:t>33ZA</w:t>
      </w:r>
      <w:r>
        <w:t>.</w:t>
      </w:r>
      <w:r>
        <w:tab/>
        <w:t>Summary of Part</w:t>
      </w:r>
      <w:bookmarkEnd w:id="84"/>
    </w:p>
    <w:p>
      <w:pPr>
        <w:pStyle w:val="Subsection"/>
      </w:pPr>
      <w:r>
        <w:tab/>
      </w:r>
      <w:r>
        <w:tab/>
        <w:t>This Part sets out a scheme under which members who are medically unfit can be retired specifically on medical grounds (rather than being removed under Part IIB).</w:t>
      </w:r>
    </w:p>
    <w:p>
      <w:pPr>
        <w:pStyle w:val="Footnotesection"/>
      </w:pPr>
      <w:r>
        <w:tab/>
        <w:t>[Section 33ZA inserted: No. 19 of 2019 s. 6.]</w:t>
      </w:r>
    </w:p>
    <w:p>
      <w:pPr>
        <w:pStyle w:val="Heading5"/>
      </w:pPr>
      <w:bookmarkStart w:id="85" w:name="_Toc91142142"/>
      <w:r>
        <w:rPr>
          <w:rStyle w:val="CharSectno"/>
        </w:rPr>
        <w:t>33ZB</w:t>
      </w:r>
      <w:r>
        <w:t>.</w:t>
      </w:r>
      <w:r>
        <w:tab/>
        <w:t>Terms used</w:t>
      </w:r>
      <w:bookmarkEnd w:id="85"/>
    </w:p>
    <w:p>
      <w:pPr>
        <w:pStyle w:val="Subsection"/>
      </w:pPr>
      <w:r>
        <w:tab/>
      </w:r>
      <w:r>
        <w:tab/>
        <w:t xml:space="preserve">In this Part — </w:t>
      </w:r>
    </w:p>
    <w:p>
      <w:pPr>
        <w:pStyle w:val="Defstart"/>
      </w:pPr>
      <w:r>
        <w:tab/>
      </w:r>
      <w:r>
        <w:rPr>
          <w:rStyle w:val="CharDefText"/>
        </w:rPr>
        <w:t>appellant</w:t>
      </w:r>
      <w:r>
        <w:t>, in relation to an appeal instituted under section 33ZI, means the person who institutes the appeal;</w:t>
      </w:r>
    </w:p>
    <w:p>
      <w:pPr>
        <w:pStyle w:val="Defstart"/>
      </w:pPr>
      <w:r>
        <w:rPr>
          <w:b/>
        </w:rPr>
        <w:tab/>
      </w:r>
      <w:r>
        <w:rPr>
          <w:rStyle w:val="CharDefText"/>
        </w:rPr>
        <w:t>Chief Commissioner</w:t>
      </w:r>
      <w:r>
        <w:t xml:space="preserve"> has the same meaning as it has in the </w:t>
      </w:r>
      <w:r>
        <w:rPr>
          <w:i/>
        </w:rPr>
        <w:t>Industrial Relations Act 1979</w:t>
      </w:r>
      <w:r>
        <w:t>;</w:t>
      </w:r>
    </w:p>
    <w:p>
      <w:pPr>
        <w:pStyle w:val="Defstart"/>
      </w:pPr>
      <w:r>
        <w:tab/>
      </w:r>
      <w:r>
        <w:rPr>
          <w:rStyle w:val="CharDefText"/>
        </w:rPr>
        <w:t>disputed decision</w:t>
      </w:r>
      <w:r>
        <w:t xml:space="preserve"> has the meaning given in section 33ZI(2);</w:t>
      </w:r>
    </w:p>
    <w:p>
      <w:pPr>
        <w:pStyle w:val="Defstart"/>
      </w:pPr>
      <w:r>
        <w:tab/>
      </w:r>
      <w:r>
        <w:rPr>
          <w:rStyle w:val="CharDefText"/>
        </w:rPr>
        <w:t>industrial Commissioner</w:t>
      </w:r>
      <w:r>
        <w:t xml:space="preserve"> has the same meaning as </w:t>
      </w:r>
      <w:r>
        <w:rPr>
          <w:b/>
          <w:i/>
        </w:rPr>
        <w:t>commissioner</w:t>
      </w:r>
      <w:r>
        <w:t xml:space="preserve"> has in the </w:t>
      </w:r>
      <w:r>
        <w:rPr>
          <w:i/>
        </w:rPr>
        <w:t>Industrial Relations Act 1979</w:t>
      </w:r>
      <w:r>
        <w:t>;</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medically unfit</w:t>
      </w:r>
      <w:r>
        <w:t>, in relation to a member, means the member is unfit, on medical grounds (whether physical or mental or both), to perform the functions of the office to which the member is appointed under this Act;</w:t>
      </w:r>
    </w:p>
    <w:p>
      <w:pPr>
        <w:pStyle w:val="Defstart"/>
      </w:pPr>
      <w:r>
        <w:tab/>
      </w:r>
      <w:r>
        <w:rPr>
          <w:rStyle w:val="CharDefText"/>
        </w:rPr>
        <w:t>member</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lastRenderedPageBreak/>
        <w:tab/>
        <w:t>(d)</w:t>
      </w:r>
      <w:r>
        <w:tab/>
        <w:t>an Aboriginal police liaison officer;</w:t>
      </w:r>
    </w:p>
    <w:p>
      <w:pPr>
        <w:pStyle w:val="Defpara"/>
      </w:pPr>
      <w:r>
        <w:tab/>
        <w:t>(e)</w:t>
      </w:r>
      <w:r>
        <w:tab/>
        <w:t>a police auxiliary officer;</w:t>
      </w:r>
    </w:p>
    <w:p>
      <w:pPr>
        <w:pStyle w:val="Defstart"/>
      </w:pPr>
      <w:r>
        <w:tab/>
      </w:r>
      <w:r>
        <w:rPr>
          <w:rStyle w:val="CharDefText"/>
        </w:rPr>
        <w:t>Police Commissioner</w:t>
      </w:r>
      <w:r>
        <w:t xml:space="preserve"> means the Commissioner of Police;</w:t>
      </w:r>
    </w:p>
    <w:p>
      <w:pPr>
        <w:pStyle w:val="Defstart"/>
      </w:pPr>
      <w:r>
        <w:tab/>
      </w:r>
      <w:r>
        <w:rPr>
          <w:rStyle w:val="CharDefText"/>
        </w:rPr>
        <w:t>retire</w:t>
      </w:r>
      <w:r>
        <w:t>, in relation to a member, means retire from the office to which the member is appointed under this Act;</w:t>
      </w:r>
    </w:p>
    <w:p>
      <w:pPr>
        <w:pStyle w:val="Defstart"/>
      </w:pPr>
      <w:r>
        <w:tab/>
      </w:r>
      <w:r>
        <w:rPr>
          <w:rStyle w:val="CharDefText"/>
        </w:rPr>
        <w:t>retirement day</w:t>
      </w:r>
      <w:r>
        <w:t>, in relation to a member, means the day at the end of which the member’s retirement on medical grounds takes effect under section 33ZE(10)(b);</w:t>
      </w:r>
    </w:p>
    <w:p>
      <w:pPr>
        <w:pStyle w:val="Defstart"/>
      </w:pPr>
      <w:r>
        <w:tab/>
      </w:r>
      <w:r>
        <w:rPr>
          <w:rStyle w:val="CharDefText"/>
        </w:rPr>
        <w:t>Senior Commissioner</w:t>
      </w:r>
      <w:r>
        <w:t xml:space="preserve"> has the same meaning as it has in the </w:t>
      </w:r>
      <w:r>
        <w:rPr>
          <w:i/>
        </w:rPr>
        <w:t>Industrial Relations Act 1979</w:t>
      </w:r>
      <w:r>
        <w: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33ZB inserted: No. 19 of 2019 s. 6.]</w:t>
      </w:r>
    </w:p>
    <w:p>
      <w:pPr>
        <w:pStyle w:val="Heading3"/>
      </w:pPr>
      <w:bookmarkStart w:id="86" w:name="_Toc90989553"/>
      <w:bookmarkStart w:id="87" w:name="_Toc90990574"/>
      <w:bookmarkStart w:id="88" w:name="_Toc91142143"/>
      <w:r>
        <w:rPr>
          <w:rStyle w:val="CharDivNo"/>
        </w:rPr>
        <w:t>Division 2</w:t>
      </w:r>
      <w:r>
        <w:t> — </w:t>
      </w:r>
      <w:r>
        <w:rPr>
          <w:rStyle w:val="CharDivText"/>
        </w:rPr>
        <w:t>How members can be retired on medical grounds</w:t>
      </w:r>
      <w:bookmarkEnd w:id="86"/>
      <w:bookmarkEnd w:id="87"/>
      <w:bookmarkEnd w:id="88"/>
    </w:p>
    <w:p>
      <w:pPr>
        <w:pStyle w:val="Footnoteheading"/>
      </w:pPr>
      <w:r>
        <w:tab/>
        <w:t>[Heading inserted: No. 19 of 2019 s. 6.]</w:t>
      </w:r>
    </w:p>
    <w:p>
      <w:pPr>
        <w:pStyle w:val="Heading5"/>
      </w:pPr>
      <w:bookmarkStart w:id="89" w:name="_Toc91142144"/>
      <w:r>
        <w:rPr>
          <w:rStyle w:val="CharSectno"/>
        </w:rPr>
        <w:t>33ZC</w:t>
      </w:r>
      <w:r>
        <w:t>.</w:t>
      </w:r>
      <w:r>
        <w:tab/>
        <w:t>Examination of member by medical board</w:t>
      </w:r>
      <w:bookmarkEnd w:id="89"/>
    </w:p>
    <w:p>
      <w:pPr>
        <w:pStyle w:val="Subsection"/>
      </w:pPr>
      <w:r>
        <w:tab/>
        <w:t>(1)</w:t>
      </w:r>
      <w:r>
        <w:tab/>
        <w:t>Subsection (2) applies if the Police Commissioner reasonably suspects that a member is medically unfit.</w:t>
      </w:r>
    </w:p>
    <w:p>
      <w:pPr>
        <w:pStyle w:val="Subsection"/>
      </w:pPr>
      <w:r>
        <w:tab/>
        <w:t>(2)</w:t>
      </w:r>
      <w:r>
        <w:tab/>
        <w:t>The Police Commissioner may direct the member to submit to an examination by a medical board consisting of at least 3 medical practitioners.</w:t>
      </w:r>
    </w:p>
    <w:p>
      <w:pPr>
        <w:pStyle w:val="Subsection"/>
      </w:pPr>
      <w:r>
        <w:tab/>
        <w:t>(3)</w:t>
      </w:r>
      <w:r>
        <w:tab/>
        <w:t xml:space="preserve">The direction may also impose requirements on the member — </w:t>
      </w:r>
    </w:p>
    <w:p>
      <w:pPr>
        <w:pStyle w:val="Indenta"/>
      </w:pPr>
      <w:r>
        <w:tab/>
        <w:t>(a)</w:t>
      </w:r>
      <w:r>
        <w:tab/>
        <w:t>in relation to the conduct of the examination; or</w:t>
      </w:r>
    </w:p>
    <w:p>
      <w:pPr>
        <w:pStyle w:val="Indenta"/>
      </w:pPr>
      <w:r>
        <w:tab/>
        <w:t>(b)</w:t>
      </w:r>
      <w:r>
        <w:tab/>
        <w:t>otherwise for the purpose of facilitating the examination.</w:t>
      </w:r>
    </w:p>
    <w:p>
      <w:pPr>
        <w:pStyle w:val="Subsection"/>
      </w:pPr>
      <w:r>
        <w:tab/>
        <w:t>(4)</w:t>
      </w:r>
      <w:r>
        <w:tab/>
        <w:t>The direction must be given in writing.</w:t>
      </w:r>
    </w:p>
    <w:p>
      <w:pPr>
        <w:pStyle w:val="Subsection"/>
      </w:pPr>
      <w:r>
        <w:tab/>
        <w:t>(5)</w:t>
      </w:r>
      <w:r>
        <w:tab/>
        <w:t>The member commits an offence against the discipline of the Police Force if the member, without good and sufficient cause, fails to comply with the direction.</w:t>
      </w:r>
    </w:p>
    <w:p>
      <w:pPr>
        <w:pStyle w:val="Subsection"/>
      </w:pPr>
      <w:r>
        <w:lastRenderedPageBreak/>
        <w:tab/>
        <w:t>(6)</w:t>
      </w:r>
      <w:r>
        <w:tab/>
        <w:t>The medical board must give a report on the examination to the Police Commissioner.</w:t>
      </w:r>
    </w:p>
    <w:p>
      <w:pPr>
        <w:pStyle w:val="Subsection"/>
      </w:pPr>
      <w:r>
        <w:tab/>
        <w:t>(7)</w:t>
      </w:r>
      <w:r>
        <w:tab/>
        <w:t xml:space="preserve">Regulations under section 138A may (without limitation) make provision about medical boards, including (without limitation) provision about 1 or more of the following matters — </w:t>
      </w:r>
    </w:p>
    <w:p>
      <w:pPr>
        <w:pStyle w:val="Indenta"/>
      </w:pPr>
      <w:r>
        <w:tab/>
        <w:t>(a)</w:t>
      </w:r>
      <w:r>
        <w:tab/>
        <w:t>the appointment of medical practitioners, or of other persons in addition to medical practitioners, to them (including how, when or by whom appointments are to be made);</w:t>
      </w:r>
    </w:p>
    <w:p>
      <w:pPr>
        <w:pStyle w:val="Indenta"/>
      </w:pPr>
      <w:r>
        <w:tab/>
        <w:t>(b)</w:t>
      </w:r>
      <w:r>
        <w:tab/>
        <w:t>their governance and procedures;</w:t>
      </w:r>
    </w:p>
    <w:p>
      <w:pPr>
        <w:pStyle w:val="Indenta"/>
      </w:pPr>
      <w:r>
        <w:tab/>
        <w:t>(c)</w:t>
      </w:r>
      <w:r>
        <w:tab/>
        <w:t>their examinations of members;</w:t>
      </w:r>
    </w:p>
    <w:p>
      <w:pPr>
        <w:pStyle w:val="Indenta"/>
      </w:pPr>
      <w:r>
        <w:tab/>
        <w:t>(d)</w:t>
      </w:r>
      <w:r>
        <w:tab/>
        <w:t>their reports to the Police Commissioner;</w:t>
      </w:r>
    </w:p>
    <w:p>
      <w:pPr>
        <w:pStyle w:val="Indenta"/>
      </w:pPr>
      <w:r>
        <w:tab/>
        <w:t>(e)</w:t>
      </w:r>
      <w:r>
        <w:tab/>
        <w:t>the payment of their costs or costs otherwise associated with them (including remuneration and expenses of persons appointed to them).</w:t>
      </w:r>
    </w:p>
    <w:p>
      <w:pPr>
        <w:pStyle w:val="Footnotesection"/>
      </w:pPr>
      <w:r>
        <w:tab/>
        <w:t>[Section 33ZC inserted: No. 19 of 2019 s. 6.]</w:t>
      </w:r>
    </w:p>
    <w:p>
      <w:pPr>
        <w:pStyle w:val="Heading5"/>
      </w:pPr>
      <w:bookmarkStart w:id="90" w:name="_Toc91142145"/>
      <w:r>
        <w:rPr>
          <w:rStyle w:val="CharSectno"/>
        </w:rPr>
        <w:t>33ZD</w:t>
      </w:r>
      <w:r>
        <w:t>.</w:t>
      </w:r>
      <w:r>
        <w:tab/>
        <w:t>Notice that Police Commissioner is of opinion that member is medically unfit</w:t>
      </w:r>
      <w:bookmarkEnd w:id="90"/>
    </w:p>
    <w:p>
      <w:pPr>
        <w:pStyle w:val="Subsection"/>
      </w:pPr>
      <w:r>
        <w:tab/>
        <w:t>(1)</w:t>
      </w:r>
      <w:r>
        <w:tab/>
        <w:t xml:space="preserve">This section applies if — </w:t>
      </w:r>
    </w:p>
    <w:p>
      <w:pPr>
        <w:pStyle w:val="Indenta"/>
      </w:pPr>
      <w:r>
        <w:tab/>
        <w:t>(a)</w:t>
      </w:r>
      <w:r>
        <w:tab/>
        <w:t>the Police Commissioner receives a report from a medical board under section 33ZC(6); and</w:t>
      </w:r>
    </w:p>
    <w:p>
      <w:pPr>
        <w:pStyle w:val="Indenta"/>
      </w:pPr>
      <w:r>
        <w:tab/>
        <w:t>(b)</w:t>
      </w:r>
      <w:r>
        <w:tab/>
        <w:t>having taken into account the report, the Police Commissioner is of the opinion that the member is medically unfit.</w:t>
      </w:r>
    </w:p>
    <w:p>
      <w:pPr>
        <w:pStyle w:val="Subsection"/>
      </w:pPr>
      <w:r>
        <w:tab/>
        <w:t>(2)</w:t>
      </w:r>
      <w:r>
        <w:tab/>
        <w:t xml:space="preserve">The Police Commissioner may give written notice to the member stating that the Police Commissioner — </w:t>
      </w:r>
    </w:p>
    <w:p>
      <w:pPr>
        <w:pStyle w:val="Indenta"/>
      </w:pPr>
      <w:r>
        <w:tab/>
        <w:t>(a)</w:t>
      </w:r>
      <w:r>
        <w:tab/>
        <w:t>is of the opinion that the member is medically unfit; and</w:t>
      </w:r>
    </w:p>
    <w:p>
      <w:pPr>
        <w:pStyle w:val="Indenta"/>
      </w:pPr>
      <w:r>
        <w:tab/>
        <w:t>(b)</w:t>
      </w:r>
      <w:r>
        <w:tab/>
        <w:t>is in the process of deciding whether the member should be retired on medical grounds.</w:t>
      </w:r>
    </w:p>
    <w:p>
      <w:pPr>
        <w:pStyle w:val="Subsection"/>
        <w:keepNext/>
      </w:pPr>
      <w:r>
        <w:lastRenderedPageBreak/>
        <w:tab/>
        <w:t>(3)</w:t>
      </w:r>
      <w:r>
        <w:tab/>
        <w:t xml:space="preserve">If notice is given, the member may, during the period referred to in subsection (4) — </w:t>
      </w:r>
    </w:p>
    <w:p>
      <w:pPr>
        <w:pStyle w:val="Indenta"/>
      </w:pPr>
      <w:r>
        <w:tab/>
        <w:t>(a)</w:t>
      </w:r>
      <w:r>
        <w:tab/>
        <w:t>make written submissions to the Police Commissioner; and</w:t>
      </w:r>
    </w:p>
    <w:p>
      <w:pPr>
        <w:pStyle w:val="Indenta"/>
      </w:pPr>
      <w:r>
        <w:tab/>
        <w:t>(b)</w:t>
      </w:r>
      <w:r>
        <w:tab/>
        <w:t>give the Police Commissioner any written report or other document.</w:t>
      </w:r>
    </w:p>
    <w:p>
      <w:pPr>
        <w:pStyle w:val="Subsection"/>
      </w:pPr>
      <w:r>
        <w:tab/>
        <w:t>(4)</w:t>
      </w:r>
      <w:r>
        <w:tab/>
        <w:t xml:space="preserve">The period is — </w:t>
      </w:r>
    </w:p>
    <w:p>
      <w:pPr>
        <w:pStyle w:val="Indenta"/>
      </w:pPr>
      <w:r>
        <w:tab/>
        <w:t>(a)</w:t>
      </w:r>
      <w:r>
        <w:tab/>
        <w:t>the period of 28 days after the day on which the notice is given; or</w:t>
      </w:r>
    </w:p>
    <w:p>
      <w:pPr>
        <w:pStyle w:val="Indenta"/>
      </w:pPr>
      <w:r>
        <w:tab/>
        <w:t>(b)</w:t>
      </w:r>
      <w:r>
        <w:tab/>
        <w:t>a longer period allowed by the Police Commissioner.</w:t>
      </w:r>
    </w:p>
    <w:p>
      <w:pPr>
        <w:pStyle w:val="Footnotesection"/>
      </w:pPr>
      <w:r>
        <w:tab/>
        <w:t>[Section 33ZD inserted: No. 19 of 2019 s. 6.]</w:t>
      </w:r>
    </w:p>
    <w:p>
      <w:pPr>
        <w:pStyle w:val="Heading5"/>
      </w:pPr>
      <w:bookmarkStart w:id="91" w:name="_Toc91142146"/>
      <w:r>
        <w:rPr>
          <w:rStyle w:val="CharSectno"/>
        </w:rPr>
        <w:t>33ZE</w:t>
      </w:r>
      <w:r>
        <w:t>.</w:t>
      </w:r>
      <w:r>
        <w:tab/>
        <w:t>Power to retire member on medical grounds</w:t>
      </w:r>
      <w:bookmarkEnd w:id="91"/>
    </w:p>
    <w:p>
      <w:pPr>
        <w:pStyle w:val="Subsection"/>
      </w:pPr>
      <w:r>
        <w:tab/>
        <w:t>(1)</w:t>
      </w:r>
      <w:r>
        <w:tab/>
        <w:t xml:space="preserve">After the period referred to in section 33ZD(4) has ended, the Police Commissioner must — </w:t>
      </w:r>
    </w:p>
    <w:p>
      <w:pPr>
        <w:pStyle w:val="Indenta"/>
      </w:pPr>
      <w:r>
        <w:tab/>
        <w:t>(a)</w:t>
      </w:r>
      <w:r>
        <w:tab/>
        <w:t>decide whether the member should be retired on medical grounds; and</w:t>
      </w:r>
    </w:p>
    <w:p>
      <w:pPr>
        <w:pStyle w:val="Indenta"/>
      </w:pPr>
      <w:r>
        <w:tab/>
        <w:t>(b)</w:t>
      </w:r>
      <w:r>
        <w:tab/>
        <w:t>give the member written notice of the decision.</w:t>
      </w:r>
    </w:p>
    <w:p>
      <w:pPr>
        <w:pStyle w:val="Subsection"/>
      </w:pPr>
      <w:r>
        <w:tab/>
        <w:t>(2)</w:t>
      </w:r>
      <w:r>
        <w:tab/>
        <w:t xml:space="preserve">The Police Commissioner must not decide that the member should be retired on medical grounds unless the Police Commissioner — </w:t>
      </w:r>
    </w:p>
    <w:p>
      <w:pPr>
        <w:pStyle w:val="Indenta"/>
      </w:pPr>
      <w:r>
        <w:tab/>
        <w:t>(a)</w:t>
      </w:r>
      <w:r>
        <w:tab/>
        <w:t>has taken into account everything received from the member under section 33ZD(3) during the period referred to in section 33ZD(4); and</w:t>
      </w:r>
    </w:p>
    <w:p>
      <w:pPr>
        <w:pStyle w:val="Indenta"/>
      </w:pPr>
      <w:r>
        <w:tab/>
        <w:t>(b)</w:t>
      </w:r>
      <w:r>
        <w:tab/>
        <w:t>is still of the opinion that the member is medically unfit.</w:t>
      </w:r>
    </w:p>
    <w:p>
      <w:pPr>
        <w:pStyle w:val="Subsection"/>
      </w:pPr>
      <w:r>
        <w:tab/>
        <w:t>(3)</w:t>
      </w:r>
      <w:r>
        <w:tab/>
        <w:t>Subsections (4) to (10) apply if the Police Commissioner decides that the member should be retired on medical grounds.</w:t>
      </w:r>
    </w:p>
    <w:p>
      <w:pPr>
        <w:pStyle w:val="Subsection"/>
      </w:pPr>
      <w:r>
        <w:tab/>
        <w:t>(4)</w:t>
      </w:r>
      <w:r>
        <w:tab/>
        <w:t>The notice under subsection (1)(b) must give the Police Commissioner’s reasons for the decision.</w:t>
      </w:r>
    </w:p>
    <w:p>
      <w:pPr>
        <w:pStyle w:val="Subsection"/>
      </w:pPr>
      <w:r>
        <w:tab/>
        <w:t>(5)</w:t>
      </w:r>
      <w:r>
        <w:tab/>
        <w:t xml:space="preserve">Except to the extent that regulations otherwise provide, the Police Commissioner must, within 7 days of giving the notice </w:t>
      </w:r>
      <w:r>
        <w:lastRenderedPageBreak/>
        <w:t>under subsection (1)(b), give the member a copy of any documents, and make available to the member for inspection any other materials, that were examined and taken into account by the Police Commissioner in making the decision.</w:t>
      </w:r>
    </w:p>
    <w:p>
      <w:pPr>
        <w:pStyle w:val="Subsection"/>
      </w:pPr>
      <w:r>
        <w:tab/>
        <w:t>(6)</w:t>
      </w:r>
      <w:r>
        <w:tab/>
        <w:t xml:space="preserve">If the member is a commissioned officer — </w:t>
      </w:r>
    </w:p>
    <w:p>
      <w:pPr>
        <w:pStyle w:val="Indenta"/>
      </w:pPr>
      <w:r>
        <w:tab/>
        <w:t>(a)</w:t>
      </w:r>
      <w:r>
        <w:tab/>
        <w:t>the Police Commissioner may recommend to the Minister that the Minister advise the Governor to retire the member on medical grounds; and</w:t>
      </w:r>
    </w:p>
    <w:p>
      <w:pPr>
        <w:pStyle w:val="Indenta"/>
      </w:pPr>
      <w:r>
        <w:tab/>
        <w:t>(b)</w:t>
      </w:r>
      <w:r>
        <w:tab/>
        <w:t>the Governor may, on the Minister’s advice given in accordance with the Police Commissioner’s recommendation, retire the member on medical grounds.</w:t>
      </w:r>
    </w:p>
    <w:p>
      <w:pPr>
        <w:pStyle w:val="Subsection"/>
      </w:pPr>
      <w:r>
        <w:tab/>
        <w:t>(7)</w:t>
      </w:r>
      <w:r>
        <w:tab/>
        <w:t>If the member is a non</w:t>
      </w:r>
      <w:r>
        <w:noBreakHyphen/>
        <w:t>commissioned officer or a constable, the Police Commissioner may, with the Minister’s approval, retire the member on medical grounds.</w:t>
      </w:r>
    </w:p>
    <w:p>
      <w:pPr>
        <w:pStyle w:val="Subsection"/>
      </w:pPr>
      <w:r>
        <w:tab/>
        <w:t>(8)</w:t>
      </w:r>
      <w:r>
        <w:tab/>
        <w:t>If the member is an Aboriginal police liaison officer or a police auxiliary officer, the Police Commissioner may retire the member on medical grounds.</w:t>
      </w:r>
    </w:p>
    <w:p>
      <w:pPr>
        <w:pStyle w:val="Subsection"/>
      </w:pPr>
      <w:r>
        <w:tab/>
        <w:t>(9)</w:t>
      </w:r>
      <w:r>
        <w:tab/>
        <w:t>A power of the Police Commissioner under subsection (6), (7) or (8) may be exercised when, or at any time after, the notice under subsection (1)(b) is given.</w:t>
      </w:r>
    </w:p>
    <w:p>
      <w:pPr>
        <w:pStyle w:val="Subsection"/>
      </w:pPr>
      <w:r>
        <w:tab/>
        <w:t>(10)</w:t>
      </w:r>
      <w:r>
        <w:tab/>
        <w:t xml:space="preserve">If the member is retired on medical grounds — </w:t>
      </w:r>
    </w:p>
    <w:p>
      <w:pPr>
        <w:pStyle w:val="Indenta"/>
      </w:pPr>
      <w:r>
        <w:tab/>
        <w:t>(a)</w:t>
      </w:r>
      <w:r>
        <w:tab/>
        <w:t>the Police Commissioner must give the member written notice that the member has been retired on medical grounds; and</w:t>
      </w:r>
    </w:p>
    <w:p>
      <w:pPr>
        <w:pStyle w:val="Indenta"/>
      </w:pPr>
      <w:r>
        <w:tab/>
        <w:t>(b)</w:t>
      </w:r>
      <w:r>
        <w:tab/>
        <w:t>the retirement takes effect, and the member ceases to hold the office to which the member is appointed under this Act accordingly, at the end of the day on which the member receives the Police Commissioner’s notice.</w:t>
      </w:r>
    </w:p>
    <w:p>
      <w:pPr>
        <w:pStyle w:val="Subsection"/>
      </w:pPr>
      <w:r>
        <w:tab/>
        <w:t>(11)</w:t>
      </w:r>
      <w:r>
        <w:tab/>
        <w:t>Subsections (4) to (10) cease to apply if the Police Commissioner’s decision that the member should be retired on medical grounds is revoked under section 33ZG(2).</w:t>
      </w:r>
    </w:p>
    <w:p>
      <w:pPr>
        <w:pStyle w:val="Subsection"/>
      </w:pPr>
      <w:r>
        <w:lastRenderedPageBreak/>
        <w:tab/>
        <w:t>(12)</w:t>
      </w:r>
      <w:r>
        <w:tab/>
        <w:t>Regulations under section 138A may (without limitation) make provision for determining when a member is taken to receive a notice for the purposes of subsection (10)(b).</w:t>
      </w:r>
    </w:p>
    <w:p>
      <w:pPr>
        <w:pStyle w:val="Footnotesection"/>
      </w:pPr>
      <w:r>
        <w:tab/>
        <w:t>[Section 33ZE inserted: No. 19 of 2019 s. 6.]</w:t>
      </w:r>
    </w:p>
    <w:p>
      <w:pPr>
        <w:pStyle w:val="Heading5"/>
      </w:pPr>
      <w:bookmarkStart w:id="92" w:name="_Toc91142147"/>
      <w:r>
        <w:rPr>
          <w:rStyle w:val="CharSectno"/>
        </w:rPr>
        <w:t>33ZF</w:t>
      </w:r>
      <w:r>
        <w:t>.</w:t>
      </w:r>
      <w:r>
        <w:tab/>
        <w:t>Maintenance payment</w:t>
      </w:r>
      <w:bookmarkEnd w:id="92"/>
    </w:p>
    <w:p>
      <w:pPr>
        <w:pStyle w:val="Subsection"/>
      </w:pPr>
      <w:r>
        <w:tab/>
        <w:t>(1)</w:t>
      </w:r>
      <w:r>
        <w:tab/>
        <w:t>This section applies if a member’s retirement on medical grounds has taken effect.</w:t>
      </w:r>
    </w:p>
    <w:p>
      <w:pPr>
        <w:pStyle w:val="Subsection"/>
      </w:pPr>
      <w:r>
        <w:tab/>
        <w:t>(2)</w:t>
      </w:r>
      <w:r>
        <w:tab/>
        <w:t>The member is entitled to receive a maintenance payment for the period of 28 days after the retirement day.</w:t>
      </w:r>
    </w:p>
    <w:p>
      <w:pPr>
        <w:pStyle w:val="Subsection"/>
      </w:pPr>
      <w:r>
        <w:tab/>
        <w:t>(3)</w:t>
      </w:r>
      <w:r>
        <w:tab/>
        <w:t>In exceptional circumstances, the Minister may direct that a maintenance payment be paid to the member for a further period of up to 6 months specified by the Minister starting when the period referred to in subsection (2) ends.</w:t>
      </w:r>
    </w:p>
    <w:p>
      <w:pPr>
        <w:pStyle w:val="Subsection"/>
      </w:pPr>
      <w:r>
        <w:tab/>
        <w:t>(4)</w:t>
      </w:r>
      <w:r>
        <w:tab/>
        <w:t>However, the further period ends (if it has not already ended) on the day on which any appeal instituted under section 33ZI is determined by the WAIRC.</w:t>
      </w:r>
    </w:p>
    <w:p>
      <w:pPr>
        <w:pStyle w:val="Subsection"/>
      </w:pPr>
      <w:r>
        <w:tab/>
        <w:t>(5)</w:t>
      </w:r>
      <w:r>
        <w:tab/>
        <w:t>A maintenance payment must be calculated on the basis of the member’s salary on the retirement day.</w:t>
      </w:r>
    </w:p>
    <w:p>
      <w:pPr>
        <w:pStyle w:val="Footnotesection"/>
      </w:pPr>
      <w:r>
        <w:tab/>
        <w:t>[Section 33ZF inserted: No. 19 of 2019 s. 6.]</w:t>
      </w:r>
    </w:p>
    <w:p>
      <w:pPr>
        <w:pStyle w:val="Heading5"/>
      </w:pPr>
      <w:bookmarkStart w:id="93" w:name="_Toc91142148"/>
      <w:r>
        <w:rPr>
          <w:rStyle w:val="CharSectno"/>
        </w:rPr>
        <w:t>33ZG</w:t>
      </w:r>
      <w:r>
        <w:t>.</w:t>
      </w:r>
      <w:r>
        <w:tab/>
        <w:t>Revocation of decision that member should be retired</w:t>
      </w:r>
      <w:bookmarkEnd w:id="93"/>
    </w:p>
    <w:p>
      <w:pPr>
        <w:pStyle w:val="Subsection"/>
      </w:pPr>
      <w:r>
        <w:tab/>
        <w:t>(1)</w:t>
      </w:r>
      <w:r>
        <w:tab/>
        <w:t>This section applies if the Police Commissioner decides under section 33ZE(1)(a) that a member should be retired on medical grounds.</w:t>
      </w:r>
    </w:p>
    <w:p>
      <w:pPr>
        <w:pStyle w:val="Subsection"/>
      </w:pPr>
      <w:r>
        <w:tab/>
        <w:t>(2)</w:t>
      </w:r>
      <w:r>
        <w:tab/>
        <w:t>At any time on or before the retirement day, the Police Commissioner may, by written notice to the Minister, revoke the Police Commissioner’s decision.</w:t>
      </w:r>
    </w:p>
    <w:p>
      <w:pPr>
        <w:pStyle w:val="Subsection"/>
      </w:pPr>
      <w:r>
        <w:tab/>
        <w:t>(3)</w:t>
      </w:r>
      <w:r>
        <w:tab/>
        <w:t xml:space="preserve">At any time after the retirement day, the Police Commissioner may, by notice in the </w:t>
      </w:r>
      <w:r>
        <w:rPr>
          <w:i/>
        </w:rPr>
        <w:t>Gazette</w:t>
      </w:r>
      <w:r>
        <w:t>, revoke the Police Commissioner’s decision.</w:t>
      </w:r>
    </w:p>
    <w:p>
      <w:pPr>
        <w:pStyle w:val="Subsection"/>
      </w:pPr>
      <w:r>
        <w:lastRenderedPageBreak/>
        <w:tab/>
        <w:t>(4)</w:t>
      </w:r>
      <w:r>
        <w:tab/>
        <w:t>A notice under subsection (3) requires the Minister’s approval if the member was a commissioned officer.</w:t>
      </w:r>
    </w:p>
    <w:p>
      <w:pPr>
        <w:pStyle w:val="Subsection"/>
      </w:pPr>
      <w:r>
        <w:tab/>
        <w:t>(5)</w:t>
      </w:r>
      <w:r>
        <w:tab/>
        <w:t>Subsection (3) applies even if an appeal has been instituted under section 33ZI.</w:t>
      </w:r>
    </w:p>
    <w:p>
      <w:pPr>
        <w:pStyle w:val="Subsection"/>
      </w:pPr>
      <w:r>
        <w:tab/>
        <w:t>(6)</w:t>
      </w:r>
      <w:r>
        <w:tab/>
        <w:t>Despite any other enactment, if the Police Commissioner’s decision is revoked under subsection (3), the member’s retirement is taken to be of no effect and to have never had any effect.</w:t>
      </w:r>
    </w:p>
    <w:p>
      <w:pPr>
        <w:pStyle w:val="Subsection"/>
      </w:pPr>
      <w:r>
        <w:tab/>
        <w:t>(7)</w:t>
      </w:r>
      <w:r>
        <w:tab/>
        <w:t>If the Police Commissioner’s decision is revoked under subsection (3), the member is not entitled to be paid the member’s salary for any period for which the member received a maintenance payment under section 33ZF.</w:t>
      </w:r>
    </w:p>
    <w:p>
      <w:pPr>
        <w:pStyle w:val="Footnotesection"/>
      </w:pPr>
      <w:r>
        <w:tab/>
        <w:t>[Section 33ZG inserted: No. 19 of 2019 s. 6.]</w:t>
      </w:r>
    </w:p>
    <w:p>
      <w:pPr>
        <w:pStyle w:val="Heading5"/>
      </w:pPr>
      <w:bookmarkStart w:id="94" w:name="_Toc91142149"/>
      <w:r>
        <w:rPr>
          <w:rStyle w:val="CharSectno"/>
        </w:rPr>
        <w:t>33ZH</w:t>
      </w:r>
      <w:r>
        <w:t>.</w:t>
      </w:r>
      <w:r>
        <w:tab/>
        <w:t>Resignation of member who has been retired on medical grounds</w:t>
      </w:r>
      <w:bookmarkEnd w:id="94"/>
    </w:p>
    <w:p>
      <w:pPr>
        <w:pStyle w:val="Subsection"/>
      </w:pPr>
      <w:r>
        <w:tab/>
        <w:t>(1)</w:t>
      </w:r>
      <w:r>
        <w:tab/>
        <w:t>A member may resign at any time during the period of 28 days after the retirement day, despite the member’s retirement on medical grounds having taken effect.</w:t>
      </w:r>
    </w:p>
    <w:p>
      <w:pPr>
        <w:pStyle w:val="Subsection"/>
      </w:pPr>
      <w:r>
        <w:tab/>
        <w:t>(2)</w:t>
      </w:r>
      <w:r>
        <w:tab/>
        <w:t>The resignation takes effect at the end of that period of 28 days.</w:t>
      </w:r>
    </w:p>
    <w:p>
      <w:pPr>
        <w:pStyle w:val="Subsection"/>
      </w:pPr>
      <w:r>
        <w:tab/>
        <w:t>(3)</w:t>
      </w:r>
      <w:r>
        <w:tab/>
        <w:t>However, the member cannot resign if an appeal has been instituted under section 33ZI.</w:t>
      </w:r>
    </w:p>
    <w:p>
      <w:pPr>
        <w:pStyle w:val="Subsection"/>
      </w:pPr>
      <w:r>
        <w:tab/>
        <w:t>(4)</w:t>
      </w:r>
      <w:r>
        <w:tab/>
        <w:t>Despite any other enactment, if the member resigns, the member’s retirement is taken to be of no effect and to have never had any effect.</w:t>
      </w:r>
    </w:p>
    <w:p>
      <w:pPr>
        <w:pStyle w:val="Footnotesection"/>
      </w:pPr>
      <w:r>
        <w:tab/>
        <w:t>[Section 33ZH inserted: No. 19 of 2019 s. 6.]</w:t>
      </w:r>
    </w:p>
    <w:p>
      <w:pPr>
        <w:pStyle w:val="Heading3"/>
      </w:pPr>
      <w:bookmarkStart w:id="95" w:name="_Toc90989560"/>
      <w:bookmarkStart w:id="96" w:name="_Toc90990581"/>
      <w:bookmarkStart w:id="97" w:name="_Toc91142150"/>
      <w:r>
        <w:rPr>
          <w:rStyle w:val="CharDivNo"/>
        </w:rPr>
        <w:lastRenderedPageBreak/>
        <w:t>Division 3</w:t>
      </w:r>
      <w:r>
        <w:t> — </w:t>
      </w:r>
      <w:r>
        <w:rPr>
          <w:rStyle w:val="CharDivText"/>
        </w:rPr>
        <w:t>Appeal against decision that member should be retired on medical grounds</w:t>
      </w:r>
      <w:bookmarkEnd w:id="95"/>
      <w:bookmarkEnd w:id="96"/>
      <w:bookmarkEnd w:id="97"/>
    </w:p>
    <w:p>
      <w:pPr>
        <w:pStyle w:val="Footnoteheading"/>
        <w:keepNext/>
      </w:pPr>
      <w:r>
        <w:tab/>
        <w:t>[Heading inserted: No. 19 of 2019 s. 6.]</w:t>
      </w:r>
    </w:p>
    <w:p>
      <w:pPr>
        <w:pStyle w:val="Heading5"/>
      </w:pPr>
      <w:bookmarkStart w:id="98" w:name="_Toc91142151"/>
      <w:r>
        <w:rPr>
          <w:rStyle w:val="CharSectno"/>
        </w:rPr>
        <w:t>33ZI</w:t>
      </w:r>
      <w:r>
        <w:t>.</w:t>
      </w:r>
      <w:r>
        <w:tab/>
        <w:t>Appeal right</w:t>
      </w:r>
      <w:bookmarkEnd w:id="98"/>
    </w:p>
    <w:p>
      <w:pPr>
        <w:pStyle w:val="Subsection"/>
      </w:pPr>
      <w:r>
        <w:tab/>
        <w:t>(1)</w:t>
      </w:r>
      <w:r>
        <w:tab/>
        <w:t>This section applies if a member’s retirement on medical grounds has taken effect.</w:t>
      </w:r>
    </w:p>
    <w:p>
      <w:pPr>
        <w:pStyle w:val="Subsection"/>
      </w:pPr>
      <w:r>
        <w:tab/>
        <w:t>(2)</w:t>
      </w:r>
      <w:r>
        <w:tab/>
        <w:t xml:space="preserve">The member may appeal to the WAIRC on the ground that the Police Commissioner’s decision under section 33ZE(1)(a) that the member should be retired on medical grounds (the </w:t>
      </w:r>
      <w:r>
        <w:rPr>
          <w:rStyle w:val="CharDefText"/>
        </w:rPr>
        <w:t>disputed decision</w:t>
      </w:r>
      <w:r>
        <w:t>) was harsh, oppressive or unfair.</w:t>
      </w:r>
    </w:p>
    <w:p>
      <w:pPr>
        <w:pStyle w:val="Subsection"/>
      </w:pPr>
      <w:r>
        <w:tab/>
        <w:t>(3)</w:t>
      </w:r>
      <w:r>
        <w:tab/>
        <w:t xml:space="preserve">The member must institute the appeal by a notice to the Police Commissioner stating — </w:t>
      </w:r>
    </w:p>
    <w:p>
      <w:pPr>
        <w:pStyle w:val="Indenta"/>
      </w:pPr>
      <w:r>
        <w:tab/>
        <w:t>(a)</w:t>
      </w:r>
      <w:r>
        <w:tab/>
        <w:t>why the disputed decision was harsh, oppressive or unfair; and</w:t>
      </w:r>
    </w:p>
    <w:p>
      <w:pPr>
        <w:pStyle w:val="Indenta"/>
      </w:pPr>
      <w:r>
        <w:tab/>
        <w:t>(b)</w:t>
      </w:r>
      <w:r>
        <w:tab/>
        <w:t>the nature of the relief sought.</w:t>
      </w:r>
    </w:p>
    <w:p>
      <w:pPr>
        <w:pStyle w:val="Subsection"/>
      </w:pPr>
      <w:r>
        <w:tab/>
        <w:t>(4)</w:t>
      </w:r>
      <w:r>
        <w:tab/>
        <w:t xml:space="preserve">The appeal cannot be instituted — </w:t>
      </w:r>
    </w:p>
    <w:p>
      <w:pPr>
        <w:pStyle w:val="Indenta"/>
      </w:pPr>
      <w:r>
        <w:tab/>
        <w:t>(a)</w:t>
      </w:r>
      <w:r>
        <w:tab/>
        <w:t>later than 28 days after the retirement day; or</w:t>
      </w:r>
    </w:p>
    <w:p>
      <w:pPr>
        <w:pStyle w:val="Indenta"/>
      </w:pPr>
      <w:r>
        <w:tab/>
        <w:t>(b)</w:t>
      </w:r>
      <w:r>
        <w:tab/>
        <w:t>if the member has resigned under section 33ZH.</w:t>
      </w:r>
    </w:p>
    <w:p>
      <w:pPr>
        <w:pStyle w:val="Subsection"/>
      </w:pPr>
      <w:r>
        <w:tab/>
        <w:t>(5)</w:t>
      </w:r>
      <w:r>
        <w:tab/>
        <w:t>For the purposes of proceedings relating to the appeal, the WAIRC is to be constituted by not less than 3 industrial Commissioners, at least 1 of whom is the Chief Commissioner or the Senior Commissioner.</w:t>
      </w:r>
    </w:p>
    <w:p>
      <w:pPr>
        <w:pStyle w:val="Subsection"/>
      </w:pPr>
      <w:r>
        <w:tab/>
        <w:t>(6)</w:t>
      </w:r>
      <w:r>
        <w:tab/>
        <w:t>The parties to the appeal are the appellant and the Police Commissioner.</w:t>
      </w:r>
    </w:p>
    <w:p>
      <w:pPr>
        <w:pStyle w:val="Subsection"/>
      </w:pPr>
      <w:r>
        <w:tab/>
        <w:t>(7)</w:t>
      </w:r>
      <w:r>
        <w:tab/>
        <w:t>No other person may be a party to the appeal.</w:t>
      </w:r>
    </w:p>
    <w:p>
      <w:pPr>
        <w:pStyle w:val="Footnotesection"/>
      </w:pPr>
      <w:r>
        <w:tab/>
        <w:t>[Section 33ZI inserted: No. 19 of 2019 s. 6.]</w:t>
      </w:r>
    </w:p>
    <w:p>
      <w:pPr>
        <w:pStyle w:val="Heading5"/>
      </w:pPr>
      <w:bookmarkStart w:id="99" w:name="_Toc91142152"/>
      <w:r>
        <w:rPr>
          <w:rStyle w:val="CharSectno"/>
        </w:rPr>
        <w:lastRenderedPageBreak/>
        <w:t>33ZJ</w:t>
      </w:r>
      <w:r>
        <w:t>.</w:t>
      </w:r>
      <w:r>
        <w:tab/>
        <w:t>Proceedings on appeal</w:t>
      </w:r>
      <w:bookmarkEnd w:id="99"/>
    </w:p>
    <w:p>
      <w:pPr>
        <w:pStyle w:val="Subsection"/>
        <w:keepNext/>
      </w:pPr>
      <w:r>
        <w:tab/>
        <w:t>(1)</w:t>
      </w:r>
      <w:r>
        <w:tab/>
        <w:t>On the hearing of the appeal, the WAIRC must proceed as follows —</w:t>
      </w:r>
    </w:p>
    <w:p>
      <w:pPr>
        <w:pStyle w:val="Indenta"/>
      </w:pPr>
      <w:r>
        <w:tab/>
        <w:t>(a)</w:t>
      </w:r>
      <w:r>
        <w:tab/>
        <w:t>first, it must consider the Police Commissioner’s reasons for making the disputed decision;</w:t>
      </w:r>
    </w:p>
    <w:p>
      <w:pPr>
        <w:pStyle w:val="Indenta"/>
      </w:pPr>
      <w:r>
        <w:tab/>
        <w:t>(b)</w:t>
      </w:r>
      <w:r>
        <w:tab/>
        <w:t>secondly, it must consider the case presented by the appellant as to why the disputed decision was harsh, oppressive or unfair;</w:t>
      </w:r>
    </w:p>
    <w:p>
      <w:pPr>
        <w:pStyle w:val="Indenta"/>
      </w:pPr>
      <w:r>
        <w:tab/>
        <w:t>(c)</w:t>
      </w:r>
      <w:r>
        <w:tab/>
        <w:t>thirdly, it must consider the case presented by the Police Commissioner in answer to the appellant’s case.</w:t>
      </w:r>
    </w:p>
    <w:p>
      <w:pPr>
        <w:pStyle w:val="Subsection"/>
      </w:pPr>
      <w:r>
        <w:tab/>
        <w:t>(2)</w:t>
      </w:r>
      <w:r>
        <w:tab/>
        <w:t>The appellant has at all times the burden of establishing that the disputed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members of the Police Force; and</w:t>
      </w:r>
    </w:p>
    <w:p>
      <w:pPr>
        <w:pStyle w:val="Indenti"/>
      </w:pPr>
      <w:r>
        <w:tab/>
        <w:t>(ii)</w:t>
      </w:r>
      <w:r>
        <w:tab/>
        <w:t>the special nature of the relationship between the Police Commissioner and members of the Police Force.</w:t>
      </w:r>
    </w:p>
    <w:p>
      <w:pPr>
        <w:pStyle w:val="Footnotesection"/>
      </w:pPr>
      <w:r>
        <w:tab/>
        <w:t>[Section 33ZJ inserted: No. 19 of 2019 s. 6.]</w:t>
      </w:r>
    </w:p>
    <w:p>
      <w:pPr>
        <w:pStyle w:val="Heading5"/>
      </w:pPr>
      <w:bookmarkStart w:id="100" w:name="_Toc91142153"/>
      <w:r>
        <w:rPr>
          <w:rStyle w:val="CharSectno"/>
        </w:rPr>
        <w:lastRenderedPageBreak/>
        <w:t>33ZK</w:t>
      </w:r>
      <w:r>
        <w:t>.</w:t>
      </w:r>
      <w:r>
        <w:tab/>
        <w:t>New evidence on appeal</w:t>
      </w:r>
      <w:bookmarkEnd w:id="100"/>
    </w:p>
    <w:p>
      <w:pPr>
        <w:pStyle w:val="Subsection"/>
        <w:keepNext/>
      </w:pPr>
      <w:r>
        <w:tab/>
        <w:t>(1)</w:t>
      </w:r>
      <w:r>
        <w:tab/>
        <w:t>In this section —</w:t>
      </w:r>
    </w:p>
    <w:p>
      <w:pPr>
        <w:pStyle w:val="Defstart"/>
        <w:keepNext/>
      </w:pPr>
      <w:r>
        <w:rPr>
          <w:b/>
        </w:rPr>
        <w:tab/>
      </w:r>
      <w:r>
        <w:rPr>
          <w:rStyle w:val="CharDefText"/>
        </w:rPr>
        <w:t>new evidence</w:t>
      </w:r>
      <w:r>
        <w:rPr>
          <w:b/>
        </w:rPr>
        <w:t xml:space="preserve"> </w:t>
      </w:r>
      <w:r>
        <w:t xml:space="preserve">means evidence other than evidence of — </w:t>
      </w:r>
    </w:p>
    <w:p>
      <w:pPr>
        <w:pStyle w:val="Defpara"/>
      </w:pPr>
      <w:r>
        <w:tab/>
        <w:t>(a)</w:t>
      </w:r>
      <w:r>
        <w:tab/>
        <w:t>any document or other material that was examined and taken into account by the Police Commissioner in making the disputed decision; or</w:t>
      </w:r>
    </w:p>
    <w:p>
      <w:pPr>
        <w:pStyle w:val="Defpara"/>
      </w:pPr>
      <w:r>
        <w:tab/>
        <w:t>(b)</w:t>
      </w:r>
      <w:r>
        <w:tab/>
        <w:t>the notice given under section 33ZD(2); or</w:t>
      </w:r>
    </w:p>
    <w:p>
      <w:pPr>
        <w:pStyle w:val="Defpara"/>
      </w:pPr>
      <w:r>
        <w:tab/>
        <w:t>(c)</w:t>
      </w:r>
      <w:r>
        <w:tab/>
        <w:t>a written submission, report or other document given to the Police Commissioner by the appellant under section 33ZD(3); or</w:t>
      </w:r>
    </w:p>
    <w:p>
      <w:pPr>
        <w:pStyle w:val="Defpara"/>
      </w:pPr>
      <w:r>
        <w:tab/>
        <w:t>(d)</w:t>
      </w:r>
      <w:r>
        <w:tab/>
        <w:t>the notice given under section 33ZE(1)(b) or (10)(a).</w:t>
      </w:r>
    </w:p>
    <w:p>
      <w:pPr>
        <w:pStyle w:val="Subsection"/>
      </w:pPr>
      <w:r>
        <w:tab/>
        <w:t>(2)</w:t>
      </w:r>
      <w:r>
        <w:tab/>
        <w:t>New evidence must not be tendered to the WAIRC during the hearing of the appeal unless the WAIRC grants leave under subsection (3) or (4).</w:t>
      </w:r>
    </w:p>
    <w:p>
      <w:pPr>
        <w:pStyle w:val="Subsection"/>
      </w:pPr>
      <w:r>
        <w:tab/>
        <w:t>(3)</w:t>
      </w:r>
      <w:r>
        <w:tab/>
        <w:t>The WAIRC may grant the Police Commissioner leave to tender new evidence if —</w:t>
      </w:r>
    </w:p>
    <w:p>
      <w:pPr>
        <w:pStyle w:val="Indenta"/>
      </w:pPr>
      <w:r>
        <w:tab/>
        <w:t>(a)</w:t>
      </w:r>
      <w:r>
        <w:tab/>
        <w:t>the appellant consents; or</w:t>
      </w:r>
    </w:p>
    <w:p>
      <w:pPr>
        <w:pStyle w:val="Indenta"/>
      </w:pPr>
      <w:r>
        <w:tab/>
        <w:t>(b)</w:t>
      </w:r>
      <w:r>
        <w:tab/>
        <w:t>the WAIRC is satisfied that it is in the interests of justice to grant leave.</w:t>
      </w:r>
    </w:p>
    <w:p>
      <w:pPr>
        <w:pStyle w:val="Subsection"/>
      </w:pPr>
      <w:r>
        <w:tab/>
        <w:t>(4)</w:t>
      </w:r>
      <w:r>
        <w:tab/>
        <w:t>The WAIRC may grant the appellant leave to tender new evidence if —</w:t>
      </w:r>
    </w:p>
    <w:p>
      <w:pPr>
        <w:pStyle w:val="Indenta"/>
      </w:pPr>
      <w:r>
        <w:tab/>
        <w:t>(a)</w:t>
      </w:r>
      <w:r>
        <w:tab/>
        <w:t>the Police Commissioner consents; or</w:t>
      </w:r>
    </w:p>
    <w:p>
      <w:pPr>
        <w:pStyle w:val="Indenta"/>
      </w:pPr>
      <w:r>
        <w:tab/>
        <w:t>(b)</w:t>
      </w:r>
      <w:r>
        <w:tab/>
        <w:t>the WAIRC is satisfied that —</w:t>
      </w:r>
    </w:p>
    <w:p>
      <w:pPr>
        <w:pStyle w:val="Indenti"/>
      </w:pPr>
      <w:r>
        <w:tab/>
        <w:t>(i)</w:t>
      </w:r>
      <w:r>
        <w:tab/>
        <w:t>the appellant is likely to be able to show that the Police Commissioner has acted upon wrong or mistaken information; or</w:t>
      </w:r>
    </w:p>
    <w:p>
      <w:pPr>
        <w:pStyle w:val="Indenti"/>
      </w:pPr>
      <w:r>
        <w:tab/>
        <w:t>(ii)</w:t>
      </w:r>
      <w:r>
        <w:tab/>
        <w:t>the new evidence might materially have affected the Police Commissioner’s decision that the member should be retired on medical grounds; or</w:t>
      </w:r>
    </w:p>
    <w:p>
      <w:pPr>
        <w:pStyle w:val="Indenti"/>
      </w:pPr>
      <w:r>
        <w:tab/>
        <w:t>(iii)</w:t>
      </w:r>
      <w:r>
        <w:tab/>
        <w:t>it is in the interests of justice to grant leave.</w:t>
      </w:r>
    </w:p>
    <w:p>
      <w:pPr>
        <w:pStyle w:val="Subsection"/>
      </w:pPr>
      <w:r>
        <w:lastRenderedPageBreak/>
        <w:tab/>
        <w:t>(5)</w:t>
      </w:r>
      <w:r>
        <w:tab/>
        <w:t xml:space="preserve">In the exercise of its discretion under subsection (4), the WAIRC must have regard to the following — </w:t>
      </w:r>
    </w:p>
    <w:p>
      <w:pPr>
        <w:pStyle w:val="Indenta"/>
      </w:pPr>
      <w:r>
        <w:tab/>
        <w:t>(a)</w:t>
      </w:r>
      <w:r>
        <w:tab/>
        <w:t>whether the appellant was aware of the substance of the new evidence before the end of the retirement day;</w:t>
      </w:r>
    </w:p>
    <w:p>
      <w:pPr>
        <w:pStyle w:val="Indenta"/>
      </w:pPr>
      <w:r>
        <w:tab/>
        <w:t>(b)</w:t>
      </w:r>
      <w:r>
        <w:tab/>
        <w:t>whether the new evidence was contained in a document to which the appellant had reasonable access before the end of the retirement day.</w:t>
      </w:r>
    </w:p>
    <w:p>
      <w:pPr>
        <w:pStyle w:val="Subsection"/>
      </w:pPr>
      <w:r>
        <w:tab/>
        <w:t>(6)</w:t>
      </w:r>
      <w:r>
        <w:tab/>
        <w:t>If the Police Commissioner is given leave to tender new evidence —</w:t>
      </w:r>
    </w:p>
    <w:p>
      <w:pPr>
        <w:pStyle w:val="Indenta"/>
      </w:pPr>
      <w:r>
        <w:tab/>
        <w:t>(a)</w:t>
      </w:r>
      <w:r>
        <w:tab/>
        <w:t>the WAIRC must give the appellant a reasonable opportunity to consider the new evidence; and</w:t>
      </w:r>
    </w:p>
    <w:p>
      <w:pPr>
        <w:pStyle w:val="Indenta"/>
      </w:pPr>
      <w:r>
        <w:tab/>
        <w:t>(b)</w:t>
      </w:r>
      <w:r>
        <w:tab/>
        <w:t>the appellant may tender new evidence without the leave of the WAIRC in response to the new evidence tendered by the Police Commissioner.</w:t>
      </w:r>
    </w:p>
    <w:p>
      <w:pPr>
        <w:pStyle w:val="Subsection"/>
      </w:pPr>
      <w:r>
        <w:tab/>
        <w:t>(7)</w:t>
      </w:r>
      <w:r>
        <w:tab/>
        <w:t>If the appellant is given leave to tender new evidence, the WAIRC must give the Police Commissioner a reasonable opportunity to consider the new evidence.</w:t>
      </w:r>
    </w:p>
    <w:p>
      <w:pPr>
        <w:pStyle w:val="Subsection"/>
      </w:pPr>
      <w:r>
        <w:tab/>
        <w:t>(8)</w:t>
      </w:r>
      <w:r>
        <w:tab/>
        <w:t>If, having considered any new evidence, the Police Commissioner revokes the disputed decision under section 33ZG(3) —</w:t>
      </w:r>
    </w:p>
    <w:p>
      <w:pPr>
        <w:pStyle w:val="Indenta"/>
      </w:pPr>
      <w:r>
        <w:tab/>
        <w:t>(a)</w:t>
      </w:r>
      <w:r>
        <w:tab/>
        <w:t>the Police Commissioner must give the WAIRC notice of the revocation; and</w:t>
      </w:r>
    </w:p>
    <w:p>
      <w:pPr>
        <w:pStyle w:val="Indenta"/>
      </w:pPr>
      <w:r>
        <w:tab/>
        <w:t>(b)</w:t>
      </w:r>
      <w:r>
        <w:tab/>
        <w:t>the hearing of the appeal is discontinued when the WAIRC receives the notice.</w:t>
      </w:r>
    </w:p>
    <w:p>
      <w:pPr>
        <w:pStyle w:val="Subsection"/>
      </w:pPr>
      <w:r>
        <w:tab/>
        <w:t>(9)</w:t>
      </w:r>
      <w:r>
        <w:tab/>
        <w:t>If the Police Commissioner does not give notice under subsection (8), the hearing of the appeal must continue but the Police Commissioner may —</w:t>
      </w:r>
    </w:p>
    <w:p>
      <w:pPr>
        <w:pStyle w:val="Indenta"/>
      </w:pPr>
      <w:r>
        <w:tab/>
        <w:t>(a)</w:t>
      </w:r>
      <w:r>
        <w:tab/>
        <w:t>reformulate the Police Commissioner’s reasons for making the disputed decision; and</w:t>
      </w:r>
    </w:p>
    <w:p>
      <w:pPr>
        <w:pStyle w:val="Indenta"/>
      </w:pPr>
      <w:r>
        <w:tab/>
        <w:t>(b)</w:t>
      </w:r>
      <w:r>
        <w:tab/>
        <w:t>tender new evidence without the leave of the WAIRC in response to the new evidence tendered by the appellant.</w:t>
      </w:r>
    </w:p>
    <w:p>
      <w:pPr>
        <w:pStyle w:val="Subsection"/>
      </w:pPr>
      <w:r>
        <w:lastRenderedPageBreak/>
        <w:tab/>
        <w:t>(10)</w:t>
      </w:r>
      <w:r>
        <w:tab/>
        <w:t>Reasons reformulated under subsection (9)(a) may differ from, or be additional to, the reasons given to the appellant under section 33ZE(4).</w:t>
      </w:r>
    </w:p>
    <w:p>
      <w:pPr>
        <w:pStyle w:val="Subsection"/>
      </w:pPr>
      <w:r>
        <w:tab/>
        <w:t>(11)</w:t>
      </w:r>
      <w:r>
        <w:tab/>
        <w:t>If the Police Commissioner reformulates reasons under subsection (9)(a) —</w:t>
      </w:r>
    </w:p>
    <w:p>
      <w:pPr>
        <w:pStyle w:val="Indenta"/>
      </w:pPr>
      <w:r>
        <w:tab/>
        <w:t>(a)</w:t>
      </w:r>
      <w:r>
        <w:tab/>
        <w:t>the Police Commissioner must give the WAIRC and the appellant written notice of the reasons before the resumption of the hearing of the appeal; and</w:t>
      </w:r>
    </w:p>
    <w:p>
      <w:pPr>
        <w:pStyle w:val="Indenta"/>
      </w:pPr>
      <w:r>
        <w:tab/>
        <w:t>(b)</w:t>
      </w:r>
      <w:r>
        <w:tab/>
        <w:t>the WAIRC must consider the reasons as if they had been reasons given to the appellant under section 33ZE(4).</w:t>
      </w:r>
    </w:p>
    <w:p>
      <w:pPr>
        <w:pStyle w:val="Footnotesection"/>
      </w:pPr>
      <w:r>
        <w:tab/>
        <w:t>[Section 33ZK inserted: No. 19 of 2019 s. 6.]</w:t>
      </w:r>
    </w:p>
    <w:p>
      <w:pPr>
        <w:pStyle w:val="Heading5"/>
      </w:pPr>
      <w:bookmarkStart w:id="101" w:name="_Toc91142154"/>
      <w:r>
        <w:rPr>
          <w:rStyle w:val="CharSectno"/>
        </w:rPr>
        <w:t>33ZL</w:t>
      </w:r>
      <w:r>
        <w:t>.</w:t>
      </w:r>
      <w:r>
        <w:tab/>
        <w:t xml:space="preserve">Application of </w:t>
      </w:r>
      <w:r>
        <w:rPr>
          <w:i/>
        </w:rPr>
        <w:t>Industrial Relations Act 1979</w:t>
      </w:r>
      <w:r>
        <w:t xml:space="preserve"> to the appeal</w:t>
      </w:r>
      <w:bookmarkEnd w:id="101"/>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the appeal and the determination of the appeal.</w:t>
      </w:r>
    </w:p>
    <w:p>
      <w:pPr>
        <w:pStyle w:val="THeadingNAm"/>
      </w:pPr>
      <w:r>
        <w:t>Table</w:t>
      </w:r>
    </w:p>
    <w:tbl>
      <w:tblPr>
        <w:tblW w:w="0" w:type="auto"/>
        <w:tblInd w:w="1526" w:type="dxa"/>
        <w:tblLayout w:type="fixed"/>
        <w:tblLook w:val="0000" w:firstRow="0" w:lastRow="0" w:firstColumn="0" w:lastColumn="0" w:noHBand="0" w:noVBand="0"/>
      </w:tblPr>
      <w:tblGrid>
        <w:gridCol w:w="1701"/>
        <w:gridCol w:w="3827"/>
      </w:tblGrid>
      <w:tr>
        <w:trPr>
          <w:cantSplit/>
        </w:trPr>
        <w:tc>
          <w:tcPr>
            <w:tcW w:w="1701" w:type="dxa"/>
          </w:tcPr>
          <w:p>
            <w:pPr>
              <w:pStyle w:val="TableNAm"/>
            </w:pPr>
            <w:r>
              <w:t>s. 26(1)(a) and (b)</w:t>
            </w:r>
          </w:p>
        </w:tc>
        <w:tc>
          <w:tcPr>
            <w:tcW w:w="3827" w:type="dxa"/>
          </w:tcPr>
          <w:p>
            <w:pPr>
              <w:pStyle w:val="TableNAm"/>
            </w:pPr>
          </w:p>
        </w:tc>
      </w:tr>
      <w:tr>
        <w:trPr>
          <w:cantSplit/>
        </w:trPr>
        <w:tc>
          <w:tcPr>
            <w:tcW w:w="1701" w:type="dxa"/>
          </w:tcPr>
          <w:p>
            <w:pPr>
              <w:pStyle w:val="TableNAm"/>
            </w:pPr>
            <w:r>
              <w:t>s. 26(3)</w:t>
            </w:r>
          </w:p>
        </w:tc>
        <w:tc>
          <w:tcPr>
            <w:tcW w:w="3827" w:type="dxa"/>
          </w:tcPr>
          <w:p>
            <w:pPr>
              <w:pStyle w:val="TableNAm"/>
            </w:pPr>
          </w:p>
        </w:tc>
      </w:tr>
      <w:tr>
        <w:trPr>
          <w:cantSplit/>
        </w:trPr>
        <w:tc>
          <w:tcPr>
            <w:tcW w:w="1701" w:type="dxa"/>
          </w:tcPr>
          <w:p>
            <w:pPr>
              <w:pStyle w:val="TableNAm"/>
            </w:pPr>
            <w:r>
              <w:t>s. 27(1)(b), (c), (d), (e), (f), (h), (ha), (hb), (l), (m), (n), (o) and (v)</w:t>
            </w:r>
          </w:p>
        </w:tc>
        <w:tc>
          <w:tcPr>
            <w:tcW w:w="3827" w:type="dxa"/>
          </w:tcPr>
          <w:p>
            <w:pPr>
              <w:pStyle w:val="TableNAm"/>
            </w:pPr>
            <w:r>
              <w:t>An order under section 27(1)(o) may be made by any one of the industrial Commissioners constituting the WAIRC to hear the appeal.</w:t>
            </w:r>
          </w:p>
        </w:tc>
      </w:tr>
      <w:tr>
        <w:trPr>
          <w:cantSplit/>
        </w:trPr>
        <w:tc>
          <w:tcPr>
            <w:tcW w:w="1701" w:type="dxa"/>
          </w:tcPr>
          <w:p>
            <w:pPr>
              <w:pStyle w:val="TableNAm"/>
            </w:pPr>
            <w:r>
              <w:t>s. 27(1a)</w:t>
            </w:r>
          </w:p>
        </w:tc>
        <w:tc>
          <w:tcPr>
            <w:tcW w:w="3827" w:type="dxa"/>
          </w:tcPr>
          <w:p>
            <w:pPr>
              <w:pStyle w:val="TableNAm"/>
            </w:pPr>
          </w:p>
        </w:tc>
      </w:tr>
      <w:tr>
        <w:trPr>
          <w:cantSplit/>
        </w:trPr>
        <w:tc>
          <w:tcPr>
            <w:tcW w:w="1701" w:type="dxa"/>
          </w:tcPr>
          <w:p>
            <w:pPr>
              <w:pStyle w:val="TableNAm"/>
            </w:pPr>
            <w:r>
              <w:t>s. 28</w:t>
            </w:r>
          </w:p>
        </w:tc>
        <w:tc>
          <w:tcPr>
            <w:tcW w:w="3827" w:type="dxa"/>
          </w:tcPr>
          <w:p>
            <w:pPr>
              <w:pStyle w:val="TableNAm"/>
            </w:pPr>
            <w:r>
              <w:t>But only in relation to powers conferred by section 27 listed in this Table.</w:t>
            </w:r>
          </w:p>
        </w:tc>
      </w:tr>
      <w:tr>
        <w:trPr>
          <w:cantSplit/>
        </w:trPr>
        <w:tc>
          <w:tcPr>
            <w:tcW w:w="1701" w:type="dxa"/>
          </w:tcPr>
          <w:p>
            <w:pPr>
              <w:pStyle w:val="TableNAm"/>
            </w:pPr>
            <w:r>
              <w:lastRenderedPageBreak/>
              <w:t>s. 31(1)</w:t>
            </w:r>
          </w:p>
        </w:tc>
        <w:tc>
          <w:tcPr>
            <w:tcW w:w="3827" w:type="dxa"/>
          </w:tcPr>
          <w:p>
            <w:pPr>
              <w:pStyle w:val="TableNAm"/>
            </w:pPr>
            <w:r>
              <w:t xml:space="preserve">Paragraphs (b) and (c) do not apply but the subsection is to be read as if it contained the following paragraphs — </w:t>
            </w:r>
          </w:p>
          <w:p>
            <w:pPr>
              <w:pStyle w:val="TableNAm"/>
              <w:tabs>
                <w:tab w:val="clear" w:pos="567"/>
                <w:tab w:val="left" w:pos="317"/>
                <w:tab w:val="left" w:pos="742"/>
              </w:tabs>
              <w:ind w:left="742" w:hanging="742"/>
            </w:pPr>
            <w:r>
              <w:t>“</w:t>
            </w:r>
            <w:r>
              <w:tab/>
              <w:t>(b)</w:t>
            </w:r>
            <w:r>
              <w:tab/>
              <w:t>with the leave of the Commission, by an agent; or</w:t>
            </w:r>
          </w:p>
          <w:p>
            <w:pPr>
              <w:pStyle w:val="TableNAm"/>
              <w:tabs>
                <w:tab w:val="clear" w:pos="567"/>
                <w:tab w:val="left" w:pos="317"/>
                <w:tab w:val="left" w:pos="742"/>
              </w:tabs>
              <w:rPr>
                <w:rStyle w:val="DraftersNotes"/>
                <w:b w:val="0"/>
                <w:i w:val="0"/>
              </w:rPr>
            </w:pPr>
            <w:r>
              <w:tab/>
              <w:t>(c)</w:t>
            </w:r>
            <w:r>
              <w:tab/>
              <w:t>by a legal practitioner.  ”.</w:t>
            </w:r>
          </w:p>
        </w:tc>
      </w:tr>
      <w:tr>
        <w:trPr>
          <w:cantSplit/>
        </w:trPr>
        <w:tc>
          <w:tcPr>
            <w:tcW w:w="1701" w:type="dxa"/>
          </w:tcPr>
          <w:p>
            <w:pPr>
              <w:pStyle w:val="TableNAm"/>
            </w:pPr>
            <w:r>
              <w:t>s. 31(3)</w:t>
            </w:r>
          </w:p>
        </w:tc>
        <w:tc>
          <w:tcPr>
            <w:tcW w:w="3827" w:type="dxa"/>
          </w:tcPr>
          <w:p>
            <w:pPr>
              <w:pStyle w:val="TableNAm"/>
            </w:pPr>
          </w:p>
        </w:tc>
      </w:tr>
      <w:tr>
        <w:trPr>
          <w:cantSplit/>
        </w:trPr>
        <w:tc>
          <w:tcPr>
            <w:tcW w:w="1701" w:type="dxa"/>
          </w:tcPr>
          <w:p>
            <w:pPr>
              <w:pStyle w:val="TableNAm"/>
            </w:pPr>
            <w:r>
              <w:t>s. 31(5)</w:t>
            </w:r>
          </w:p>
        </w:tc>
        <w:tc>
          <w:tcPr>
            <w:tcW w:w="3827" w:type="dxa"/>
          </w:tcPr>
          <w:p>
            <w:pPr>
              <w:pStyle w:val="TableNAm"/>
            </w:pPr>
          </w:p>
        </w:tc>
      </w:tr>
      <w:tr>
        <w:trPr>
          <w:cantSplit/>
        </w:trPr>
        <w:tc>
          <w:tcPr>
            <w:tcW w:w="1701" w:type="dxa"/>
          </w:tcPr>
          <w:p>
            <w:pPr>
              <w:pStyle w:val="TableNAm"/>
            </w:pPr>
            <w:r>
              <w:t>s. 32</w:t>
            </w:r>
          </w:p>
        </w:tc>
        <w:tc>
          <w:tcPr>
            <w:tcW w:w="3827" w:type="dxa"/>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Police Act 1892</w:t>
            </w:r>
            <w:r>
              <w:t xml:space="preserve"> section 33ZI, the Commission may recommend that the parties to the appeal”.</w:t>
            </w:r>
          </w:p>
        </w:tc>
      </w:tr>
      <w:tr>
        <w:trPr>
          <w:cantSplit/>
        </w:trPr>
        <w:tc>
          <w:tcPr>
            <w:tcW w:w="1701" w:type="dxa"/>
          </w:tcPr>
          <w:p>
            <w:pPr>
              <w:pStyle w:val="TableNAm"/>
            </w:pPr>
          </w:p>
        </w:tc>
        <w:tc>
          <w:tcPr>
            <w:tcW w:w="3827" w:type="dxa"/>
          </w:tcPr>
          <w:p>
            <w:pPr>
              <w:pStyle w:val="TableNAm"/>
            </w:pPr>
            <w:r>
              <w:t>References to “the matter” and “an industrial matter” are to be read as if they were references to “the appeal”.</w:t>
            </w:r>
          </w:p>
          <w:p>
            <w:pPr>
              <w:pStyle w:val="TableNAm"/>
            </w:pPr>
            <w:r>
              <w:t xml:space="preserve">For the purposes of subsections (2) and (3), </w:t>
            </w:r>
            <w:r>
              <w:rPr>
                <w:rStyle w:val="CharDefText"/>
              </w:rPr>
              <w:t>Commission</w:t>
            </w:r>
            <w:r>
              <w:t xml:space="preserve"> does not include an industrial Commissioner constituting the WAIRC to hear the appeal.</w:t>
            </w:r>
          </w:p>
          <w:p>
            <w:pPr>
              <w:pStyle w:val="TableNAm"/>
            </w:pPr>
            <w:r>
              <w:t>Subsections (4), (6), (7) and (8) do not apply.</w:t>
            </w:r>
          </w:p>
        </w:tc>
      </w:tr>
      <w:tr>
        <w:trPr>
          <w:cantSplit/>
        </w:trPr>
        <w:tc>
          <w:tcPr>
            <w:tcW w:w="1701" w:type="dxa"/>
          </w:tcPr>
          <w:p>
            <w:pPr>
              <w:pStyle w:val="TableNAm"/>
            </w:pPr>
            <w:r>
              <w:lastRenderedPageBreak/>
              <w:t>s. 33</w:t>
            </w:r>
          </w:p>
        </w:tc>
        <w:tc>
          <w:tcPr>
            <w:tcW w:w="3827" w:type="dxa"/>
          </w:tcPr>
          <w:p>
            <w:pPr>
              <w:pStyle w:val="TableNAm"/>
            </w:pPr>
            <w:r>
              <w:t>A summons may not be issued under section 33(1)(a) to the Governor.</w:t>
            </w:r>
          </w:p>
          <w:p>
            <w:pPr>
              <w:pStyle w:val="TableNAm"/>
            </w:pPr>
            <w:r>
              <w:t>A summons may be issued to the Police Commissioner or the Minister but only at the direction of an industrial Commissioner if that industrial Commissioner is satisfied that there are extraordinary grounds for doing so.</w:t>
            </w:r>
          </w:p>
        </w:tc>
      </w:tr>
      <w:tr>
        <w:trPr>
          <w:cantSplit/>
        </w:trPr>
        <w:tc>
          <w:tcPr>
            <w:tcW w:w="1701" w:type="dxa"/>
          </w:tcPr>
          <w:p>
            <w:pPr>
              <w:pStyle w:val="TableNAm"/>
            </w:pPr>
          </w:p>
        </w:tc>
        <w:tc>
          <w:tcPr>
            <w:tcW w:w="3827" w:type="dxa"/>
          </w:tcPr>
          <w:p>
            <w:pPr>
              <w:pStyle w:val="TableNAm"/>
            </w:pPr>
            <w:r>
              <w:t>A summons may not be issued to any other person except at the direction of an industrial Commissioner.</w:t>
            </w:r>
          </w:p>
        </w:tc>
      </w:tr>
      <w:tr>
        <w:trPr>
          <w:cantSplit/>
        </w:trPr>
        <w:tc>
          <w:tcPr>
            <w:tcW w:w="1701" w:type="dxa"/>
          </w:tcPr>
          <w:p>
            <w:pPr>
              <w:pStyle w:val="TableNAm"/>
            </w:pPr>
            <w:r>
              <w:t>s. 34</w:t>
            </w:r>
          </w:p>
        </w:tc>
        <w:tc>
          <w:tcPr>
            <w:tcW w:w="3827" w:type="dxa"/>
          </w:tcPr>
          <w:p>
            <w:pPr>
              <w:pStyle w:val="TableNAm"/>
            </w:pPr>
            <w:r>
              <w:t>A reference in subsection (1) to “an award, order or declaration” is to be read as if it were a reference to “an order”.</w:t>
            </w:r>
          </w:p>
        </w:tc>
      </w:tr>
      <w:tr>
        <w:trPr>
          <w:cantSplit/>
        </w:trPr>
        <w:tc>
          <w:tcPr>
            <w:tcW w:w="1701" w:type="dxa"/>
          </w:tcPr>
          <w:p>
            <w:pPr>
              <w:pStyle w:val="TableNAm"/>
            </w:pPr>
          </w:p>
        </w:tc>
        <w:tc>
          <w:tcPr>
            <w:tcW w:w="3827" w:type="dxa"/>
          </w:tcPr>
          <w:p>
            <w:pPr>
              <w:pStyle w:val="TableNAm"/>
            </w:pPr>
            <w:r>
              <w:t>A reference in subsection (4) to “no award, order, declaration, finding, or proceeding” is to be read as if it were a reference to “no decision, order, finding or proceeding”.</w:t>
            </w:r>
          </w:p>
        </w:tc>
      </w:tr>
      <w:tr>
        <w:trPr>
          <w:cantSplit/>
        </w:trPr>
        <w:tc>
          <w:tcPr>
            <w:tcW w:w="1701" w:type="dxa"/>
          </w:tcPr>
          <w:p>
            <w:pPr>
              <w:pStyle w:val="TableNAm"/>
            </w:pPr>
            <w:r>
              <w:t>s. 35</w:t>
            </w:r>
          </w:p>
        </w:tc>
        <w:tc>
          <w:tcPr>
            <w:tcW w:w="3827" w:type="dxa"/>
          </w:tcPr>
          <w:p>
            <w:pPr>
              <w:pStyle w:val="TableNAm"/>
            </w:pPr>
          </w:p>
        </w:tc>
      </w:tr>
      <w:tr>
        <w:trPr>
          <w:cantSplit/>
        </w:trPr>
        <w:tc>
          <w:tcPr>
            <w:tcW w:w="1701" w:type="dxa"/>
          </w:tcPr>
          <w:p>
            <w:pPr>
              <w:pStyle w:val="TableNAm"/>
            </w:pPr>
            <w:r>
              <w:t>s. 36</w:t>
            </w:r>
          </w:p>
        </w:tc>
        <w:tc>
          <w:tcPr>
            <w:tcW w:w="3827" w:type="dxa"/>
          </w:tcPr>
          <w:p>
            <w:pPr>
              <w:pStyle w:val="TableNAm"/>
            </w:pPr>
          </w:p>
        </w:tc>
      </w:tr>
      <w:tr>
        <w:trPr>
          <w:cantSplit/>
        </w:trPr>
        <w:tc>
          <w:tcPr>
            <w:tcW w:w="1701" w:type="dxa"/>
          </w:tcPr>
          <w:p>
            <w:pPr>
              <w:pStyle w:val="TableNAm"/>
            </w:pPr>
            <w:r>
              <w:t>s. 86</w:t>
            </w:r>
          </w:p>
        </w:tc>
        <w:tc>
          <w:tcPr>
            <w:tcW w:w="3827" w:type="dxa"/>
          </w:tcPr>
          <w:p>
            <w:pPr>
              <w:pStyle w:val="TableNAm"/>
            </w:pPr>
            <w:r>
              <w:t>But not in relation to costs and expenses other than expenses of witnesses.</w:t>
            </w:r>
          </w:p>
        </w:tc>
      </w:tr>
      <w:tr>
        <w:trPr>
          <w:cantSplit/>
        </w:trPr>
        <w:tc>
          <w:tcPr>
            <w:tcW w:w="1701" w:type="dxa"/>
          </w:tcPr>
          <w:p>
            <w:pPr>
              <w:pStyle w:val="TableNAm"/>
            </w:pPr>
            <w:r>
              <w:lastRenderedPageBreak/>
              <w:t>s. 90</w:t>
            </w:r>
          </w:p>
        </w:tc>
        <w:tc>
          <w:tcPr>
            <w:tcW w:w="3827" w:type="dxa"/>
          </w:tcPr>
          <w:p>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Police Act 1892</w:t>
            </w:r>
            <w:r>
              <w:t xml:space="preserve"> section 33ZM”.</w:t>
            </w:r>
          </w:p>
        </w:tc>
      </w:tr>
    </w:tbl>
    <w:p>
      <w:pPr>
        <w:pStyle w:val="Footnotesection"/>
      </w:pPr>
      <w:r>
        <w:tab/>
        <w:t>[Section 33ZL inserted: No. 19 of 2019 s. 6.]</w:t>
      </w:r>
    </w:p>
    <w:p>
      <w:pPr>
        <w:pStyle w:val="Heading5"/>
      </w:pPr>
      <w:bookmarkStart w:id="102" w:name="_Toc91142155"/>
      <w:r>
        <w:rPr>
          <w:rStyle w:val="CharSectno"/>
        </w:rPr>
        <w:t>33ZM</w:t>
      </w:r>
      <w:r>
        <w:t>.</w:t>
      </w:r>
      <w:r>
        <w:tab/>
        <w:t>Decision by the WAIRC</w:t>
      </w:r>
      <w:bookmarkEnd w:id="102"/>
    </w:p>
    <w:p>
      <w:pPr>
        <w:pStyle w:val="Subsection"/>
      </w:pPr>
      <w:r>
        <w:tab/>
        <w:t>(1)</w:t>
      </w:r>
      <w:r>
        <w:tab/>
        <w:t>This section applies if the WAIRC decides on the appeal that the disputed decision was harsh, oppressive or unfair.</w:t>
      </w:r>
    </w:p>
    <w:p>
      <w:pPr>
        <w:pStyle w:val="Subsection"/>
      </w:pPr>
      <w:r>
        <w:tab/>
        <w:t>(2)</w:t>
      </w:r>
      <w:r>
        <w:tab/>
        <w:t>Unless an order is made under subsection (3), the WAIRC may order that the appellant’s retirement on medical grounds is, and is to be taken to have always been, of no effect.</w:t>
      </w:r>
    </w:p>
    <w:p>
      <w:pPr>
        <w:pStyle w:val="Subsection"/>
      </w:pPr>
      <w:r>
        <w:tab/>
        <w:t>(3)</w:t>
      </w:r>
      <w:r>
        <w:tab/>
        <w:t>If, and only if, the WAIRC considers that it is impracticable for it to be taken that the appellant’s retirement on medical grounds is, and has always been, of no effect, the WAIRC may instead of making an order under subsection (2), subject to subsections (5) and (6), order the Police Commissioner to pay the appellant an amount of compensation for loss or injury caused by the retirement.</w:t>
      </w:r>
    </w:p>
    <w:p>
      <w:pPr>
        <w:pStyle w:val="Subsection"/>
      </w:pPr>
      <w:r>
        <w:tab/>
        <w:t>(4)</w:t>
      </w:r>
      <w:r>
        <w:tab/>
        <w:t>In considering whether it is impracticable for it to be taken that the appellant’s retirement is, and has always been, of no effect it is relevant to consider —</w:t>
      </w:r>
    </w:p>
    <w:p>
      <w:pPr>
        <w:pStyle w:val="Indenta"/>
      </w:pPr>
      <w:r>
        <w:tab/>
        <w:t>(a)</w:t>
      </w:r>
      <w:r>
        <w:tab/>
        <w:t>whether the position occupied by the appellant on the retirement day is vacant; and</w:t>
      </w:r>
    </w:p>
    <w:p>
      <w:pPr>
        <w:pStyle w:val="Indenta"/>
      </w:pPr>
      <w:r>
        <w:tab/>
        <w:t>(b)</w:t>
      </w:r>
      <w:r>
        <w:tab/>
        <w:t>whether there is another suitable vacant position.</w:t>
      </w:r>
    </w:p>
    <w:p>
      <w:pPr>
        <w:pStyle w:val="Subsection"/>
        <w:keepNext/>
      </w:pPr>
      <w:r>
        <w:lastRenderedPageBreak/>
        <w:tab/>
        <w:t>(5)</w:t>
      </w:r>
      <w:r>
        <w:tab/>
        <w:t>In deciding the amount of compensation for the purpose of making an order under subsection (3), the WAIRC must have regard to —</w:t>
      </w:r>
    </w:p>
    <w:p>
      <w:pPr>
        <w:pStyle w:val="Indenta"/>
      </w:pPr>
      <w:r>
        <w:tab/>
        <w:t>(a)</w:t>
      </w:r>
      <w:r>
        <w:tab/>
        <w:t>the efforts, if any, of the Police Commissioner and the appellant to mitigate the loss suffered by the appellant as a result of the retirement; and</w:t>
      </w:r>
    </w:p>
    <w:p>
      <w:pPr>
        <w:pStyle w:val="Indenta"/>
      </w:pPr>
      <w:r>
        <w:tab/>
        <w:t>(b)</w:t>
      </w:r>
      <w:r>
        <w:tab/>
        <w:t>any maintenance payment received by the appellant under section 33ZF; and</w:t>
      </w:r>
    </w:p>
    <w:p>
      <w:pPr>
        <w:pStyle w:val="Indenta"/>
      </w:pPr>
      <w:r>
        <w:tab/>
        <w:t>(c)</w:t>
      </w:r>
      <w:r>
        <w:tab/>
        <w:t>any redress the appellant has obtained under another enactment where the evidence necessary to establish that redress is also the evidence necessary to establish on the appeal that the disputed decision was harsh, oppressive or unfair; and</w:t>
      </w:r>
    </w:p>
    <w:p>
      <w:pPr>
        <w:pStyle w:val="Indenta"/>
      </w:pPr>
      <w:r>
        <w:tab/>
        <w:t>(d)</w:t>
      </w:r>
      <w:r>
        <w:tab/>
        <w:t>any other matter that the WAIRC considers relevant.</w:t>
      </w:r>
    </w:p>
    <w:p>
      <w:pPr>
        <w:pStyle w:val="Subsection"/>
      </w:pPr>
      <w:r>
        <w:tab/>
        <w:t>(6)</w:t>
      </w:r>
      <w:r>
        <w:tab/>
        <w:t>The amount ordered to be paid under subsection (3) must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is not entitled to be paid the appellant’s remuneration as a member for any period the appellant received a maintenance payment under section 33ZF.</w:t>
      </w:r>
    </w:p>
    <w:p>
      <w:pPr>
        <w:pStyle w:val="Subsection"/>
      </w:pPr>
      <w:r>
        <w:tab/>
        <w:t>(9)</w:t>
      </w:r>
      <w:r>
        <w:tab/>
        <w:t>An order under this section may require that it be complied with within a specified time.</w:t>
      </w:r>
    </w:p>
    <w:p>
      <w:pPr>
        <w:pStyle w:val="Footnotesection"/>
      </w:pPr>
      <w:r>
        <w:tab/>
        <w:t>[Section 33ZM inserted: No. 19 of 2019 s. 6.]</w:t>
      </w:r>
    </w:p>
    <w:p>
      <w:pPr>
        <w:pStyle w:val="Heading5"/>
      </w:pPr>
      <w:bookmarkStart w:id="103" w:name="_Toc91142156"/>
      <w:r>
        <w:rPr>
          <w:rStyle w:val="CharSectno"/>
        </w:rPr>
        <w:t>33ZN</w:t>
      </w:r>
      <w:r>
        <w:t>.</w:t>
      </w:r>
      <w:r>
        <w:tab/>
        <w:t>Restriction on publication</w:t>
      </w:r>
      <w:bookmarkEnd w:id="103"/>
    </w:p>
    <w:p>
      <w:pPr>
        <w:pStyle w:val="Subsection"/>
        <w:keepNext/>
      </w:pPr>
      <w:r>
        <w:tab/>
        <w:t>(1)</w:t>
      </w:r>
      <w:r>
        <w:tab/>
        <w:t xml:space="preserve">If the WAIRC is satisfied that it is in the public interest, it may direct that either or both of the following must not be published </w:t>
      </w:r>
      <w:r>
        <w:lastRenderedPageBreak/>
        <w:t xml:space="preserve">or must not be published except in the manner, and to the persons, the WAIRC specifies — </w:t>
      </w:r>
    </w:p>
    <w:p>
      <w:pPr>
        <w:pStyle w:val="Indenta"/>
      </w:pPr>
      <w:r>
        <w:tab/>
        <w:t>(a)</w:t>
      </w:r>
      <w:r>
        <w:tab/>
        <w:t>any evidence given before the WAIRC on the appeal;</w:t>
      </w:r>
    </w:p>
    <w:p>
      <w:pPr>
        <w:pStyle w:val="Indenta"/>
      </w:pPr>
      <w:r>
        <w:tab/>
        <w:t>(b)</w:t>
      </w:r>
      <w:r>
        <w:tab/>
        <w:t>the contents of any document produced to the WAIRC on the appeal.</w:t>
      </w:r>
    </w:p>
    <w:p>
      <w:pPr>
        <w:pStyle w:val="Subsection"/>
      </w:pPr>
      <w:r>
        <w:tab/>
        <w:t>(2)</w:t>
      </w:r>
      <w:r>
        <w:tab/>
        <w:t>A person must not make a publication in contravention of a direction given under this section.</w:t>
      </w:r>
    </w:p>
    <w:p>
      <w:pPr>
        <w:pStyle w:val="Penstart"/>
      </w:pPr>
      <w:r>
        <w:tab/>
        <w:t>Penalty for this subsection: imprisonment for 12 months and a fine of $4 000.</w:t>
      </w:r>
    </w:p>
    <w:p>
      <w:pPr>
        <w:pStyle w:val="Footnotesection"/>
      </w:pPr>
      <w:r>
        <w:tab/>
        <w:t>[Section 33ZN inserted: No. 19 of 2019 s. 6.]</w:t>
      </w:r>
    </w:p>
    <w:p>
      <w:pPr>
        <w:pStyle w:val="Heading3"/>
      </w:pPr>
      <w:bookmarkStart w:id="104" w:name="_Toc90989567"/>
      <w:bookmarkStart w:id="105" w:name="_Toc90990588"/>
      <w:bookmarkStart w:id="106" w:name="_Toc91142157"/>
      <w:r>
        <w:rPr>
          <w:rStyle w:val="CharDivNo"/>
        </w:rPr>
        <w:t>Division 4</w:t>
      </w:r>
      <w:r>
        <w:t> — </w:t>
      </w:r>
      <w:r>
        <w:rPr>
          <w:rStyle w:val="CharDivText"/>
        </w:rPr>
        <w:t>General</w:t>
      </w:r>
      <w:bookmarkEnd w:id="104"/>
      <w:bookmarkEnd w:id="105"/>
      <w:bookmarkEnd w:id="106"/>
    </w:p>
    <w:p>
      <w:pPr>
        <w:pStyle w:val="Footnoteheading"/>
      </w:pPr>
      <w:r>
        <w:tab/>
        <w:t>[Heading inserted: No. 19 of 2019 s. 6.]</w:t>
      </w:r>
    </w:p>
    <w:p>
      <w:pPr>
        <w:pStyle w:val="Heading5"/>
      </w:pPr>
      <w:bookmarkStart w:id="107" w:name="_Toc91142158"/>
      <w:r>
        <w:rPr>
          <w:rStyle w:val="CharSectno"/>
        </w:rPr>
        <w:t>33ZO</w:t>
      </w:r>
      <w:r>
        <w:t>.</w:t>
      </w:r>
      <w:r>
        <w:tab/>
        <w:t>Failure to comply with procedure</w:t>
      </w:r>
      <w:bookmarkEnd w:id="107"/>
    </w:p>
    <w:p>
      <w:pPr>
        <w:pStyle w:val="Subsection"/>
      </w:pPr>
      <w:r>
        <w:tab/>
      </w:r>
      <w:r>
        <w:tab/>
        <w:t>An act or omission of the Governor, the Minister or the Police Commissioner is not invalid, and must not be called into question, on the ground of a failure to comply with any procedure prescribed under Division 2, or under regulations relating to Division 2, if the failure is not substantive.</w:t>
      </w:r>
    </w:p>
    <w:p>
      <w:pPr>
        <w:pStyle w:val="Footnotesection"/>
      </w:pPr>
      <w:r>
        <w:tab/>
        <w:t>[Section 33ZO inserted: No. 19 of 2019 s. 6.]</w:t>
      </w:r>
    </w:p>
    <w:p>
      <w:pPr>
        <w:pStyle w:val="Heading5"/>
      </w:pPr>
      <w:bookmarkStart w:id="108" w:name="_Toc91142159"/>
      <w:r>
        <w:rPr>
          <w:rStyle w:val="CharSectno"/>
        </w:rPr>
        <w:t>33ZP</w:t>
      </w:r>
      <w:r>
        <w:t>.</w:t>
      </w:r>
      <w:r>
        <w:tab/>
        <w:t>Transfer, standing down and leave of member</w:t>
      </w:r>
      <w:bookmarkEnd w:id="108"/>
    </w:p>
    <w:p>
      <w:pPr>
        <w:pStyle w:val="Subsection"/>
      </w:pPr>
      <w:r>
        <w:tab/>
        <w:t>(1)</w:t>
      </w:r>
      <w:r>
        <w:tab/>
        <w:t xml:space="preserve">Nothing in this Part derogates from the Police Commissioner’s power to — </w:t>
      </w:r>
    </w:p>
    <w:p>
      <w:pPr>
        <w:pStyle w:val="Indenta"/>
      </w:pPr>
      <w:r>
        <w:tab/>
        <w:t>(a)</w:t>
      </w:r>
      <w:r>
        <w:tab/>
        <w:t>transfer a member; or</w:t>
      </w:r>
    </w:p>
    <w:p>
      <w:pPr>
        <w:pStyle w:val="Indenta"/>
      </w:pPr>
      <w:r>
        <w:tab/>
        <w:t>(b)</w:t>
      </w:r>
      <w:r>
        <w:tab/>
        <w:t>stand a member down from performing that member’s usual duties on full pay until the member is directed by the Police Commissioner to return to those duties; or</w:t>
      </w:r>
    </w:p>
    <w:p>
      <w:pPr>
        <w:pStyle w:val="Indenta"/>
      </w:pPr>
      <w:r>
        <w:tab/>
        <w:t>(c)</w:t>
      </w:r>
      <w:r>
        <w:tab/>
        <w:t>allocate duties to a member other than the member’s usual duties.</w:t>
      </w:r>
    </w:p>
    <w:p>
      <w:pPr>
        <w:pStyle w:val="Subsection"/>
      </w:pPr>
      <w:r>
        <w:lastRenderedPageBreak/>
        <w:tab/>
        <w:t>(2)</w:t>
      </w:r>
      <w:r>
        <w:tab/>
        <w:t>If the Police Commissioner stands down a member who is being dealt with under this Part, the Police Commissioner must review the decision to stand the member down every 60 days and advise the member in writing of the result of the review.</w:t>
      </w:r>
    </w:p>
    <w:p>
      <w:pPr>
        <w:pStyle w:val="Subsection"/>
      </w:pPr>
      <w:r>
        <w:tab/>
        <w:t>(3)</w:t>
      </w:r>
      <w:r>
        <w:tab/>
        <w:t>The Police Commissioner must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[Section 33ZP inserted: No. 19 of 2019 s. 6.]</w:t>
      </w:r>
    </w:p>
    <w:p>
      <w:pPr>
        <w:pStyle w:val="Heading5"/>
      </w:pPr>
      <w:bookmarkStart w:id="109" w:name="_Toc91142160"/>
      <w:r>
        <w:rPr>
          <w:rStyle w:val="CharSectno"/>
        </w:rPr>
        <w:t>33ZQ</w:t>
      </w:r>
      <w:r>
        <w:t>.</w:t>
      </w:r>
      <w:r>
        <w:tab/>
        <w:t>Transitional provision</w:t>
      </w:r>
      <w:bookmarkEnd w:id="10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Police Amendment (Medical Retirement) Act 2019</w:t>
      </w:r>
      <w:r>
        <w:t xml:space="preserve"> section 6 comes into operation.</w:t>
      </w:r>
    </w:p>
    <w:p>
      <w:pPr>
        <w:pStyle w:val="Subsection"/>
      </w:pPr>
      <w:r>
        <w:tab/>
        <w:t>(2)</w:t>
      </w:r>
      <w:r>
        <w:tab/>
        <w:t xml:space="preserve">This section applies if the Police Commissioner — </w:t>
      </w:r>
    </w:p>
    <w:p>
      <w:pPr>
        <w:pStyle w:val="Indenta"/>
      </w:pPr>
      <w:r>
        <w:tab/>
        <w:t>(a)</w:t>
      </w:r>
      <w:r>
        <w:tab/>
        <w:t xml:space="preserve">gives a direction to a member under the </w:t>
      </w:r>
      <w:r>
        <w:rPr>
          <w:i/>
        </w:rPr>
        <w:t>Police Force Regulations 1979</w:t>
      </w:r>
      <w:r>
        <w:t xml:space="preserve"> regulation 1402 before the commencement day; but</w:t>
      </w:r>
    </w:p>
    <w:p>
      <w:pPr>
        <w:pStyle w:val="Indenta"/>
      </w:pPr>
      <w:r>
        <w:tab/>
        <w:t>(b)</w:t>
      </w:r>
      <w:r>
        <w:tab/>
        <w:t>as at the time immediately before the commencement day, has not yet decided whether to take removal action (as defined in section 33K) in relation to the member.</w:t>
      </w:r>
    </w:p>
    <w:p>
      <w:pPr>
        <w:pStyle w:val="Subsection"/>
      </w:pPr>
      <w:r>
        <w:tab/>
        <w:t>(3)</w:t>
      </w:r>
      <w:r>
        <w:tab/>
        <w:t>The matter is to be continued and completed under this Part instead of regulation 1402, Part IIB and, as the case may be, section 8, 38B(4) or 38G(4).</w:t>
      </w:r>
    </w:p>
    <w:p>
      <w:pPr>
        <w:pStyle w:val="Subsection"/>
      </w:pPr>
      <w:r>
        <w:tab/>
        <w:t>(4)</w:t>
      </w:r>
      <w:r>
        <w:tab/>
        <w:t>Without limiting subsection (3) —</w:t>
      </w:r>
    </w:p>
    <w:p>
      <w:pPr>
        <w:pStyle w:val="Indenta"/>
      </w:pPr>
      <w:r>
        <w:tab/>
        <w:t>(a)</w:t>
      </w:r>
      <w:r>
        <w:tab/>
        <w:t>the Police Commissioner’s direction under regulation 1402 is taken to be a direction under section 33ZC; and</w:t>
      </w:r>
    </w:p>
    <w:p>
      <w:pPr>
        <w:pStyle w:val="Indenta"/>
      </w:pPr>
      <w:r>
        <w:tab/>
        <w:t>(b)</w:t>
      </w:r>
      <w:r>
        <w:tab/>
        <w:t xml:space="preserve">any medical board constituted under regulation 1402 on the Police Commissioner’s direction is taken to be a medical board under section 33ZC and anything done </w:t>
      </w:r>
      <w:r>
        <w:lastRenderedPageBreak/>
        <w:t>by, or in relation to, the board under regulation 1402 is taken to have been done by, or in relation to, the board under this Part or any relevant regulations relating to this Part; and</w:t>
      </w:r>
    </w:p>
    <w:p>
      <w:pPr>
        <w:pStyle w:val="Indenta"/>
      </w:pPr>
      <w:r>
        <w:tab/>
        <w:t>(c)</w:t>
      </w:r>
      <w:r>
        <w:tab/>
        <w:t>anything else done in relation to the matter under regulation 1402, or under Part IIB or any other regulation relating to that Part, or under section 8, 38B(4) or 38G(4), is taken to have been done under this Part or any relevant regulations relating to this Part; and</w:t>
      </w:r>
    </w:p>
    <w:p>
      <w:pPr>
        <w:pStyle w:val="Indenta"/>
      </w:pPr>
      <w:r>
        <w:tab/>
        <w:t>(d)</w:t>
      </w:r>
      <w:r>
        <w:tab/>
        <w:t>this Part, and any regulations relating to this Part, apply with any necessary modifications.</w:t>
      </w:r>
    </w:p>
    <w:p>
      <w:pPr>
        <w:pStyle w:val="Footnotesection"/>
      </w:pPr>
      <w:r>
        <w:tab/>
        <w:t>[Section 33ZQ inserted: No. 19 of 2019 s. 6.]</w:t>
      </w:r>
    </w:p>
    <w:p>
      <w:pPr>
        <w:pStyle w:val="Heading2"/>
      </w:pPr>
      <w:bookmarkStart w:id="110" w:name="_Toc90990592"/>
      <w:bookmarkStart w:id="111" w:name="_Toc91142161"/>
      <w:bookmarkStart w:id="112" w:name="_Toc90989571"/>
      <w:r>
        <w:rPr>
          <w:rStyle w:val="CharPartNo"/>
        </w:rPr>
        <w:lastRenderedPageBreak/>
        <w:t>Part 2D</w:t>
      </w:r>
      <w:r>
        <w:t> — </w:t>
      </w:r>
      <w:r>
        <w:rPr>
          <w:rStyle w:val="CharPartText"/>
        </w:rPr>
        <w:t>Compensation scheme for medically retired members</w:t>
      </w:r>
      <w:bookmarkEnd w:id="110"/>
      <w:bookmarkEnd w:id="111"/>
    </w:p>
    <w:p>
      <w:pPr>
        <w:pStyle w:val="Footnoteheading"/>
      </w:pPr>
      <w:r>
        <w:tab/>
        <w:t>[Heading inserted: No. 26 of 2021 s. 4.]</w:t>
      </w:r>
    </w:p>
    <w:p>
      <w:pPr>
        <w:pStyle w:val="Heading3"/>
      </w:pPr>
      <w:bookmarkStart w:id="113" w:name="_Toc90990593"/>
      <w:bookmarkStart w:id="114" w:name="_Toc91142162"/>
      <w:r>
        <w:rPr>
          <w:rStyle w:val="CharDivNo"/>
        </w:rPr>
        <w:t>Division 1</w:t>
      </w:r>
      <w:r>
        <w:t> — </w:t>
      </w:r>
      <w:r>
        <w:rPr>
          <w:rStyle w:val="CharDivText"/>
        </w:rPr>
        <w:t>Preliminary</w:t>
      </w:r>
      <w:bookmarkEnd w:id="113"/>
      <w:bookmarkEnd w:id="114"/>
    </w:p>
    <w:p>
      <w:pPr>
        <w:pStyle w:val="Footnoteheading"/>
      </w:pPr>
      <w:r>
        <w:tab/>
        <w:t>[Heading inserted: No. 26 of 2021 s. 4.]</w:t>
      </w:r>
    </w:p>
    <w:p>
      <w:pPr>
        <w:pStyle w:val="Heading5"/>
      </w:pPr>
      <w:bookmarkStart w:id="115" w:name="_Toc91142163"/>
      <w:r>
        <w:rPr>
          <w:rStyle w:val="CharSectno"/>
        </w:rPr>
        <w:t>33ZR</w:t>
      </w:r>
      <w:r>
        <w:t>.</w:t>
      </w:r>
      <w:r>
        <w:tab/>
        <w:t>Summary of Part</w:t>
      </w:r>
      <w:bookmarkEnd w:id="115"/>
    </w:p>
    <w:p>
      <w:pPr>
        <w:pStyle w:val="Subsection"/>
      </w:pPr>
      <w:r>
        <w:tab/>
      </w:r>
      <w:r>
        <w:tab/>
        <w:t xml:space="preserve">This Part sets out a scheme under which a former member is entitled to compensation if — </w:t>
      </w:r>
    </w:p>
    <w:p>
      <w:pPr>
        <w:pStyle w:val="Indenta"/>
      </w:pPr>
      <w:r>
        <w:tab/>
        <w:t>(a)</w:t>
      </w:r>
      <w:r>
        <w:tab/>
        <w:t>the former member ceased to hold office as a member because they were retired on medical grounds under Part IIC; and</w:t>
      </w:r>
    </w:p>
    <w:p>
      <w:pPr>
        <w:pStyle w:val="Indenta"/>
      </w:pPr>
      <w:r>
        <w:tab/>
        <w:t>(b)</w:t>
      </w:r>
      <w:r>
        <w:tab/>
        <w:t>the Police Commissioner’s decision that the former member should be retired on medical grounds was attributable to a medical condition related to their work as a member.</w:t>
      </w:r>
    </w:p>
    <w:p>
      <w:pPr>
        <w:pStyle w:val="Footnotesection"/>
      </w:pPr>
      <w:r>
        <w:tab/>
        <w:t>[Section 33ZR inserted: No. 26 of 2021 s. 4.]</w:t>
      </w:r>
    </w:p>
    <w:p>
      <w:pPr>
        <w:pStyle w:val="Heading5"/>
      </w:pPr>
      <w:bookmarkStart w:id="116" w:name="_Toc91142164"/>
      <w:r>
        <w:rPr>
          <w:rStyle w:val="CharSectno"/>
        </w:rPr>
        <w:t>33ZS</w:t>
      </w:r>
      <w:r>
        <w:t>.</w:t>
      </w:r>
      <w:r>
        <w:tab/>
        <w:t>Terms used</w:t>
      </w:r>
      <w:bookmarkEnd w:id="116"/>
    </w:p>
    <w:p>
      <w:pPr>
        <w:pStyle w:val="Subsection"/>
      </w:pPr>
      <w:r>
        <w:tab/>
        <w:t>(1)</w:t>
      </w:r>
      <w:r>
        <w:tab/>
        <w:t xml:space="preserve">In this Part — </w:t>
      </w:r>
    </w:p>
    <w:p>
      <w:pPr>
        <w:pStyle w:val="Defstart"/>
      </w:pPr>
      <w:r>
        <w:tab/>
      </w:r>
      <w:r>
        <w:rPr>
          <w:rStyle w:val="CharDefText"/>
        </w:rPr>
        <w:t>approved medical specialist</w:t>
      </w:r>
      <w:r>
        <w:t xml:space="preserve"> means a person appointed under section 33ZW(2);</w:t>
      </w:r>
    </w:p>
    <w:p>
      <w:pPr>
        <w:pStyle w:val="Defstart"/>
      </w:pPr>
      <w:r>
        <w:tab/>
      </w:r>
      <w:r>
        <w:rPr>
          <w:rStyle w:val="CharDefText"/>
        </w:rPr>
        <w:t>compensable medical condition</w:t>
      </w:r>
      <w:r>
        <w:t xml:space="preserve">, in relation to a medically retired member, means a medical condition — </w:t>
      </w:r>
    </w:p>
    <w:p>
      <w:pPr>
        <w:pStyle w:val="Defpara"/>
      </w:pPr>
      <w:r>
        <w:tab/>
        <w:t>(a)</w:t>
      </w:r>
      <w:r>
        <w:tab/>
        <w:t>that the medically retired member had when, or before, the Police Commissioner decided under section 33ZE(1)(a) that the medically retired member should be retired on medical grounds; and</w:t>
      </w:r>
    </w:p>
    <w:p>
      <w:pPr>
        <w:pStyle w:val="Defpara"/>
      </w:pPr>
      <w:r>
        <w:tab/>
        <w:t>(b)</w:t>
      </w:r>
      <w:r>
        <w:tab/>
        <w:t>that the medically retired member incurred in the course of, or that arose out of, the medically retired member’s performance, while holding office as a member, of the functions of that office; and</w:t>
      </w:r>
    </w:p>
    <w:p>
      <w:pPr>
        <w:pStyle w:val="Defpara"/>
      </w:pPr>
      <w:r>
        <w:lastRenderedPageBreak/>
        <w:tab/>
        <w:t>(c)</w:t>
      </w:r>
      <w:r>
        <w:tab/>
        <w:t>to which the Police Commissioner’s decision under section 33ZE(1)(a) was attributable (wholly or partly and directly or indirectly);</w:t>
      </w:r>
    </w:p>
    <w:p>
      <w:pPr>
        <w:pStyle w:val="Defstart"/>
      </w:pPr>
      <w: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entitlement day</w:t>
      </w:r>
      <w:r>
        <w:t xml:space="preserve">, in relation to a medically retired member, means — </w:t>
      </w:r>
    </w:p>
    <w:p>
      <w:pPr>
        <w:pStyle w:val="Defpara"/>
      </w:pPr>
      <w:r>
        <w:tab/>
        <w:t>(a)</w:t>
      </w:r>
      <w:r>
        <w:tab/>
        <w:t xml:space="preserve">if the medically retired member institutes an appeal under section 33ZI — the day after the day on which the appeal — </w:t>
      </w:r>
    </w:p>
    <w:p>
      <w:pPr>
        <w:pStyle w:val="Defsubpara"/>
      </w:pPr>
      <w:r>
        <w:tab/>
        <w:t>(i)</w:t>
      </w:r>
      <w:r>
        <w:tab/>
        <w:t>is decided; or</w:t>
      </w:r>
    </w:p>
    <w:p>
      <w:pPr>
        <w:pStyle w:val="Defsubpara"/>
      </w:pPr>
      <w:r>
        <w:tab/>
        <w:t>(ii)</w:t>
      </w:r>
      <w:r>
        <w:tab/>
        <w:t>is discontinued before being decided;</w:t>
      </w:r>
    </w:p>
    <w:p>
      <w:pPr>
        <w:pStyle w:val="Defpara"/>
      </w:pPr>
      <w:r>
        <w:tab/>
      </w:r>
      <w:r>
        <w:tab/>
        <w:t>or</w:t>
      </w:r>
    </w:p>
    <w:p>
      <w:pPr>
        <w:pStyle w:val="Defpara"/>
      </w:pPr>
      <w:r>
        <w:tab/>
        <w:t>(b)</w:t>
      </w:r>
      <w:r>
        <w:tab/>
        <w:t>otherwise — the 29</w:t>
      </w:r>
      <w:r>
        <w:rPr>
          <w:vertAlign w:val="superscript"/>
        </w:rPr>
        <w:t>th</w:t>
      </w:r>
      <w:r>
        <w:t> day after the retirement day of the medically retired member;</w:t>
      </w:r>
    </w:p>
    <w:p>
      <w:pPr>
        <w:pStyle w:val="Defstart"/>
      </w:pPr>
      <w:r>
        <w:tab/>
      </w:r>
      <w:r>
        <w:rPr>
          <w:rStyle w:val="CharDefText"/>
        </w:rPr>
        <w:t>entitlement financial year</w:t>
      </w:r>
      <w:r>
        <w:t>, in relation to a medically retired member, means the financial year in which the entitlement day of the medically retired member falls;</w:t>
      </w:r>
    </w:p>
    <w:p>
      <w:pPr>
        <w:pStyle w:val="Defstart"/>
      </w:pPr>
      <w:r>
        <w:tab/>
      </w:r>
      <w:r>
        <w:rPr>
          <w:rStyle w:val="CharDefText"/>
        </w:rPr>
        <w:t>IR Act</w:t>
      </w:r>
      <w:r>
        <w:t xml:space="preserve"> means the </w:t>
      </w:r>
      <w:r>
        <w:rPr>
          <w:i/>
        </w:rPr>
        <w:t>Industrial Relations Act 1979</w:t>
      </w:r>
      <w:r>
        <w:t>;</w:t>
      </w:r>
    </w:p>
    <w:p>
      <w:pPr>
        <w:pStyle w:val="Defstart"/>
      </w:pPr>
      <w:r>
        <w:tab/>
      </w:r>
      <w:r>
        <w:rPr>
          <w:rStyle w:val="CharDefText"/>
        </w:rPr>
        <w:t>IR regulations</w:t>
      </w:r>
      <w:r>
        <w:t xml:space="preserve"> means regulations made under section 113(1) of the IR Act;</w:t>
      </w:r>
    </w:p>
    <w:p>
      <w:pPr>
        <w:pStyle w:val="Defstart"/>
      </w:pPr>
      <w:r>
        <w:tab/>
      </w:r>
      <w:r>
        <w:rPr>
          <w:rStyle w:val="CharDefText"/>
        </w:rPr>
        <w:t>medical condition</w:t>
      </w:r>
      <w:r>
        <w:t xml:space="preserve"> means any of the following — </w:t>
      </w:r>
    </w:p>
    <w:p>
      <w:pPr>
        <w:pStyle w:val="Defpara"/>
      </w:pPr>
      <w:r>
        <w:tab/>
        <w:t>(a)</w:t>
      </w:r>
      <w:r>
        <w:tab/>
        <w:t>a personal injury by accident;</w:t>
      </w:r>
    </w:p>
    <w:p>
      <w:pPr>
        <w:pStyle w:val="Defpara"/>
      </w:pPr>
      <w:r>
        <w:tab/>
        <w:t>(b)</w:t>
      </w:r>
      <w:r>
        <w:tab/>
        <w:t>a disease;</w:t>
      </w:r>
    </w:p>
    <w:p>
      <w:pPr>
        <w:pStyle w:val="Defpara"/>
      </w:pPr>
      <w:r>
        <w:tab/>
        <w:t>(c)</w:t>
      </w:r>
      <w:r>
        <w:tab/>
        <w:t>the recurrence, aggravation or acceleration of a pre</w:t>
      </w:r>
      <w:r>
        <w:noBreakHyphen/>
        <w:t>existing disease;</w:t>
      </w:r>
    </w:p>
    <w:p>
      <w:pPr>
        <w:pStyle w:val="Defstart"/>
      </w:pPr>
      <w:r>
        <w:tab/>
      </w:r>
      <w:r>
        <w:rPr>
          <w:rStyle w:val="CharDefText"/>
        </w:rPr>
        <w:t>medically retired member</w:t>
      </w:r>
      <w:r>
        <w:t xml:space="preserve"> means a former member who ceased to hold office as a member because they were retired on medical grounds under Part IIC;</w:t>
      </w:r>
    </w:p>
    <w:p>
      <w:pPr>
        <w:pStyle w:val="Defstart"/>
      </w:pPr>
      <w:r>
        <w:tab/>
      </w:r>
      <w:r>
        <w:rPr>
          <w:rStyle w:val="CharDefText"/>
        </w:rPr>
        <w:t>member</w:t>
      </w:r>
      <w:r>
        <w:t xml:space="preserve"> means — </w:t>
      </w:r>
    </w:p>
    <w:p>
      <w:pPr>
        <w:pStyle w:val="Defpara"/>
      </w:pPr>
      <w:r>
        <w:tab/>
        <w:t>(a)</w:t>
      </w:r>
      <w:r>
        <w:tab/>
        <w:t>a commissioned officer; or</w:t>
      </w:r>
    </w:p>
    <w:p>
      <w:pPr>
        <w:pStyle w:val="Defpara"/>
      </w:pPr>
      <w:r>
        <w:lastRenderedPageBreak/>
        <w:tab/>
        <w:t>(b)</w:t>
      </w:r>
      <w:r>
        <w:tab/>
        <w:t>a non</w:t>
      </w:r>
      <w:r>
        <w:noBreakHyphen/>
        <w:t>commissioned officer; or</w:t>
      </w:r>
    </w:p>
    <w:p>
      <w:pPr>
        <w:pStyle w:val="Defpara"/>
      </w:pPr>
      <w:r>
        <w:tab/>
        <w:t>(c)</w:t>
      </w:r>
      <w:r>
        <w:tab/>
        <w:t>a constable; or</w:t>
      </w:r>
    </w:p>
    <w:p>
      <w:pPr>
        <w:pStyle w:val="Defpara"/>
      </w:pPr>
      <w:r>
        <w:tab/>
        <w:t>(d)</w:t>
      </w:r>
      <w:r>
        <w:tab/>
        <w:t>an Aboriginal police liaison officer;</w:t>
      </w:r>
    </w:p>
    <w:p>
      <w:pPr>
        <w:pStyle w:val="Defstart"/>
      </w:pPr>
      <w:r>
        <w:tab/>
      </w:r>
      <w:r>
        <w:rPr>
          <w:rStyle w:val="CharDefText"/>
        </w:rPr>
        <w:t>Police Commissioner</w:t>
      </w:r>
      <w:r>
        <w:t xml:space="preserve"> means the Commissioner of Police;</w:t>
      </w:r>
    </w:p>
    <w:p>
      <w:pPr>
        <w:pStyle w:val="Defstart"/>
      </w:pPr>
      <w:r>
        <w:tab/>
      </w:r>
      <w:r>
        <w:rPr>
          <w:rStyle w:val="CharDefText"/>
        </w:rPr>
        <w:t>prescribed amount</w:t>
      </w:r>
      <w:r>
        <w:t xml:space="preserve"> has the meaning given in subsection (2);</w:t>
      </w:r>
    </w:p>
    <w:p>
      <w:pPr>
        <w:pStyle w:val="Defstart"/>
      </w:pPr>
      <w:r>
        <w:tab/>
      </w:r>
      <w:r>
        <w:rPr>
          <w:rStyle w:val="CharDefText"/>
        </w:rPr>
        <w:t>retirement day</w:t>
      </w:r>
      <w:r>
        <w:t>, in relation to a medically retired member, means the day at the end of which the medically retired member’s retirement on medical grounds took effect under section 33ZE(10)(b);</w:t>
      </w:r>
    </w:p>
    <w:p>
      <w:pPr>
        <w:pStyle w:val="Defstart"/>
      </w:pPr>
      <w:r>
        <w:tab/>
      </w:r>
      <w:r>
        <w:rPr>
          <w:rStyle w:val="CharDefText"/>
        </w:rPr>
        <w:t>Tribunal</w:t>
      </w:r>
      <w:r>
        <w:t xml:space="preserve"> has the meaning given in section 33ZZA(2);</w:t>
      </w:r>
    </w:p>
    <w:p>
      <w:pPr>
        <w:pStyle w:val="Defstart"/>
      </w:pPr>
      <w:r>
        <w:tab/>
      </w:r>
      <w:r>
        <w:rPr>
          <w:rStyle w:val="CharDefText"/>
        </w:rPr>
        <w:t>WC&amp;IM Act</w:t>
      </w:r>
      <w:r>
        <w:t xml:space="preserve"> means the </w:t>
      </w:r>
      <w:r>
        <w:rPr>
          <w:i/>
        </w:rPr>
        <w:t>Workers’ Compensation and Injury Management Act 1981</w:t>
      </w:r>
      <w:r>
        <w:t>;</w:t>
      </w:r>
    </w:p>
    <w:p>
      <w:pPr>
        <w:pStyle w:val="Defstart"/>
      </w:pPr>
      <w:r>
        <w:tab/>
      </w:r>
      <w:r>
        <w:rPr>
          <w:rStyle w:val="CharDefText"/>
        </w:rPr>
        <w:t>WorkCover Guides</w:t>
      </w:r>
      <w:r>
        <w:t xml:space="preserve"> means the directions published by WorkCover WA under section 146R of the WC&amp;IM Act.</w:t>
      </w:r>
    </w:p>
    <w:p>
      <w:pPr>
        <w:pStyle w:val="Subsection"/>
      </w:pPr>
      <w:r>
        <w:tab/>
        <w:t>(2)</w:t>
      </w:r>
      <w:r>
        <w:tab/>
        <w:t xml:space="preserve">For the purposes of this Part, the </w:t>
      </w:r>
      <w:r>
        <w:rPr>
          <w:rStyle w:val="CharDefText"/>
        </w:rPr>
        <w:t>prescribed amount</w:t>
      </w:r>
      <w:r>
        <w:t>, for a financial year, is the amount that is the prescribed amount for the financial year under section 5A(1A) of the WC&amp;IM Act.</w:t>
      </w:r>
    </w:p>
    <w:p>
      <w:pPr>
        <w:pStyle w:val="Footnotesection"/>
      </w:pPr>
      <w:r>
        <w:tab/>
        <w:t>[Section 33ZS inserted: No. 26 of 2021 s. 4.]</w:t>
      </w:r>
    </w:p>
    <w:p>
      <w:pPr>
        <w:pStyle w:val="Heading5"/>
      </w:pPr>
      <w:bookmarkStart w:id="117" w:name="_Toc91142165"/>
      <w:r>
        <w:rPr>
          <w:rStyle w:val="CharSectno"/>
        </w:rPr>
        <w:t>33ZT</w:t>
      </w:r>
      <w:r>
        <w:t>.</w:t>
      </w:r>
      <w:r>
        <w:tab/>
        <w:t>No effect on other entitlements</w:t>
      </w:r>
      <w:bookmarkEnd w:id="117"/>
    </w:p>
    <w:p>
      <w:pPr>
        <w:pStyle w:val="Subsection"/>
      </w:pPr>
      <w:r>
        <w:tab/>
      </w:r>
      <w:r>
        <w:tab/>
        <w:t xml:space="preserve">This Part does not limit or otherwise affect — </w:t>
      </w:r>
    </w:p>
    <w:p>
      <w:pPr>
        <w:pStyle w:val="Indenta"/>
      </w:pPr>
      <w:r>
        <w:tab/>
        <w:t>(a)</w:t>
      </w:r>
      <w:r>
        <w:tab/>
        <w:t>any compensation, or other type of payment or entitlement, to which a person is entitled apart from this Part (under a written law or otherwise); or</w:t>
      </w:r>
    </w:p>
    <w:p>
      <w:pPr>
        <w:pStyle w:val="Indenta"/>
      </w:pPr>
      <w:r>
        <w:tab/>
        <w:t>(b)</w:t>
      </w:r>
      <w:r>
        <w:tab/>
        <w:t>any power or duty apart from this Part (under a written law or otherwise) to pay or give a person, or to make provision for a person to be paid or given, any compensation or other type of payment or entitlement.</w:t>
      </w:r>
    </w:p>
    <w:p>
      <w:pPr>
        <w:pStyle w:val="Footnotesection"/>
      </w:pPr>
      <w:r>
        <w:tab/>
        <w:t>[Section 33ZT inserted: No. 26 of 2021 s. 4.]</w:t>
      </w:r>
    </w:p>
    <w:p>
      <w:pPr>
        <w:pStyle w:val="Heading3"/>
      </w:pPr>
      <w:bookmarkStart w:id="118" w:name="_Toc90990597"/>
      <w:bookmarkStart w:id="119" w:name="_Toc91142166"/>
      <w:r>
        <w:rPr>
          <w:rStyle w:val="CharDivNo"/>
        </w:rPr>
        <w:lastRenderedPageBreak/>
        <w:t>Division 2</w:t>
      </w:r>
      <w:r>
        <w:t> — </w:t>
      </w:r>
      <w:r>
        <w:rPr>
          <w:rStyle w:val="CharDivText"/>
        </w:rPr>
        <w:t>Compensation scheme</w:t>
      </w:r>
      <w:bookmarkEnd w:id="118"/>
      <w:bookmarkEnd w:id="119"/>
    </w:p>
    <w:p>
      <w:pPr>
        <w:pStyle w:val="Footnoteheading"/>
        <w:keepNext/>
      </w:pPr>
      <w:r>
        <w:tab/>
        <w:t>[Heading inserted: No. 26 of 2021 s. 4.]</w:t>
      </w:r>
    </w:p>
    <w:p>
      <w:pPr>
        <w:pStyle w:val="Heading5"/>
      </w:pPr>
      <w:bookmarkStart w:id="120" w:name="_Toc91142167"/>
      <w:r>
        <w:rPr>
          <w:rStyle w:val="CharSectno"/>
        </w:rPr>
        <w:t>33ZU</w:t>
      </w:r>
      <w:r>
        <w:t>.</w:t>
      </w:r>
      <w:r>
        <w:tab/>
        <w:t>Application of compensation scheme</w:t>
      </w:r>
      <w:bookmarkEnd w:id="120"/>
    </w:p>
    <w:p>
      <w:pPr>
        <w:pStyle w:val="Subsection"/>
      </w:pPr>
      <w:r>
        <w:tab/>
        <w:t>(1)</w:t>
      </w:r>
      <w:r>
        <w:tab/>
        <w:t xml:space="preserve">This Division applies to a medically retired member if — </w:t>
      </w:r>
    </w:p>
    <w:p>
      <w:pPr>
        <w:pStyle w:val="Indenta"/>
      </w:pPr>
      <w:r>
        <w:tab/>
        <w:t>(a)</w:t>
      </w:r>
      <w:r>
        <w:tab/>
        <w:t xml:space="preserve">the retirement day of the medically retired member is, or falls after, the day on which the </w:t>
      </w:r>
      <w:r>
        <w:rPr>
          <w:i/>
        </w:rPr>
        <w:t>Police Amendment (Compensation Scheme) Act 2021</w:t>
      </w:r>
      <w:r>
        <w:t xml:space="preserve"> section 4 comes into operation; and</w:t>
      </w:r>
    </w:p>
    <w:p>
      <w:pPr>
        <w:pStyle w:val="Indenta"/>
      </w:pPr>
      <w:r>
        <w:tab/>
        <w:t>(b)</w:t>
      </w:r>
      <w:r>
        <w:tab/>
        <w:t>the medically retired member has or had a compensable medical condition; and</w:t>
      </w:r>
    </w:p>
    <w:p>
      <w:pPr>
        <w:pStyle w:val="Indenta"/>
      </w:pPr>
      <w:r>
        <w:tab/>
        <w:t>(c)</w:t>
      </w:r>
      <w:r>
        <w:tab/>
        <w:t>the entitlement day of the medically retired member has fallen; and</w:t>
      </w:r>
    </w:p>
    <w:p>
      <w:pPr>
        <w:pStyle w:val="Indenta"/>
      </w:pPr>
      <w:r>
        <w:tab/>
        <w:t>(d)</w:t>
      </w:r>
      <w:r>
        <w:tab/>
        <w:t xml:space="preserve">if the medically retired member instituted an appeal under section 33ZI — the appeal — </w:t>
      </w:r>
    </w:p>
    <w:p>
      <w:pPr>
        <w:pStyle w:val="Indenti"/>
      </w:pPr>
      <w:r>
        <w:tab/>
        <w:t>(i)</w:t>
      </w:r>
      <w:r>
        <w:tab/>
        <w:t>was decided without an order being made under section 33ZM(2); or</w:t>
      </w:r>
    </w:p>
    <w:p>
      <w:pPr>
        <w:pStyle w:val="Indenti"/>
      </w:pPr>
      <w:r>
        <w:tab/>
        <w:t>(ii)</w:t>
      </w:r>
      <w:r>
        <w:tab/>
        <w:t>was discontinued before being decided.</w:t>
      </w:r>
    </w:p>
    <w:p>
      <w:pPr>
        <w:pStyle w:val="Subsection"/>
      </w:pPr>
      <w:r>
        <w:tab/>
        <w:t>(2)</w:t>
      </w:r>
      <w:r>
        <w:tab/>
        <w:t xml:space="preserve">However, this Division does not apply, and is taken never to have applied, to a medically retired member if — </w:t>
      </w:r>
    </w:p>
    <w:p>
      <w:pPr>
        <w:pStyle w:val="Indenta"/>
      </w:pPr>
      <w:r>
        <w:tab/>
        <w:t>(a)</w:t>
      </w:r>
      <w:r>
        <w:tab/>
        <w:t>the Police Commissioner’s decision under section 33ZE(1)(a) is revoked under section 33ZG(3); or</w:t>
      </w:r>
    </w:p>
    <w:p>
      <w:pPr>
        <w:pStyle w:val="Indenta"/>
      </w:pPr>
      <w:r>
        <w:tab/>
        <w:t>(b)</w:t>
      </w:r>
      <w:r>
        <w:tab/>
        <w:t>the medically retired member resigns under section 33ZH.</w:t>
      </w:r>
    </w:p>
    <w:p>
      <w:pPr>
        <w:pStyle w:val="Subsection"/>
      </w:pPr>
      <w:r>
        <w:tab/>
        <w:t>(3)</w:t>
      </w:r>
      <w:r>
        <w:tab/>
        <w:t>Subsection (1) does not limit the application of sections 33ZW and 33ZZ in relation to the assessment of a member who is not a medically retired member to whom this Division applies but sections 33ZV, 33ZW(3) and 33ZZ(3) and Division 3 do not apply until that member becomes a medically retired member to whom this Division applies.</w:t>
      </w:r>
    </w:p>
    <w:p>
      <w:pPr>
        <w:pStyle w:val="Subsection"/>
        <w:keepNext/>
      </w:pPr>
      <w:r>
        <w:lastRenderedPageBreak/>
        <w:tab/>
        <w:t>(4)</w:t>
      </w:r>
      <w:r>
        <w:tab/>
        <w:t>Subsection (2) does not limit the generality of sections 33ZG(6) and 33ZH(4).</w:t>
      </w:r>
    </w:p>
    <w:p>
      <w:pPr>
        <w:pStyle w:val="Footnotesection"/>
      </w:pPr>
      <w:r>
        <w:tab/>
        <w:t>[Section 33ZU inserted: No. 26 of 2021 s. 4.]</w:t>
      </w:r>
    </w:p>
    <w:p>
      <w:pPr>
        <w:pStyle w:val="Heading5"/>
      </w:pPr>
      <w:bookmarkStart w:id="121" w:name="_Toc91142168"/>
      <w:r>
        <w:rPr>
          <w:rStyle w:val="CharSectno"/>
        </w:rPr>
        <w:t>33ZV</w:t>
      </w:r>
      <w:r>
        <w:t>.</w:t>
      </w:r>
      <w:r>
        <w:tab/>
        <w:t>Police Commissioner to pay compensation</w:t>
      </w:r>
      <w:bookmarkEnd w:id="121"/>
    </w:p>
    <w:p>
      <w:pPr>
        <w:pStyle w:val="Subsection"/>
      </w:pPr>
      <w:r>
        <w:tab/>
        <w:t>(1)</w:t>
      </w:r>
      <w:r>
        <w:tab/>
        <w:t xml:space="preserve">The Police Commissioner must pay the medically retired member the following amounts — </w:t>
      </w:r>
    </w:p>
    <w:p>
      <w:pPr>
        <w:pStyle w:val="Indenta"/>
      </w:pPr>
      <w:r>
        <w:tab/>
        <w:t>(a)</w:t>
      </w:r>
      <w:r>
        <w:tab/>
        <w:t>subject to subsection (2), any amount or amounts of compensation to which the medically retired member is entitled under section 33ZW(3);</w:t>
      </w:r>
    </w:p>
    <w:p>
      <w:pPr>
        <w:pStyle w:val="Indenta"/>
      </w:pPr>
      <w:r>
        <w:tab/>
        <w:t>(b)</w:t>
      </w:r>
      <w:r>
        <w:tab/>
        <w:t>the salary amount, if any, payable under subsection (3);</w:t>
      </w:r>
    </w:p>
    <w:p>
      <w:pPr>
        <w:pStyle w:val="Indenta"/>
      </w:pPr>
      <w:r>
        <w:tab/>
        <w:t>(c)</w:t>
      </w:r>
      <w:r>
        <w:tab/>
        <w:t>the vocational rehabilitation amount;</w:t>
      </w:r>
    </w:p>
    <w:p>
      <w:pPr>
        <w:pStyle w:val="Indenta"/>
      </w:pPr>
      <w:r>
        <w:tab/>
        <w:t>(d)</w:t>
      </w:r>
      <w:r>
        <w:tab/>
        <w:t>any amount of compensation to which the medically retired member is entitled under section 33ZZ(3).</w:t>
      </w:r>
    </w:p>
    <w:p>
      <w:pPr>
        <w:pStyle w:val="Subsection"/>
      </w:pPr>
      <w:r>
        <w:tab/>
        <w:t>(2)</w:t>
      </w:r>
      <w:r>
        <w:tab/>
        <w:t xml:space="preserve">The maximum amount that the Police Commissioner can be required to pay, in total, under subsection (1)(a) is the prescribed amount for the financial year that is the entitlement financial year of the medically retired member (the </w:t>
      </w:r>
      <w:r>
        <w:rPr>
          <w:rStyle w:val="CharDefText"/>
        </w:rPr>
        <w:t>member’s prescribed amount</w:t>
      </w:r>
      <w:r>
        <w:t>).</w:t>
      </w:r>
    </w:p>
    <w:p>
      <w:pPr>
        <w:pStyle w:val="Subsection"/>
      </w:pPr>
      <w:r>
        <w:tab/>
        <w:t>(3)</w:t>
      </w:r>
      <w:r>
        <w:tab/>
        <w:t xml:space="preserve">If the amount, or the total of amounts, required to be paid to the medically retired member under subsection (1)(a) is less than the member’s prescribed amount, the Police Commissioner must pay the medically retired member a salary amount, being the maximum amount that — </w:t>
      </w:r>
    </w:p>
    <w:p>
      <w:pPr>
        <w:pStyle w:val="Indenta"/>
      </w:pPr>
      <w:r>
        <w:tab/>
        <w:t>(a)</w:t>
      </w:r>
      <w:r>
        <w:tab/>
        <w:t>when aggregated with the amount or amounts required to be paid to the medically retired member under subsection (1)(a) results in an amount that does not exceed the member’s prescribed amount; and</w:t>
      </w:r>
    </w:p>
    <w:p>
      <w:pPr>
        <w:pStyle w:val="Indenta"/>
      </w:pPr>
      <w:r>
        <w:tab/>
        <w:t>(b)</w:t>
      </w:r>
      <w:r>
        <w:tab/>
        <w:t>does not exceed the annual salary of the medically retired member on their retirement day.</w:t>
      </w:r>
    </w:p>
    <w:p>
      <w:pPr>
        <w:pStyle w:val="Subsection"/>
        <w:keepNext/>
      </w:pPr>
      <w:r>
        <w:lastRenderedPageBreak/>
        <w:tab/>
        <w:t>(4)</w:t>
      </w:r>
      <w:r>
        <w:tab/>
        <w:t xml:space="preserve">For the purposes of subsection (1)(c), the </w:t>
      </w:r>
      <w:r>
        <w:rPr>
          <w:rStyle w:val="CharDefText"/>
        </w:rPr>
        <w:t>vocational rehabilitation amount</w:t>
      </w:r>
      <w:r>
        <w:t xml:space="preserve"> is 7% of the member’s prescribed amount.</w:t>
      </w:r>
    </w:p>
    <w:p>
      <w:pPr>
        <w:pStyle w:val="PermNoteHeading"/>
      </w:pPr>
      <w:r>
        <w:tab/>
        <w:t>Example for this section:</w:t>
      </w:r>
    </w:p>
    <w:p>
      <w:pPr>
        <w:pStyle w:val="PermNoteText"/>
      </w:pPr>
      <w:r>
        <w:tab/>
      </w:r>
      <w:r>
        <w:tab/>
        <w:t xml:space="preserve">The compensation amount under section 33ZW(3) is $110 000. The medically retired member’s salary on retirement day was $103 000. The member’s prescribed amount is $239 179. </w:t>
      </w:r>
    </w:p>
    <w:p>
      <w:pPr>
        <w:pStyle w:val="PermNoteText"/>
      </w:pPr>
      <w:r>
        <w:tab/>
      </w:r>
      <w:r>
        <w:tab/>
        <w:t>The medically retired member will be paid $110 000 plus $103 000 (because the total of these 2 amounts will not exceed the prescribed amount) plus a vocational rehabilitation amount of $16 743. If the member qualifies for compensation under section 33ZZ for permanent total incapacity for work, the member is entitled to a further amount of up to $179 384.</w:t>
      </w:r>
    </w:p>
    <w:p>
      <w:pPr>
        <w:pStyle w:val="Footnotesection"/>
      </w:pPr>
      <w:r>
        <w:tab/>
        <w:t>[Section 33ZV inserted: No. 26 of 2021 s. 4.]</w:t>
      </w:r>
    </w:p>
    <w:p>
      <w:pPr>
        <w:pStyle w:val="Heading5"/>
      </w:pPr>
      <w:bookmarkStart w:id="122" w:name="_Toc91142169"/>
      <w:r>
        <w:rPr>
          <w:rStyle w:val="CharSectno"/>
        </w:rPr>
        <w:t>33ZW</w:t>
      </w:r>
      <w:r>
        <w:t>.</w:t>
      </w:r>
      <w:r>
        <w:tab/>
        <w:t>Compensation for permanent impairment</w:t>
      </w:r>
      <w:bookmarkEnd w:id="122"/>
    </w:p>
    <w:p>
      <w:pPr>
        <w:pStyle w:val="Subsection"/>
      </w:pPr>
      <w:r>
        <w:tab/>
        <w:t>(1)</w:t>
      </w:r>
      <w:r>
        <w:tab/>
        <w:t xml:space="preserve">In this section — </w:t>
      </w:r>
    </w:p>
    <w:p>
      <w:pPr>
        <w:pStyle w:val="Defstart"/>
      </w:pPr>
      <w:r>
        <w:tab/>
      </w:r>
      <w:r>
        <w:rPr>
          <w:rStyle w:val="CharDefText"/>
        </w:rPr>
        <w:t>degree of permanent impairment</w:t>
      </w:r>
      <w:r>
        <w:t xml:space="preserve"> means — </w:t>
      </w:r>
    </w:p>
    <w:p>
      <w:pPr>
        <w:pStyle w:val="Defpara"/>
      </w:pPr>
      <w:r>
        <w:tab/>
        <w:t>(a)</w:t>
      </w:r>
      <w:r>
        <w:tab/>
        <w:t>except as provided in paragraph (b) — the degree of permanent impairment of a part or faculty of the body; or</w:t>
      </w:r>
    </w:p>
    <w:p>
      <w:pPr>
        <w:pStyle w:val="Defpara"/>
      </w:pPr>
      <w:r>
        <w:tab/>
        <w:t>(b)</w:t>
      </w:r>
      <w:r>
        <w:tab/>
        <w:t>in the case of scarring referred to in Schedule 2 item 80 or 81 of the WC&amp;IM Act — the degree of permanent whole of person impairment.</w:t>
      </w:r>
    </w:p>
    <w:p>
      <w:pPr>
        <w:pStyle w:val="Subsection"/>
      </w:pPr>
      <w:r>
        <w:tab/>
        <w:t>(2)</w:t>
      </w:r>
      <w:r>
        <w:tab/>
        <w:t>The Police Commissioner may appoint a person designated as an approved medical specialist under section 146F of the WC&amp;IM Act to be an approved medical specialist for the purposes of this section.</w:t>
      </w:r>
    </w:p>
    <w:p>
      <w:pPr>
        <w:pStyle w:val="Subsection"/>
      </w:pPr>
      <w:r>
        <w:tab/>
        <w:t>(3)</w:t>
      </w:r>
      <w:r>
        <w:tab/>
        <w:t xml:space="preserve">The medically retired member is entitled to compensation under this subsection if — </w:t>
      </w:r>
    </w:p>
    <w:p>
      <w:pPr>
        <w:pStyle w:val="Indenta"/>
      </w:pPr>
      <w:r>
        <w:tab/>
        <w:t>(a)</w:t>
      </w:r>
      <w:r>
        <w:tab/>
        <w:t>on their entitlement day the medically retired member has a permanent impairment that is an impairment mentioned in column 1 of the Table in Schedule 2 Part 2 of the WC&amp;IM Act; and</w:t>
      </w:r>
    </w:p>
    <w:p>
      <w:pPr>
        <w:pStyle w:val="Indenta"/>
      </w:pPr>
      <w:r>
        <w:lastRenderedPageBreak/>
        <w:tab/>
        <w:t>(b)</w:t>
      </w:r>
      <w:r>
        <w:tab/>
        <w:t>the permanent impairment resulted from a compensable medical condition that the medically retired member has or had; and</w:t>
      </w:r>
    </w:p>
    <w:p>
      <w:pPr>
        <w:pStyle w:val="Indenta"/>
      </w:pPr>
      <w:r>
        <w:tab/>
        <w:t>(c)</w:t>
      </w:r>
      <w:r>
        <w:tab/>
        <w:t>the compensable medical condition is or was a personal injury by accident.</w:t>
      </w:r>
    </w:p>
    <w:p>
      <w:pPr>
        <w:pStyle w:val="Subsection"/>
      </w:pPr>
      <w:r>
        <w:tab/>
        <w:t>(4)</w:t>
      </w:r>
      <w:r>
        <w:tab/>
        <w:t xml:space="preserve">The Police Commissioner — </w:t>
      </w:r>
    </w:p>
    <w:p>
      <w:pPr>
        <w:pStyle w:val="Indenta"/>
      </w:pPr>
      <w:r>
        <w:tab/>
        <w:t>(a)</w:t>
      </w:r>
      <w:r>
        <w:tab/>
        <w:t xml:space="preserve">may arrange for the assessment under subsection (5) of, and give a notice under subsection (6) in respect of — </w:t>
      </w:r>
    </w:p>
    <w:p>
      <w:pPr>
        <w:pStyle w:val="Indenti"/>
      </w:pPr>
      <w:r>
        <w:tab/>
        <w:t>(i)</w:t>
      </w:r>
      <w:r>
        <w:tab/>
        <w:t>a member who has been directed to submit to an examination under section 33ZC; or</w:t>
      </w:r>
    </w:p>
    <w:p>
      <w:pPr>
        <w:pStyle w:val="Indenti"/>
      </w:pPr>
      <w:r>
        <w:tab/>
        <w:t>(ii)</w:t>
      </w:r>
      <w:r>
        <w:tab/>
        <w:t>a medically retired member whose entitlement day has not fallen;</w:t>
      </w:r>
    </w:p>
    <w:p>
      <w:pPr>
        <w:pStyle w:val="Indenta"/>
      </w:pPr>
      <w:r>
        <w:tab/>
      </w:r>
      <w:r>
        <w:tab/>
        <w:t>or</w:t>
      </w:r>
    </w:p>
    <w:p>
      <w:pPr>
        <w:pStyle w:val="Indenta"/>
      </w:pPr>
      <w:r>
        <w:tab/>
        <w:t>(b)</w:t>
      </w:r>
      <w:r>
        <w:tab/>
        <w:t>if the medically retired member is entitled to compensation under subsection (3) and has not been assessed under subsection (5), must arrange for that assessment and give a notice under subsection (6) in respect of the medically retired member.</w:t>
      </w:r>
    </w:p>
    <w:p>
      <w:pPr>
        <w:pStyle w:val="PermNoteHeading"/>
      </w:pPr>
      <w:r>
        <w:tab/>
        <w:t>Example for paragraph (a):</w:t>
      </w:r>
    </w:p>
    <w:p>
      <w:pPr>
        <w:pStyle w:val="PermNoteText"/>
      </w:pPr>
      <w:r>
        <w:tab/>
      </w:r>
      <w:r>
        <w:tab/>
        <w:t>The assessment may be made, and the notice may be given, in parallel with the process under Part IIC that leads to retirement on medical grounds.</w:t>
      </w:r>
    </w:p>
    <w:p>
      <w:pPr>
        <w:pStyle w:val="Subsection"/>
      </w:pPr>
      <w:r>
        <w:tab/>
        <w:t>(5)</w:t>
      </w:r>
      <w:r>
        <w:tab/>
        <w:t xml:space="preserve">For the purposes of subsection (4) — </w:t>
      </w:r>
    </w:p>
    <w:p>
      <w:pPr>
        <w:pStyle w:val="Indenta"/>
      </w:pPr>
      <w:r>
        <w:tab/>
        <w:t>(a)</w:t>
      </w:r>
      <w:r>
        <w:tab/>
        <w:t>the degree of permanent impairment must be assessed, as a percentage, by an approved medical specialist; and</w:t>
      </w:r>
    </w:p>
    <w:p>
      <w:pPr>
        <w:pStyle w:val="Indenta"/>
      </w:pPr>
      <w:r>
        <w:tab/>
        <w:t>(b)</w:t>
      </w:r>
      <w:r>
        <w:tab/>
        <w:t>subject to regulations made for the purposes of section 33ZZI(1), the degree of permanent impairment must be assessed in accordance with the WorkCover Guides as in force when the assessment is made.</w:t>
      </w:r>
    </w:p>
    <w:p>
      <w:pPr>
        <w:pStyle w:val="Subsection"/>
      </w:pPr>
      <w:r>
        <w:tab/>
        <w:t>(6)</w:t>
      </w:r>
      <w:r>
        <w:tab/>
        <w:t>The Police Commissioner must give the member assessed a notice specifying the degree of permanent impairment as assessed.</w:t>
      </w:r>
    </w:p>
    <w:p>
      <w:pPr>
        <w:pStyle w:val="Subsection"/>
      </w:pPr>
      <w:r>
        <w:lastRenderedPageBreak/>
        <w:tab/>
        <w:t>(7)</w:t>
      </w:r>
      <w:r>
        <w:tab/>
        <w:t>The amount of compensation to which the medically retired member is entitled under subsection (3) is X% of the prescribed amount for the financial year that is the entitlement financial year of the medically retired member, where X% is the percentage indicated, in relation to the impairment, in column 2 of the Table in Schedule 2 Part 2 of the WC&amp;IM Act.</w:t>
      </w:r>
    </w:p>
    <w:p>
      <w:pPr>
        <w:pStyle w:val="Subsection"/>
      </w:pPr>
      <w:r>
        <w:tab/>
        <w:t>(8)</w:t>
      </w:r>
      <w:r>
        <w:tab/>
        <w:t>However, if the degree of permanent impairment assessed under subsection (5) is less than 100%, the amount of compensation is reduced to Y% of the amount that it would otherwise be under subsection (7), where Y% is the degree of permanent impairment.</w:t>
      </w:r>
    </w:p>
    <w:p>
      <w:pPr>
        <w:pStyle w:val="Subsection"/>
      </w:pPr>
      <w:r>
        <w:tab/>
        <w:t>(9)</w:t>
      </w:r>
      <w:r>
        <w:tab/>
        <w:t>Subsections (3) to (8) are subject to sections 33ZX and 33ZY.</w:t>
      </w:r>
    </w:p>
    <w:p>
      <w:pPr>
        <w:pStyle w:val="Subsection"/>
      </w:pPr>
      <w:r>
        <w:tab/>
        <w:t>(10)</w:t>
      </w:r>
      <w:r>
        <w:tab/>
        <w:t xml:space="preserve">If the medically retired member has 2 or more permanent impairments as referred to in subsection (3) — </w:t>
      </w:r>
    </w:p>
    <w:p>
      <w:pPr>
        <w:pStyle w:val="Indenta"/>
      </w:pPr>
      <w:r>
        <w:tab/>
        <w:t>(a)</w:t>
      </w:r>
      <w:r>
        <w:tab/>
        <w:t>subsections (3) to (9) apply separately in relation to each permanent impairment; but</w:t>
      </w:r>
    </w:p>
    <w:p>
      <w:pPr>
        <w:pStyle w:val="Indenta"/>
      </w:pPr>
      <w:r>
        <w:tab/>
        <w:t>(b)</w:t>
      </w:r>
      <w:r>
        <w:tab/>
        <w:t>the maximum amount of compensation to which the medically retired member can be entitled, in total, under subsection (3) is the prescribed amount for the financial year that is the entitlement financial year of the medically retired member.</w:t>
      </w:r>
    </w:p>
    <w:p>
      <w:pPr>
        <w:pStyle w:val="Footnotesection"/>
      </w:pPr>
      <w:r>
        <w:tab/>
        <w:t>[Section 33ZW inserted: No. 26 of 2021 s. 4.]</w:t>
      </w:r>
    </w:p>
    <w:p>
      <w:pPr>
        <w:pStyle w:val="Heading5"/>
      </w:pPr>
      <w:bookmarkStart w:id="123" w:name="_Toc91142170"/>
      <w:r>
        <w:rPr>
          <w:rStyle w:val="CharSectno"/>
        </w:rPr>
        <w:t>33ZX</w:t>
      </w:r>
      <w:r>
        <w:t>.</w:t>
      </w:r>
      <w:r>
        <w:tab/>
        <w:t>Noise induced hearing loss</w:t>
      </w:r>
      <w:bookmarkEnd w:id="123"/>
    </w:p>
    <w:p>
      <w:pPr>
        <w:pStyle w:val="Subsection"/>
      </w:pPr>
      <w:r>
        <w:tab/>
        <w:t>(1)</w:t>
      </w:r>
      <w:r>
        <w:tab/>
        <w:t xml:space="preserve">In this section — </w:t>
      </w:r>
    </w:p>
    <w:p>
      <w:pPr>
        <w:pStyle w:val="Defstart"/>
      </w:pPr>
      <w:r>
        <w:tab/>
      </w:r>
      <w:r>
        <w:rPr>
          <w:rStyle w:val="CharDefText"/>
        </w:rPr>
        <w:t>loss of hearing</w:t>
      </w:r>
      <w:r>
        <w:t xml:space="preserve"> means percentage loss of hearing calculated in accordance with the National Acoustic Laboratory Tables prescribed for the purposes of section 31E(6) of the WC&amp;IM Act;</w:t>
      </w:r>
    </w:p>
    <w:p>
      <w:pPr>
        <w:pStyle w:val="Defstart"/>
      </w:pPr>
      <w:r>
        <w:tab/>
      </w:r>
      <w:r>
        <w:rPr>
          <w:rStyle w:val="CharDefText"/>
        </w:rPr>
        <w:t>noise induced hearing loss</w:t>
      </w:r>
      <w:r>
        <w:t xml:space="preserve"> means noise induced loss or diminution of a person’s hearing.</w:t>
      </w:r>
    </w:p>
    <w:p>
      <w:pPr>
        <w:pStyle w:val="Subsection"/>
        <w:keepNext/>
      </w:pPr>
      <w:r>
        <w:lastRenderedPageBreak/>
        <w:tab/>
        <w:t>(2)</w:t>
      </w:r>
      <w:r>
        <w:tab/>
        <w:t xml:space="preserve">Subsection (3) applies if — </w:t>
      </w:r>
    </w:p>
    <w:p>
      <w:pPr>
        <w:pStyle w:val="Indenta"/>
      </w:pPr>
      <w:r>
        <w:tab/>
        <w:t>(a)</w:t>
      </w:r>
      <w:r>
        <w:tab/>
        <w:t>on their entitlement day, the medically retired member has a permanent impairment of hearing that is noise induced hearing loss of at least 10% loss of hearing; and</w:t>
      </w:r>
    </w:p>
    <w:p>
      <w:pPr>
        <w:pStyle w:val="Indenta"/>
      </w:pPr>
      <w:r>
        <w:tab/>
        <w:t>(b)</w:t>
      </w:r>
      <w:r>
        <w:tab/>
        <w:t>the permanent impairment resulted from a compensable medical condition that the medically retired member has or had; and</w:t>
      </w:r>
    </w:p>
    <w:p>
      <w:pPr>
        <w:pStyle w:val="Indenta"/>
      </w:pPr>
      <w:r>
        <w:tab/>
        <w:t>(c)</w:t>
      </w:r>
      <w:r>
        <w:tab/>
        <w:t>the compensable medical condition is not, or was not, a personal injury by accident.</w:t>
      </w:r>
    </w:p>
    <w:p>
      <w:pPr>
        <w:pStyle w:val="Subsection"/>
      </w:pPr>
      <w:r>
        <w:tab/>
        <w:t>(3)</w:t>
      </w:r>
      <w:r>
        <w:tab/>
        <w:t>Section 33ZW applies in relation to the permanent impairment with the omission of subsection (3)(b) and (c) of that section.</w:t>
      </w:r>
    </w:p>
    <w:p>
      <w:pPr>
        <w:pStyle w:val="PermNoteHeading"/>
      </w:pPr>
      <w:r>
        <w:tab/>
        <w:t>Note for this section:</w:t>
      </w:r>
    </w:p>
    <w:p>
      <w:pPr>
        <w:pStyle w:val="PermNoteText"/>
      </w:pPr>
      <w:r>
        <w:tab/>
      </w:r>
      <w:r>
        <w:tab/>
        <w:t>Impairment of hearing is mentioned in Schedule 2 item 44 of the WC&amp;IM Act.</w:t>
      </w:r>
    </w:p>
    <w:p>
      <w:pPr>
        <w:pStyle w:val="Footnotesection"/>
      </w:pPr>
      <w:r>
        <w:tab/>
        <w:t>[Section 33ZX inserted: No. 26 of 2021 s. 4.]</w:t>
      </w:r>
    </w:p>
    <w:p>
      <w:pPr>
        <w:pStyle w:val="Heading5"/>
      </w:pPr>
      <w:bookmarkStart w:id="124" w:name="_Toc91142171"/>
      <w:r>
        <w:rPr>
          <w:rStyle w:val="CharSectno"/>
        </w:rPr>
        <w:t>33ZY</w:t>
      </w:r>
      <w:r>
        <w:t>.</w:t>
      </w:r>
      <w:r>
        <w:tab/>
        <w:t>AIDS</w:t>
      </w:r>
      <w:bookmarkEnd w:id="124"/>
    </w:p>
    <w:p>
      <w:pPr>
        <w:pStyle w:val="Subsection"/>
      </w:pPr>
      <w:r>
        <w:tab/>
        <w:t>(1)</w:t>
      </w:r>
      <w:r>
        <w:tab/>
        <w:t xml:space="preserve">Subsections (2) and (3) apply if — </w:t>
      </w:r>
    </w:p>
    <w:p>
      <w:pPr>
        <w:pStyle w:val="Indenta"/>
      </w:pPr>
      <w:r>
        <w:tab/>
        <w:t>(a)</w:t>
      </w:r>
      <w:r>
        <w:tab/>
        <w:t>on their entitlement day, the medically retired member has acquired immune deficiency syndrome (</w:t>
      </w:r>
      <w:r>
        <w:rPr>
          <w:rStyle w:val="CharDefText"/>
        </w:rPr>
        <w:t>AIDS</w:t>
      </w:r>
      <w:r>
        <w:t>); and</w:t>
      </w:r>
    </w:p>
    <w:p>
      <w:pPr>
        <w:pStyle w:val="Indenta"/>
      </w:pPr>
      <w:r>
        <w:tab/>
        <w:t>(b)</w:t>
      </w:r>
      <w:r>
        <w:tab/>
        <w:t>the medically retired member’s earlier infection with human immunodeficiency virus was a compensable medical condition that occurred by accident.</w:t>
      </w:r>
    </w:p>
    <w:p>
      <w:pPr>
        <w:pStyle w:val="Subsection"/>
      </w:pPr>
      <w:r>
        <w:tab/>
        <w:t>(2)</w:t>
      </w:r>
      <w:r>
        <w:tab/>
        <w:t>AIDS is taken to result in a degree of permanent impairment of 100%.</w:t>
      </w:r>
    </w:p>
    <w:p>
      <w:pPr>
        <w:pStyle w:val="Subsection"/>
      </w:pPr>
      <w:r>
        <w:tab/>
        <w:t>(3)</w:t>
      </w:r>
      <w:r>
        <w:tab/>
        <w:t>Section 33ZW applies in relation to AIDS with the omission of subsections (3)(b) and (c) and (4) to (8) of that section.</w:t>
      </w:r>
    </w:p>
    <w:p>
      <w:pPr>
        <w:pStyle w:val="PermNoteHeading"/>
      </w:pPr>
      <w:r>
        <w:tab/>
        <w:t>Note for this section:</w:t>
      </w:r>
    </w:p>
    <w:p>
      <w:pPr>
        <w:pStyle w:val="PermNoteText"/>
      </w:pPr>
      <w:r>
        <w:tab/>
      </w:r>
      <w:r>
        <w:tab/>
        <w:t>AIDS is mentioned in Schedule 2 item 82 of the WC&amp;IM Act.</w:t>
      </w:r>
    </w:p>
    <w:p>
      <w:pPr>
        <w:pStyle w:val="Footnotesection"/>
      </w:pPr>
      <w:r>
        <w:tab/>
        <w:t>[Section 33ZY inserted: No. 26 of 2021 s. 4.]</w:t>
      </w:r>
    </w:p>
    <w:p>
      <w:pPr>
        <w:pStyle w:val="Heading5"/>
      </w:pPr>
      <w:bookmarkStart w:id="125" w:name="_Toc91142172"/>
      <w:r>
        <w:rPr>
          <w:rStyle w:val="CharSectno"/>
        </w:rPr>
        <w:lastRenderedPageBreak/>
        <w:t>33ZZ</w:t>
      </w:r>
      <w:r>
        <w:t>.</w:t>
      </w:r>
      <w:r>
        <w:tab/>
        <w:t>Compensation for permanent total incapacity for work</w:t>
      </w:r>
      <w:bookmarkEnd w:id="125"/>
    </w:p>
    <w:p>
      <w:pPr>
        <w:pStyle w:val="Subsection"/>
      </w:pPr>
      <w:r>
        <w:tab/>
        <w:t>(1)</w:t>
      </w:r>
      <w:r>
        <w:tab/>
        <w:t xml:space="preserve">In this section — </w:t>
      </w:r>
    </w:p>
    <w:p>
      <w:pPr>
        <w:pStyle w:val="Defstart"/>
      </w:pPr>
      <w:r>
        <w:tab/>
      </w:r>
      <w:r>
        <w:rPr>
          <w:rStyle w:val="CharDefText"/>
        </w:rPr>
        <w:t>assessor</w:t>
      </w:r>
      <w:r>
        <w:t xml:space="preserve"> has the meaning given in subsection (5)(a);</w:t>
      </w:r>
    </w:p>
    <w:p>
      <w:pPr>
        <w:pStyle w:val="Defstart"/>
      </w:pPr>
      <w:r>
        <w:tab/>
      </w:r>
      <w:r>
        <w:rPr>
          <w:rStyle w:val="CharDefText"/>
        </w:rPr>
        <w:t>qualifies for compensation</w:t>
      </w:r>
      <w:r>
        <w:t xml:space="preserve"> has the meaning given in subsection (7).</w:t>
      </w:r>
    </w:p>
    <w:p>
      <w:pPr>
        <w:pStyle w:val="Subsection"/>
      </w:pPr>
      <w:r>
        <w:tab/>
        <w:t>(2)</w:t>
      </w:r>
      <w:r>
        <w:tab/>
        <w:t xml:space="preserve">The medically retired member may apply to the Police Commissioner for compensation under this subsection. </w:t>
      </w:r>
    </w:p>
    <w:p>
      <w:pPr>
        <w:pStyle w:val="Subsection"/>
      </w:pPr>
      <w:r>
        <w:tab/>
        <w:t>(3)</w:t>
      </w:r>
      <w:r>
        <w:tab/>
        <w:t>The medically retired member is entitled to compensation under this section if the assessor determines under subsection (5)(a)(i) that the medically retired member qualifies for compensation.</w:t>
      </w:r>
    </w:p>
    <w:p>
      <w:pPr>
        <w:pStyle w:val="Subsection"/>
      </w:pPr>
      <w:r>
        <w:tab/>
        <w:t>(4)</w:t>
      </w:r>
      <w:r>
        <w:tab/>
        <w:t>The amount of compensation to which the medically retired member is entitled under subsection (3) is the amount determined by the assessor under subsection (5)(a)(ii).</w:t>
      </w:r>
    </w:p>
    <w:p>
      <w:pPr>
        <w:pStyle w:val="Subsection"/>
      </w:pPr>
      <w:r>
        <w:tab/>
        <w:t>(5)</w:t>
      </w:r>
      <w:r>
        <w:tab/>
        <w:t xml:space="preserve">If the medically retired member applies to the Police Commissioner under subsection (2), the Police Commissioner must — </w:t>
      </w:r>
    </w:p>
    <w:p>
      <w:pPr>
        <w:pStyle w:val="Indenta"/>
      </w:pPr>
      <w:r>
        <w:tab/>
        <w:t>(a)</w:t>
      </w:r>
      <w:r>
        <w:tab/>
        <w:t xml:space="preserve">arrange for a suitably qualified legal practitioner (the </w:t>
      </w:r>
      <w:r>
        <w:rPr>
          <w:rStyle w:val="CharDefText"/>
        </w:rPr>
        <w:t>assessor</w:t>
      </w:r>
      <w:r>
        <w:t xml:space="preserve">), appointed by the Police Commissioner for the purpose, to do the following — </w:t>
      </w:r>
    </w:p>
    <w:p>
      <w:pPr>
        <w:pStyle w:val="Indenti"/>
      </w:pPr>
      <w:r>
        <w:tab/>
        <w:t>(i)</w:t>
      </w:r>
      <w:r>
        <w:tab/>
        <w:t>determine whether the medically retired member qualifies for compensation;</w:t>
      </w:r>
    </w:p>
    <w:p>
      <w:pPr>
        <w:pStyle w:val="Indenti"/>
      </w:pPr>
      <w:r>
        <w:tab/>
        <w:t>(ii)</w:t>
      </w:r>
      <w:r>
        <w:tab/>
        <w:t>if the assessor determines that the medically retired member qualifies for compensation — determine the amount of compensation in accordance with subsections (8) and (9);</w:t>
      </w:r>
    </w:p>
    <w:p>
      <w:pPr>
        <w:pStyle w:val="Indenta"/>
      </w:pPr>
      <w:r>
        <w:tab/>
      </w:r>
      <w:r>
        <w:tab/>
        <w:t>and</w:t>
      </w:r>
    </w:p>
    <w:p>
      <w:pPr>
        <w:pStyle w:val="Indenta"/>
      </w:pPr>
      <w:r>
        <w:tab/>
        <w:t>(b)</w:t>
      </w:r>
      <w:r>
        <w:tab/>
        <w:t xml:space="preserve">give the medically retired member a notice specifying the following — </w:t>
      </w:r>
    </w:p>
    <w:p>
      <w:pPr>
        <w:pStyle w:val="Indenti"/>
      </w:pPr>
      <w:r>
        <w:tab/>
        <w:t>(i)</w:t>
      </w:r>
      <w:r>
        <w:tab/>
        <w:t>the determination made by the assessor under paragraph (a)(i);</w:t>
      </w:r>
    </w:p>
    <w:p>
      <w:pPr>
        <w:pStyle w:val="Indenti"/>
      </w:pPr>
      <w:r>
        <w:lastRenderedPageBreak/>
        <w:tab/>
        <w:t>(ii)</w:t>
      </w:r>
      <w:r>
        <w:tab/>
        <w:t>if applicable — the amount of compensation determined by the assessor under paragraph (a)(ii).</w:t>
      </w:r>
    </w:p>
    <w:p>
      <w:pPr>
        <w:pStyle w:val="Subsection"/>
      </w:pPr>
      <w:r>
        <w:tab/>
        <w:t>(6)</w:t>
      </w:r>
      <w:r>
        <w:tab/>
        <w:t xml:space="preserve">A member who has been directed to submit to an examination under section 33ZC may apply under subsection (2) before being retired on medical grounds under Part IIC and in that case — </w:t>
      </w:r>
    </w:p>
    <w:p>
      <w:pPr>
        <w:pStyle w:val="Indenta"/>
      </w:pPr>
      <w:r>
        <w:tab/>
        <w:t>(a)</w:t>
      </w:r>
      <w:r>
        <w:tab/>
        <w:t>subsections (5), (7) and (8) apply as if the member were the medically retired member; but</w:t>
      </w:r>
    </w:p>
    <w:p>
      <w:pPr>
        <w:pStyle w:val="Indenta"/>
      </w:pPr>
      <w:r>
        <w:tab/>
        <w:t>(b)</w:t>
      </w:r>
      <w:r>
        <w:tab/>
        <w:t>subsection (3) does not apply to the member until the member becomes a medically retired member to whom this Division applies.</w:t>
      </w:r>
    </w:p>
    <w:p>
      <w:pPr>
        <w:pStyle w:val="PermNoteHeading"/>
      </w:pPr>
      <w:r>
        <w:tab/>
        <w:t>Example for this subsection:</w:t>
      </w:r>
    </w:p>
    <w:p>
      <w:pPr>
        <w:pStyle w:val="PermNoteText"/>
      </w:pPr>
      <w:r>
        <w:tab/>
      </w:r>
      <w:r>
        <w:tab/>
        <w:t>The determinations may be made, and the notice may be given, in parallel with the process under Part IIC that leads to retirement on medical grounds.</w:t>
      </w:r>
    </w:p>
    <w:p>
      <w:pPr>
        <w:pStyle w:val="Subsection"/>
      </w:pPr>
      <w:r>
        <w:tab/>
        <w:t>(7)</w:t>
      </w:r>
      <w:r>
        <w:tab/>
        <w:t xml:space="preserve">The medically retired member </w:t>
      </w:r>
      <w:r>
        <w:rPr>
          <w:rStyle w:val="CharDefText"/>
        </w:rPr>
        <w:t>qualifies for compensation</w:t>
      </w:r>
      <w:r>
        <w:t xml:space="preserve"> if — </w:t>
      </w:r>
    </w:p>
    <w:p>
      <w:pPr>
        <w:pStyle w:val="Indenta"/>
      </w:pPr>
      <w:r>
        <w:tab/>
        <w:t>(a)</w:t>
      </w:r>
      <w:r>
        <w:tab/>
        <w:t>on their entitlement day the medically retired member has a compensable medical condition; and</w:t>
      </w:r>
    </w:p>
    <w:p>
      <w:pPr>
        <w:pStyle w:val="Indenta"/>
      </w:pPr>
      <w:r>
        <w:tab/>
        <w:t>(b)</w:t>
      </w:r>
      <w:r>
        <w:tab/>
        <w:t>the medically retired member has a permanent total incapacity for work resulting from the compensable medical condition.</w:t>
      </w:r>
    </w:p>
    <w:p>
      <w:pPr>
        <w:pStyle w:val="Subsection"/>
      </w:pPr>
      <w:r>
        <w:tab/>
        <w:t>(8)</w:t>
      </w:r>
      <w:r>
        <w:tab/>
        <w:t>The amount of compensation must be an amount that is proper in the circumstances, having regard to the social and financial circumstances, and reasonable financial needs, of the medically retired member.</w:t>
      </w:r>
    </w:p>
    <w:p>
      <w:pPr>
        <w:pStyle w:val="Subsection"/>
      </w:pPr>
      <w:r>
        <w:tab/>
        <w:t>(9)</w:t>
      </w:r>
      <w:r>
        <w:tab/>
        <w:t>However, the maximum amount of compensation is 75% of the prescribed amount for the financial year that is the entitlement financial year of the medically retired member.</w:t>
      </w:r>
    </w:p>
    <w:p>
      <w:pPr>
        <w:pStyle w:val="Subsection"/>
      </w:pPr>
      <w:r>
        <w:tab/>
        <w:t>(10)</w:t>
      </w:r>
      <w:r>
        <w:tab/>
        <w:t>An application cannot be made under subsection (2) by a member who has previously made an application for compensation under this section.</w:t>
      </w:r>
    </w:p>
    <w:p>
      <w:pPr>
        <w:pStyle w:val="Subsection"/>
      </w:pPr>
      <w:r>
        <w:lastRenderedPageBreak/>
        <w:tab/>
        <w:t>(11)</w:t>
      </w:r>
      <w:r>
        <w:tab/>
        <w:t>The assessor is not subject to the management or direction of the Police Commissioner in relation to the making of a determination under subsection (5)(a).</w:t>
      </w:r>
    </w:p>
    <w:p>
      <w:pPr>
        <w:pStyle w:val="Footnotesection"/>
      </w:pPr>
      <w:r>
        <w:tab/>
        <w:t>[Section 33ZZ inserted: No. 26 of 2021 s. 4.]</w:t>
      </w:r>
    </w:p>
    <w:p>
      <w:pPr>
        <w:pStyle w:val="Heading3"/>
      </w:pPr>
      <w:bookmarkStart w:id="126" w:name="_Toc90990604"/>
      <w:bookmarkStart w:id="127" w:name="_Toc91142173"/>
      <w:r>
        <w:rPr>
          <w:rStyle w:val="CharDivNo"/>
        </w:rPr>
        <w:t>Division 3</w:t>
      </w:r>
      <w:r>
        <w:t> — </w:t>
      </w:r>
      <w:r>
        <w:rPr>
          <w:rStyle w:val="CharDivText"/>
        </w:rPr>
        <w:t>Dispute resolution</w:t>
      </w:r>
      <w:bookmarkEnd w:id="126"/>
      <w:bookmarkEnd w:id="127"/>
    </w:p>
    <w:p>
      <w:pPr>
        <w:pStyle w:val="Footnoteheading"/>
      </w:pPr>
      <w:r>
        <w:tab/>
        <w:t>[Heading inserted: No. 26 of 2021 s. 4.]</w:t>
      </w:r>
    </w:p>
    <w:p>
      <w:pPr>
        <w:pStyle w:val="Heading4"/>
      </w:pPr>
      <w:bookmarkStart w:id="128" w:name="_Toc90990605"/>
      <w:bookmarkStart w:id="129" w:name="_Toc91142174"/>
      <w:r>
        <w:t>Subdivision 1 — Police Compensation Tribunal</w:t>
      </w:r>
      <w:bookmarkEnd w:id="128"/>
      <w:bookmarkEnd w:id="129"/>
    </w:p>
    <w:p>
      <w:pPr>
        <w:pStyle w:val="Footnoteheading"/>
      </w:pPr>
      <w:r>
        <w:tab/>
        <w:t>[Heading inserted: No. 26 of 2021 s. 4.]</w:t>
      </w:r>
    </w:p>
    <w:p>
      <w:pPr>
        <w:pStyle w:val="Heading5"/>
      </w:pPr>
      <w:bookmarkStart w:id="130" w:name="_Toc91142175"/>
      <w:r>
        <w:rPr>
          <w:rStyle w:val="CharSectno"/>
        </w:rPr>
        <w:t>33ZZA</w:t>
      </w:r>
      <w:r>
        <w:t>.</w:t>
      </w:r>
      <w:r>
        <w:tab/>
        <w:t>Establishment and jurisdiction</w:t>
      </w:r>
      <w:bookmarkEnd w:id="130"/>
    </w:p>
    <w:p>
      <w:pPr>
        <w:pStyle w:val="Subsection"/>
      </w:pPr>
      <w:r>
        <w:tab/>
        <w:t>(1)</w:t>
      </w:r>
      <w:r>
        <w:tab/>
        <w:t xml:space="preserve">In this section — </w:t>
      </w:r>
    </w:p>
    <w:p>
      <w:pPr>
        <w:pStyle w:val="Defstart"/>
      </w:pPr>
      <w:r>
        <w:tab/>
      </w:r>
      <w:r>
        <w:rPr>
          <w:rStyle w:val="CharDefText"/>
        </w:rPr>
        <w:t>industrial Commissioner</w:t>
      </w:r>
      <w:r>
        <w:t xml:space="preserve"> means a commissioner as defined in the IR Act section 7(1);</w:t>
      </w:r>
    </w:p>
    <w:p>
      <w:pPr>
        <w:pStyle w:val="Defstart"/>
      </w:pPr>
      <w:r>
        <w:tab/>
      </w:r>
      <w:r>
        <w:rPr>
          <w:rStyle w:val="CharDefText"/>
        </w:rPr>
        <w:t>WAIRC</w:t>
      </w:r>
      <w:r>
        <w:t xml:space="preserve"> means The Western Australian Industrial Relations Commission continued and constituted under the IR Act.</w:t>
      </w:r>
    </w:p>
    <w:p>
      <w:pPr>
        <w:pStyle w:val="Subsection"/>
      </w:pPr>
      <w:r>
        <w:tab/>
        <w:t>(2)</w:t>
      </w:r>
      <w:r>
        <w:tab/>
        <w:t xml:space="preserve">The WAIRC has the jurisdiction given to the Police Compensation Tribunal (the </w:t>
      </w:r>
      <w:r>
        <w:rPr>
          <w:rStyle w:val="CharDefText"/>
        </w:rPr>
        <w:t>Tribunal</w:t>
      </w:r>
      <w:r>
        <w:t>) under this Division and, in exercising the jurisdiction, is to be known as the Police Compensation Tribunal.</w:t>
      </w:r>
    </w:p>
    <w:p>
      <w:pPr>
        <w:pStyle w:val="Subsection"/>
      </w:pPr>
      <w:r>
        <w:tab/>
        <w:t>(3)</w:t>
      </w:r>
      <w:r>
        <w:tab/>
        <w:t>The Tribunal’s jurisdiction is exercisable by the WAIRC constituted by an industrial Commissioner.</w:t>
      </w:r>
    </w:p>
    <w:p>
      <w:pPr>
        <w:pStyle w:val="Subsection"/>
      </w:pPr>
      <w:r>
        <w:tab/>
        <w:t>(4)</w:t>
      </w:r>
      <w:r>
        <w:tab/>
        <w:t>The Tribunal’s determination of a dispute lodged under section 33ZZB has effect according to its substance and the order under section 33ZZF(8) or 33ZZH(6) that contains the determination is an instrument to which section 83 of the IR Act applies.</w:t>
      </w:r>
    </w:p>
    <w:p>
      <w:pPr>
        <w:pStyle w:val="Footnotesection"/>
      </w:pPr>
      <w:r>
        <w:tab/>
        <w:t>[Section 33ZZA inserted: No. 26 of 2021 s. 4.]</w:t>
      </w:r>
    </w:p>
    <w:p>
      <w:pPr>
        <w:pStyle w:val="Heading5"/>
      </w:pPr>
      <w:bookmarkStart w:id="131" w:name="_Toc91142176"/>
      <w:r>
        <w:rPr>
          <w:rStyle w:val="CharSectno"/>
        </w:rPr>
        <w:lastRenderedPageBreak/>
        <w:t>33ZZB</w:t>
      </w:r>
      <w:r>
        <w:t>.</w:t>
      </w:r>
      <w:r>
        <w:tab/>
        <w:t>Lodgment of disputes</w:t>
      </w:r>
      <w:bookmarkEnd w:id="131"/>
    </w:p>
    <w:p>
      <w:pPr>
        <w:pStyle w:val="Subsection"/>
        <w:keepNext/>
      </w:pPr>
      <w:r>
        <w:tab/>
        <w:t>(1)</w:t>
      </w:r>
      <w:r>
        <w:tab/>
        <w:t xml:space="preserve">A medically retired member may, during the lodgment period, lodge a dispute with the Tribunal if — </w:t>
      </w:r>
    </w:p>
    <w:p>
      <w:pPr>
        <w:pStyle w:val="Indenta"/>
      </w:pPr>
      <w:r>
        <w:tab/>
        <w:t>(a)</w:t>
      </w:r>
      <w:r>
        <w:tab/>
        <w:t>the Police Commissioner gives the medically retired member a notice under section 33ZW(6) specifying a degree of permanent impairment as assessed under section 33ZW(5); and</w:t>
      </w:r>
    </w:p>
    <w:p>
      <w:pPr>
        <w:pStyle w:val="Indenta"/>
      </w:pPr>
      <w:r>
        <w:tab/>
        <w:t>(b)</w:t>
      </w:r>
      <w:r>
        <w:tab/>
        <w:t>the medically retired member disputes the degree of permanent impairment as assessed and, accordingly, wants the degree of permanent impairment to be assessed again.</w:t>
      </w:r>
    </w:p>
    <w:p>
      <w:pPr>
        <w:pStyle w:val="Subsection"/>
      </w:pPr>
      <w:r>
        <w:tab/>
        <w:t>(2)</w:t>
      </w:r>
      <w:r>
        <w:tab/>
        <w:t xml:space="preserve">For the purposes of subsection (1), the </w:t>
      </w:r>
      <w:r>
        <w:rPr>
          <w:rStyle w:val="CharDefText"/>
        </w:rPr>
        <w:t>lodgment period</w:t>
      </w:r>
      <w:r>
        <w:t xml:space="preserve"> is — </w:t>
      </w:r>
    </w:p>
    <w:p>
      <w:pPr>
        <w:pStyle w:val="Indenta"/>
      </w:pPr>
      <w:r>
        <w:tab/>
        <w:t>(a)</w:t>
      </w:r>
      <w:r>
        <w:tab/>
        <w:t>if the notice is given under section 33ZW(6) before the entitlement day of the medically retired member — the period of 28 days after the entitlement day; or</w:t>
      </w:r>
    </w:p>
    <w:p>
      <w:pPr>
        <w:pStyle w:val="Indenta"/>
      </w:pPr>
      <w:r>
        <w:tab/>
        <w:t>(b)</w:t>
      </w:r>
      <w:r>
        <w:tab/>
        <w:t>otherwise — the period of 28 days after the day on which the notice is given.</w:t>
      </w:r>
    </w:p>
    <w:p>
      <w:pPr>
        <w:pStyle w:val="Subsection"/>
      </w:pPr>
      <w:r>
        <w:tab/>
        <w:t>(3)</w:t>
      </w:r>
      <w:r>
        <w:tab/>
        <w:t xml:space="preserve">A medically retired member may, during the lodgment period, lodge a dispute with the Tribunal if — </w:t>
      </w:r>
    </w:p>
    <w:p>
      <w:pPr>
        <w:pStyle w:val="Indenta"/>
      </w:pPr>
      <w:r>
        <w:tab/>
        <w:t>(a)</w:t>
      </w:r>
      <w:r>
        <w:tab/>
        <w:t>the Police Commissioner gives the medically retired member a notice under section 33ZZ(5)(b) specifying that the assessor has determined under section 33ZZ(5)(a)(i) that the medically retired member does not qualify for compensation; and</w:t>
      </w:r>
    </w:p>
    <w:p>
      <w:pPr>
        <w:pStyle w:val="Indenta"/>
      </w:pPr>
      <w:r>
        <w:tab/>
        <w:t>(b)</w:t>
      </w:r>
      <w:r>
        <w:tab/>
        <w:t>the medically retired member disputes the assessor’s determination and, accordingly, wants the question of whether they qualify for compensation to be determined again.</w:t>
      </w:r>
    </w:p>
    <w:p>
      <w:pPr>
        <w:pStyle w:val="Subsection"/>
      </w:pPr>
      <w:r>
        <w:tab/>
        <w:t>(4)</w:t>
      </w:r>
      <w:r>
        <w:tab/>
        <w:t xml:space="preserve">A medically retired member may, during the lodgment period, lodge a dispute with the Tribunal if — </w:t>
      </w:r>
    </w:p>
    <w:p>
      <w:pPr>
        <w:pStyle w:val="Indenta"/>
      </w:pPr>
      <w:r>
        <w:tab/>
        <w:t>(a)</w:t>
      </w:r>
      <w:r>
        <w:tab/>
        <w:t xml:space="preserve">the Police Commissioner gives the medically retired member a notice under section 33ZZ(5)(b) specifying </w:t>
      </w:r>
      <w:r>
        <w:lastRenderedPageBreak/>
        <w:t>the amount of compensation determined by the assessor under section 33ZZ(5)(a)(ii); and</w:t>
      </w:r>
    </w:p>
    <w:p>
      <w:pPr>
        <w:pStyle w:val="Indenta"/>
      </w:pPr>
      <w:r>
        <w:tab/>
        <w:t>(b)</w:t>
      </w:r>
      <w:r>
        <w:tab/>
        <w:t>the medically retired member disputes the amount of compensation as determined and, accordingly, wants the amount to be determined again.</w:t>
      </w:r>
    </w:p>
    <w:p>
      <w:pPr>
        <w:pStyle w:val="Subsection"/>
      </w:pPr>
      <w:r>
        <w:tab/>
        <w:t>(5)</w:t>
      </w:r>
      <w:r>
        <w:tab/>
        <w:t xml:space="preserve">For the purposes of subsections (3) and (4), the </w:t>
      </w:r>
      <w:r>
        <w:rPr>
          <w:rStyle w:val="CharDefText"/>
        </w:rPr>
        <w:t>lodgment period</w:t>
      </w:r>
      <w:r>
        <w:t xml:space="preserve"> is the period of 28 days after the day on which the notice is given under section 33ZZ(5)(b).</w:t>
      </w:r>
    </w:p>
    <w:p>
      <w:pPr>
        <w:pStyle w:val="Subsection"/>
      </w:pPr>
      <w:r>
        <w:tab/>
        <w:t>(6)</w:t>
      </w:r>
      <w:r>
        <w:tab/>
        <w:t>The Tribunal may, in a particular case, extend the lodgment period for the purposes of subsection (1), (3) or (4).</w:t>
      </w:r>
    </w:p>
    <w:p>
      <w:pPr>
        <w:pStyle w:val="Subsection"/>
      </w:pPr>
      <w:r>
        <w:tab/>
        <w:t>(7)</w:t>
      </w:r>
      <w:r>
        <w:tab/>
        <w:t xml:space="preserve">A person may, on behalf of a medically retired member, dispute a matter as referred to in subsection (1)(b), (3)(b) or (4)(b), and lodge the dispute with the Tribunal during the lodgment period accordingly, if — </w:t>
      </w:r>
    </w:p>
    <w:p>
      <w:pPr>
        <w:pStyle w:val="Indenta"/>
      </w:pPr>
      <w:r>
        <w:tab/>
        <w:t>(a)</w:t>
      </w:r>
      <w:r>
        <w:tab/>
        <w:t>the person has reason to believe that the medically retired member is incapable, on medical grounds (whether physical or mental or both), of disputing the matter; and</w:t>
      </w:r>
    </w:p>
    <w:p>
      <w:pPr>
        <w:pStyle w:val="Indenta"/>
      </w:pPr>
      <w:r>
        <w:tab/>
        <w:t>(b)</w:t>
      </w:r>
      <w:r>
        <w:tab/>
        <w:t>the person is of a class prescribed under IR regulations for the purposes of this paragraph; and</w:t>
      </w:r>
    </w:p>
    <w:p>
      <w:pPr>
        <w:pStyle w:val="Indenta"/>
      </w:pPr>
      <w:r>
        <w:tab/>
        <w:t>(c)</w:t>
      </w:r>
      <w:r>
        <w:tab/>
        <w:t>any conditions prescribed under IR regulations for the purposes of this paragraph are met.</w:t>
      </w:r>
    </w:p>
    <w:p>
      <w:pPr>
        <w:pStyle w:val="Subsection"/>
      </w:pPr>
      <w:r>
        <w:tab/>
        <w:t>(8)</w:t>
      </w:r>
      <w:r>
        <w:tab/>
        <w:t xml:space="preserve">This section does not apply, and is taken never to have applied, to a medically retired member if — </w:t>
      </w:r>
    </w:p>
    <w:p>
      <w:pPr>
        <w:pStyle w:val="Indenta"/>
      </w:pPr>
      <w:r>
        <w:tab/>
        <w:t>(a)</w:t>
      </w:r>
      <w:r>
        <w:tab/>
        <w:t>the Police Commissioner’s decision under section 33ZE(1)(a) is revoked under section 33ZG(3); or</w:t>
      </w:r>
    </w:p>
    <w:p>
      <w:pPr>
        <w:pStyle w:val="Indenta"/>
      </w:pPr>
      <w:r>
        <w:tab/>
        <w:t>(b)</w:t>
      </w:r>
      <w:r>
        <w:tab/>
        <w:t>the medically retired member resigns under section 33ZH.</w:t>
      </w:r>
    </w:p>
    <w:p>
      <w:pPr>
        <w:pStyle w:val="Subsection"/>
      </w:pPr>
      <w:r>
        <w:tab/>
        <w:t>(9)</w:t>
      </w:r>
      <w:r>
        <w:tab/>
        <w:t>Subsection (8) does not limit the generality of sections 33ZG(6) and 33ZH(4).</w:t>
      </w:r>
    </w:p>
    <w:p>
      <w:pPr>
        <w:pStyle w:val="Footnotesection"/>
      </w:pPr>
      <w:r>
        <w:tab/>
        <w:t>[Section 33ZZB inserted: No. 26 of 2021 s. 4.]</w:t>
      </w:r>
    </w:p>
    <w:p>
      <w:pPr>
        <w:pStyle w:val="Heading4"/>
      </w:pPr>
      <w:bookmarkStart w:id="132" w:name="_Toc90990608"/>
      <w:bookmarkStart w:id="133" w:name="_Toc91142177"/>
      <w:r>
        <w:lastRenderedPageBreak/>
        <w:t>Subdivision 2 — Proceedings for dispute</w:t>
      </w:r>
      <w:bookmarkEnd w:id="132"/>
      <w:bookmarkEnd w:id="133"/>
    </w:p>
    <w:p>
      <w:pPr>
        <w:pStyle w:val="Footnoteheading"/>
      </w:pPr>
      <w:r>
        <w:tab/>
        <w:t>[Heading inserted: No. 26 of 2021 s. 4.]</w:t>
      </w:r>
    </w:p>
    <w:p>
      <w:pPr>
        <w:pStyle w:val="Heading5"/>
      </w:pPr>
      <w:bookmarkStart w:id="134" w:name="_Toc91142178"/>
      <w:r>
        <w:rPr>
          <w:rStyle w:val="CharSectno"/>
        </w:rPr>
        <w:t>33ZZC</w:t>
      </w:r>
      <w:r>
        <w:t>.</w:t>
      </w:r>
      <w:r>
        <w:tab/>
        <w:t>Tribunal must deal with disputes lodged with it</w:t>
      </w:r>
      <w:bookmarkEnd w:id="134"/>
    </w:p>
    <w:p>
      <w:pPr>
        <w:pStyle w:val="Subsection"/>
      </w:pPr>
      <w:r>
        <w:tab/>
      </w:r>
      <w:r>
        <w:tab/>
        <w:t>If a dispute is lodged with the Tribunal under section 33ZZB, the dispute must be determined, or otherwise dealt with, in accordance with this Subdivision.</w:t>
      </w:r>
    </w:p>
    <w:p>
      <w:pPr>
        <w:pStyle w:val="Footnotesection"/>
      </w:pPr>
      <w:r>
        <w:tab/>
        <w:t>[Section 33ZZC inserted: No. 26 of 2021 s. 4.]</w:t>
      </w:r>
    </w:p>
    <w:p>
      <w:pPr>
        <w:pStyle w:val="Heading5"/>
      </w:pPr>
      <w:bookmarkStart w:id="135" w:name="_Toc91142179"/>
      <w:r>
        <w:rPr>
          <w:rStyle w:val="CharSectno"/>
        </w:rPr>
        <w:t>33ZZD</w:t>
      </w:r>
      <w:r>
        <w:t>.</w:t>
      </w:r>
      <w:r>
        <w:tab/>
        <w:t>Application of provisions of IR Act</w:t>
      </w:r>
      <w:bookmarkEnd w:id="135"/>
    </w:p>
    <w:p>
      <w:pPr>
        <w:pStyle w:val="Subsection"/>
      </w:pPr>
      <w:r>
        <w:tab/>
        <w:t>(1)</w:t>
      </w:r>
      <w:r>
        <w:tab/>
        <w:t xml:space="preserve">The following provisions of the IR Act apply — </w:t>
      </w:r>
    </w:p>
    <w:p>
      <w:pPr>
        <w:pStyle w:val="Indenta"/>
      </w:pPr>
      <w:r>
        <w:tab/>
        <w:t>(a)</w:t>
      </w:r>
      <w:r>
        <w:tab/>
        <w:t>section 22B;</w:t>
      </w:r>
    </w:p>
    <w:p>
      <w:pPr>
        <w:pStyle w:val="Indenta"/>
      </w:pPr>
      <w:r>
        <w:tab/>
        <w:t>(b)</w:t>
      </w:r>
      <w:r>
        <w:tab/>
        <w:t>section 26(1)(a) and (b), (2) and (3);</w:t>
      </w:r>
    </w:p>
    <w:p>
      <w:pPr>
        <w:pStyle w:val="Indenta"/>
      </w:pPr>
      <w:r>
        <w:tab/>
        <w:t>(c)</w:t>
      </w:r>
      <w:r>
        <w:tab/>
        <w:t>section 27;</w:t>
      </w:r>
    </w:p>
    <w:p>
      <w:pPr>
        <w:pStyle w:val="Indenta"/>
      </w:pPr>
      <w:r>
        <w:tab/>
        <w:t>(d)</w:t>
      </w:r>
      <w:r>
        <w:tab/>
        <w:t>section 28;</w:t>
      </w:r>
    </w:p>
    <w:p>
      <w:pPr>
        <w:pStyle w:val="Indenta"/>
      </w:pPr>
      <w:r>
        <w:tab/>
        <w:t>(e)</w:t>
      </w:r>
      <w:r>
        <w:tab/>
        <w:t>section 32A;</w:t>
      </w:r>
    </w:p>
    <w:p>
      <w:pPr>
        <w:pStyle w:val="Indenta"/>
      </w:pPr>
      <w:r>
        <w:tab/>
        <w:t>(f)</w:t>
      </w:r>
      <w:r>
        <w:tab/>
        <w:t>section 33;</w:t>
      </w:r>
    </w:p>
    <w:p>
      <w:pPr>
        <w:pStyle w:val="Indenta"/>
      </w:pPr>
      <w:r>
        <w:tab/>
        <w:t>(g)</w:t>
      </w:r>
      <w:r>
        <w:tab/>
        <w:t>section 34(1), (3) and (4);</w:t>
      </w:r>
    </w:p>
    <w:p>
      <w:pPr>
        <w:pStyle w:val="Indenta"/>
      </w:pPr>
      <w:r>
        <w:tab/>
        <w:t>(h)</w:t>
      </w:r>
      <w:r>
        <w:tab/>
        <w:t>section 36;</w:t>
      </w:r>
    </w:p>
    <w:p>
      <w:pPr>
        <w:pStyle w:val="Indenta"/>
      </w:pPr>
      <w:r>
        <w:tab/>
        <w:t>(i)</w:t>
      </w:r>
      <w:r>
        <w:tab/>
        <w:t>section 49;</w:t>
      </w:r>
    </w:p>
    <w:p>
      <w:pPr>
        <w:pStyle w:val="Indenta"/>
      </w:pPr>
      <w:r>
        <w:tab/>
        <w:t>(j)</w:t>
      </w:r>
      <w:r>
        <w:tab/>
        <w:t>section 90;</w:t>
      </w:r>
    </w:p>
    <w:p>
      <w:pPr>
        <w:pStyle w:val="Indenta"/>
      </w:pPr>
      <w:r>
        <w:tab/>
        <w:t>(k)</w:t>
      </w:r>
      <w:r>
        <w:tab/>
        <w:t>section 91;</w:t>
      </w:r>
    </w:p>
    <w:p>
      <w:pPr>
        <w:pStyle w:val="Indenta"/>
      </w:pPr>
      <w:r>
        <w:tab/>
        <w:t>(l)</w:t>
      </w:r>
      <w:r>
        <w:tab/>
        <w:t>section 92.</w:t>
      </w:r>
    </w:p>
    <w:p>
      <w:pPr>
        <w:pStyle w:val="Subsection"/>
      </w:pPr>
      <w:r>
        <w:tab/>
        <w:t>(2)</w:t>
      </w:r>
      <w:r>
        <w:tab/>
        <w:t xml:space="preserve">Those provisions apply — </w:t>
      </w:r>
    </w:p>
    <w:p>
      <w:pPr>
        <w:pStyle w:val="Indenta"/>
      </w:pPr>
      <w:r>
        <w:tab/>
        <w:t>(a)</w:t>
      </w:r>
      <w:r>
        <w:tab/>
        <w:t>with any modifications that are prescribed under IR regulations for the purposes of this paragraph; and</w:t>
      </w:r>
    </w:p>
    <w:p>
      <w:pPr>
        <w:pStyle w:val="Indenta"/>
      </w:pPr>
      <w:r>
        <w:tab/>
        <w:t>(b)</w:t>
      </w:r>
      <w:r>
        <w:tab/>
        <w:t>with any other modifications that are necessary.</w:t>
      </w:r>
    </w:p>
    <w:p>
      <w:pPr>
        <w:pStyle w:val="Subsection"/>
        <w:keepNext/>
      </w:pPr>
      <w:r>
        <w:lastRenderedPageBreak/>
        <w:tab/>
        <w:t>(3)</w:t>
      </w:r>
      <w:r>
        <w:tab/>
        <w:t xml:space="preserve">Section 49(2a) of the IR Act, as applied under subsection (1)(i), does not prevent an appeal on either of the following grounds — </w:t>
      </w:r>
    </w:p>
    <w:p>
      <w:pPr>
        <w:pStyle w:val="Indenta"/>
        <w:keepNext/>
      </w:pPr>
      <w:r>
        <w:tab/>
        <w:t>(a)</w:t>
      </w:r>
      <w:r>
        <w:tab/>
        <w:t>that the Tribunal’s decision is in excess of jurisdiction;</w:t>
      </w:r>
    </w:p>
    <w:p>
      <w:pPr>
        <w:pStyle w:val="Indenta"/>
      </w:pPr>
      <w:r>
        <w:tab/>
        <w:t>(b)</w:t>
      </w:r>
      <w:r>
        <w:tab/>
        <w:t>that the Tribunal’s decision is erroneous in law.</w:t>
      </w:r>
    </w:p>
    <w:p>
      <w:pPr>
        <w:pStyle w:val="Footnotesection"/>
      </w:pPr>
      <w:r>
        <w:tab/>
        <w:t>[Section 33ZZD inserted: No. 26 of 2021 s. 4.]</w:t>
      </w:r>
    </w:p>
    <w:p>
      <w:pPr>
        <w:pStyle w:val="Heading5"/>
      </w:pPr>
      <w:bookmarkStart w:id="136" w:name="_Toc91142180"/>
      <w:r>
        <w:rPr>
          <w:rStyle w:val="CharSectno"/>
        </w:rPr>
        <w:t>33ZZE</w:t>
      </w:r>
      <w:r>
        <w:t>.</w:t>
      </w:r>
      <w:r>
        <w:tab/>
        <w:t>Parties and representation</w:t>
      </w:r>
      <w:bookmarkEnd w:id="136"/>
    </w:p>
    <w:p>
      <w:pPr>
        <w:pStyle w:val="Subsection"/>
      </w:pPr>
      <w:r>
        <w:tab/>
        <w:t>(1)</w:t>
      </w:r>
      <w:r>
        <w:tab/>
        <w:t>The parties to the proceedings for the dispute are the medically retired member and the Police Commissioner.</w:t>
      </w:r>
    </w:p>
    <w:p>
      <w:pPr>
        <w:pStyle w:val="Subsection"/>
      </w:pPr>
      <w:r>
        <w:tab/>
        <w:t>(2)</w:t>
      </w:r>
      <w:r>
        <w:tab/>
        <w:t xml:space="preserve">A party may appear in 1 or more of the following ways — </w:t>
      </w:r>
    </w:p>
    <w:p>
      <w:pPr>
        <w:pStyle w:val="Indenta"/>
      </w:pPr>
      <w:r>
        <w:tab/>
        <w:t>(a)</w:t>
      </w:r>
      <w:r>
        <w:tab/>
        <w:t>in person;</w:t>
      </w:r>
    </w:p>
    <w:p>
      <w:pPr>
        <w:pStyle w:val="Indenta"/>
      </w:pPr>
      <w:r>
        <w:tab/>
        <w:t>(b)</w:t>
      </w:r>
      <w:r>
        <w:tab/>
        <w:t>by an agent;</w:t>
      </w:r>
    </w:p>
    <w:p>
      <w:pPr>
        <w:pStyle w:val="Indenta"/>
      </w:pPr>
      <w:r>
        <w:tab/>
        <w:t>(c)</w:t>
      </w:r>
      <w:r>
        <w:tab/>
        <w:t>by a legal practitioner;</w:t>
      </w:r>
    </w:p>
    <w:p>
      <w:pPr>
        <w:pStyle w:val="Indenta"/>
      </w:pPr>
      <w:r>
        <w:tab/>
        <w:t>(d)</w:t>
      </w:r>
      <w:r>
        <w:tab/>
        <w:t>if the party is the medically retired member — by any person who lodged the dispute on behalf of the medically retired member under section 33ZZB(7);</w:t>
      </w:r>
    </w:p>
    <w:p>
      <w:pPr>
        <w:pStyle w:val="Indenta"/>
      </w:pPr>
      <w:r>
        <w:tab/>
        <w:t>(e)</w:t>
      </w:r>
      <w:r>
        <w:tab/>
        <w:t>if the party is the medically retired member — by any person allowed under subsection (4).</w:t>
      </w:r>
    </w:p>
    <w:p>
      <w:pPr>
        <w:pStyle w:val="Subsection"/>
      </w:pPr>
      <w:r>
        <w:tab/>
        <w:t>(3)</w:t>
      </w:r>
      <w:r>
        <w:tab/>
        <w:t xml:space="preserve">Subsection (4) applies if the Tribunal is satisfied that the medically retired member is incapable, on medical grounds (whether physical or mental or both), of — </w:t>
      </w:r>
    </w:p>
    <w:p>
      <w:pPr>
        <w:pStyle w:val="Indenta"/>
      </w:pPr>
      <w:r>
        <w:tab/>
        <w:t>(a)</w:t>
      </w:r>
      <w:r>
        <w:tab/>
        <w:t>making decisions relating to the proceedings for the dispute; or</w:t>
      </w:r>
    </w:p>
    <w:p>
      <w:pPr>
        <w:pStyle w:val="Indenta"/>
      </w:pPr>
      <w:r>
        <w:tab/>
        <w:t>(b)</w:t>
      </w:r>
      <w:r>
        <w:tab/>
        <w:t>otherwise representing themselves in the proceedings.</w:t>
      </w:r>
    </w:p>
    <w:p>
      <w:pPr>
        <w:pStyle w:val="Subsection"/>
      </w:pPr>
      <w:r>
        <w:tab/>
        <w:t>(4)</w:t>
      </w:r>
      <w:r>
        <w:tab/>
        <w:t xml:space="preserve">The Tribunal may allow the medically retired member to appear by — </w:t>
      </w:r>
    </w:p>
    <w:p>
      <w:pPr>
        <w:pStyle w:val="Indenta"/>
      </w:pPr>
      <w:r>
        <w:tab/>
        <w:t>(a)</w:t>
      </w:r>
      <w:r>
        <w:tab/>
        <w:t>a person of a class prescribed under IR regulations for the purposes of this paragraph; or</w:t>
      </w:r>
    </w:p>
    <w:p>
      <w:pPr>
        <w:pStyle w:val="Indenta"/>
      </w:pPr>
      <w:r>
        <w:tab/>
        <w:t>(b)</w:t>
      </w:r>
      <w:r>
        <w:tab/>
        <w:t>any other person the Tribunal considers appropriate.</w:t>
      </w:r>
    </w:p>
    <w:p>
      <w:pPr>
        <w:pStyle w:val="Subsection"/>
        <w:keepNext/>
      </w:pPr>
      <w:r>
        <w:lastRenderedPageBreak/>
        <w:tab/>
        <w:t>(5)</w:t>
      </w:r>
      <w:r>
        <w:tab/>
        <w:t xml:space="preserve">Except to the extent that the Tribunal otherwise directs, the medically retired member, or any person by whom they appear, may be assisted by an interpreter or other appropriate person — </w:t>
      </w:r>
    </w:p>
    <w:p>
      <w:pPr>
        <w:pStyle w:val="Indenta"/>
      </w:pPr>
      <w:r>
        <w:tab/>
        <w:t>(a)</w:t>
      </w:r>
      <w:r>
        <w:tab/>
        <w:t>to make the proceedings for the dispute intelligible to the medically retired member or the person by whom they appear; or</w:t>
      </w:r>
    </w:p>
    <w:p>
      <w:pPr>
        <w:pStyle w:val="Indenta"/>
      </w:pPr>
      <w:r>
        <w:tab/>
        <w:t>(b)</w:t>
      </w:r>
      <w:r>
        <w:tab/>
        <w:t>to enable the medically retired member, or the person by whom they appear, to communicate adequately.</w:t>
      </w:r>
    </w:p>
    <w:p>
      <w:pPr>
        <w:pStyle w:val="Footnotesection"/>
      </w:pPr>
      <w:r>
        <w:tab/>
        <w:t>[Section 33ZZE inserted: No. 26 of 2021 s. 4.]</w:t>
      </w:r>
    </w:p>
    <w:p>
      <w:pPr>
        <w:pStyle w:val="Heading5"/>
      </w:pPr>
      <w:bookmarkStart w:id="137" w:name="_Toc91142181"/>
      <w:r>
        <w:rPr>
          <w:rStyle w:val="CharSectno"/>
        </w:rPr>
        <w:t>33ZZF</w:t>
      </w:r>
      <w:r>
        <w:t>.</w:t>
      </w:r>
      <w:r>
        <w:tab/>
        <w:t>Conciliation</w:t>
      </w:r>
      <w:bookmarkEnd w:id="137"/>
    </w:p>
    <w:p>
      <w:pPr>
        <w:pStyle w:val="Subsection"/>
      </w:pPr>
      <w:r>
        <w:tab/>
        <w:t>(1)</w:t>
      </w:r>
      <w:r>
        <w:tab/>
        <w:t>Before determining the dispute by arbitration under section 33ZZH, the Tribunal must, unless it is satisfied that the resolution of the dispute would not be assisted by so doing, endeavour to resolve the dispute by conciliation.</w:t>
      </w:r>
    </w:p>
    <w:p>
      <w:pPr>
        <w:pStyle w:val="Subsection"/>
      </w:pPr>
      <w:r>
        <w:tab/>
        <w:t>(2)</w:t>
      </w:r>
      <w:r>
        <w:tab/>
        <w:t>In endeavouring to resolve the dispute by conciliation, the Tribunal must do all things that appear to it to be right and proper to assist the parties to reach an agreement on terms for the resolution of the dispute.</w:t>
      </w:r>
    </w:p>
    <w:p>
      <w:pPr>
        <w:pStyle w:val="Subsection"/>
      </w:pPr>
      <w:r>
        <w:tab/>
        <w:t>(3)</w:t>
      </w:r>
      <w:r>
        <w:tab/>
        <w:t xml:space="preserve">Without limiting subsection (2), the Tribunal may do the following — </w:t>
      </w:r>
    </w:p>
    <w:p>
      <w:pPr>
        <w:pStyle w:val="Indenta"/>
      </w:pPr>
      <w:r>
        <w:tab/>
        <w:t>(a)</w:t>
      </w:r>
      <w:r>
        <w:tab/>
        <w:t>arrange conferences of the parties or their representatives presided over by the Tribunal;</w:t>
      </w:r>
    </w:p>
    <w:p>
      <w:pPr>
        <w:pStyle w:val="Indenta"/>
      </w:pPr>
      <w:r>
        <w:tab/>
        <w:t>(b)</w:t>
      </w:r>
      <w:r>
        <w:tab/>
        <w:t>arrange for the parties or their representatives to confer among themselves at a conference at which the Tribunal is not present.</w:t>
      </w:r>
    </w:p>
    <w:p>
      <w:pPr>
        <w:pStyle w:val="Subsection"/>
      </w:pPr>
      <w:r>
        <w:tab/>
        <w:t>(4)</w:t>
      </w:r>
      <w:r>
        <w:tab/>
        <w:t>The Tribunal may give any direction, or make any order, that it considers appropriate for the purpose of conducting the conciliation proceedings.</w:t>
      </w:r>
    </w:p>
    <w:p>
      <w:pPr>
        <w:pStyle w:val="Subsection"/>
      </w:pPr>
      <w:r>
        <w:tab/>
        <w:t>(5)</w:t>
      </w:r>
      <w:r>
        <w:tab/>
        <w:t>If a direction is given, or an order is made, orally under subsection (4), the Tribunal must reduce the direction or order to writing as soon as practicable.</w:t>
      </w:r>
    </w:p>
    <w:p>
      <w:pPr>
        <w:pStyle w:val="Subsection"/>
      </w:pPr>
      <w:r>
        <w:lastRenderedPageBreak/>
        <w:tab/>
        <w:t>(6)</w:t>
      </w:r>
      <w:r>
        <w:tab/>
        <w:t>A direction given, or an order made, under subsection (4) is enforceable as if it were given or made under section 32(8) of the IR Act.</w:t>
      </w:r>
    </w:p>
    <w:p>
      <w:pPr>
        <w:pStyle w:val="Subsection"/>
      </w:pPr>
      <w:r>
        <w:tab/>
        <w:t>(7)</w:t>
      </w:r>
      <w:r>
        <w:tab/>
        <w:t xml:space="preserve">Subsection (8) applies if the Tribunal — </w:t>
      </w:r>
    </w:p>
    <w:p>
      <w:pPr>
        <w:pStyle w:val="Indenta"/>
      </w:pPr>
      <w:r>
        <w:tab/>
        <w:t>(a)</w:t>
      </w:r>
      <w:r>
        <w:tab/>
        <w:t>endeavours to resolve the dispute by conciliation; and</w:t>
      </w:r>
    </w:p>
    <w:p>
      <w:pPr>
        <w:pStyle w:val="Indenta"/>
      </w:pPr>
      <w:r>
        <w:tab/>
        <w:t>(b)</w:t>
      </w:r>
      <w:r>
        <w:tab/>
        <w:t>is satisfied that the parties have reached agreement on all of the issues involved.</w:t>
      </w:r>
    </w:p>
    <w:p>
      <w:pPr>
        <w:pStyle w:val="Subsection"/>
      </w:pPr>
      <w:r>
        <w:tab/>
        <w:t>(8)</w:t>
      </w:r>
      <w:r>
        <w:tab/>
        <w:t>The Tribunal may, by order and with the consent of the parties, determine the dispute in terms of the agreement.</w:t>
      </w:r>
    </w:p>
    <w:p>
      <w:pPr>
        <w:pStyle w:val="Subsection"/>
      </w:pPr>
      <w:r>
        <w:tab/>
        <w:t>(9)</w:t>
      </w:r>
      <w:r>
        <w:tab/>
        <w:t>The order may contain any provision referred to in section 33ZZH(7) to (10) or any other provision that the Tribunal is satisfied is necessary to give effect to the agreement.</w:t>
      </w:r>
    </w:p>
    <w:p>
      <w:pPr>
        <w:pStyle w:val="Subsection"/>
      </w:pPr>
      <w:r>
        <w:tab/>
        <w:t>(10)</w:t>
      </w:r>
      <w:r>
        <w:tab/>
        <w:t>Unless the order provides otherwise in accordance with the agreement, section 33ZZH(11) applies if the order contains any provision referred to in section 33ZZH(7)(b), (8)(b) or (9)(c).</w:t>
      </w:r>
    </w:p>
    <w:p>
      <w:pPr>
        <w:pStyle w:val="Footnotesection"/>
      </w:pPr>
      <w:r>
        <w:tab/>
        <w:t>[Section 33ZZF inserted: No. 26 of 2021 s. 4.]</w:t>
      </w:r>
    </w:p>
    <w:p>
      <w:pPr>
        <w:pStyle w:val="Heading5"/>
      </w:pPr>
      <w:bookmarkStart w:id="138" w:name="_Toc91142182"/>
      <w:r>
        <w:rPr>
          <w:rStyle w:val="CharSectno"/>
        </w:rPr>
        <w:t>33ZZG</w:t>
      </w:r>
      <w:r>
        <w:t>.</w:t>
      </w:r>
      <w:r>
        <w:tab/>
        <w:t>Compulsory attendance at conciliation</w:t>
      </w:r>
      <w:bookmarkEnd w:id="138"/>
    </w:p>
    <w:p>
      <w:pPr>
        <w:pStyle w:val="Subsection"/>
      </w:pPr>
      <w:r>
        <w:tab/>
        <w:t>(1)</w:t>
      </w:r>
      <w:r>
        <w:tab/>
        <w:t>The Tribunal may summon any person to attend, at a time and place specified in the summons, at conciliation proceedings under section 33ZZF.</w:t>
      </w:r>
    </w:p>
    <w:p>
      <w:pPr>
        <w:pStyle w:val="Subsection"/>
      </w:pPr>
      <w:r>
        <w:tab/>
        <w:t>(2)</w:t>
      </w:r>
      <w:r>
        <w:tab/>
        <w:t xml:space="preserve">A summons under this section — </w:t>
      </w:r>
    </w:p>
    <w:p>
      <w:pPr>
        <w:pStyle w:val="Indenta"/>
      </w:pPr>
      <w:r>
        <w:tab/>
        <w:t>(a)</w:t>
      </w:r>
      <w:r>
        <w:tab/>
        <w:t>may be given in the manner prescribed under IR regulations for the purposes of this paragraph; and</w:t>
      </w:r>
    </w:p>
    <w:p>
      <w:pPr>
        <w:pStyle w:val="Indenta"/>
      </w:pPr>
      <w:r>
        <w:tab/>
        <w:t>(b)</w:t>
      </w:r>
      <w:r>
        <w:tab/>
        <w:t>when so given, must be taken, in any proceedings relating to the summons, to have been served on the person to whom it is directed unless that person, in those proceedings, proves that they did not receive the summons.</w:t>
      </w:r>
    </w:p>
    <w:p>
      <w:pPr>
        <w:pStyle w:val="Subsection"/>
      </w:pPr>
      <w:r>
        <w:tab/>
        <w:t>(3)</w:t>
      </w:r>
      <w:r>
        <w:tab/>
        <w:t xml:space="preserve">Any person summoned under this section must, except for good cause, proof of which is on that person, attend the conciliation </w:t>
      </w:r>
      <w:r>
        <w:lastRenderedPageBreak/>
        <w:t>proceedings at the time and place specified in the summons and continue to attend at that place as directed by the Tribunal.</w:t>
      </w:r>
    </w:p>
    <w:p>
      <w:pPr>
        <w:pStyle w:val="Subsection"/>
      </w:pPr>
      <w:r>
        <w:tab/>
        <w:t>(4)</w:t>
      </w:r>
      <w:r>
        <w:tab/>
        <w:t>A summons under this section is enforceable as if it were a summons under section 44 of the IR Act.</w:t>
      </w:r>
    </w:p>
    <w:p>
      <w:pPr>
        <w:pStyle w:val="Footnotesection"/>
      </w:pPr>
      <w:r>
        <w:tab/>
        <w:t>[Section 33ZZG inserted: No. 26 of 2021 s. 4.]</w:t>
      </w:r>
    </w:p>
    <w:p>
      <w:pPr>
        <w:pStyle w:val="Heading5"/>
      </w:pPr>
      <w:bookmarkStart w:id="139" w:name="_Toc91142183"/>
      <w:r>
        <w:rPr>
          <w:rStyle w:val="CharSectno"/>
        </w:rPr>
        <w:t>33ZZH</w:t>
      </w:r>
      <w:r>
        <w:t>.</w:t>
      </w:r>
      <w:r>
        <w:tab/>
        <w:t>Arbitration</w:t>
      </w:r>
      <w:bookmarkEnd w:id="139"/>
    </w:p>
    <w:p>
      <w:pPr>
        <w:pStyle w:val="Subsection"/>
      </w:pPr>
      <w:r>
        <w:tab/>
        <w:t>(1)</w:t>
      </w:r>
      <w:r>
        <w:tab/>
        <w:t xml:space="preserve">The Tribunal may determine the dispute by arbitration if the Tribunal — </w:t>
      </w:r>
    </w:p>
    <w:p>
      <w:pPr>
        <w:pStyle w:val="Indenta"/>
      </w:pPr>
      <w:r>
        <w:tab/>
        <w:t>(a)</w:t>
      </w:r>
      <w:r>
        <w:tab/>
        <w:t>decides not to endeavour to resolve the dispute by conciliation under section 33ZZF; or</w:t>
      </w:r>
    </w:p>
    <w:p>
      <w:pPr>
        <w:pStyle w:val="Indenta"/>
      </w:pPr>
      <w:r>
        <w:tab/>
        <w:t>(b)</w:t>
      </w:r>
      <w:r>
        <w:tab/>
        <w:t>endeavours to resolve the dispute by conciliation but is satisfied that further resort to conciliation would be unavailing.</w:t>
      </w:r>
    </w:p>
    <w:p>
      <w:pPr>
        <w:pStyle w:val="Subsection"/>
      </w:pPr>
      <w:r>
        <w:tab/>
        <w:t>(2)</w:t>
      </w:r>
      <w:r>
        <w:tab/>
        <w:t>In determining the dispute, the Tribunal must have regard to any agreement reached by the parties on any particular issue involved.</w:t>
      </w:r>
    </w:p>
    <w:p>
      <w:pPr>
        <w:pStyle w:val="Subsection"/>
      </w:pPr>
      <w:r>
        <w:tab/>
        <w:t>(3)</w:t>
      </w:r>
      <w:r>
        <w:tab/>
        <w:t>The Tribunal may give any direction, or make any order, that it considers appropriate for the purpose of conducting the arbitration proceedings.</w:t>
      </w:r>
    </w:p>
    <w:p>
      <w:pPr>
        <w:pStyle w:val="Subsection"/>
      </w:pPr>
      <w:r>
        <w:tab/>
        <w:t>(4)</w:t>
      </w:r>
      <w:r>
        <w:tab/>
        <w:t>If a direction is given, or an order is made, orally under subsection (3), the Tribunal must reduce the direction or order to writing as soon as practicable.</w:t>
      </w:r>
    </w:p>
    <w:p>
      <w:pPr>
        <w:pStyle w:val="Subsection"/>
      </w:pPr>
      <w:r>
        <w:tab/>
        <w:t>(5)</w:t>
      </w:r>
      <w:r>
        <w:tab/>
        <w:t>A direction given, or an order made, under subsection (3) is enforceable as if it were given or made under section 32(8) of the IR Act.</w:t>
      </w:r>
    </w:p>
    <w:p>
      <w:pPr>
        <w:pStyle w:val="Subsection"/>
      </w:pPr>
      <w:r>
        <w:tab/>
        <w:t>(6)</w:t>
      </w:r>
      <w:r>
        <w:tab/>
        <w:t>The Tribunal’s determination of the dispute must be by order.</w:t>
      </w:r>
    </w:p>
    <w:p>
      <w:pPr>
        <w:pStyle w:val="Subsection"/>
        <w:keepNext/>
      </w:pPr>
      <w:r>
        <w:lastRenderedPageBreak/>
        <w:tab/>
        <w:t>(7)</w:t>
      </w:r>
      <w:r>
        <w:tab/>
        <w:t xml:space="preserve">If the dispute was lodged under section 33ZZB(1), the order may — </w:t>
      </w:r>
    </w:p>
    <w:p>
      <w:pPr>
        <w:pStyle w:val="Indenta"/>
        <w:keepNext/>
      </w:pPr>
      <w:r>
        <w:tab/>
        <w:t>(a)</w:t>
      </w:r>
      <w:r>
        <w:tab/>
        <w:t>confirm the degree of permanent impairment as assessed under section 33ZW(5); or</w:t>
      </w:r>
    </w:p>
    <w:p>
      <w:pPr>
        <w:pStyle w:val="Indenta"/>
      </w:pPr>
      <w:r>
        <w:tab/>
        <w:t>(b)</w:t>
      </w:r>
      <w:r>
        <w:tab/>
        <w:t xml:space="preserve">set aside the assessment made under section 33ZW(5) and require the Police Commissioner to — </w:t>
      </w:r>
    </w:p>
    <w:p>
      <w:pPr>
        <w:pStyle w:val="Indenti"/>
      </w:pPr>
      <w:r>
        <w:tab/>
        <w:t>(i)</w:t>
      </w:r>
      <w:r>
        <w:tab/>
        <w:t>arrange for the degree of permanent impairment to be assessed again under section 33ZW(5); and</w:t>
      </w:r>
    </w:p>
    <w:p>
      <w:pPr>
        <w:pStyle w:val="Indenti"/>
      </w:pPr>
      <w:r>
        <w:tab/>
        <w:t>(ii)</w:t>
      </w:r>
      <w:r>
        <w:tab/>
        <w:t>give the medically retired member a new notice under section 33ZW(6) accordingly.</w:t>
      </w:r>
    </w:p>
    <w:p>
      <w:pPr>
        <w:pStyle w:val="Subsection"/>
      </w:pPr>
      <w:r>
        <w:tab/>
        <w:t>(8)</w:t>
      </w:r>
      <w:r>
        <w:tab/>
        <w:t xml:space="preserve">If the dispute was lodged under section 33ZZB(3), the order may — </w:t>
      </w:r>
    </w:p>
    <w:p>
      <w:pPr>
        <w:pStyle w:val="Indenta"/>
      </w:pPr>
      <w:r>
        <w:tab/>
        <w:t>(a)</w:t>
      </w:r>
      <w:r>
        <w:tab/>
        <w:t>confirm the assessor’s determination under section 33ZZ(5)(a)(i); or</w:t>
      </w:r>
    </w:p>
    <w:p>
      <w:pPr>
        <w:pStyle w:val="Indenta"/>
      </w:pPr>
      <w:r>
        <w:tab/>
        <w:t>(b)</w:t>
      </w:r>
      <w:r>
        <w:tab/>
        <w:t xml:space="preserve">set aside the assessor’s determination under section 33ZZ(5)(a)(i) and require the Police Commissioner to — </w:t>
      </w:r>
    </w:p>
    <w:p>
      <w:pPr>
        <w:pStyle w:val="Indenti"/>
      </w:pPr>
      <w:r>
        <w:tab/>
        <w:t>(i)</w:t>
      </w:r>
      <w:r>
        <w:tab/>
        <w:t>arrange for the question of whether the medically retired member qualifies for compensation to be determined again under section 33ZZ(5)(a)(i) and, if applicable, for the amount of compensation to be determined under section 33ZZ(5)(a)(ii); and</w:t>
      </w:r>
    </w:p>
    <w:p>
      <w:pPr>
        <w:pStyle w:val="Indenti"/>
      </w:pPr>
      <w:r>
        <w:tab/>
        <w:t>(ii)</w:t>
      </w:r>
      <w:r>
        <w:tab/>
        <w:t>give the medically retired member a new notice under section 33ZZ(5)(b) accordingly.</w:t>
      </w:r>
    </w:p>
    <w:p>
      <w:pPr>
        <w:pStyle w:val="Subsection"/>
      </w:pPr>
      <w:r>
        <w:tab/>
        <w:t>(9)</w:t>
      </w:r>
      <w:r>
        <w:tab/>
        <w:t xml:space="preserve">If the dispute was lodged under section 33ZZB(4), the order may — </w:t>
      </w:r>
    </w:p>
    <w:p>
      <w:pPr>
        <w:pStyle w:val="Indenta"/>
      </w:pPr>
      <w:r>
        <w:tab/>
        <w:t>(a)</w:t>
      </w:r>
      <w:r>
        <w:tab/>
        <w:t>confirm the amount of compensation determined by the assessor under section 33ZZ(5)(a)(ii); or</w:t>
      </w:r>
    </w:p>
    <w:p>
      <w:pPr>
        <w:pStyle w:val="Indenta"/>
        <w:keepNext/>
      </w:pPr>
      <w:r>
        <w:lastRenderedPageBreak/>
        <w:tab/>
        <w:t>(b)</w:t>
      </w:r>
      <w:r>
        <w:tab/>
        <w:t xml:space="preserve">set aside the assessor’s determination under section 33ZZ(5)(a)(ii) and specify the amount of compensation as determined by the Tribunal; or </w:t>
      </w:r>
    </w:p>
    <w:p>
      <w:pPr>
        <w:pStyle w:val="Indenta"/>
        <w:keepNext/>
      </w:pPr>
      <w:r>
        <w:tab/>
        <w:t>(c)</w:t>
      </w:r>
      <w:r>
        <w:tab/>
        <w:t xml:space="preserve">set aside the assessor’s determination under section 33ZZ(5)(a)(ii) and require the Police Commissioner to — </w:t>
      </w:r>
    </w:p>
    <w:p>
      <w:pPr>
        <w:pStyle w:val="Indenti"/>
      </w:pPr>
      <w:r>
        <w:tab/>
        <w:t>(i)</w:t>
      </w:r>
      <w:r>
        <w:tab/>
        <w:t>arrange for the amount of compensation to be determined again under section 33ZZ(5)(a)(ii); and</w:t>
      </w:r>
    </w:p>
    <w:p>
      <w:pPr>
        <w:pStyle w:val="Indenti"/>
      </w:pPr>
      <w:r>
        <w:tab/>
        <w:t>(ii)</w:t>
      </w:r>
      <w:r>
        <w:tab/>
        <w:t>give the medically retired member a new notice under section 33ZZ(5)(b) accordingly.</w:t>
      </w:r>
    </w:p>
    <w:p>
      <w:pPr>
        <w:pStyle w:val="Subsection"/>
      </w:pPr>
      <w:r>
        <w:tab/>
        <w:t>(10)</w:t>
      </w:r>
      <w:r>
        <w:tab/>
        <w:t xml:space="preserve">In any case, the order may do either or both of the following — </w:t>
      </w:r>
    </w:p>
    <w:p>
      <w:pPr>
        <w:pStyle w:val="Indenta"/>
      </w:pPr>
      <w:r>
        <w:tab/>
        <w:t>(a)</w:t>
      </w:r>
      <w:r>
        <w:tab/>
        <w:t>make provision about when the Police Commissioner must make any payment under section 33ZV(1);</w:t>
      </w:r>
    </w:p>
    <w:p>
      <w:pPr>
        <w:pStyle w:val="Indenta"/>
      </w:pPr>
      <w:r>
        <w:tab/>
        <w:t>(b)</w:t>
      </w:r>
      <w:r>
        <w:tab/>
        <w:t>make provision supplementary to, or otherwise for the purpose of giving full effect to, any other provision contained in the order.</w:t>
      </w:r>
    </w:p>
    <w:p>
      <w:pPr>
        <w:pStyle w:val="Subsection"/>
      </w:pPr>
      <w:r>
        <w:tab/>
        <w:t>(11)</w:t>
      </w:r>
      <w:r>
        <w:tab/>
        <w:t xml:space="preserve">If the order contains any provision under subsection (7)(b), (8)(b) or (9)(c) — </w:t>
      </w:r>
    </w:p>
    <w:p>
      <w:pPr>
        <w:pStyle w:val="Indenta"/>
      </w:pPr>
      <w:r>
        <w:tab/>
        <w:t>(a)</w:t>
      </w:r>
      <w:r>
        <w:tab/>
        <w:t>once any required assessment or determination has been made, this Part applies to the medically retired member on the basis of the assessment or determination accordingly; and</w:t>
      </w:r>
    </w:p>
    <w:p>
      <w:pPr>
        <w:pStyle w:val="Indenta"/>
      </w:pPr>
      <w:r>
        <w:tab/>
        <w:t>(b)</w:t>
      </w:r>
      <w:r>
        <w:tab/>
        <w:t>without limiting paragraph (a), a dispute can be lodged under section 33ZZB in respect of the assessment or determination and, if that occurs, the rest of this Division (including this paragraph) applies accordingly.</w:t>
      </w:r>
    </w:p>
    <w:p>
      <w:pPr>
        <w:pStyle w:val="Footnotesection"/>
      </w:pPr>
      <w:r>
        <w:tab/>
        <w:t>[Section 33ZZH inserted: No. 26 of 2021 s. 4.]</w:t>
      </w:r>
    </w:p>
    <w:p>
      <w:pPr>
        <w:pStyle w:val="Heading3"/>
      </w:pPr>
      <w:bookmarkStart w:id="140" w:name="_Toc90990615"/>
      <w:bookmarkStart w:id="141" w:name="_Toc91142184"/>
      <w:r>
        <w:rPr>
          <w:rStyle w:val="CharDivNo"/>
        </w:rPr>
        <w:lastRenderedPageBreak/>
        <w:t>Division 4</w:t>
      </w:r>
      <w:r>
        <w:t> — </w:t>
      </w:r>
      <w:r>
        <w:rPr>
          <w:rStyle w:val="CharDivText"/>
        </w:rPr>
        <w:t>Regulations</w:t>
      </w:r>
      <w:bookmarkEnd w:id="140"/>
      <w:bookmarkEnd w:id="141"/>
    </w:p>
    <w:p>
      <w:pPr>
        <w:pStyle w:val="Footnoteheading"/>
        <w:keepNext/>
      </w:pPr>
      <w:r>
        <w:tab/>
        <w:t>[Heading inserted: No. 26 of 2021 s. 4.]</w:t>
      </w:r>
    </w:p>
    <w:p>
      <w:pPr>
        <w:pStyle w:val="Heading5"/>
      </w:pPr>
      <w:bookmarkStart w:id="142" w:name="_Toc91142185"/>
      <w:r>
        <w:rPr>
          <w:rStyle w:val="CharSectno"/>
        </w:rPr>
        <w:t>33ZZI</w:t>
      </w:r>
      <w:r>
        <w:t>.</w:t>
      </w:r>
      <w:r>
        <w:tab/>
        <w:t>Regulations under section 138A may make provision for purposes of Part</w:t>
      </w:r>
      <w:bookmarkEnd w:id="142"/>
    </w:p>
    <w:p>
      <w:pPr>
        <w:pStyle w:val="Subsection"/>
        <w:keepNext/>
      </w:pPr>
      <w:r>
        <w:tab/>
        <w:t>(1)</w:t>
      </w:r>
      <w:r>
        <w:tab/>
        <w:t xml:space="preserve">Regulations under section 138A may (without limitation) do 1 or more of the following for the purposes of this Part — </w:t>
      </w:r>
    </w:p>
    <w:p>
      <w:pPr>
        <w:pStyle w:val="Indenta"/>
      </w:pPr>
      <w:r>
        <w:tab/>
        <w:t>(a)</w:t>
      </w:r>
      <w:r>
        <w:tab/>
        <w:t>prescribe matters that must, or must not, be taken into account for any purpose or prescribe how any matters must, or must not, be taken into account for any purpose;</w:t>
      </w:r>
    </w:p>
    <w:p>
      <w:pPr>
        <w:pStyle w:val="Indenta"/>
      </w:pPr>
      <w:r>
        <w:tab/>
        <w:t>(b)</w:t>
      </w:r>
      <w:r>
        <w:tab/>
        <w:t xml:space="preserve">confer or impose functions on the Police Commissioner, a medically retired member or any other person or body, including, in the case of a medically retired member, duties to — </w:t>
      </w:r>
    </w:p>
    <w:p>
      <w:pPr>
        <w:pStyle w:val="Indenti"/>
      </w:pPr>
      <w:r>
        <w:tab/>
        <w:t>(i)</w:t>
      </w:r>
      <w:r>
        <w:tab/>
        <w:t>submit to a medical examination; or</w:t>
      </w:r>
    </w:p>
    <w:p>
      <w:pPr>
        <w:pStyle w:val="Indenti"/>
      </w:pPr>
      <w:r>
        <w:tab/>
        <w:t>(ii)</w:t>
      </w:r>
      <w:r>
        <w:tab/>
        <w:t>submit to a medical or other assessment; or</w:t>
      </w:r>
    </w:p>
    <w:p>
      <w:pPr>
        <w:pStyle w:val="Indenti"/>
      </w:pPr>
      <w:r>
        <w:tab/>
        <w:t>(iii)</w:t>
      </w:r>
      <w:r>
        <w:tab/>
        <w:t>provide medical or other information;</w:t>
      </w:r>
    </w:p>
    <w:p>
      <w:pPr>
        <w:pStyle w:val="Indenta"/>
      </w:pPr>
      <w:r>
        <w:tab/>
        <w:t>(c)</w:t>
      </w:r>
      <w:r>
        <w:tab/>
        <w:t>require medical or other reports to be prepared about a medically retired member;</w:t>
      </w:r>
    </w:p>
    <w:p>
      <w:pPr>
        <w:pStyle w:val="Indenta"/>
      </w:pPr>
      <w:r>
        <w:tab/>
        <w:t>(d)</w:t>
      </w:r>
      <w:r>
        <w:tab/>
        <w:t>give a medically retired member the right to make submissions or representations;</w:t>
      </w:r>
    </w:p>
    <w:p>
      <w:pPr>
        <w:pStyle w:val="Indenta"/>
      </w:pPr>
      <w:r>
        <w:tab/>
        <w:t>(e)</w:t>
      </w:r>
      <w:r>
        <w:tab/>
        <w:t>impose time limits, or provide for time limits to be imposed, for the doing of anything under this Part or the regulations, including for the making of payments by the Police Commissioner under section 33ZV(1);</w:t>
      </w:r>
    </w:p>
    <w:p>
      <w:pPr>
        <w:pStyle w:val="Indenta"/>
      </w:pPr>
      <w:r>
        <w:tab/>
        <w:t>(f)</w:t>
      </w:r>
      <w:r>
        <w:tab/>
        <w:t xml:space="preserve">in relation to assessments under section 33ZW(5) — </w:t>
      </w:r>
    </w:p>
    <w:p>
      <w:pPr>
        <w:pStyle w:val="Indenti"/>
      </w:pPr>
      <w:r>
        <w:tab/>
        <w:t>(i)</w:t>
      </w:r>
      <w:r>
        <w:tab/>
        <w:t>prescribe the qualifications, expertise or experience that an approved medical specialist must have;</w:t>
      </w:r>
    </w:p>
    <w:p>
      <w:pPr>
        <w:pStyle w:val="Indenti"/>
      </w:pPr>
      <w:r>
        <w:tab/>
        <w:t>(ii)</w:t>
      </w:r>
      <w:r>
        <w:tab/>
        <w:t>otherwise regulate the appointment of approved medical specialists under section 33ZW(2);</w:t>
      </w:r>
    </w:p>
    <w:p>
      <w:pPr>
        <w:pStyle w:val="Indenti"/>
      </w:pPr>
      <w:r>
        <w:lastRenderedPageBreak/>
        <w:tab/>
        <w:t>(iii)</w:t>
      </w:r>
      <w:r>
        <w:tab/>
        <w:t>otherwise regulate the arranging and making of assessments;</w:t>
      </w:r>
    </w:p>
    <w:p>
      <w:pPr>
        <w:pStyle w:val="Indenta"/>
      </w:pPr>
      <w:r>
        <w:tab/>
        <w:t>(g)</w:t>
      </w:r>
      <w:r>
        <w:tab/>
        <w:t>regulate the making or consideration of applications under section 33ZZ(2), including prescribing the information that must be provided with an application;</w:t>
      </w:r>
    </w:p>
    <w:p>
      <w:pPr>
        <w:pStyle w:val="Indenta"/>
      </w:pPr>
      <w:r>
        <w:tab/>
        <w:t>(h)</w:t>
      </w:r>
      <w:r>
        <w:tab/>
        <w:t xml:space="preserve">in relation to determinations under section 33ZZ(5)(a) — </w:t>
      </w:r>
    </w:p>
    <w:p>
      <w:pPr>
        <w:pStyle w:val="Indenti"/>
      </w:pPr>
      <w:r>
        <w:tab/>
        <w:t>(i)</w:t>
      </w:r>
      <w:r>
        <w:tab/>
        <w:t>prescribe classes of legal practitioners who are taken to be suitably qualified, including the qualifications, expertise or experience that they must have;</w:t>
      </w:r>
    </w:p>
    <w:p>
      <w:pPr>
        <w:pStyle w:val="Indenti"/>
      </w:pPr>
      <w:r>
        <w:tab/>
        <w:t>(ii)</w:t>
      </w:r>
      <w:r>
        <w:tab/>
        <w:t>otherwise regulate the appointment of legal practitioners;</w:t>
      </w:r>
    </w:p>
    <w:p>
      <w:pPr>
        <w:pStyle w:val="Indenti"/>
      </w:pPr>
      <w:r>
        <w:tab/>
        <w:t>(iii)</w:t>
      </w:r>
      <w:r>
        <w:tab/>
        <w:t>otherwise regulate the making of determinations;</w:t>
      </w:r>
    </w:p>
    <w:p>
      <w:pPr>
        <w:pStyle w:val="Indenta"/>
      </w:pPr>
      <w:r>
        <w:tab/>
        <w:t>(i)</w:t>
      </w:r>
      <w:r>
        <w:tab/>
        <w:t>provide for the payment of remuneration or expenses to approved medical specialists, legal practitioners or other persons who are involved in the operation of this Part or the regulations;</w:t>
      </w:r>
    </w:p>
    <w:p>
      <w:pPr>
        <w:pStyle w:val="Indenta"/>
      </w:pPr>
      <w:r>
        <w:tab/>
        <w:t>(j)</w:t>
      </w:r>
      <w:r>
        <w:tab/>
        <w:t>provide for a person to act on behalf of a medically retired member if the medically retired member is, or is believed to be, incapable, on medical grounds (whether physical or mental or both), of acting for themselves;</w:t>
      </w:r>
    </w:p>
    <w:p>
      <w:pPr>
        <w:pStyle w:val="Indenta"/>
      </w:pPr>
      <w:r>
        <w:tab/>
        <w:t>(k)</w:t>
      </w:r>
      <w:r>
        <w:tab/>
        <w:t xml:space="preserve">make provision for, or in relation to, the following — </w:t>
      </w:r>
    </w:p>
    <w:p>
      <w:pPr>
        <w:pStyle w:val="Indenti"/>
      </w:pPr>
      <w:r>
        <w:tab/>
        <w:t>(i)</w:t>
      </w:r>
      <w:r>
        <w:tab/>
        <w:t>the giving of a notice or other document required or permitted to be given under this Part or the regulations (including the giving of the notice or other document by electronic means);</w:t>
      </w:r>
    </w:p>
    <w:p>
      <w:pPr>
        <w:pStyle w:val="Indenti"/>
      </w:pPr>
      <w:r>
        <w:tab/>
        <w:t>(ii)</w:t>
      </w:r>
      <w:r>
        <w:tab/>
        <w:t>the time at which the notice or other document is taken to have been given.</w:t>
      </w:r>
    </w:p>
    <w:p>
      <w:pPr>
        <w:pStyle w:val="Subsection"/>
      </w:pPr>
      <w:r>
        <w:tab/>
        <w:t>(2)</w:t>
      </w:r>
      <w:r>
        <w:tab/>
        <w:t>Regulations made for the purposes of subsection (1) may apply, with or without modifications, any provision of the WC&amp;IM Act, including (without limitation), in relation to assessments under section 33ZW(5), any provision of Part VII of the WC&amp;IM Act.</w:t>
      </w:r>
    </w:p>
    <w:p>
      <w:pPr>
        <w:pStyle w:val="Subsection"/>
      </w:pPr>
      <w:r>
        <w:lastRenderedPageBreak/>
        <w:tab/>
        <w:t>(3)</w:t>
      </w:r>
      <w:r>
        <w:tab/>
        <w:t>Regulations made for the purposes of subsection (1) that make provision under subsection (1)(f) may provide that, despite section 33ZW(5)(b), the WorkCover Guides do not apply, or apply with specified modifications, in relation to an assessment under section 33ZW(5).</w:t>
      </w:r>
    </w:p>
    <w:p>
      <w:pPr>
        <w:pStyle w:val="Footnotesection"/>
      </w:pPr>
      <w:r>
        <w:tab/>
        <w:t>[Section 33ZZI inserted: No. 26 of 2021 s. 4.]</w:t>
      </w:r>
    </w:p>
    <w:p>
      <w:pPr>
        <w:pStyle w:val="Heading5"/>
      </w:pPr>
      <w:bookmarkStart w:id="143" w:name="_Toc91142186"/>
      <w:r>
        <w:rPr>
          <w:rStyle w:val="CharSectno"/>
        </w:rPr>
        <w:t>33ZZJ</w:t>
      </w:r>
      <w:r>
        <w:t>.</w:t>
      </w:r>
      <w:r>
        <w:tab/>
        <w:t>IR regulations</w:t>
      </w:r>
      <w:bookmarkEnd w:id="143"/>
    </w:p>
    <w:p>
      <w:pPr>
        <w:pStyle w:val="Subsection"/>
        <w:rPr>
          <w:szCs w:val="24"/>
        </w:rPr>
      </w:pPr>
      <w:r>
        <w:tab/>
      </w:r>
      <w:r>
        <w:tab/>
      </w:r>
      <w:r>
        <w:rPr>
          <w:szCs w:val="24"/>
        </w:rPr>
        <w:t>Without limiting section 113(1) of the IR Act, IR regulations may make provision prescribing all matters that, under this Part, are required or permitted to be prescribed by IR regulations.</w:t>
      </w:r>
    </w:p>
    <w:p>
      <w:pPr>
        <w:pStyle w:val="Footnotesection"/>
      </w:pPr>
      <w:r>
        <w:tab/>
        <w:t>[Section 33ZZJ inserted: No. 26 of 2021 s. 4.]</w:t>
      </w:r>
    </w:p>
    <w:p>
      <w:pPr>
        <w:pStyle w:val="Heading2"/>
      </w:pPr>
      <w:bookmarkStart w:id="144" w:name="_Toc90990618"/>
      <w:bookmarkStart w:id="145" w:name="_Toc91142187"/>
      <w:r>
        <w:rPr>
          <w:rStyle w:val="CharPartNo"/>
        </w:rPr>
        <w:lastRenderedPageBreak/>
        <w:t>Part III</w:t>
      </w:r>
      <w:r>
        <w:rPr>
          <w:rStyle w:val="CharDivNo"/>
        </w:rPr>
        <w:t> </w:t>
      </w:r>
      <w:r>
        <w:t>—</w:t>
      </w:r>
      <w:r>
        <w:rPr>
          <w:rStyle w:val="CharDivText"/>
        </w:rPr>
        <w:t> </w:t>
      </w:r>
      <w:r>
        <w:rPr>
          <w:rStyle w:val="CharPartText"/>
        </w:rPr>
        <w:t>Special constables</w:t>
      </w:r>
      <w:bookmarkEnd w:id="112"/>
      <w:bookmarkEnd w:id="144"/>
      <w:bookmarkEnd w:id="145"/>
    </w:p>
    <w:p>
      <w:pPr>
        <w:pStyle w:val="Footnoteheading"/>
      </w:pPr>
      <w:r>
        <w:tab/>
        <w:t>[Heading inserted: No. 59 of 2006 s. 63.]</w:t>
      </w:r>
    </w:p>
    <w:p>
      <w:pPr>
        <w:pStyle w:val="Heading5"/>
      </w:pPr>
      <w:bookmarkStart w:id="146" w:name="_Toc91142188"/>
      <w:r>
        <w:rPr>
          <w:rStyle w:val="CharSectno"/>
        </w:rPr>
        <w:t>34</w:t>
      </w:r>
      <w:r>
        <w:t>.</w:t>
      </w:r>
      <w:r>
        <w:tab/>
        <w:t>Terms used</w:t>
      </w:r>
      <w:bookmarkEnd w:id="146"/>
    </w:p>
    <w:p>
      <w:pPr>
        <w:pStyle w:val="Subsection"/>
      </w:pPr>
      <w:r>
        <w:tab/>
      </w:r>
      <w:r>
        <w:tab/>
        <w:t xml:space="preserve">In this Part, unless the contrary intention appears — </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Defstart"/>
      </w:pPr>
      <w:r>
        <w:rPr>
          <w:b/>
        </w:rPr>
        <w:tab/>
      </w:r>
      <w:r>
        <w:rPr>
          <w:rStyle w:val="CharDefText"/>
        </w:rPr>
        <w:t>special constable</w:t>
      </w:r>
      <w:r>
        <w:rPr>
          <w:b/>
        </w:rPr>
        <w:t xml:space="preserve"> </w:t>
      </w:r>
      <w:r>
        <w:t>means a special constable appointed under section 35.</w:t>
      </w:r>
    </w:p>
    <w:p>
      <w:pPr>
        <w:pStyle w:val="Footnotesection"/>
      </w:pPr>
      <w:r>
        <w:tab/>
        <w:t xml:space="preserve">[Section 34 inserted: No. 59 of 2006 s. 63.] </w:t>
      </w:r>
    </w:p>
    <w:p>
      <w:pPr>
        <w:pStyle w:val="Heading5"/>
      </w:pPr>
      <w:bookmarkStart w:id="147" w:name="_Toc91142189"/>
      <w:r>
        <w:rPr>
          <w:rStyle w:val="CharSectno"/>
        </w:rPr>
        <w:t>35</w:t>
      </w:r>
      <w:r>
        <w:t>.</w:t>
      </w:r>
      <w:r>
        <w:tab/>
        <w:t>Appointing and terminating special constables</w:t>
      </w:r>
      <w:bookmarkEnd w:id="147"/>
    </w:p>
    <w:p>
      <w:pPr>
        <w:pStyle w:val="Subsection"/>
      </w:pPr>
      <w:r>
        <w:tab/>
        <w:t>(1)</w:t>
      </w:r>
      <w:r>
        <w:tab/>
        <w:t>The Commissioner may appoint any person as a special constable.</w:t>
      </w:r>
    </w:p>
    <w:p>
      <w:pPr>
        <w:pStyle w:val="Subsection"/>
      </w:pPr>
      <w:r>
        <w:tab/>
        <w:t>(2)</w:t>
      </w:r>
      <w:r>
        <w:tab/>
        <w:t>The appointment of a special constable may be for such period and on such terms and conditions as the Commissioner decides.</w:t>
      </w:r>
    </w:p>
    <w:p>
      <w:pPr>
        <w:pStyle w:val="Subsection"/>
      </w:pPr>
      <w:r>
        <w:tab/>
        <w:t>(3)</w:t>
      </w:r>
      <w:r>
        <w:tab/>
        <w:t>The appointment of a special constable must not include a term that provides for the payment of any remuneration to a special constable unless the Minister has approved the term.</w:t>
      </w:r>
    </w:p>
    <w:p>
      <w:pPr>
        <w:pStyle w:val="Subsection"/>
      </w:pPr>
      <w:r>
        <w:tab/>
        <w:t>(4)</w:t>
      </w:r>
      <w:r>
        <w:tab/>
        <w:t>The Commissioner may at any time cancel the appointment of a special constable.</w:t>
      </w:r>
    </w:p>
    <w:p>
      <w:pPr>
        <w:pStyle w:val="Subsection"/>
      </w:pPr>
      <w:r>
        <w:tab/>
        <w:t>(5)</w:t>
      </w:r>
      <w:r>
        <w:tab/>
        <w:t>The appointment of a special constable, its terms and conditions and any cancellation of it must be in writing and signed by the Commissioner.</w:t>
      </w:r>
    </w:p>
    <w:p>
      <w:pPr>
        <w:pStyle w:val="Subsection"/>
      </w:pPr>
      <w:r>
        <w:tab/>
        <w:t>(6)</w:t>
      </w:r>
      <w:r>
        <w:tab/>
        <w:t>The Commissioner must issue a special constable with a certificate of his or her appointment as a special constable.</w:t>
      </w:r>
    </w:p>
    <w:p>
      <w:pPr>
        <w:pStyle w:val="Subsection"/>
      </w:pPr>
      <w:r>
        <w:lastRenderedPageBreak/>
        <w:tab/>
        <w:t>(7)</w:t>
      </w:r>
      <w:r>
        <w:tab/>
        <w:t>A special constable whose appointment as such ceases must return any certificate issued to him or her under subsection (6) to the Commissioner.</w:t>
      </w:r>
    </w:p>
    <w:p>
      <w:pPr>
        <w:pStyle w:val="Penstart"/>
      </w:pPr>
      <w:r>
        <w:tab/>
        <w:t>Penalty: $500.</w:t>
      </w:r>
    </w:p>
    <w:p>
      <w:pPr>
        <w:pStyle w:val="Footnotesection"/>
      </w:pPr>
      <w:r>
        <w:tab/>
        <w:t xml:space="preserve">[Section 35 inserted: No. 59 of 2006 s. 63.] </w:t>
      </w:r>
    </w:p>
    <w:p>
      <w:pPr>
        <w:pStyle w:val="Ednotesection"/>
      </w:pPr>
      <w:r>
        <w:t>[</w:t>
      </w:r>
      <w:r>
        <w:rPr>
          <w:b/>
          <w:bCs/>
        </w:rPr>
        <w:t>35A.</w:t>
      </w:r>
      <w:r>
        <w:tab/>
        <w:t>Deleted: No. 59 of 2006 s. 63.]</w:t>
      </w:r>
    </w:p>
    <w:p>
      <w:pPr>
        <w:pStyle w:val="Heading5"/>
      </w:pPr>
      <w:bookmarkStart w:id="148" w:name="_Toc91142190"/>
      <w:r>
        <w:rPr>
          <w:rStyle w:val="CharSectno"/>
        </w:rPr>
        <w:t>36</w:t>
      </w:r>
      <w:r>
        <w:t>.</w:t>
      </w:r>
      <w:r>
        <w:tab/>
        <w:t>Functions of special constables</w:t>
      </w:r>
      <w:bookmarkEnd w:id="148"/>
    </w:p>
    <w:p>
      <w:pPr>
        <w:pStyle w:val="Subsection"/>
      </w:pPr>
      <w:r>
        <w:tab/>
        <w:t>(1)</w:t>
      </w:r>
      <w:r>
        <w:tab/>
        <w:t>Unless the document appointing a special constable says otherwise —</w:t>
      </w:r>
    </w:p>
    <w:p>
      <w:pPr>
        <w:pStyle w:val="Indenta"/>
      </w:pPr>
      <w:r>
        <w:tab/>
        <w:t>(a)</w:t>
      </w:r>
      <w:r>
        <w:tab/>
        <w:t>a special constable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special constable,</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special constable, unless the contrary intention appears in the provision.</w:t>
      </w:r>
    </w:p>
    <w:p>
      <w:pPr>
        <w:pStyle w:val="Subsection"/>
      </w:pPr>
      <w:r>
        <w:tab/>
        <w:t>(3)</w:t>
      </w:r>
      <w:r>
        <w:tab/>
        <w:t>The document appointing a special constable may limit the powers, duties or obligations of the special constable or the application of any authorisation, exemption or exception to the special constable in any way the Commissioner thinks fit.</w:t>
      </w:r>
    </w:p>
    <w:p>
      <w:pPr>
        <w:pStyle w:val="Subsection"/>
      </w:pPr>
      <w:r>
        <w:lastRenderedPageBreak/>
        <w:tab/>
        <w:t>(4)</w:t>
      </w:r>
      <w:r>
        <w:tab/>
        <w:t>Without limiting subsection (3) or section 35(2), the document appointing a special constable may do any or all of the following —</w:t>
      </w:r>
    </w:p>
    <w:p>
      <w:pPr>
        <w:pStyle w:val="Indenta"/>
      </w:pPr>
      <w:r>
        <w:tab/>
        <w:t>(a)</w:t>
      </w:r>
      <w:r>
        <w:tab/>
        <w:t>limit the powers that the special constable may exercise;</w:t>
      </w:r>
    </w:p>
    <w:p>
      <w:pPr>
        <w:pStyle w:val="Indenta"/>
      </w:pPr>
      <w:r>
        <w:tab/>
        <w:t>(b)</w:t>
      </w:r>
      <w:r>
        <w:tab/>
        <w:t>limit when the special constable may exercise his or her powers or any of them;</w:t>
      </w:r>
    </w:p>
    <w:p>
      <w:pPr>
        <w:pStyle w:val="Indenta"/>
      </w:pPr>
      <w:r>
        <w:tab/>
        <w:t>(c)</w:t>
      </w:r>
      <w:r>
        <w:tab/>
        <w:t>limit where in the State the special constable may exercise his or her powers or any of them;</w:t>
      </w:r>
    </w:p>
    <w:p>
      <w:pPr>
        <w:pStyle w:val="Indenta"/>
      </w:pPr>
      <w:r>
        <w:tab/>
        <w:t>(d)</w:t>
      </w:r>
      <w:r>
        <w:tab/>
        <w:t>limit the circumstances in which the special constable may exercise his or her powers or any of them;</w:t>
      </w:r>
    </w:p>
    <w:p>
      <w:pPr>
        <w:pStyle w:val="Indenta"/>
      </w:pPr>
      <w:r>
        <w:tab/>
        <w:t>(e)</w:t>
      </w:r>
      <w:r>
        <w:tab/>
        <w:t>limit the offences in respect of which the special constable may exercise his or her powers or any of them;</w:t>
      </w:r>
    </w:p>
    <w:p>
      <w:pPr>
        <w:pStyle w:val="Indenta"/>
      </w:pPr>
      <w:r>
        <w:tab/>
        <w:t>(f)</w:t>
      </w:r>
      <w:r>
        <w:tab/>
        <w:t>limit the purposes for which the special constable may exercise his or her powers or any of them;</w:t>
      </w:r>
    </w:p>
    <w:p>
      <w:pPr>
        <w:pStyle w:val="Indenta"/>
      </w:pPr>
      <w:r>
        <w:tab/>
        <w:t>(g)</w:t>
      </w:r>
      <w:r>
        <w:tab/>
        <w:t>limit or prohibit the possession or use of any thing that the special constable would otherwise be authorised under a written law to possess or use, despite the written law.</w:t>
      </w:r>
    </w:p>
    <w:p>
      <w:pPr>
        <w:pStyle w:val="Subsection"/>
      </w:pPr>
      <w:r>
        <w:tab/>
        <w:t>(5)</w:t>
      </w:r>
      <w:r>
        <w:tab/>
        <w:t>The document appointing a special constable may require the special constable to inform the Commissioner about the exercise by the special constable of any power, or the performance of any duty or obligation, that he or she has under the appointment.</w:t>
      </w:r>
    </w:p>
    <w:p>
      <w:pPr>
        <w:pStyle w:val="Footnotesection"/>
      </w:pPr>
      <w:r>
        <w:tab/>
        <w:t xml:space="preserve">[Section 36 inserted: No. 59 of 2006 s. 63.] </w:t>
      </w:r>
    </w:p>
    <w:p>
      <w:pPr>
        <w:pStyle w:val="Footnotesection"/>
      </w:pPr>
      <w:r>
        <w:tab/>
        <w:t>[Section 36. Modifications to be applied in order to give effect to Cross</w:t>
      </w:r>
      <w:r>
        <w:noBreakHyphen/>
        <w:t>border Justice Act 2008: section altered 1 Nov 2009. See endnote 1M.]</w:t>
      </w:r>
    </w:p>
    <w:p>
      <w:pPr>
        <w:pStyle w:val="Heading5"/>
      </w:pPr>
      <w:bookmarkStart w:id="149" w:name="_Toc91142191"/>
      <w:r>
        <w:rPr>
          <w:rStyle w:val="CharSectno"/>
        </w:rPr>
        <w:t>37</w:t>
      </w:r>
      <w:r>
        <w:t>.</w:t>
      </w:r>
      <w:r>
        <w:tab/>
        <w:t>Special constables not in the Police Force</w:t>
      </w:r>
      <w:bookmarkEnd w:id="149"/>
    </w:p>
    <w:p>
      <w:pPr>
        <w:pStyle w:val="Subsection"/>
      </w:pPr>
      <w:r>
        <w:tab/>
        <w:t>(1)</w:t>
      </w:r>
      <w:r>
        <w:tab/>
        <w:t>A special constable is not a member of the Police Force of Western Australia for the purposes of this Act.</w:t>
      </w:r>
    </w:p>
    <w:p>
      <w:pPr>
        <w:pStyle w:val="Subsection"/>
        <w:keepNext/>
      </w:pPr>
      <w:r>
        <w:lastRenderedPageBreak/>
        <w:tab/>
        <w:t>(2)</w:t>
      </w:r>
      <w:r>
        <w:tab/>
        <w:t>Subsection (1) does not affect the operation of section 36(1) or (2) or 136.</w:t>
      </w:r>
    </w:p>
    <w:p>
      <w:pPr>
        <w:pStyle w:val="Footnotesection"/>
      </w:pPr>
      <w:r>
        <w:tab/>
        <w:t xml:space="preserve">[Section 37 inserted: No. 59 of 2006 s. 63.] </w:t>
      </w:r>
    </w:p>
    <w:p>
      <w:pPr>
        <w:pStyle w:val="Ednotesection"/>
      </w:pPr>
      <w:r>
        <w:t>[</w:t>
      </w:r>
      <w:r>
        <w:rPr>
          <w:b/>
        </w:rPr>
        <w:t>38.</w:t>
      </w:r>
      <w:r>
        <w:tab/>
        <w:t>Deleted: No. 59 of 2006 s. 63.]</w:t>
      </w:r>
    </w:p>
    <w:p>
      <w:pPr>
        <w:pStyle w:val="Heading2"/>
      </w:pPr>
      <w:bookmarkStart w:id="150" w:name="_Toc90989576"/>
      <w:bookmarkStart w:id="151" w:name="_Toc90990623"/>
      <w:bookmarkStart w:id="152" w:name="_Toc91142192"/>
      <w:r>
        <w:rPr>
          <w:rStyle w:val="CharPartNo"/>
        </w:rPr>
        <w:lastRenderedPageBreak/>
        <w:t>Part IIIA</w:t>
      </w:r>
      <w:r>
        <w:rPr>
          <w:b w:val="0"/>
        </w:rPr>
        <w:t> </w:t>
      </w:r>
      <w:r>
        <w:t>—</w:t>
      </w:r>
      <w:r>
        <w:rPr>
          <w:b w:val="0"/>
        </w:rPr>
        <w:t> </w:t>
      </w:r>
      <w:r>
        <w:rPr>
          <w:rStyle w:val="CharPartText"/>
        </w:rPr>
        <w:t>Aboriginal police liaison officers</w:t>
      </w:r>
      <w:bookmarkEnd w:id="150"/>
      <w:bookmarkEnd w:id="151"/>
      <w:bookmarkEnd w:id="152"/>
    </w:p>
    <w:p>
      <w:pPr>
        <w:pStyle w:val="Footnoteheading"/>
      </w:pPr>
      <w:r>
        <w:tab/>
        <w:t>[Heading inserted: No. 8 of 2008 s. 10.]</w:t>
      </w:r>
    </w:p>
    <w:p>
      <w:pPr>
        <w:pStyle w:val="Heading5"/>
      </w:pPr>
      <w:bookmarkStart w:id="153" w:name="_Toc91142193"/>
      <w:r>
        <w:rPr>
          <w:rStyle w:val="CharSectno"/>
        </w:rPr>
        <w:t>38A</w:t>
      </w:r>
      <w:r>
        <w:t>.</w:t>
      </w:r>
      <w:r>
        <w:tab/>
        <w:t>Terms used</w:t>
      </w:r>
      <w:bookmarkEnd w:id="153"/>
    </w:p>
    <w:p>
      <w:pPr>
        <w:pStyle w:val="Subsection"/>
      </w:pPr>
      <w:r>
        <w:tab/>
      </w:r>
      <w:r>
        <w:tab/>
        <w:t xml:space="preserve">In this Part, unless the contrary intention appears — </w:t>
      </w:r>
    </w:p>
    <w:p>
      <w:pPr>
        <w:pStyle w:val="Defstart"/>
      </w:pPr>
      <w:r>
        <w:rPr>
          <w:b/>
        </w:rPr>
        <w:tab/>
      </w:r>
      <w:r>
        <w:rPr>
          <w:rStyle w:val="CharDefText"/>
        </w:rPr>
        <w:t>APLO</w:t>
      </w:r>
      <w:r>
        <w:rPr>
          <w:b/>
        </w:rPr>
        <w:t xml:space="preserve"> </w:t>
      </w:r>
      <w:r>
        <w:t>means an Aboriginal police liaison officer appointed under section 38B(1);</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Footnotesection"/>
      </w:pPr>
      <w:r>
        <w:tab/>
        <w:t>[Section 38A inserted: No. 8 of 2008 s. 10.]</w:t>
      </w:r>
    </w:p>
    <w:p>
      <w:pPr>
        <w:pStyle w:val="Heading5"/>
      </w:pPr>
      <w:bookmarkStart w:id="154" w:name="_Toc91142194"/>
      <w:r>
        <w:rPr>
          <w:rStyle w:val="CharSectno"/>
        </w:rPr>
        <w:t>38B</w:t>
      </w:r>
      <w:r>
        <w:t>.</w:t>
      </w:r>
      <w:r>
        <w:tab/>
        <w:t>Appointing and terminating Aboriginal police liaison officers</w:t>
      </w:r>
      <w:bookmarkEnd w:id="154"/>
    </w:p>
    <w:p>
      <w:pPr>
        <w:pStyle w:val="Subsection"/>
      </w:pPr>
      <w:r>
        <w:tab/>
        <w:t>(1)</w:t>
      </w:r>
      <w:r>
        <w:tab/>
        <w:t>The Commissioner may appoint any person of Aboriginal descent as an Aboriginal police liaison officer.</w:t>
      </w:r>
    </w:p>
    <w:p>
      <w:pPr>
        <w:pStyle w:val="Subsection"/>
        <w:rPr>
          <w:szCs w:val="22"/>
        </w:rPr>
      </w:pPr>
      <w:r>
        <w:rPr>
          <w:szCs w:val="22"/>
        </w:rPr>
        <w:tab/>
        <w:t>(2)</w:t>
      </w:r>
      <w:r>
        <w:rPr>
          <w:szCs w:val="22"/>
        </w:rPr>
        <w:tab/>
        <w:t>An APLO’s appointment is —</w:t>
      </w:r>
    </w:p>
    <w:p>
      <w:pPr>
        <w:pStyle w:val="Indenta"/>
      </w:pPr>
      <w:r>
        <w:rPr>
          <w:szCs w:val="22"/>
        </w:rPr>
        <w:tab/>
        <w:t>(a)</w:t>
      </w:r>
      <w:r>
        <w:rPr>
          <w:szCs w:val="22"/>
        </w:rPr>
        <w:tab/>
        <w:t>for such period as the Commissioner decides; and</w:t>
      </w:r>
    </w:p>
    <w:p>
      <w:pPr>
        <w:pStyle w:val="Indenta"/>
      </w:pPr>
      <w:r>
        <w:tab/>
        <w:t>(b)</w:t>
      </w:r>
      <w:r>
        <w:tab/>
        <w:t xml:space="preserve">on such terms and conditions of service, including remuneration, as the Commissioner decides from time to time; but they must not be less favourable than is provided for in — </w:t>
      </w:r>
    </w:p>
    <w:p>
      <w:pPr>
        <w:pStyle w:val="Indenti"/>
      </w:pPr>
      <w:r>
        <w:rPr>
          <w:szCs w:val="22"/>
        </w:rPr>
        <w:tab/>
        <w:t>(i)</w:t>
      </w:r>
      <w:r>
        <w:rPr>
          <w:szCs w:val="22"/>
        </w:rPr>
        <w:tab/>
        <w:t xml:space="preserve">any applicable award, order or agreement under the </w:t>
      </w:r>
      <w:r>
        <w:rPr>
          <w:i/>
          <w:szCs w:val="22"/>
        </w:rPr>
        <w:t>Industrial Relations Act 1979</w:t>
      </w:r>
      <w:r>
        <w:rPr>
          <w:szCs w:val="22"/>
        </w:rPr>
        <w:t>; or</w:t>
      </w:r>
    </w:p>
    <w:p>
      <w:pPr>
        <w:pStyle w:val="Indenti"/>
      </w:pPr>
      <w:r>
        <w:tab/>
        <w:t>(ii)</w:t>
      </w:r>
      <w:r>
        <w:tab/>
        <w:t xml:space="preserve">the </w:t>
      </w:r>
      <w:r>
        <w:rPr>
          <w:i/>
        </w:rPr>
        <w:t>Minimum Conditions of Employment Act 1993</w:t>
      </w:r>
      <w:r>
        <w:t>.</w:t>
      </w:r>
    </w:p>
    <w:p>
      <w:pPr>
        <w:pStyle w:val="Subsection"/>
      </w:pPr>
      <w:r>
        <w:rPr>
          <w:szCs w:val="22"/>
        </w:rPr>
        <w:tab/>
        <w:t>(3)</w:t>
      </w:r>
      <w:r>
        <w:rPr>
          <w:szCs w:val="22"/>
        </w:rPr>
        <w:tab/>
        <w:t>The Commissioner may at any time amend those terms of an APLO’s appointment referred to in section 38C(3).</w:t>
      </w:r>
    </w:p>
    <w:p>
      <w:pPr>
        <w:pStyle w:val="Subsection"/>
      </w:pPr>
      <w:r>
        <w:tab/>
        <w:t>(4)</w:t>
      </w:r>
      <w:r>
        <w:tab/>
        <w:t>Subject to Part IIB, the Commissioner may at any time cancel the appointment of an APLO.</w:t>
      </w:r>
    </w:p>
    <w:p>
      <w:pPr>
        <w:pStyle w:val="Subsection"/>
      </w:pPr>
      <w:r>
        <w:lastRenderedPageBreak/>
        <w:tab/>
        <w:t>(5)</w:t>
      </w:r>
      <w:r>
        <w:tab/>
        <w:t>The appointment of an APLO, its terms and conditions and any cancellation of it must be in writing and signed by the Commissioner.</w:t>
      </w:r>
    </w:p>
    <w:p>
      <w:pPr>
        <w:pStyle w:val="Footnotesection"/>
      </w:pPr>
      <w:r>
        <w:tab/>
        <w:t>[Section 38B inserted: No. 8 of 2008 s. 10.]</w:t>
      </w:r>
    </w:p>
    <w:p>
      <w:pPr>
        <w:pStyle w:val="Heading5"/>
      </w:pPr>
      <w:bookmarkStart w:id="155" w:name="_Toc91142195"/>
      <w:r>
        <w:rPr>
          <w:rStyle w:val="CharSectno"/>
        </w:rPr>
        <w:t>38C</w:t>
      </w:r>
      <w:r>
        <w:t>.</w:t>
      </w:r>
      <w:r>
        <w:tab/>
        <w:t>Functions of APLOs</w:t>
      </w:r>
      <w:bookmarkEnd w:id="155"/>
    </w:p>
    <w:p>
      <w:pPr>
        <w:pStyle w:val="Subsection"/>
      </w:pPr>
      <w:r>
        <w:tab/>
        <w:t>(1)</w:t>
      </w:r>
      <w:r>
        <w:tab/>
        <w:t>Unless the document appointing an APLO says otherwise —</w:t>
      </w:r>
    </w:p>
    <w:p>
      <w:pPr>
        <w:pStyle w:val="Indenta"/>
      </w:pPr>
      <w:r>
        <w:tab/>
        <w:t>(a)</w:t>
      </w:r>
      <w:r>
        <w:tab/>
        <w:t>an APLO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an APLO,</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an APLO, unless the contrary intention appears in the provision.</w:t>
      </w:r>
    </w:p>
    <w:p>
      <w:pPr>
        <w:pStyle w:val="Subsection"/>
      </w:pPr>
      <w:r>
        <w:tab/>
        <w:t>(3)</w:t>
      </w:r>
      <w:r>
        <w:tab/>
        <w:t>The document appointing an APLO may limit the powers, duties or obligations of the APLO or the application of any authorisation, exemption or exception to the APLO in any way the Commissioner thinks fit.</w:t>
      </w:r>
    </w:p>
    <w:p>
      <w:pPr>
        <w:pStyle w:val="Subsection"/>
      </w:pPr>
      <w:r>
        <w:tab/>
        <w:t>(4)</w:t>
      </w:r>
      <w:r>
        <w:tab/>
        <w:t>Without limiting subsection (3) or section 38B(3), the document appointing an APLO may do any or all of the following —</w:t>
      </w:r>
    </w:p>
    <w:p>
      <w:pPr>
        <w:pStyle w:val="Indenta"/>
      </w:pPr>
      <w:r>
        <w:tab/>
        <w:t>(a)</w:t>
      </w:r>
      <w:r>
        <w:tab/>
        <w:t>limit the powers that the APLO may exercise;</w:t>
      </w:r>
    </w:p>
    <w:p>
      <w:pPr>
        <w:pStyle w:val="Indenta"/>
      </w:pPr>
      <w:r>
        <w:tab/>
        <w:t>(b)</w:t>
      </w:r>
      <w:r>
        <w:tab/>
        <w:t>limit when the APLO may exercise his or her powers or any of them;</w:t>
      </w:r>
    </w:p>
    <w:p>
      <w:pPr>
        <w:pStyle w:val="Indenta"/>
      </w:pPr>
      <w:r>
        <w:tab/>
        <w:t>(c)</w:t>
      </w:r>
      <w:r>
        <w:tab/>
        <w:t>limit where in the State the APLO may exercise his or her powers or any of them;</w:t>
      </w:r>
    </w:p>
    <w:p>
      <w:pPr>
        <w:pStyle w:val="Indenta"/>
      </w:pPr>
      <w:r>
        <w:lastRenderedPageBreak/>
        <w:tab/>
        <w:t>(d)</w:t>
      </w:r>
      <w:r>
        <w:tab/>
        <w:t>limit the circumstances in which the APLO may exercise his or her powers or any of them;</w:t>
      </w:r>
    </w:p>
    <w:p>
      <w:pPr>
        <w:pStyle w:val="Indenta"/>
      </w:pPr>
      <w:r>
        <w:tab/>
        <w:t>(e)</w:t>
      </w:r>
      <w:r>
        <w:tab/>
        <w:t>limit the offences in respect of which the APLO may exercise his or her powers or any of them;</w:t>
      </w:r>
    </w:p>
    <w:p>
      <w:pPr>
        <w:pStyle w:val="Indenta"/>
      </w:pPr>
      <w:r>
        <w:tab/>
        <w:t>(f)</w:t>
      </w:r>
      <w:r>
        <w:tab/>
        <w:t>limit the purposes for which the APLO may exercise his or her powers or any of them;</w:t>
      </w:r>
    </w:p>
    <w:p>
      <w:pPr>
        <w:pStyle w:val="Indenta"/>
      </w:pPr>
      <w:r>
        <w:tab/>
        <w:t>(g)</w:t>
      </w:r>
      <w:r>
        <w:tab/>
        <w:t>limit or prohibit the possession or use of any thing that the APLO would otherwise be authorised under a written law to possess or use, despite the written law.</w:t>
      </w:r>
    </w:p>
    <w:p>
      <w:pPr>
        <w:pStyle w:val="Footnotesection"/>
      </w:pPr>
      <w:r>
        <w:tab/>
        <w:t>[Section 38C inserted: No. 8 of 2008 s. 10.]</w:t>
      </w:r>
    </w:p>
    <w:p>
      <w:pPr>
        <w:pStyle w:val="Footnotesection"/>
      </w:pPr>
      <w:r>
        <w:tab/>
        <w:t>[Section 38C. Modifications to be applied in order to give effect to Cross</w:t>
      </w:r>
      <w:r>
        <w:noBreakHyphen/>
        <w:t>border Justice Act 2008: section altered 1 Nov 2009. See endnote 1M.]</w:t>
      </w:r>
    </w:p>
    <w:p>
      <w:pPr>
        <w:pStyle w:val="Heading5"/>
      </w:pPr>
      <w:bookmarkStart w:id="156" w:name="_Toc91142196"/>
      <w:r>
        <w:rPr>
          <w:rStyle w:val="CharSectno"/>
        </w:rPr>
        <w:t>38D</w:t>
      </w:r>
      <w:r>
        <w:t>.</w:t>
      </w:r>
      <w:r>
        <w:tab/>
        <w:t>APLOs not in the Police Force</w:t>
      </w:r>
      <w:bookmarkEnd w:id="156"/>
    </w:p>
    <w:p>
      <w:pPr>
        <w:pStyle w:val="Subsection"/>
      </w:pPr>
      <w:r>
        <w:tab/>
        <w:t>(1)</w:t>
      </w:r>
      <w:r>
        <w:tab/>
        <w:t>An APLO is not a member of the Police Force of Western Australia for the purposes of this Act.</w:t>
      </w:r>
    </w:p>
    <w:p>
      <w:pPr>
        <w:pStyle w:val="Subsection"/>
      </w:pPr>
      <w:r>
        <w:tab/>
        <w:t>(2)</w:t>
      </w:r>
      <w:r>
        <w:tab/>
        <w:t>Subsection (1) does not affect the operation of section 38C(1) or (2) or 136.</w:t>
      </w:r>
    </w:p>
    <w:p>
      <w:pPr>
        <w:pStyle w:val="Footnotesection"/>
      </w:pPr>
      <w:r>
        <w:tab/>
        <w:t>[Section 38D inserted: No. 8 of 2008 s. 10.]</w:t>
      </w:r>
    </w:p>
    <w:p>
      <w:pPr>
        <w:pStyle w:val="Heading5"/>
      </w:pPr>
      <w:bookmarkStart w:id="157" w:name="_Toc91142197"/>
      <w:r>
        <w:rPr>
          <w:rStyle w:val="CharSectno"/>
        </w:rPr>
        <w:t>38E</w:t>
      </w:r>
      <w:r>
        <w:t>.</w:t>
      </w:r>
      <w:r>
        <w:tab/>
        <w:t>Transitional</w:t>
      </w:r>
      <w:bookmarkEnd w:id="157"/>
    </w:p>
    <w:p>
      <w:pPr>
        <w:pStyle w:val="Subsection"/>
      </w:pPr>
      <w:r>
        <w:tab/>
      </w:r>
      <w:r>
        <w:tab/>
        <w:t>If immediately before the commencement of this Part</w:t>
      </w:r>
      <w:r>
        <w:rPr>
          <w:vertAlign w:val="superscript"/>
        </w:rPr>
        <w:t> 2</w:t>
      </w:r>
      <w:r>
        <w:t xml:space="preserve">, a person is an aboriginal aide appointed under this Act as it was before this Part commenced, then on the commencement of this Part — </w:t>
      </w:r>
    </w:p>
    <w:p>
      <w:pPr>
        <w:pStyle w:val="Indenta"/>
      </w:pPr>
      <w:r>
        <w:tab/>
        <w:t>(a)</w:t>
      </w:r>
      <w:r>
        <w:tab/>
        <w:t>the person is to be taken to be an APLO appointed under this Part on the terms and conditions applicable to his or her appointment as an aboriginal aide; and</w:t>
      </w:r>
    </w:p>
    <w:p>
      <w:pPr>
        <w:pStyle w:val="Indenta"/>
      </w:pPr>
      <w:r>
        <w:tab/>
        <w:t>(b)</w:t>
      </w:r>
      <w:r>
        <w:tab/>
        <w:t>the instrument of appointment that appoints him or her to be an aboriginal aide is to be taken to be the document that appoints him or her as an APLO; and</w:t>
      </w:r>
    </w:p>
    <w:p>
      <w:pPr>
        <w:pStyle w:val="Indenta"/>
        <w:keepNext/>
      </w:pPr>
      <w:r>
        <w:lastRenderedPageBreak/>
        <w:tab/>
        <w:t>(c)</w:t>
      </w:r>
      <w:r>
        <w:tab/>
        <w:t>this Part applies to and in respect of the person as if he or she had been appointed under it to be an APLO.</w:t>
      </w:r>
    </w:p>
    <w:p>
      <w:pPr>
        <w:pStyle w:val="Footnotesection"/>
      </w:pPr>
      <w:r>
        <w:tab/>
        <w:t>[Section 38E inserted: No. 8 of 2008 s. 10.]</w:t>
      </w:r>
    </w:p>
    <w:p>
      <w:pPr>
        <w:pStyle w:val="Heading2"/>
      </w:pPr>
      <w:bookmarkStart w:id="158" w:name="_Toc90989582"/>
      <w:bookmarkStart w:id="159" w:name="_Toc90990629"/>
      <w:bookmarkStart w:id="160" w:name="_Toc91142198"/>
      <w:r>
        <w:rPr>
          <w:rStyle w:val="CharPartNo"/>
        </w:rPr>
        <w:lastRenderedPageBreak/>
        <w:t>Part IIIB</w:t>
      </w:r>
      <w:r>
        <w:rPr>
          <w:b w:val="0"/>
        </w:rPr>
        <w:t> </w:t>
      </w:r>
      <w:r>
        <w:t>—</w:t>
      </w:r>
      <w:r>
        <w:rPr>
          <w:b w:val="0"/>
        </w:rPr>
        <w:t> </w:t>
      </w:r>
      <w:r>
        <w:rPr>
          <w:rStyle w:val="CharPartText"/>
        </w:rPr>
        <w:t>Police auxiliary officers</w:t>
      </w:r>
      <w:bookmarkEnd w:id="158"/>
      <w:bookmarkEnd w:id="159"/>
      <w:bookmarkEnd w:id="160"/>
    </w:p>
    <w:p>
      <w:pPr>
        <w:pStyle w:val="Footnoteheading"/>
      </w:pPr>
      <w:r>
        <w:tab/>
        <w:t>[Heading inserted: No. 42 of 2009 s. 10.]</w:t>
      </w:r>
    </w:p>
    <w:p>
      <w:pPr>
        <w:pStyle w:val="Heading5"/>
      </w:pPr>
      <w:bookmarkStart w:id="161" w:name="_Toc91142199"/>
      <w:r>
        <w:rPr>
          <w:rStyle w:val="CharSectno"/>
        </w:rPr>
        <w:t>38F</w:t>
      </w:r>
      <w:r>
        <w:t>.</w:t>
      </w:r>
      <w:r>
        <w:tab/>
        <w:t>Terms used</w:t>
      </w:r>
      <w:bookmarkEnd w:id="161"/>
    </w:p>
    <w:p>
      <w:pPr>
        <w:pStyle w:val="Subsection"/>
      </w:pPr>
      <w:r>
        <w:tab/>
      </w:r>
      <w:r>
        <w:tab/>
        <w:t xml:space="preserve">In this Part — </w:t>
      </w:r>
    </w:p>
    <w:p>
      <w:pPr>
        <w:pStyle w:val="Defstart"/>
      </w:pPr>
      <w:r>
        <w:tab/>
      </w:r>
      <w:r>
        <w:rPr>
          <w:rStyle w:val="CharDefText"/>
        </w:rPr>
        <w:t>Commissioner</w:t>
      </w:r>
      <w:r>
        <w:t xml:space="preserve"> means the Commissioner of Police appointed under section 5;</w:t>
      </w:r>
    </w:p>
    <w:p>
      <w:pPr>
        <w:pStyle w:val="Defstart"/>
      </w:pPr>
      <w:r>
        <w:tab/>
      </w:r>
      <w:r>
        <w:rPr>
          <w:rStyle w:val="CharDefText"/>
        </w:rPr>
        <w:t>police auxiliary officer</w:t>
      </w:r>
      <w:r>
        <w:t xml:space="preserve"> means a police auxiliary officer appointed under section 38G;</w:t>
      </w:r>
    </w:p>
    <w:p>
      <w:pPr>
        <w:pStyle w:val="Defstart"/>
      </w:pPr>
      <w:r>
        <w:tab/>
      </w:r>
      <w:r>
        <w:rPr>
          <w:rStyle w:val="CharDefText"/>
        </w:rPr>
        <w:t>police officer</w:t>
      </w:r>
      <w:r>
        <w:t xml:space="preserve"> means a person appointed under Part I as an officer or constable of the Police Force, other than as the Commissioner.</w:t>
      </w:r>
    </w:p>
    <w:p>
      <w:pPr>
        <w:pStyle w:val="Footnotesection"/>
      </w:pPr>
      <w:r>
        <w:tab/>
        <w:t>[Section 38F inserted: No. 42 of 2009 s. 10.]</w:t>
      </w:r>
    </w:p>
    <w:p>
      <w:pPr>
        <w:pStyle w:val="Heading5"/>
      </w:pPr>
      <w:bookmarkStart w:id="162" w:name="_Toc91142200"/>
      <w:r>
        <w:rPr>
          <w:rStyle w:val="CharSectno"/>
        </w:rPr>
        <w:t>38G</w:t>
      </w:r>
      <w:r>
        <w:t>.</w:t>
      </w:r>
      <w:r>
        <w:tab/>
        <w:t>Appointing police auxiliary officers</w:t>
      </w:r>
      <w:bookmarkEnd w:id="162"/>
    </w:p>
    <w:p>
      <w:pPr>
        <w:pStyle w:val="Subsection"/>
      </w:pPr>
      <w:r>
        <w:tab/>
        <w:t>(1)</w:t>
      </w:r>
      <w:r>
        <w:tab/>
        <w:t>The Commissioner may appoint any person as a police auxiliary officer.</w:t>
      </w:r>
    </w:p>
    <w:p>
      <w:pPr>
        <w:pStyle w:val="Subsection"/>
      </w:pPr>
      <w:r>
        <w:tab/>
        <w:t>(2)</w:t>
      </w:r>
      <w:r>
        <w:tab/>
        <w:t>A police auxiliary officer’s appointment is —</w:t>
      </w:r>
    </w:p>
    <w:p>
      <w:pPr>
        <w:pStyle w:val="Indenta"/>
      </w:pPr>
      <w:r>
        <w:tab/>
        <w:t>(a)</w:t>
      </w:r>
      <w:r>
        <w:tab/>
        <w:t>for such period as the Commissioner decides; and</w:t>
      </w:r>
    </w:p>
    <w:p>
      <w:pPr>
        <w:pStyle w:val="Indenta"/>
      </w:pPr>
      <w:r>
        <w:tab/>
        <w:t>(b)</w:t>
      </w:r>
      <w:r>
        <w:tab/>
        <w:t>on such terms and conditions of service, including remuneration, as the Commissioner decides from time to time; but they must not be less favourable than is provided for in —</w:t>
      </w:r>
    </w:p>
    <w:p>
      <w:pPr>
        <w:pStyle w:val="Indenti"/>
      </w:pPr>
      <w:r>
        <w:tab/>
        <w:t>(i)</w:t>
      </w:r>
      <w:r>
        <w:tab/>
        <w:t xml:space="preserve">any applicable award, order or agreement under the </w:t>
      </w:r>
      <w:r>
        <w:rPr>
          <w:i/>
          <w:iCs/>
        </w:rPr>
        <w:t>Industrial Relations Act 1979</w:t>
      </w:r>
      <w:r>
        <w:t>; or</w:t>
      </w:r>
    </w:p>
    <w:p>
      <w:pPr>
        <w:pStyle w:val="Indenti"/>
      </w:pPr>
      <w:r>
        <w:tab/>
        <w:t>(ii)</w:t>
      </w:r>
      <w:r>
        <w:tab/>
        <w:t xml:space="preserve">the </w:t>
      </w:r>
      <w:r>
        <w:rPr>
          <w:i/>
          <w:iCs/>
        </w:rPr>
        <w:t>Minimum Conditions of Employment Act 1993</w:t>
      </w:r>
      <w:r>
        <w:t>.</w:t>
      </w:r>
    </w:p>
    <w:p>
      <w:pPr>
        <w:pStyle w:val="Subsection"/>
      </w:pPr>
      <w:r>
        <w:tab/>
        <w:t>(3)</w:t>
      </w:r>
      <w:r>
        <w:tab/>
        <w:t>The Commissioner may at any time amend the terms of a police auxiliary officer’s appointment referred to in section 38H(3).</w:t>
      </w:r>
    </w:p>
    <w:p>
      <w:pPr>
        <w:pStyle w:val="Subsection"/>
      </w:pPr>
      <w:r>
        <w:tab/>
        <w:t>(4)</w:t>
      </w:r>
      <w:r>
        <w:tab/>
        <w:t>Subject to Part IIB, the Commissioner may at any time cancel the appointment of a police auxiliary officer.</w:t>
      </w:r>
    </w:p>
    <w:p>
      <w:pPr>
        <w:pStyle w:val="Subsection"/>
      </w:pPr>
      <w:r>
        <w:lastRenderedPageBreak/>
        <w:tab/>
        <w:t>(5)</w:t>
      </w:r>
      <w:r>
        <w:tab/>
        <w:t>The appointment of a police auxiliary officer, its terms and conditions and any cancellation of it must be in writing and signed by the Commissioner.</w:t>
      </w:r>
    </w:p>
    <w:p>
      <w:pPr>
        <w:pStyle w:val="Subsection"/>
      </w:pPr>
      <w:r>
        <w:tab/>
        <w:t>(6)</w:t>
      </w:r>
      <w:r>
        <w:tab/>
        <w:t>The Commissioner must issue a police auxiliary officer with a certificate of his or her appointment as a police auxiliary officer.</w:t>
      </w:r>
    </w:p>
    <w:p>
      <w:pPr>
        <w:pStyle w:val="Subsection"/>
      </w:pPr>
      <w:r>
        <w:tab/>
        <w:t>(7)</w:t>
      </w:r>
      <w:r>
        <w:tab/>
        <w:t>A police auxiliary officer whose appointment as such ceases must return any certificate issued to him or her under subsection (6) to the Commissioner.</w:t>
      </w:r>
    </w:p>
    <w:p>
      <w:pPr>
        <w:pStyle w:val="Penstart"/>
      </w:pPr>
      <w:r>
        <w:tab/>
        <w:t>Penalty: a fine of $500.</w:t>
      </w:r>
    </w:p>
    <w:p>
      <w:pPr>
        <w:pStyle w:val="Footnotesection"/>
      </w:pPr>
      <w:r>
        <w:tab/>
        <w:t>[Section 38G inserted: No. 42 of 2009 s. 10.]</w:t>
      </w:r>
    </w:p>
    <w:p>
      <w:pPr>
        <w:pStyle w:val="Heading5"/>
      </w:pPr>
      <w:bookmarkStart w:id="163" w:name="_Toc91142201"/>
      <w:r>
        <w:rPr>
          <w:rStyle w:val="CharSectno"/>
        </w:rPr>
        <w:t>38H</w:t>
      </w:r>
      <w:r>
        <w:t>.</w:t>
      </w:r>
      <w:r>
        <w:tab/>
        <w:t>Functions of police auxiliary officers</w:t>
      </w:r>
      <w:bookmarkEnd w:id="163"/>
    </w:p>
    <w:p>
      <w:pPr>
        <w:pStyle w:val="Subsection"/>
      </w:pPr>
      <w:r>
        <w:tab/>
        <w:t>(1)</w:t>
      </w:r>
      <w:r>
        <w:tab/>
        <w:t>Unless the document appointing a police auxiliary officer says otherwise —</w:t>
      </w:r>
    </w:p>
    <w:p>
      <w:pPr>
        <w:pStyle w:val="Indenta"/>
      </w:pPr>
      <w:r>
        <w:tab/>
        <w:t>(a)</w:t>
      </w:r>
      <w:r>
        <w:tab/>
        <w:t>a police auxiliary officer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police auxiliary officer,</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police auxiliary officer, unless the contrary intention appears in the provision.</w:t>
      </w:r>
    </w:p>
    <w:p>
      <w:pPr>
        <w:pStyle w:val="Subsection"/>
      </w:pPr>
      <w:r>
        <w:tab/>
        <w:t>(3)</w:t>
      </w:r>
      <w:r>
        <w:tab/>
        <w:t xml:space="preserve">The document appointing a police auxiliary officer may limit the powers, duties or obligations of the officer or the application </w:t>
      </w:r>
      <w:r>
        <w:lastRenderedPageBreak/>
        <w:t>of any authorisation, exemption or exception to the officer in any way the Commissioner thinks fit.</w:t>
      </w:r>
    </w:p>
    <w:p>
      <w:pPr>
        <w:pStyle w:val="Subsection"/>
      </w:pPr>
      <w:r>
        <w:tab/>
        <w:t>(4)</w:t>
      </w:r>
      <w:r>
        <w:tab/>
        <w:t>Without limiting subsection (3) or section 38G(3), the document appointing a police auxiliary officer may do any or all of the following —</w:t>
      </w:r>
    </w:p>
    <w:p>
      <w:pPr>
        <w:pStyle w:val="Indenta"/>
      </w:pPr>
      <w:r>
        <w:tab/>
        <w:t>(a)</w:t>
      </w:r>
      <w:r>
        <w:tab/>
        <w:t>limit the powers that the officer may exercise;</w:t>
      </w:r>
    </w:p>
    <w:p>
      <w:pPr>
        <w:pStyle w:val="Indenta"/>
      </w:pPr>
      <w:r>
        <w:tab/>
        <w:t>(b)</w:t>
      </w:r>
      <w:r>
        <w:tab/>
        <w:t>limit when the officer may exercise his or her powers or any of them;</w:t>
      </w:r>
    </w:p>
    <w:p>
      <w:pPr>
        <w:pStyle w:val="Indenta"/>
      </w:pPr>
      <w:r>
        <w:tab/>
        <w:t>(c)</w:t>
      </w:r>
      <w:r>
        <w:tab/>
        <w:t>limit where in the State the officer may exercise his or her powers or any of them;</w:t>
      </w:r>
    </w:p>
    <w:p>
      <w:pPr>
        <w:pStyle w:val="Indenta"/>
      </w:pPr>
      <w:r>
        <w:tab/>
        <w:t>(d)</w:t>
      </w:r>
      <w:r>
        <w:tab/>
        <w:t>limit the circumstances in which the officer may exercise his or her powers or any of them;</w:t>
      </w:r>
    </w:p>
    <w:p>
      <w:pPr>
        <w:pStyle w:val="Indenta"/>
      </w:pPr>
      <w:r>
        <w:tab/>
        <w:t>(e)</w:t>
      </w:r>
      <w:r>
        <w:tab/>
        <w:t>limit the offences in respect of which the officer may exercise his or her powers or any of them;</w:t>
      </w:r>
    </w:p>
    <w:p>
      <w:pPr>
        <w:pStyle w:val="Indenta"/>
      </w:pPr>
      <w:r>
        <w:tab/>
        <w:t>(f)</w:t>
      </w:r>
      <w:r>
        <w:tab/>
        <w:t>limit the purposes for which the officer may exercise his or her powers or any of them;</w:t>
      </w:r>
    </w:p>
    <w:p>
      <w:pPr>
        <w:pStyle w:val="Indenta"/>
      </w:pPr>
      <w:r>
        <w:tab/>
        <w:t>(g)</w:t>
      </w:r>
      <w:r>
        <w:tab/>
        <w:t>limit or prohibit the possession or use of any thing that the officer would otherwise be authorised under a written law to possess or use, despite the written law.</w:t>
      </w:r>
    </w:p>
    <w:p>
      <w:pPr>
        <w:pStyle w:val="Footnotesection"/>
      </w:pPr>
      <w:r>
        <w:tab/>
        <w:t>[Section 38H inserted: No. 42 of 2009 s. 10.]</w:t>
      </w:r>
    </w:p>
    <w:p>
      <w:pPr>
        <w:pStyle w:val="Heading5"/>
      </w:pPr>
      <w:bookmarkStart w:id="164" w:name="_Toc91142202"/>
      <w:r>
        <w:rPr>
          <w:rStyle w:val="CharSectno"/>
        </w:rPr>
        <w:t>38I</w:t>
      </w:r>
      <w:r>
        <w:t>.</w:t>
      </w:r>
      <w:r>
        <w:tab/>
        <w:t>Police auxiliary officers not in the Police Force</w:t>
      </w:r>
      <w:bookmarkEnd w:id="164"/>
    </w:p>
    <w:p>
      <w:pPr>
        <w:pStyle w:val="Subsection"/>
      </w:pPr>
      <w:r>
        <w:tab/>
        <w:t>(1)</w:t>
      </w:r>
      <w:r>
        <w:tab/>
        <w:t>A police auxiliary officer is not a member of the Police Force of Western Australia for the purposes of this Act.</w:t>
      </w:r>
    </w:p>
    <w:p>
      <w:pPr>
        <w:pStyle w:val="Subsection"/>
      </w:pPr>
      <w:r>
        <w:tab/>
        <w:t>(2)</w:t>
      </w:r>
      <w:r>
        <w:tab/>
        <w:t>Subsection (1) does not affect the operation of section 38H(1) or (2) or 136.</w:t>
      </w:r>
    </w:p>
    <w:p>
      <w:pPr>
        <w:pStyle w:val="Footnotesection"/>
      </w:pPr>
      <w:r>
        <w:tab/>
        <w:t>[Section 38I inserted: No. 42 of 2009 s. 10.]</w:t>
      </w:r>
    </w:p>
    <w:p>
      <w:pPr>
        <w:pStyle w:val="Heading2"/>
      </w:pPr>
      <w:bookmarkStart w:id="165" w:name="_Toc90989587"/>
      <w:bookmarkStart w:id="166" w:name="_Toc90990634"/>
      <w:bookmarkStart w:id="167" w:name="_Toc91142203"/>
      <w:r>
        <w:rPr>
          <w:rStyle w:val="CharPartNo"/>
        </w:rPr>
        <w:lastRenderedPageBreak/>
        <w:t>Part IV</w:t>
      </w:r>
      <w:r>
        <w:rPr>
          <w:rStyle w:val="CharDivNo"/>
        </w:rPr>
        <w:t> </w:t>
      </w:r>
      <w:r>
        <w:t>—</w:t>
      </w:r>
      <w:r>
        <w:rPr>
          <w:rStyle w:val="CharDivText"/>
        </w:rPr>
        <w:t> </w:t>
      </w:r>
      <w:r>
        <w:rPr>
          <w:rStyle w:val="CharPartText"/>
        </w:rPr>
        <w:t>As to the establishment of Police Districts</w:t>
      </w:r>
      <w:bookmarkEnd w:id="165"/>
      <w:bookmarkEnd w:id="166"/>
      <w:bookmarkEnd w:id="167"/>
      <w:r>
        <w:rPr>
          <w:rStyle w:val="CharPartText"/>
        </w:rPr>
        <w:t xml:space="preserve"> </w:t>
      </w:r>
    </w:p>
    <w:p>
      <w:pPr>
        <w:pStyle w:val="Heading5"/>
        <w:rPr>
          <w:snapToGrid w:val="0"/>
        </w:rPr>
      </w:pPr>
      <w:bookmarkStart w:id="168" w:name="_Toc91142204"/>
      <w:r>
        <w:rPr>
          <w:rStyle w:val="CharSectno"/>
        </w:rPr>
        <w:t>39</w:t>
      </w:r>
      <w:r>
        <w:rPr>
          <w:snapToGrid w:val="0"/>
        </w:rPr>
        <w:t>.</w:t>
      </w:r>
      <w:r>
        <w:rPr>
          <w:snapToGrid w:val="0"/>
        </w:rPr>
        <w:tab/>
        <w:t>Police Districts</w:t>
      </w:r>
      <w:bookmarkEnd w:id="168"/>
      <w:r>
        <w:rPr>
          <w:snapToGrid w:val="0"/>
        </w:rPr>
        <w:t xml:space="preserve"> </w:t>
      </w:r>
    </w:p>
    <w:p>
      <w:pPr>
        <w:pStyle w:val="Subsection"/>
        <w:rPr>
          <w:snapToGrid w:val="0"/>
        </w:rPr>
      </w:pPr>
      <w:r>
        <w:rPr>
          <w:snapToGrid w:val="0"/>
        </w:rPr>
        <w:tab/>
        <w:t>(1)</w:t>
      </w:r>
      <w:r>
        <w:rPr>
          <w:snapToGrid w:val="0"/>
        </w:rPr>
        <w:tab/>
        <w:t xml:space="preserve">The city, towns, and places in the said State which have already been established or proclaimed as Police Districts, shall continue to be Police Districts within the meaning and for the purposes of this Act; and the Governor may, by notice in the </w:t>
      </w:r>
      <w:r>
        <w:rPr>
          <w:i/>
          <w:snapToGrid w:val="0"/>
        </w:rPr>
        <w:t>Government Gazette</w:t>
      </w:r>
      <w:r>
        <w:rPr>
          <w:snapToGrid w:val="0"/>
        </w:rPr>
        <w:t>, vary the same and establish other Police Districts wherein portions of the Police Force may be stationed; and in every notice establishing any Police District in any part of the said State, the limits of such Police District shall be defined.</w:t>
      </w:r>
    </w:p>
    <w:p>
      <w:pPr>
        <w:pStyle w:val="Subsection"/>
        <w:rPr>
          <w:snapToGrid w:val="0"/>
        </w:rPr>
      </w:pPr>
      <w:r>
        <w:rPr>
          <w:snapToGrid w:val="0"/>
        </w:rPr>
        <w:tab/>
        <w:t>(2)</w:t>
      </w:r>
      <w:r>
        <w:rPr>
          <w:snapToGrid w:val="0"/>
        </w:rPr>
        <w:tab/>
        <w:t>Notwithstanding the provisions of subsection (1), the Commissioner may for the purposes of the administration of the Police Force by order in writing divide the State, or any part of the State, into regions, divisions, sub</w:t>
      </w:r>
      <w:r>
        <w:rPr>
          <w:snapToGrid w:val="0"/>
        </w:rPr>
        <w:noBreakHyphen/>
        <w:t>divisions, sections, branches, or sub</w:t>
      </w:r>
      <w:r>
        <w:rPr>
          <w:snapToGrid w:val="0"/>
        </w:rPr>
        <w:noBreakHyphen/>
        <w:t>branches wherein portions of the Police Force may be stationed or carry out duties.</w:t>
      </w:r>
    </w:p>
    <w:p>
      <w:pPr>
        <w:pStyle w:val="Footnotesection"/>
      </w:pPr>
      <w:r>
        <w:tab/>
        <w:t xml:space="preserve">[Section 39 amended: No. 6 of 1978 s. 10.] </w:t>
      </w:r>
    </w:p>
    <w:p>
      <w:pPr>
        <w:pStyle w:val="Heading2"/>
      </w:pPr>
      <w:bookmarkStart w:id="169" w:name="_Toc90989589"/>
      <w:bookmarkStart w:id="170" w:name="_Toc90990636"/>
      <w:bookmarkStart w:id="171" w:name="_Toc91142205"/>
      <w:r>
        <w:rPr>
          <w:rStyle w:val="CharPartNo"/>
        </w:rPr>
        <w:lastRenderedPageBreak/>
        <w:t>Part IVA</w:t>
      </w:r>
      <w:r>
        <w:rPr>
          <w:rStyle w:val="CharDivNo"/>
        </w:rPr>
        <w:t> </w:t>
      </w:r>
      <w:r>
        <w:t>—</w:t>
      </w:r>
      <w:r>
        <w:rPr>
          <w:rStyle w:val="CharDivText"/>
        </w:rPr>
        <w:t> </w:t>
      </w:r>
      <w:r>
        <w:rPr>
          <w:rStyle w:val="CharPartText"/>
        </w:rPr>
        <w:t>Use of police property in relation to advertising</w:t>
      </w:r>
      <w:bookmarkEnd w:id="169"/>
      <w:bookmarkEnd w:id="170"/>
      <w:bookmarkEnd w:id="171"/>
      <w:r>
        <w:rPr>
          <w:rStyle w:val="CharPartText"/>
        </w:rPr>
        <w:t xml:space="preserve"> </w:t>
      </w:r>
    </w:p>
    <w:p>
      <w:pPr>
        <w:pStyle w:val="Footnoteheading"/>
        <w:ind w:left="890"/>
      </w:pPr>
      <w:r>
        <w:tab/>
        <w:t>[Heading inserted: No. 49 of 1995 s. 3.]</w:t>
      </w:r>
    </w:p>
    <w:p>
      <w:pPr>
        <w:pStyle w:val="Heading5"/>
        <w:rPr>
          <w:snapToGrid w:val="0"/>
        </w:rPr>
      </w:pPr>
      <w:bookmarkStart w:id="172" w:name="_Toc91142206"/>
      <w:r>
        <w:rPr>
          <w:rStyle w:val="CharSectno"/>
        </w:rPr>
        <w:t>39A</w:t>
      </w:r>
      <w:r>
        <w:rPr>
          <w:snapToGrid w:val="0"/>
        </w:rPr>
        <w:t>.</w:t>
      </w:r>
      <w:r>
        <w:rPr>
          <w:snapToGrid w:val="0"/>
        </w:rPr>
        <w:tab/>
        <w:t>Terms used</w:t>
      </w:r>
      <w:bookmarkEnd w:id="172"/>
    </w:p>
    <w:p>
      <w:pPr>
        <w:pStyle w:val="Subsection"/>
        <w:rPr>
          <w:snapToGrid w:val="0"/>
        </w:rPr>
      </w:pPr>
      <w:r>
        <w:rPr>
          <w:snapToGrid w:val="0"/>
        </w:rPr>
        <w:tab/>
      </w:r>
      <w:r>
        <w:rPr>
          <w:snapToGrid w:val="0"/>
        </w:rPr>
        <w:tab/>
        <w:t>In this Part — </w:t>
      </w:r>
    </w:p>
    <w:p>
      <w:pPr>
        <w:pStyle w:val="Defstart"/>
      </w:pPr>
      <w:r>
        <w:rPr>
          <w:b/>
        </w:rPr>
        <w:tab/>
      </w:r>
      <w:r>
        <w:rPr>
          <w:rStyle w:val="CharDefText"/>
        </w:rPr>
        <w:t>Account</w:t>
      </w:r>
      <w:r>
        <w:t xml:space="preserve"> means the account established under section 39C(1);</w:t>
      </w:r>
    </w:p>
    <w:p>
      <w:pPr>
        <w:pStyle w:val="Defstart"/>
      </w:pPr>
      <w:r>
        <w:rPr>
          <w:b/>
        </w:rPr>
        <w:tab/>
      </w:r>
      <w:r>
        <w:rPr>
          <w:rStyle w:val="CharDefText"/>
        </w:rPr>
        <w:t>contract</w:t>
      </w:r>
      <w:r>
        <w:t xml:space="preserve"> means a contract of a kind provided for under section 39B;</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police property</w:t>
      </w:r>
      <w:r>
        <w:t xml:space="preserve"> means property of the State that is under the management or control of the Police Force or the Department;</w:t>
      </w:r>
    </w:p>
    <w:p>
      <w:pPr>
        <w:pStyle w:val="Defstart"/>
      </w:pPr>
      <w:r>
        <w:rPr>
          <w:b/>
        </w:rPr>
        <w:tab/>
      </w:r>
      <w:r>
        <w:rPr>
          <w:rStyle w:val="CharDefText"/>
        </w:rPr>
        <w:t>Treasury</w:t>
      </w:r>
      <w:r>
        <w:t xml:space="preserve"> means the Treasury of the State.</w:t>
      </w:r>
    </w:p>
    <w:p>
      <w:pPr>
        <w:pStyle w:val="Footnotesection"/>
      </w:pPr>
      <w:r>
        <w:tab/>
        <w:t xml:space="preserve">[Section 39A inserted: No. 49 of 1995 s. 3; amended: No. 77 of 2006 Sch. 1 cl. 130(1).] </w:t>
      </w:r>
    </w:p>
    <w:p>
      <w:pPr>
        <w:pStyle w:val="Heading5"/>
        <w:rPr>
          <w:snapToGrid w:val="0"/>
        </w:rPr>
      </w:pPr>
      <w:bookmarkStart w:id="173" w:name="_Toc91142207"/>
      <w:r>
        <w:rPr>
          <w:rStyle w:val="CharSectno"/>
        </w:rPr>
        <w:t>39B</w:t>
      </w:r>
      <w:r>
        <w:rPr>
          <w:snapToGrid w:val="0"/>
        </w:rPr>
        <w:t>.</w:t>
      </w:r>
      <w:r>
        <w:rPr>
          <w:snapToGrid w:val="0"/>
        </w:rPr>
        <w:tab/>
        <w:t>Contracts for advertising using police property</w:t>
      </w:r>
      <w:bookmarkEnd w:id="173"/>
      <w:r>
        <w:rPr>
          <w:snapToGrid w:val="0"/>
        </w:rPr>
        <w:t xml:space="preserve"> </w:t>
      </w:r>
    </w:p>
    <w:p>
      <w:pPr>
        <w:pStyle w:val="Subsection"/>
        <w:rPr>
          <w:snapToGrid w:val="0"/>
        </w:rPr>
      </w:pPr>
      <w:r>
        <w:rPr>
          <w:snapToGrid w:val="0"/>
        </w:rPr>
        <w:tab/>
        <w:t>(1)</w:t>
      </w:r>
      <w:r>
        <w:rPr>
          <w:snapToGrid w:val="0"/>
        </w:rPr>
        <w:tab/>
        <w:t>The Commissioner of Police, with the approval of the Minister may, on behalf of the State, enter into a written contract under which police property specified in the contract can be used for the purposes of advertising in return for money, goods or services.</w:t>
      </w:r>
    </w:p>
    <w:p>
      <w:pPr>
        <w:pStyle w:val="Subsection"/>
        <w:rPr>
          <w:snapToGrid w:val="0"/>
        </w:rPr>
      </w:pPr>
      <w:r>
        <w:rPr>
          <w:snapToGrid w:val="0"/>
        </w:rPr>
        <w:tab/>
        <w:t>(2)</w:t>
      </w:r>
      <w:r>
        <w:rPr>
          <w:snapToGrid w:val="0"/>
        </w:rPr>
        <w:tab/>
        <w:t>The Commissioner shall not enter into a contract if either the Commissioner or the Minister is of the view that the proposed use of the police property or the presence or nature of the proposed advertising would — </w:t>
      </w:r>
    </w:p>
    <w:p>
      <w:pPr>
        <w:pStyle w:val="Indenta"/>
        <w:rPr>
          <w:snapToGrid w:val="0"/>
        </w:rPr>
      </w:pPr>
      <w:r>
        <w:rPr>
          <w:snapToGrid w:val="0"/>
        </w:rPr>
        <w:tab/>
        <w:t>(a)</w:t>
      </w:r>
      <w:r>
        <w:rPr>
          <w:snapToGrid w:val="0"/>
        </w:rPr>
        <w:tab/>
        <w:t>interfere with; or</w:t>
      </w:r>
    </w:p>
    <w:p>
      <w:pPr>
        <w:pStyle w:val="Indenta"/>
        <w:rPr>
          <w:snapToGrid w:val="0"/>
        </w:rPr>
      </w:pPr>
      <w:r>
        <w:rPr>
          <w:snapToGrid w:val="0"/>
        </w:rPr>
        <w:tab/>
        <w:t>(b)</w:t>
      </w:r>
      <w:r>
        <w:rPr>
          <w:snapToGrid w:val="0"/>
        </w:rPr>
        <w:tab/>
        <w:t>otherwise be inappropriate having regard to,</w:t>
      </w:r>
    </w:p>
    <w:p>
      <w:pPr>
        <w:pStyle w:val="Subsection"/>
        <w:rPr>
          <w:snapToGrid w:val="0"/>
        </w:rPr>
      </w:pPr>
      <w:r>
        <w:rPr>
          <w:snapToGrid w:val="0"/>
        </w:rPr>
        <w:tab/>
      </w:r>
      <w:r>
        <w:rPr>
          <w:snapToGrid w:val="0"/>
        </w:rPr>
        <w:tab/>
        <w:t>any operation or function of the Police Force or the Department.</w:t>
      </w:r>
    </w:p>
    <w:p>
      <w:pPr>
        <w:pStyle w:val="Subsection"/>
        <w:rPr>
          <w:snapToGrid w:val="0"/>
        </w:rPr>
      </w:pPr>
      <w:r>
        <w:rPr>
          <w:snapToGrid w:val="0"/>
        </w:rPr>
        <w:lastRenderedPageBreak/>
        <w:tab/>
        <w:t>(3)</w:t>
      </w:r>
      <w:r>
        <w:rPr>
          <w:snapToGrid w:val="0"/>
        </w:rPr>
        <w:tab/>
        <w:t>Subject to subsections (1) and (2) and to section 39C, a contract shall be on such terms and conditions as are set out in the contract.</w:t>
      </w:r>
    </w:p>
    <w:p>
      <w:pPr>
        <w:pStyle w:val="Footnotesection"/>
      </w:pPr>
      <w:r>
        <w:tab/>
        <w:t xml:space="preserve">[Section 39B inserted: No. 49 of 1995 s. 3.] </w:t>
      </w:r>
    </w:p>
    <w:p>
      <w:pPr>
        <w:pStyle w:val="Heading5"/>
        <w:rPr>
          <w:snapToGrid w:val="0"/>
        </w:rPr>
      </w:pPr>
      <w:bookmarkStart w:id="174" w:name="_Toc91142208"/>
      <w:r>
        <w:rPr>
          <w:rStyle w:val="CharSectno"/>
        </w:rPr>
        <w:t>39C</w:t>
      </w:r>
      <w:r>
        <w:rPr>
          <w:snapToGrid w:val="0"/>
        </w:rPr>
        <w:t>.</w:t>
      </w:r>
      <w:r>
        <w:rPr>
          <w:snapToGrid w:val="0"/>
        </w:rPr>
        <w:tab/>
        <w:t>Financial provisions relating to contracts</w:t>
      </w:r>
      <w:bookmarkEnd w:id="174"/>
      <w:r>
        <w:rPr>
          <w:snapToGrid w:val="0"/>
        </w:rPr>
        <w:t xml:space="preserve"> </w:t>
      </w:r>
    </w:p>
    <w:p>
      <w:pPr>
        <w:pStyle w:val="Subsection"/>
      </w:pPr>
      <w:r>
        <w:tab/>
        <w:t>(1)</w:t>
      </w:r>
      <w:r>
        <w:tab/>
        <w:t xml:space="preserve">An agency special purpose account called the Police Account is established under section 16 of the </w:t>
      </w:r>
      <w:r>
        <w:rPr>
          <w:i/>
        </w:rPr>
        <w:t>Financial Management Act 2006</w:t>
      </w:r>
      <w:r>
        <w:t>.</w:t>
      </w:r>
    </w:p>
    <w:p>
      <w:pPr>
        <w:pStyle w:val="Subsection"/>
        <w:rPr>
          <w:snapToGrid w:val="0"/>
        </w:rPr>
      </w:pPr>
      <w:r>
        <w:rPr>
          <w:snapToGrid w:val="0"/>
        </w:rPr>
        <w:tab/>
        <w:t>(2)</w:t>
      </w:r>
      <w:r>
        <w:rPr>
          <w:snapToGrid w:val="0"/>
        </w:rPr>
        <w:tab/>
        <w:t>Moneys received on behalf of the State under a contract shall be credited to the Account.</w:t>
      </w:r>
    </w:p>
    <w:p>
      <w:pPr>
        <w:pStyle w:val="Subsection"/>
        <w:rPr>
          <w:snapToGrid w:val="0"/>
        </w:rPr>
      </w:pPr>
      <w:r>
        <w:rPr>
          <w:snapToGrid w:val="0"/>
        </w:rPr>
        <w:tab/>
        <w:t>(3)</w:t>
      </w:r>
      <w:r>
        <w:rPr>
          <w:snapToGrid w:val="0"/>
        </w:rPr>
        <w:tab/>
        <w:t>Moneys received under a contract and credited to the Account may be applied for the purposes of providing, maintaining or operating the police property that is the subject of the contract but if so applied, shall be applied in a manner not inconsistent with the contract.</w:t>
      </w:r>
    </w:p>
    <w:p>
      <w:pPr>
        <w:pStyle w:val="Subsection"/>
        <w:rPr>
          <w:snapToGrid w:val="0"/>
        </w:rPr>
      </w:pPr>
      <w:r>
        <w:rPr>
          <w:snapToGrid w:val="0"/>
        </w:rPr>
        <w:tab/>
        <w:t>(4)</w:t>
      </w:r>
      <w:r>
        <w:rPr>
          <w:snapToGrid w:val="0"/>
        </w:rPr>
        <w:tab/>
        <w:t>The administration of the Account shall, for the purposes of</w:t>
      </w:r>
      <w:r>
        <w:t xml:space="preserve"> section 52 of the </w:t>
      </w:r>
      <w:r>
        <w:rPr>
          <w:i/>
        </w:rPr>
        <w:t>Financial Management Act 2006</w:t>
      </w:r>
      <w:r>
        <w:rPr>
          <w:snapToGrid w:val="0"/>
        </w:rPr>
        <w:t>, be deemed to be a service of the Department.</w:t>
      </w:r>
    </w:p>
    <w:p>
      <w:pPr>
        <w:pStyle w:val="Footnotesection"/>
      </w:pPr>
      <w:r>
        <w:tab/>
        <w:t xml:space="preserve">[Section 39C inserted: No. 49 of 1995 s. 3; amended: No. 77 of 2006 Sch. 1 cl. 130(2)-(5).] </w:t>
      </w:r>
    </w:p>
    <w:p>
      <w:pPr>
        <w:pStyle w:val="Heading2"/>
        <w:rPr>
          <w:rStyle w:val="CharPartText"/>
          <w:b w:val="0"/>
          <w:snapToGrid/>
          <w:sz w:val="24"/>
        </w:rPr>
      </w:pPr>
      <w:bookmarkStart w:id="175" w:name="_Toc90989593"/>
      <w:bookmarkStart w:id="176" w:name="_Toc90990640"/>
      <w:bookmarkStart w:id="177" w:name="_Toc91142209"/>
      <w:r>
        <w:rPr>
          <w:rStyle w:val="CharPartNo"/>
        </w:rPr>
        <w:lastRenderedPageBreak/>
        <w:t>Part IVB</w:t>
      </w:r>
      <w:r>
        <w:t> — </w:t>
      </w:r>
      <w:r>
        <w:rPr>
          <w:rStyle w:val="CharPartText"/>
        </w:rPr>
        <w:t>Charging for services at major events</w:t>
      </w:r>
      <w:bookmarkEnd w:id="175"/>
      <w:bookmarkEnd w:id="176"/>
      <w:bookmarkEnd w:id="177"/>
    </w:p>
    <w:p>
      <w:pPr>
        <w:pStyle w:val="Footnoteheading"/>
      </w:pPr>
      <w:r>
        <w:tab/>
        <w:t>[Heading inserted: No. 12 of 2011 s. 4.]</w:t>
      </w:r>
    </w:p>
    <w:p>
      <w:pPr>
        <w:pStyle w:val="Heading5"/>
      </w:pPr>
      <w:bookmarkStart w:id="178" w:name="_Toc91142210"/>
      <w:r>
        <w:rPr>
          <w:rStyle w:val="CharSectno"/>
        </w:rPr>
        <w:t>39D</w:t>
      </w:r>
      <w:r>
        <w:t>.</w:t>
      </w:r>
      <w:r>
        <w:tab/>
        <w:t>Purpose of this Part</w:t>
      </w:r>
      <w:bookmarkEnd w:id="178"/>
    </w:p>
    <w:p>
      <w:pPr>
        <w:pStyle w:val="Subsection"/>
        <w:rPr>
          <w:snapToGrid w:val="0"/>
        </w:rPr>
      </w:pPr>
      <w:r>
        <w:rPr>
          <w:snapToGrid w:val="0"/>
        </w:rPr>
        <w:tab/>
      </w:r>
      <w:r>
        <w:rPr>
          <w:snapToGrid w:val="0"/>
        </w:rPr>
        <w:tab/>
        <w:t>The purpose of this Part is to empower the Commissioner of Police to charge on a cost</w:t>
      </w:r>
      <w:r>
        <w:rPr>
          <w:snapToGrid w:val="0"/>
        </w:rPr>
        <w:noBreakHyphen/>
        <w:t>recovery basis for the attendance of police officers at major sporting or entertainment events where that attendance is requested by the promoter or organiser of the event.</w:t>
      </w:r>
    </w:p>
    <w:p>
      <w:pPr>
        <w:pStyle w:val="Footnotesection"/>
      </w:pPr>
      <w:r>
        <w:tab/>
        <w:t>[Section 39D inserted: No. 12 of 2011 s. 4.]</w:t>
      </w:r>
    </w:p>
    <w:p>
      <w:pPr>
        <w:pStyle w:val="Heading5"/>
      </w:pPr>
      <w:bookmarkStart w:id="179" w:name="_Toc91142211"/>
      <w:r>
        <w:rPr>
          <w:rStyle w:val="CharSectno"/>
        </w:rPr>
        <w:t>39E</w:t>
      </w:r>
      <w:r>
        <w:t>.</w:t>
      </w:r>
      <w:r>
        <w:tab/>
        <w:t>Terms used</w:t>
      </w:r>
      <w:bookmarkEnd w:id="179"/>
    </w:p>
    <w:p>
      <w:pPr>
        <w:pStyle w:val="Subsection"/>
        <w:rPr>
          <w:snapToGrid w:val="0"/>
        </w:rPr>
      </w:pPr>
      <w:r>
        <w:rPr>
          <w:snapToGrid w:val="0"/>
        </w:rPr>
        <w:tab/>
      </w:r>
      <w:r>
        <w:rPr>
          <w:snapToGrid w:val="0"/>
        </w:rPr>
        <w:tab/>
        <w:t xml:space="preserve">In this Part — </w:t>
      </w:r>
    </w:p>
    <w:p>
      <w:pPr>
        <w:pStyle w:val="Defstart"/>
      </w:pPr>
      <w:r>
        <w:tab/>
      </w:r>
      <w:r>
        <w:rPr>
          <w:rStyle w:val="CharDefText"/>
          <w:iCs/>
          <w:szCs w:val="22"/>
        </w:rPr>
        <w:t>charitable organisation</w:t>
      </w:r>
      <w:r>
        <w:t xml:space="preserve"> means — </w:t>
      </w:r>
    </w:p>
    <w:p>
      <w:pPr>
        <w:pStyle w:val="Defpara"/>
      </w:pPr>
      <w:r>
        <w:tab/>
        <w:t>(a)</w:t>
      </w:r>
      <w:r>
        <w:tab/>
        <w:t>a public benevolent or religious institution;</w:t>
      </w:r>
    </w:p>
    <w:p>
      <w:pPr>
        <w:pStyle w:val="Defpara"/>
      </w:pPr>
      <w:r>
        <w:tab/>
        <w:t>(b)</w:t>
      </w:r>
      <w:r>
        <w:tab/>
        <w:t>a public hospital or a hospital carried on by an association or other body of persons otherwise than for purposes of profit or gain to the individual members of that association or body;</w:t>
      </w:r>
    </w:p>
    <w:p>
      <w:pPr>
        <w:pStyle w:val="Defpara"/>
      </w:pPr>
      <w:r>
        <w:tab/>
        <w:t>(c)</w:t>
      </w:r>
      <w:r>
        <w:tab/>
        <w:t>a university;</w:t>
      </w:r>
    </w:p>
    <w:p>
      <w:pPr>
        <w:pStyle w:val="Defpara"/>
      </w:pPr>
      <w:r>
        <w:tab/>
        <w:t>(d)</w:t>
      </w:r>
      <w:r>
        <w:tab/>
        <w:t>a government college, a government school, or a college or school carried on by an association or other body of persons otherwise than for purposes of profit or gain to the individual members of that association or body;</w:t>
      </w:r>
    </w:p>
    <w:p>
      <w:pPr>
        <w:pStyle w:val="Defpara"/>
      </w:pPr>
      <w:r>
        <w:tab/>
        <w:t>(e)</w:t>
      </w:r>
      <w:r>
        <w:tab/>
        <w:t>a trust the moneys of which may be applied only for charitable purposes;</w:t>
      </w:r>
    </w:p>
    <w:p>
      <w:pPr>
        <w:pStyle w:val="Defpara"/>
      </w:pPr>
      <w:r>
        <w:tab/>
        <w:t>(f)</w:t>
      </w:r>
      <w:r>
        <w:tab/>
        <w:t>an institution established for any other charitable purpose;</w:t>
      </w:r>
    </w:p>
    <w:p>
      <w:pPr>
        <w:pStyle w:val="Defpara"/>
        <w:rPr>
          <w:snapToGrid/>
        </w:rPr>
      </w:pPr>
      <w:r>
        <w:tab/>
        <w:t>(g)</w:t>
      </w:r>
      <w:r>
        <w:tab/>
        <w:t>a society, institution or organisation established, and carried on, solely for the purpose of raising money for, or otherwise promoting the interests of, an entity that is a charitable organisation under any of paragraphs (a) to (f);</w:t>
      </w:r>
    </w:p>
    <w:p>
      <w:pPr>
        <w:pStyle w:val="Defstart"/>
      </w:pPr>
      <w:r>
        <w:lastRenderedPageBreak/>
        <w:tab/>
      </w:r>
      <w:r>
        <w:rPr>
          <w:rStyle w:val="CharDefText"/>
        </w:rPr>
        <w:t>Department</w:t>
      </w:r>
      <w:r>
        <w:t xml:space="preserve"> has the same meaning as in section 39A;</w:t>
      </w:r>
    </w:p>
    <w:p>
      <w:pPr>
        <w:pStyle w:val="Defstart"/>
      </w:pPr>
      <w:r>
        <w:tab/>
      </w:r>
      <w:r>
        <w:rPr>
          <w:rStyle w:val="CharDefText"/>
        </w:rPr>
        <w:t>event</w:t>
      </w:r>
      <w:r>
        <w:t xml:space="preserve"> — </w:t>
      </w:r>
    </w:p>
    <w:p>
      <w:pPr>
        <w:pStyle w:val="Defpara"/>
      </w:pPr>
      <w:r>
        <w:tab/>
        <w:t>(a)</w:t>
      </w:r>
      <w:r>
        <w:tab/>
        <w:t xml:space="preserve">means an event of a sporting or entertainment nature (whether it takes place wholly or partly in a public place or on private property), where — </w:t>
      </w:r>
    </w:p>
    <w:p>
      <w:pPr>
        <w:pStyle w:val="Defsubpara"/>
      </w:pPr>
      <w:r>
        <w:tab/>
        <w:t>(i)</w:t>
      </w:r>
      <w:r>
        <w:tab/>
        <w:t>a charge is made for admission to the event or to participate in the event; or</w:t>
      </w:r>
    </w:p>
    <w:p>
      <w:pPr>
        <w:pStyle w:val="Defsubpara"/>
      </w:pPr>
      <w:r>
        <w:tab/>
        <w:t>(ii)</w:t>
      </w:r>
      <w:r>
        <w:tab/>
        <w:t>the event is run for commercial gain; or</w:t>
      </w:r>
    </w:p>
    <w:p>
      <w:pPr>
        <w:pStyle w:val="Defsubpara"/>
      </w:pPr>
      <w:r>
        <w:tab/>
        <w:t>(iii)</w:t>
      </w:r>
      <w:r>
        <w:tab/>
        <w:t>the event is promoted, advertised or sponsored under a commercial arrangement;</w:t>
      </w:r>
    </w:p>
    <w:p>
      <w:pPr>
        <w:pStyle w:val="Defpara"/>
      </w:pPr>
      <w:r>
        <w:tab/>
      </w:r>
      <w:r>
        <w:tab/>
        <w:t>but</w:t>
      </w:r>
    </w:p>
    <w:p>
      <w:pPr>
        <w:pStyle w:val="Defpara"/>
      </w:pPr>
      <w:r>
        <w:tab/>
        <w:t>(b)</w:t>
      </w:r>
      <w:r>
        <w:tab/>
        <w:t xml:space="preserve">does not include — </w:t>
      </w:r>
    </w:p>
    <w:p>
      <w:pPr>
        <w:pStyle w:val="Defsubpara"/>
      </w:pPr>
      <w:r>
        <w:tab/>
        <w:t>(i)</w:t>
      </w:r>
      <w:r>
        <w:tab/>
        <w:t xml:space="preserve">an event run wholly or mainly for a charitable purpose as defined in the </w:t>
      </w:r>
      <w:r>
        <w:rPr>
          <w:i/>
        </w:rPr>
        <w:t xml:space="preserve">Charitable Collections Act 1946 </w:t>
      </w:r>
      <w:r>
        <w:rPr>
          <w:iCs/>
        </w:rPr>
        <w:t>section 5</w:t>
      </w:r>
      <w:r>
        <w:t>; or</w:t>
      </w:r>
    </w:p>
    <w:p>
      <w:pPr>
        <w:pStyle w:val="Defsubpara"/>
      </w:pPr>
      <w:r>
        <w:tab/>
        <w:t>(ii)</w:t>
      </w:r>
      <w:r>
        <w:tab/>
        <w:t>an event run by or for the benefit of a charitable organisation; or</w:t>
      </w:r>
    </w:p>
    <w:p>
      <w:pPr>
        <w:pStyle w:val="Defsubpara"/>
      </w:pPr>
      <w:r>
        <w:tab/>
        <w:t>(iii)</w:t>
      </w:r>
      <w:r>
        <w:tab/>
        <w:t>a public event that celebrates or commemorates a day of national or local significance (for example, an Australia Day public fireworks display, or an ANZAC Day parade); or</w:t>
      </w:r>
    </w:p>
    <w:p>
      <w:pPr>
        <w:pStyle w:val="Defsubpara"/>
      </w:pPr>
      <w:r>
        <w:tab/>
        <w:t>(iv)</w:t>
      </w:r>
      <w:r>
        <w:tab/>
        <w:t>an event run for the benefit of a local community (for example, a street fair); or</w:t>
      </w:r>
    </w:p>
    <w:p>
      <w:pPr>
        <w:pStyle w:val="Defsubpara"/>
      </w:pPr>
      <w:r>
        <w:tab/>
        <w:t>(v)</w:t>
      </w:r>
      <w:r>
        <w:tab/>
        <w:t>a government</w:t>
      </w:r>
      <w:r>
        <w:noBreakHyphen/>
        <w:t>sponsored event exempted by the Minister under section 39H; or</w:t>
      </w:r>
    </w:p>
    <w:p>
      <w:pPr>
        <w:pStyle w:val="Defsubpara"/>
      </w:pPr>
      <w:r>
        <w:tab/>
        <w:t>(vi)</w:t>
      </w:r>
      <w:r>
        <w:tab/>
        <w:t>any other event or class of event exempted from this Part by regulations made under this Act;</w:t>
      </w:r>
    </w:p>
    <w:p>
      <w:pPr>
        <w:pStyle w:val="Defstart"/>
      </w:pPr>
      <w:r>
        <w:tab/>
      </w:r>
      <w:r>
        <w:rPr>
          <w:rStyle w:val="CharDefText"/>
        </w:rPr>
        <w:t>government-sponsored event</w:t>
      </w:r>
      <w:r>
        <w:t xml:space="preserve"> means an event sponsored by a local government or a regional local government or the State or the Commonwealth;</w:t>
      </w:r>
    </w:p>
    <w:p>
      <w:pPr>
        <w:pStyle w:val="Defstart"/>
      </w:pPr>
      <w:r>
        <w:tab/>
      </w:r>
      <w:r>
        <w:rPr>
          <w:rStyle w:val="CharDefText"/>
        </w:rPr>
        <w:t>major event</w:t>
      </w:r>
      <w:r>
        <w:t xml:space="preserve"> has the meaning given in section 39F;</w:t>
      </w:r>
    </w:p>
    <w:p>
      <w:pPr>
        <w:pStyle w:val="Defstart"/>
      </w:pPr>
      <w:r>
        <w:lastRenderedPageBreak/>
        <w:tab/>
      </w:r>
      <w:r>
        <w:rPr>
          <w:rStyle w:val="CharDefText"/>
        </w:rPr>
        <w:t>police services</w:t>
      </w:r>
      <w:r>
        <w:t xml:space="preserve">, in relation to an event, means the attendance of police officers at the event in order to do any of the following — </w:t>
      </w:r>
    </w:p>
    <w:p>
      <w:pPr>
        <w:pStyle w:val="Defpara"/>
      </w:pPr>
      <w:r>
        <w:tab/>
        <w:t>(a)</w:t>
      </w:r>
      <w:r>
        <w:tab/>
        <w:t>keep order;</w:t>
      </w:r>
    </w:p>
    <w:p>
      <w:pPr>
        <w:pStyle w:val="Defpara"/>
      </w:pPr>
      <w:r>
        <w:tab/>
        <w:t>(b)</w:t>
      </w:r>
      <w:r>
        <w:tab/>
        <w:t>provide an immediate emergency management capability;</w:t>
      </w:r>
    </w:p>
    <w:p>
      <w:pPr>
        <w:pStyle w:val="Defpara"/>
      </w:pPr>
      <w:r>
        <w:tab/>
        <w:t>(c)</w:t>
      </w:r>
      <w:r>
        <w:tab/>
        <w:t>provide traffic management in the immediate vicinity of the event.</w:t>
      </w:r>
    </w:p>
    <w:p>
      <w:pPr>
        <w:pStyle w:val="Footnotesection"/>
      </w:pPr>
      <w:r>
        <w:tab/>
        <w:t>[Section 39E inserted: No. 12 of 2011 s. 4.]</w:t>
      </w:r>
    </w:p>
    <w:p>
      <w:pPr>
        <w:pStyle w:val="Heading5"/>
      </w:pPr>
      <w:bookmarkStart w:id="180" w:name="_Toc91142212"/>
      <w:r>
        <w:rPr>
          <w:rStyle w:val="CharSectno"/>
        </w:rPr>
        <w:t>39F</w:t>
      </w:r>
      <w:r>
        <w:t>.</w:t>
      </w:r>
      <w:r>
        <w:tab/>
        <w:t>Term used: major event</w:t>
      </w:r>
      <w:bookmarkEnd w:id="180"/>
    </w:p>
    <w:p>
      <w:pPr>
        <w:pStyle w:val="Subsection"/>
        <w:rPr>
          <w:snapToGrid w:val="0"/>
        </w:rPr>
      </w:pPr>
      <w:r>
        <w:rPr>
          <w:snapToGrid w:val="0"/>
        </w:rPr>
        <w:tab/>
      </w:r>
      <w:r>
        <w:rPr>
          <w:snapToGrid w:val="0"/>
        </w:rPr>
        <w:tab/>
        <w:t xml:space="preserve">In this Part — </w:t>
      </w:r>
    </w:p>
    <w:p>
      <w:pPr>
        <w:pStyle w:val="Defstart"/>
      </w:pPr>
      <w:r>
        <w:tab/>
      </w:r>
      <w:r>
        <w:rPr>
          <w:rStyle w:val="CharDefText"/>
        </w:rPr>
        <w:t>major event</w:t>
      </w:r>
      <w:r>
        <w:t xml:space="preserve"> means an event — </w:t>
      </w:r>
    </w:p>
    <w:p>
      <w:pPr>
        <w:pStyle w:val="Defpara"/>
      </w:pPr>
      <w:r>
        <w:tab/>
        <w:t>(a)</w:t>
      </w:r>
      <w:r>
        <w:tab/>
        <w:t>that is reasonably expected by the promoter or organiser, or the Commissioner of Police, to attract at least 5 000 attendees or participants; or</w:t>
      </w:r>
    </w:p>
    <w:p>
      <w:pPr>
        <w:pStyle w:val="Defpara"/>
      </w:pPr>
      <w:r>
        <w:tab/>
        <w:t>(b)</w:t>
      </w:r>
      <w:r>
        <w:tab/>
        <w:t>for which the Commissioner of Police reasonably considers it necessary or desirable to assign at least 10 police officers to provide police services.</w:t>
      </w:r>
    </w:p>
    <w:p>
      <w:pPr>
        <w:pStyle w:val="Footnotesection"/>
      </w:pPr>
      <w:r>
        <w:tab/>
        <w:t>[Section 39F inserted: No. 12 of 2011 s. 4.]</w:t>
      </w:r>
    </w:p>
    <w:p>
      <w:pPr>
        <w:pStyle w:val="Heading5"/>
      </w:pPr>
      <w:bookmarkStart w:id="181" w:name="_Toc91142213"/>
      <w:r>
        <w:rPr>
          <w:rStyle w:val="CharSectno"/>
        </w:rPr>
        <w:t>39G</w:t>
      </w:r>
      <w:r>
        <w:t>.</w:t>
      </w:r>
      <w:r>
        <w:tab/>
        <w:t>Providing and charging for services at major events</w:t>
      </w:r>
      <w:bookmarkEnd w:id="181"/>
    </w:p>
    <w:p>
      <w:pPr>
        <w:pStyle w:val="Subsection"/>
        <w:rPr>
          <w:snapToGrid w:val="0"/>
        </w:rPr>
      </w:pPr>
      <w:r>
        <w:rPr>
          <w:snapToGrid w:val="0"/>
        </w:rPr>
        <w:tab/>
        <w:t>(1)</w:t>
      </w:r>
      <w:r>
        <w:rPr>
          <w:snapToGrid w:val="0"/>
        </w:rPr>
        <w:tab/>
        <w:t>If the promoter or organiser of an event requests the Commissioner of Police to provide police services for that event, the Commissioner may charge the promoter or organiser for providing those services if the event is a major event.</w:t>
      </w:r>
    </w:p>
    <w:p>
      <w:pPr>
        <w:pStyle w:val="Subsection"/>
        <w:rPr>
          <w:snapToGrid w:val="0"/>
        </w:rPr>
      </w:pPr>
      <w:r>
        <w:rPr>
          <w:snapToGrid w:val="0"/>
        </w:rPr>
        <w:tab/>
        <w:t>(2)</w:t>
      </w:r>
      <w:r>
        <w:rPr>
          <w:snapToGrid w:val="0"/>
        </w:rPr>
        <w:tab/>
        <w:t>The amount that the Commissioner may charge is to be determined in accordance with regulations made under section 138A.</w:t>
      </w:r>
    </w:p>
    <w:p>
      <w:pPr>
        <w:pStyle w:val="Subsection"/>
        <w:keepNext/>
        <w:rPr>
          <w:snapToGrid w:val="0"/>
        </w:rPr>
      </w:pPr>
      <w:r>
        <w:rPr>
          <w:snapToGrid w:val="0"/>
        </w:rPr>
        <w:lastRenderedPageBreak/>
        <w:tab/>
        <w:t>(3)</w:t>
      </w:r>
      <w:r>
        <w:rPr>
          <w:snapToGrid w:val="0"/>
        </w:rPr>
        <w:tab/>
        <w:t xml:space="preserve">For the avoidance of doubt — </w:t>
      </w:r>
    </w:p>
    <w:p>
      <w:pPr>
        <w:pStyle w:val="Indenta"/>
      </w:pPr>
      <w:r>
        <w:tab/>
        <w:t>(a)</w:t>
      </w:r>
      <w:r>
        <w:tab/>
        <w:t>this Part does not impose an obligation on the Commissioner of Police to provide police services for a major event; and</w:t>
      </w:r>
    </w:p>
    <w:p>
      <w:pPr>
        <w:pStyle w:val="Indenta"/>
      </w:pPr>
      <w:r>
        <w:tab/>
        <w:t>(b)</w:t>
      </w:r>
      <w:r>
        <w:tab/>
        <w:t xml:space="preserve">the Commissioner is the final judge of the number of police officers required to provide police services for an event, but that does not lessen or limit any obligation that the Commissioner has — </w:t>
      </w:r>
    </w:p>
    <w:p>
      <w:pPr>
        <w:pStyle w:val="Indenti"/>
      </w:pPr>
      <w:r>
        <w:tab/>
        <w:t>(i)</w:t>
      </w:r>
      <w:r>
        <w:tab/>
        <w:t>to consult on the matter with the promoter or organiser of the event; and</w:t>
      </w:r>
    </w:p>
    <w:p>
      <w:pPr>
        <w:pStyle w:val="Indenti"/>
      </w:pPr>
      <w:r>
        <w:tab/>
        <w:t>(ii)</w:t>
      </w:r>
      <w:r>
        <w:tab/>
        <w:t>to have regard to the current charging policy published under section 39L;</w:t>
      </w:r>
    </w:p>
    <w:p>
      <w:pPr>
        <w:pStyle w:val="Indenta"/>
      </w:pPr>
      <w:r>
        <w:tab/>
      </w:r>
      <w:r>
        <w:tab/>
        <w:t>and</w:t>
      </w:r>
    </w:p>
    <w:p>
      <w:pPr>
        <w:pStyle w:val="Indenta"/>
      </w:pPr>
      <w:r>
        <w:tab/>
        <w:t>(c)</w:t>
      </w:r>
      <w:r>
        <w:tab/>
        <w:t>the fact that the Commissioner has agreed to provide police services for a major event does not limit the ability of the Commissioner to redeploy any police officer for another purpose that the Commissioner considers has a higher operational priority (of which the Commissioner is the sole judge).</w:t>
      </w:r>
    </w:p>
    <w:p>
      <w:pPr>
        <w:pStyle w:val="Subsection"/>
        <w:rPr>
          <w:szCs w:val="22"/>
        </w:rPr>
      </w:pPr>
      <w:r>
        <w:rPr>
          <w:szCs w:val="22"/>
        </w:rPr>
        <w:tab/>
        <w:t>(4)</w:t>
      </w:r>
      <w:r>
        <w:rPr>
          <w:szCs w:val="22"/>
        </w:rPr>
        <w:tab/>
        <w:t>If the Commissioner decides to charge a person for providing police services for an event, that person may apply to the State Administrative Tribunal for a review of the decision on the ground that what the person is promoting or organising is not an event as defined in section 39E.</w:t>
      </w:r>
    </w:p>
    <w:p>
      <w:pPr>
        <w:pStyle w:val="Footnotesection"/>
      </w:pPr>
      <w:r>
        <w:tab/>
        <w:t>[Section 39G inserted: No. 12 of 2011 s. 4.]</w:t>
      </w:r>
    </w:p>
    <w:p>
      <w:pPr>
        <w:pStyle w:val="Heading5"/>
      </w:pPr>
      <w:bookmarkStart w:id="182" w:name="_Toc91142214"/>
      <w:r>
        <w:rPr>
          <w:rStyle w:val="CharSectno"/>
        </w:rPr>
        <w:t>39H</w:t>
      </w:r>
      <w:r>
        <w:t>.</w:t>
      </w:r>
      <w:r>
        <w:tab/>
        <w:t>Minister may exempt government</w:t>
      </w:r>
      <w:r>
        <w:noBreakHyphen/>
        <w:t>sponsored events</w:t>
      </w:r>
      <w:bookmarkEnd w:id="182"/>
    </w:p>
    <w:p>
      <w:pPr>
        <w:pStyle w:val="Subsection"/>
        <w:rPr>
          <w:snapToGrid w:val="0"/>
        </w:rPr>
      </w:pPr>
      <w:r>
        <w:rPr>
          <w:snapToGrid w:val="0"/>
        </w:rPr>
        <w:tab/>
        <w:t>(1)</w:t>
      </w:r>
      <w:r>
        <w:rPr>
          <w:snapToGrid w:val="0"/>
        </w:rPr>
        <w:tab/>
        <w:t>The Minister may, by notice published in the Gazette, exempt a government</w:t>
      </w:r>
      <w:r>
        <w:rPr>
          <w:snapToGrid w:val="0"/>
        </w:rPr>
        <w:noBreakHyphen/>
        <w:t xml:space="preserve">sponsored event from the imposition of a charge under this Part if the Minister is satisfied that the event — </w:t>
      </w:r>
    </w:p>
    <w:p>
      <w:pPr>
        <w:pStyle w:val="Indenta"/>
      </w:pPr>
      <w:r>
        <w:tab/>
        <w:t>(a)</w:t>
      </w:r>
      <w:r>
        <w:tab/>
        <w:t>will provide significant economic benefits to the State; or</w:t>
      </w:r>
    </w:p>
    <w:p>
      <w:pPr>
        <w:pStyle w:val="Indenta"/>
      </w:pPr>
      <w:r>
        <w:lastRenderedPageBreak/>
        <w:tab/>
        <w:t>(b)</w:t>
      </w:r>
      <w:r>
        <w:tab/>
        <w:t>will provide significant publicity for the State through media coverage of the event; or</w:t>
      </w:r>
    </w:p>
    <w:p>
      <w:pPr>
        <w:pStyle w:val="Indenta"/>
      </w:pPr>
      <w:r>
        <w:tab/>
        <w:t>(c)</w:t>
      </w:r>
      <w:r>
        <w:tab/>
        <w:t>will contribute significantly to the State’s national or international profile as a host of sporting, entertainment or other events.</w:t>
      </w:r>
    </w:p>
    <w:p>
      <w:pPr>
        <w:pStyle w:val="Subsection"/>
        <w:rPr>
          <w:snapToGrid w:val="0"/>
        </w:rPr>
      </w:pPr>
      <w:r>
        <w:rPr>
          <w:snapToGrid w:val="0"/>
        </w:rPr>
        <w:tab/>
        <w:t>(2)</w:t>
      </w:r>
      <w:r>
        <w:rPr>
          <w:snapToGrid w:val="0"/>
        </w:rPr>
        <w:tab/>
        <w:t>The Minister may, by notice published in the Gazette, cancel or vary a notice given under this section.</w:t>
      </w:r>
    </w:p>
    <w:p>
      <w:pPr>
        <w:pStyle w:val="Footnotesection"/>
      </w:pPr>
      <w:r>
        <w:tab/>
        <w:t>[Section 39H inserted: No. 12 of 2011 s. 4.]</w:t>
      </w:r>
    </w:p>
    <w:p>
      <w:pPr>
        <w:pStyle w:val="Heading5"/>
      </w:pPr>
      <w:bookmarkStart w:id="183" w:name="_Toc91142215"/>
      <w:r>
        <w:rPr>
          <w:rStyle w:val="CharSectno"/>
        </w:rPr>
        <w:t>39I</w:t>
      </w:r>
      <w:r>
        <w:t>.</w:t>
      </w:r>
      <w:r>
        <w:tab/>
        <w:t>Regulations prescribing amounts chargeable for police services at major events</w:t>
      </w:r>
      <w:bookmarkEnd w:id="183"/>
    </w:p>
    <w:p>
      <w:pPr>
        <w:pStyle w:val="Subsection"/>
        <w:rPr>
          <w:snapToGrid w:val="0"/>
        </w:rPr>
      </w:pPr>
      <w:r>
        <w:rPr>
          <w:snapToGrid w:val="0"/>
        </w:rPr>
        <w:tab/>
        <w:t>(1)</w:t>
      </w:r>
      <w:r>
        <w:rPr>
          <w:snapToGrid w:val="0"/>
        </w:rPr>
        <w:tab/>
        <w:t>Without limiting section 138A, regulations may be made under that section prescribing the amounts chargeable for the provision of police services under this Part or the method of calculating those amounts.</w:t>
      </w:r>
    </w:p>
    <w:p>
      <w:pPr>
        <w:pStyle w:val="Subsection"/>
        <w:rPr>
          <w:snapToGrid w:val="0"/>
        </w:rPr>
      </w:pPr>
      <w:r>
        <w:rPr>
          <w:snapToGrid w:val="0"/>
        </w:rPr>
        <w:tab/>
        <w:t>(2)</w:t>
      </w:r>
      <w:r>
        <w:rPr>
          <w:snapToGrid w:val="0"/>
        </w:rPr>
        <w:tab/>
        <w:t>The amounts, or the method of calculating the amounts, are to be prescribed on a cost</w:t>
      </w:r>
      <w:r>
        <w:rPr>
          <w:snapToGrid w:val="0"/>
        </w:rPr>
        <w:noBreakHyphen/>
        <w:t>recovery basis, and (to avoid doubt) both the costs of the Police Force and the costs of the Department may be recovered.</w:t>
      </w:r>
    </w:p>
    <w:p>
      <w:pPr>
        <w:pStyle w:val="Subsection"/>
        <w:rPr>
          <w:snapToGrid w:val="0"/>
        </w:rPr>
      </w:pPr>
      <w:r>
        <w:rPr>
          <w:snapToGrid w:val="0"/>
        </w:rPr>
        <w:tab/>
        <w:t>(3)</w:t>
      </w:r>
      <w:r>
        <w:rPr>
          <w:snapToGrid w:val="0"/>
        </w:rPr>
        <w:tab/>
        <w:t xml:space="preserve">Without limiting subsection (2), the costs that may be recovered include the following — </w:t>
      </w:r>
    </w:p>
    <w:p>
      <w:pPr>
        <w:pStyle w:val="Indenta"/>
      </w:pPr>
      <w:r>
        <w:tab/>
        <w:t>(a)</w:t>
      </w:r>
      <w:r>
        <w:tab/>
        <w:t>the personnel costs associated with the time spent by a police officer in planning the deployment of police officers for an event;</w:t>
      </w:r>
    </w:p>
    <w:p>
      <w:pPr>
        <w:pStyle w:val="Indenta"/>
      </w:pPr>
      <w:r>
        <w:tab/>
        <w:t>(b)</w:t>
      </w:r>
      <w:r>
        <w:tab/>
        <w:t>the personnel costs associated with the police officers who attend an event to provide police services;</w:t>
      </w:r>
    </w:p>
    <w:p>
      <w:pPr>
        <w:pStyle w:val="Indenta"/>
      </w:pPr>
      <w:r>
        <w:tab/>
        <w:t>(c)</w:t>
      </w:r>
      <w:r>
        <w:tab/>
        <w:t>the overhead expenses associated with the provision of police services for an event.</w:t>
      </w:r>
    </w:p>
    <w:p>
      <w:pPr>
        <w:pStyle w:val="Subsection"/>
        <w:keepNext/>
        <w:rPr>
          <w:snapToGrid w:val="0"/>
        </w:rPr>
      </w:pPr>
      <w:r>
        <w:rPr>
          <w:snapToGrid w:val="0"/>
        </w:rPr>
        <w:tab/>
        <w:t>(4)</w:t>
      </w:r>
      <w:r>
        <w:rPr>
          <w:snapToGrid w:val="0"/>
        </w:rPr>
        <w:tab/>
        <w:t xml:space="preserve">For the purpose of determining the personnel costs of police officers attending an event, the regulations may prescribe or provide for — </w:t>
      </w:r>
    </w:p>
    <w:p>
      <w:pPr>
        <w:pStyle w:val="Indenta"/>
      </w:pPr>
      <w:r>
        <w:tab/>
        <w:t>(a)</w:t>
      </w:r>
      <w:r>
        <w:tab/>
        <w:t>different hourly rates for police officers of different ranks; or</w:t>
      </w:r>
    </w:p>
    <w:p>
      <w:pPr>
        <w:pStyle w:val="Indenta"/>
      </w:pPr>
      <w:r>
        <w:lastRenderedPageBreak/>
        <w:tab/>
        <w:t>(b)</w:t>
      </w:r>
      <w:r>
        <w:tab/>
        <w:t>a standard hourly rate for a police officer regardless of rank, and (without limitation) the standard hourly rate may be an average of the hourly rates of the police officers of various ranks who would normally be required to attend a major event.</w:t>
      </w:r>
    </w:p>
    <w:p>
      <w:pPr>
        <w:pStyle w:val="Subsection"/>
        <w:rPr>
          <w:snapToGrid w:val="0"/>
        </w:rPr>
      </w:pPr>
      <w:r>
        <w:rPr>
          <w:snapToGrid w:val="0"/>
        </w:rPr>
        <w:tab/>
        <w:t>(5)</w:t>
      </w:r>
      <w:r>
        <w:rPr>
          <w:snapToGrid w:val="0"/>
        </w:rPr>
        <w:tab/>
        <w:t xml:space="preserve">The regulations may specify or provide for the payment of a minimum amount to recover costs unavoidably incurred by the Police Force or the Department where — </w:t>
      </w:r>
    </w:p>
    <w:p>
      <w:pPr>
        <w:pStyle w:val="Indenta"/>
      </w:pPr>
      <w:r>
        <w:tab/>
        <w:t>(a)</w:t>
      </w:r>
      <w:r>
        <w:tab/>
        <w:t>an event is cancelled or postponed or runs for a shorter period than expected; or</w:t>
      </w:r>
    </w:p>
    <w:p>
      <w:pPr>
        <w:pStyle w:val="Indenta"/>
      </w:pPr>
      <w:r>
        <w:tab/>
        <w:t>(b)</w:t>
      </w:r>
      <w:r>
        <w:tab/>
        <w:t xml:space="preserve">the number of police officers assigned to provide police services for an event is reduced at short notice at the request of the promoter or organiser of the event, and in that case the minimum amount applies even though the number of police officers who attend the event is fewer than the minimum number referred to in paragraph (b) of the definition of </w:t>
      </w:r>
      <w:r>
        <w:rPr>
          <w:b/>
          <w:i/>
        </w:rPr>
        <w:t>major event</w:t>
      </w:r>
      <w:r>
        <w:t xml:space="preserve"> in section 39F.</w:t>
      </w:r>
    </w:p>
    <w:p>
      <w:pPr>
        <w:pStyle w:val="Footnotesection"/>
      </w:pPr>
      <w:r>
        <w:tab/>
        <w:t>[Section 39I inserted: No. 12 of 2011 s. 4.]</w:t>
      </w:r>
    </w:p>
    <w:p>
      <w:pPr>
        <w:pStyle w:val="Heading5"/>
      </w:pPr>
      <w:bookmarkStart w:id="184" w:name="_Toc91142216"/>
      <w:r>
        <w:rPr>
          <w:rStyle w:val="CharSectno"/>
        </w:rPr>
        <w:t>39J</w:t>
      </w:r>
      <w:r>
        <w:t>.</w:t>
      </w:r>
      <w:r>
        <w:tab/>
        <w:t>Recovery of amounts payable</w:t>
      </w:r>
      <w:bookmarkEnd w:id="184"/>
    </w:p>
    <w:p>
      <w:pPr>
        <w:pStyle w:val="Subsection"/>
        <w:rPr>
          <w:snapToGrid w:val="0"/>
        </w:rPr>
      </w:pPr>
      <w:r>
        <w:rPr>
          <w:snapToGrid w:val="0"/>
        </w:rPr>
        <w:tab/>
      </w:r>
      <w:r>
        <w:rPr>
          <w:snapToGrid w:val="0"/>
        </w:rPr>
        <w:tab/>
        <w:t>The Commissioner of Police may recover, in any court of competent jurisdiction, as a debt due to the State, any amount due and owing under this Part in respect of the provision of police services.</w:t>
      </w:r>
    </w:p>
    <w:p>
      <w:pPr>
        <w:pStyle w:val="Footnotesection"/>
      </w:pPr>
      <w:r>
        <w:tab/>
        <w:t>[Section 39J inserted: No. 12 of 2011 s. 4.]</w:t>
      </w:r>
    </w:p>
    <w:p>
      <w:pPr>
        <w:pStyle w:val="Heading5"/>
      </w:pPr>
      <w:bookmarkStart w:id="185" w:name="_Toc91142217"/>
      <w:r>
        <w:rPr>
          <w:rStyle w:val="CharSectno"/>
        </w:rPr>
        <w:t>39K</w:t>
      </w:r>
      <w:r>
        <w:t>.</w:t>
      </w:r>
      <w:r>
        <w:tab/>
        <w:t>Power to waive or refund amounts payable</w:t>
      </w:r>
      <w:bookmarkEnd w:id="185"/>
    </w:p>
    <w:p>
      <w:pPr>
        <w:pStyle w:val="Subsection"/>
        <w:rPr>
          <w:snapToGrid w:val="0"/>
        </w:rPr>
      </w:pPr>
      <w:r>
        <w:rPr>
          <w:snapToGrid w:val="0"/>
        </w:rPr>
        <w:tab/>
      </w:r>
      <w:r>
        <w:rPr>
          <w:snapToGrid w:val="0"/>
        </w:rPr>
        <w:tab/>
        <w:t>The Commissioner of Police may reduce, waive or refund the whole or any part of any amount payable under this Part where the Commissioner considers it appropriate to do so.</w:t>
      </w:r>
    </w:p>
    <w:p>
      <w:pPr>
        <w:pStyle w:val="Footnotesection"/>
      </w:pPr>
      <w:r>
        <w:tab/>
        <w:t>[Section 39K inserted: No. 12 of 2011 s. 4.]</w:t>
      </w:r>
    </w:p>
    <w:p>
      <w:pPr>
        <w:pStyle w:val="Heading5"/>
      </w:pPr>
      <w:bookmarkStart w:id="186" w:name="_Toc91142218"/>
      <w:r>
        <w:rPr>
          <w:rStyle w:val="CharSectno"/>
        </w:rPr>
        <w:lastRenderedPageBreak/>
        <w:t>39L</w:t>
      </w:r>
      <w:r>
        <w:t>.</w:t>
      </w:r>
      <w:r>
        <w:tab/>
        <w:t>Commissioner of Police to publish charging policy</w:t>
      </w:r>
      <w:bookmarkEnd w:id="186"/>
    </w:p>
    <w:p>
      <w:pPr>
        <w:pStyle w:val="Subsection"/>
        <w:rPr>
          <w:snapToGrid w:val="0"/>
        </w:rPr>
      </w:pPr>
      <w:r>
        <w:rPr>
          <w:snapToGrid w:val="0"/>
        </w:rPr>
        <w:tab/>
        <w:t>(1)</w:t>
      </w:r>
      <w:r>
        <w:rPr>
          <w:snapToGrid w:val="0"/>
        </w:rPr>
        <w:tab/>
        <w:t>The Commissioner of Police must prepare and maintain a document setting out the policy that the Commissioner intends to follow in exercising the Commissioner’s functions under this Part.</w:t>
      </w:r>
    </w:p>
    <w:p>
      <w:pPr>
        <w:pStyle w:val="Subsection"/>
        <w:rPr>
          <w:snapToGrid w:val="0"/>
        </w:rPr>
      </w:pPr>
      <w:r>
        <w:rPr>
          <w:snapToGrid w:val="0"/>
        </w:rPr>
        <w:tab/>
        <w:t>(2)</w:t>
      </w:r>
      <w:r>
        <w:rPr>
          <w:snapToGrid w:val="0"/>
        </w:rPr>
        <w:tab/>
        <w:t>The policy must not be inconsistent with this Part or the regulations.</w:t>
      </w:r>
    </w:p>
    <w:p>
      <w:pPr>
        <w:pStyle w:val="Subsection"/>
        <w:rPr>
          <w:snapToGrid w:val="0"/>
        </w:rPr>
      </w:pPr>
      <w:r>
        <w:rPr>
          <w:snapToGrid w:val="0"/>
        </w:rPr>
        <w:tab/>
        <w:t>(3)</w:t>
      </w:r>
      <w:r>
        <w:rPr>
          <w:snapToGrid w:val="0"/>
        </w:rPr>
        <w:tab/>
        <w:t xml:space="preserve">The policy — </w:t>
      </w:r>
    </w:p>
    <w:p>
      <w:pPr>
        <w:pStyle w:val="Indenta"/>
      </w:pPr>
      <w:r>
        <w:tab/>
        <w:t>(a)</w:t>
      </w:r>
      <w:r>
        <w:tab/>
        <w:t xml:space="preserve">must set out the following — </w:t>
      </w:r>
    </w:p>
    <w:p>
      <w:pPr>
        <w:pStyle w:val="Indenti"/>
      </w:pPr>
      <w:r>
        <w:tab/>
        <w:t>(i)</w:t>
      </w:r>
      <w:r>
        <w:tab/>
        <w:t>the matters that the Commissioner will take into account in determining (after consultation with the promoter or organiser of an event) the number of police officers who will provide police services for the event (which matters may be included in a risk assessment process set out in the policy);</w:t>
      </w:r>
    </w:p>
    <w:p>
      <w:pPr>
        <w:pStyle w:val="Indenti"/>
      </w:pPr>
      <w:r>
        <w:tab/>
        <w:t>(ii)</w:t>
      </w:r>
      <w:r>
        <w:tab/>
        <w:t>the circumstances in which the Commissioner may consider reducing, refunding or waiving amounts in accordance with section 39K;</w:t>
      </w:r>
    </w:p>
    <w:p>
      <w:pPr>
        <w:pStyle w:val="Indenta"/>
      </w:pPr>
      <w:r>
        <w:tab/>
      </w:r>
      <w:r>
        <w:tab/>
        <w:t>and</w:t>
      </w:r>
    </w:p>
    <w:p>
      <w:pPr>
        <w:pStyle w:val="Indenta"/>
      </w:pPr>
      <w:r>
        <w:tab/>
        <w:t>(b)</w:t>
      </w:r>
      <w:r>
        <w:tab/>
        <w:t>may include any other matters the Commissioner considers appropriate.</w:t>
      </w:r>
    </w:p>
    <w:p>
      <w:pPr>
        <w:pStyle w:val="Subsection"/>
        <w:rPr>
          <w:snapToGrid w:val="0"/>
        </w:rPr>
      </w:pPr>
      <w:r>
        <w:rPr>
          <w:snapToGrid w:val="0"/>
        </w:rPr>
        <w:tab/>
        <w:t>(4)</w:t>
      </w:r>
      <w:r>
        <w:rPr>
          <w:snapToGrid w:val="0"/>
        </w:rPr>
        <w:tab/>
        <w:t>The Commissioner may amend or replace the policy from time to time.</w:t>
      </w:r>
    </w:p>
    <w:p>
      <w:pPr>
        <w:pStyle w:val="Subsection"/>
        <w:keepNext/>
        <w:rPr>
          <w:snapToGrid w:val="0"/>
        </w:rPr>
      </w:pPr>
      <w:r>
        <w:rPr>
          <w:snapToGrid w:val="0"/>
        </w:rPr>
        <w:tab/>
        <w:t>(5)</w:t>
      </w:r>
      <w:r>
        <w:rPr>
          <w:snapToGrid w:val="0"/>
        </w:rPr>
        <w:tab/>
        <w:t>The Commissioner must make the current policy publicly available.</w:t>
      </w:r>
    </w:p>
    <w:p>
      <w:pPr>
        <w:pStyle w:val="Footnotesection"/>
      </w:pPr>
      <w:r>
        <w:tab/>
        <w:t>[Section 39L inserted: No. 12 of 2011 s. 4.]</w:t>
      </w:r>
    </w:p>
    <w:p>
      <w:pPr>
        <w:pStyle w:val="Heading5"/>
      </w:pPr>
      <w:bookmarkStart w:id="187" w:name="_Toc91142219"/>
      <w:r>
        <w:rPr>
          <w:rStyle w:val="CharSectno"/>
        </w:rPr>
        <w:t>39M</w:t>
      </w:r>
      <w:r>
        <w:t>.</w:t>
      </w:r>
      <w:r>
        <w:tab/>
        <w:t>Delegation by Commissioner of Police</w:t>
      </w:r>
      <w:bookmarkEnd w:id="187"/>
    </w:p>
    <w:p>
      <w:pPr>
        <w:pStyle w:val="Subsection"/>
        <w:rPr>
          <w:snapToGrid w:val="0"/>
        </w:rPr>
      </w:pPr>
      <w:r>
        <w:rPr>
          <w:snapToGrid w:val="0"/>
        </w:rPr>
        <w:tab/>
        <w:t>(1)</w:t>
      </w:r>
      <w:r>
        <w:rPr>
          <w:snapToGrid w:val="0"/>
        </w:rPr>
        <w:tab/>
        <w:t>The Commissioner of Police may delegate any power or duty of the Commissioner of Police under this Part to a specified police officer or police officers of a specified class.</w:t>
      </w:r>
    </w:p>
    <w:p>
      <w:pPr>
        <w:pStyle w:val="Subsection"/>
        <w:rPr>
          <w:snapToGrid w:val="0"/>
        </w:rPr>
      </w:pPr>
      <w:r>
        <w:rPr>
          <w:snapToGrid w:val="0"/>
        </w:rPr>
        <w:lastRenderedPageBreak/>
        <w:tab/>
        <w:t>(2)</w:t>
      </w:r>
      <w:r>
        <w:rPr>
          <w:snapToGrid w:val="0"/>
        </w:rPr>
        <w:tab/>
        <w:t xml:space="preserve">A delegate must be a police officer who — </w:t>
      </w:r>
    </w:p>
    <w:p>
      <w:pPr>
        <w:pStyle w:val="Indenta"/>
      </w:pPr>
      <w:r>
        <w:tab/>
        <w:t>(a)</w:t>
      </w:r>
      <w:r>
        <w:tab/>
        <w:t>is, or is acting as, an inspector or an officer of a rank more senior than an inspector; or</w:t>
      </w:r>
    </w:p>
    <w:p>
      <w:pPr>
        <w:pStyle w:val="Indenta"/>
      </w:pPr>
      <w:r>
        <w:tab/>
        <w:t>(b)</w:t>
      </w:r>
      <w:r>
        <w:tab/>
        <w:t>is the officer in charge of a police station.</w:t>
      </w:r>
    </w:p>
    <w:p>
      <w:pPr>
        <w:pStyle w:val="Subsection"/>
        <w:rPr>
          <w:snapToGrid w:val="0"/>
        </w:rPr>
      </w:pPr>
      <w:r>
        <w:rPr>
          <w:snapToGrid w:val="0"/>
        </w:rPr>
        <w:tab/>
        <w:t>(3)</w:t>
      </w:r>
      <w:r>
        <w:rPr>
          <w:snapToGrid w:val="0"/>
        </w:rPr>
        <w:tab/>
        <w:t>The delegation must be in writing signed by the Commissioner.</w:t>
      </w:r>
    </w:p>
    <w:p>
      <w:pPr>
        <w:pStyle w:val="Subsection"/>
        <w:rPr>
          <w:snapToGrid w:val="0"/>
        </w:rPr>
      </w:pPr>
      <w:r>
        <w:rPr>
          <w:snapToGrid w:val="0"/>
        </w:rPr>
        <w:tab/>
        <w:t>(4)</w:t>
      </w:r>
      <w:r>
        <w:rPr>
          <w:snapToGrid w:val="0"/>
        </w:rPr>
        <w:tab/>
        <w:t>A police officer to whom a power or duty is delegated under this section cannot delegate that power or duty.</w:t>
      </w:r>
    </w:p>
    <w:p>
      <w:pPr>
        <w:pStyle w:val="Footnotesection"/>
      </w:pPr>
      <w:r>
        <w:tab/>
        <w:t>[Section 39M inserted: No. 12 of 2011 s. 4.]</w:t>
      </w:r>
    </w:p>
    <w:p>
      <w:pPr>
        <w:pStyle w:val="Heading5"/>
      </w:pPr>
      <w:bookmarkStart w:id="188" w:name="_Toc91142220"/>
      <w:r>
        <w:rPr>
          <w:rStyle w:val="CharSectno"/>
        </w:rPr>
        <w:t>39N</w:t>
      </w:r>
      <w:r>
        <w:t>.</w:t>
      </w:r>
      <w:r>
        <w:tab/>
        <w:t>Review of Part IVB</w:t>
      </w:r>
      <w:bookmarkEnd w:id="188"/>
    </w:p>
    <w:p>
      <w:pPr>
        <w:pStyle w:val="Subsection"/>
        <w:rPr>
          <w:snapToGrid w:val="0"/>
        </w:rPr>
      </w:pPr>
      <w:r>
        <w:rPr>
          <w:snapToGrid w:val="0"/>
        </w:rPr>
        <w:tab/>
        <w:t>(1)</w:t>
      </w:r>
      <w:r>
        <w:rPr>
          <w:snapToGrid w:val="0"/>
        </w:rPr>
        <w:tab/>
        <w:t xml:space="preserve">In this section — </w:t>
      </w:r>
    </w:p>
    <w:p>
      <w:pPr>
        <w:pStyle w:val="Defstart"/>
      </w:pPr>
      <w:r>
        <w:tab/>
      </w:r>
      <w:r>
        <w:rPr>
          <w:rStyle w:val="CharDefText"/>
          <w:szCs w:val="22"/>
        </w:rPr>
        <w:t>commencement day</w:t>
      </w:r>
      <w:r>
        <w:t xml:space="preserve"> means the day on which the </w:t>
      </w:r>
      <w:r>
        <w:rPr>
          <w:i/>
        </w:rPr>
        <w:t xml:space="preserve">Police Amendment Act 2011 </w:t>
      </w:r>
      <w:r>
        <w:t>section 4 comes into operation.</w:t>
      </w:r>
    </w:p>
    <w:p>
      <w:pPr>
        <w:pStyle w:val="Subsection"/>
        <w:rPr>
          <w:snapToGrid w:val="0"/>
        </w:rPr>
      </w:pPr>
      <w:r>
        <w:rPr>
          <w:snapToGrid w:val="0"/>
        </w:rPr>
        <w:tab/>
        <w:t>(2)</w:t>
      </w:r>
      <w:r>
        <w:rPr>
          <w:snapToGrid w:val="0"/>
        </w:rPr>
        <w:tab/>
        <w:t xml:space="preserve">The Minister is to carry out a review of the operation and effectiveness of this Part as soon as is practicable after the expiration of 36 months after the commencement day, and in the course of that review the Minister is to consider and have regard to — </w:t>
      </w:r>
    </w:p>
    <w:p>
      <w:pPr>
        <w:pStyle w:val="Indenta"/>
      </w:pPr>
      <w:r>
        <w:tab/>
        <w:t>(a)</w:t>
      </w:r>
      <w:r>
        <w:tab/>
        <w:t>the effectiveness of this Part; and</w:t>
      </w:r>
    </w:p>
    <w:p>
      <w:pPr>
        <w:pStyle w:val="Indenta"/>
      </w:pPr>
      <w:r>
        <w:tab/>
        <w:t>(b)</w:t>
      </w:r>
      <w:r>
        <w:tab/>
        <w:t>the need for the retention of this Part; and</w:t>
      </w:r>
    </w:p>
    <w:p>
      <w:pPr>
        <w:pStyle w:val="Indenta"/>
      </w:pPr>
      <w:r>
        <w:tab/>
        <w:t>(c)</w:t>
      </w:r>
      <w: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cause it to be laid before each House of Parliament.</w:t>
      </w:r>
    </w:p>
    <w:p>
      <w:pPr>
        <w:pStyle w:val="Footnotesection"/>
      </w:pPr>
      <w:r>
        <w:tab/>
        <w:t>[Section 39N inserted: No. 12 of 2011 s. 4.]</w:t>
      </w:r>
    </w:p>
    <w:p>
      <w:pPr>
        <w:pStyle w:val="Ednotepart"/>
      </w:pPr>
      <w:r>
        <w:t xml:space="preserve"> [Part V heading deleted: No. 59 of 2006 s. 64.]</w:t>
      </w:r>
    </w:p>
    <w:p>
      <w:pPr>
        <w:pStyle w:val="Ednotesection"/>
      </w:pPr>
      <w:r>
        <w:t>[</w:t>
      </w:r>
      <w:r>
        <w:rPr>
          <w:b/>
          <w:bCs/>
        </w:rPr>
        <w:t>40</w:t>
      </w:r>
      <w:r>
        <w:rPr>
          <w:b/>
          <w:bCs/>
        </w:rPr>
        <w:noBreakHyphen/>
        <w:t>45.</w:t>
      </w:r>
      <w:r>
        <w:tab/>
        <w:t>Deleted: No. 59 of 2006 s. 64.]</w:t>
      </w:r>
    </w:p>
    <w:p>
      <w:pPr>
        <w:pStyle w:val="Ednotesection"/>
      </w:pPr>
      <w:r>
        <w:t>[</w:t>
      </w:r>
      <w:r>
        <w:rPr>
          <w:b/>
          <w:bCs/>
        </w:rPr>
        <w:t>46.</w:t>
      </w:r>
      <w:r>
        <w:tab/>
        <w:t>Deleted: No. 70 of 2004 s. 50.]</w:t>
      </w:r>
    </w:p>
    <w:p>
      <w:pPr>
        <w:pStyle w:val="Ednotesection"/>
        <w:rPr>
          <w:b/>
          <w:bCs/>
        </w:rPr>
      </w:pPr>
      <w:r>
        <w:lastRenderedPageBreak/>
        <w:t>[</w:t>
      </w:r>
      <w:r>
        <w:rPr>
          <w:b/>
          <w:bCs/>
        </w:rPr>
        <w:t>47.</w:t>
      </w:r>
      <w:r>
        <w:rPr>
          <w:b/>
          <w:bCs/>
        </w:rPr>
        <w:tab/>
      </w:r>
      <w:r>
        <w:t>Deleted: No. 70 of 2004 s. 51.]</w:t>
      </w:r>
    </w:p>
    <w:p>
      <w:pPr>
        <w:pStyle w:val="Ednotesection"/>
      </w:pPr>
      <w:r>
        <w:t>[</w:t>
      </w:r>
      <w:r>
        <w:rPr>
          <w:b/>
          <w:bCs/>
        </w:rPr>
        <w:t>48.</w:t>
      </w:r>
      <w:r>
        <w:tab/>
        <w:t>Deleted No. 87 of 1982 s. 45.]</w:t>
      </w:r>
    </w:p>
    <w:p>
      <w:pPr>
        <w:pStyle w:val="Ednotesection"/>
      </w:pPr>
      <w:r>
        <w:t>[</w:t>
      </w:r>
      <w:r>
        <w:rPr>
          <w:b/>
          <w:bCs/>
        </w:rPr>
        <w:t>49</w:t>
      </w:r>
      <w:r>
        <w:rPr>
          <w:b/>
          <w:bCs/>
        </w:rPr>
        <w:noBreakHyphen/>
        <w:t>50.</w:t>
      </w:r>
      <w:r>
        <w:tab/>
        <w:t>Deleted: No. 59 of 2006 s. 64.]</w:t>
      </w:r>
    </w:p>
    <w:p>
      <w:pPr>
        <w:pStyle w:val="Ednotesection"/>
      </w:pPr>
      <w:r>
        <w:t>[</w:t>
      </w:r>
      <w:r>
        <w:rPr>
          <w:b/>
          <w:bCs/>
        </w:rPr>
        <w:t>50A.</w:t>
      </w:r>
      <w:r>
        <w:tab/>
        <w:t>Deleted: No. 84 of 2004 s. 78.]</w:t>
      </w:r>
    </w:p>
    <w:p>
      <w:pPr>
        <w:pStyle w:val="Ednotesection"/>
      </w:pPr>
      <w:r>
        <w:t>[</w:t>
      </w:r>
      <w:r>
        <w:rPr>
          <w:b/>
          <w:bCs/>
        </w:rPr>
        <w:t>50AA</w:t>
      </w:r>
      <w:r>
        <w:rPr>
          <w:b/>
          <w:bCs/>
        </w:rPr>
        <w:noBreakHyphen/>
        <w:t>51.</w:t>
      </w:r>
      <w:r>
        <w:tab/>
        <w:t>Deleted: No. 59 of 2006 s. 64.]</w:t>
      </w:r>
    </w:p>
    <w:p>
      <w:pPr>
        <w:pStyle w:val="Ednotesection"/>
      </w:pPr>
      <w:r>
        <w:t>[</w:t>
      </w:r>
      <w:r>
        <w:rPr>
          <w:b/>
          <w:bCs/>
        </w:rPr>
        <w:t>52.</w:t>
      </w:r>
      <w:r>
        <w:tab/>
        <w:t>Deleted: No. 70 of 2004 s. 54.]</w:t>
      </w:r>
    </w:p>
    <w:p>
      <w:pPr>
        <w:pStyle w:val="Ednotesection"/>
      </w:pPr>
      <w:r>
        <w:t>[</w:t>
      </w:r>
      <w:r>
        <w:rPr>
          <w:b/>
          <w:bCs/>
        </w:rPr>
        <w:t>52A.</w:t>
      </w:r>
      <w:r>
        <w:rPr>
          <w:b/>
          <w:bCs/>
        </w:rPr>
        <w:tab/>
      </w:r>
      <w:r>
        <w:t>Deleted: No. 59 of 2006 s. 64.]</w:t>
      </w:r>
    </w:p>
    <w:p>
      <w:pPr>
        <w:pStyle w:val="Ednotepart"/>
      </w:pPr>
      <w:r>
        <w:t>[Part VA (s. 53</w:t>
      </w:r>
      <w:r>
        <w:noBreakHyphen/>
        <w:t>53M) deleted: No. 50 of 2000 s. 30.]</w:t>
      </w:r>
    </w:p>
    <w:p>
      <w:pPr>
        <w:pStyle w:val="Ednotepart"/>
      </w:pPr>
      <w:r>
        <w:t>[Heading deleted: No. 70 of 2004 s. 55.]</w:t>
      </w:r>
    </w:p>
    <w:p>
      <w:pPr>
        <w:pStyle w:val="Ednotepart"/>
      </w:pPr>
      <w:r>
        <w:t>[Heading deleted: No. 70 of 2004 s. 56.]</w:t>
      </w:r>
    </w:p>
    <w:p>
      <w:pPr>
        <w:pStyle w:val="Ednotesection"/>
        <w:spacing w:before="280"/>
        <w:ind w:left="890" w:hanging="890"/>
      </w:pPr>
      <w:r>
        <w:t>[</w:t>
      </w:r>
      <w:r>
        <w:rPr>
          <w:b/>
        </w:rPr>
        <w:t>54, 54A.</w:t>
      </w:r>
      <w:r>
        <w:rPr>
          <w:b/>
        </w:rPr>
        <w:tab/>
      </w:r>
      <w:r>
        <w:t>Deleted: No. 70 of 2004 s. 57.]</w:t>
      </w:r>
    </w:p>
    <w:p>
      <w:pPr>
        <w:pStyle w:val="Ednotesection"/>
      </w:pPr>
      <w:r>
        <w:t>[</w:t>
      </w:r>
      <w:r>
        <w:rPr>
          <w:b/>
        </w:rPr>
        <w:t>54B.</w:t>
      </w:r>
      <w:r>
        <w:tab/>
        <w:t xml:space="preserve">Deleted: No. 23 of 1984 s. 12.] </w:t>
      </w:r>
    </w:p>
    <w:p>
      <w:pPr>
        <w:pStyle w:val="Ednotesection"/>
      </w:pPr>
      <w:r>
        <w:t>[</w:t>
      </w:r>
      <w:r>
        <w:rPr>
          <w:b/>
        </w:rPr>
        <w:t>55</w:t>
      </w:r>
      <w:r>
        <w:rPr>
          <w:b/>
        </w:rPr>
        <w:noBreakHyphen/>
        <w:t>56.</w:t>
      </w:r>
      <w:r>
        <w:tab/>
        <w:t xml:space="preserve">Deleted: 1 and 2 Edw. VII No. 14 s. 3.] </w:t>
      </w:r>
    </w:p>
    <w:p>
      <w:pPr>
        <w:pStyle w:val="Ednotesection"/>
      </w:pPr>
      <w:r>
        <w:t>[</w:t>
      </w:r>
      <w:r>
        <w:rPr>
          <w:b/>
        </w:rPr>
        <w:t>57.</w:t>
      </w:r>
      <w:r>
        <w:rPr>
          <w:b/>
        </w:rPr>
        <w:tab/>
      </w:r>
      <w:r>
        <w:t>Deleted: No. 70 of 2004 s. 57.]</w:t>
      </w:r>
    </w:p>
    <w:p>
      <w:pPr>
        <w:pStyle w:val="Ednotesection"/>
      </w:pPr>
      <w:r>
        <w:t>[</w:t>
      </w:r>
      <w:r>
        <w:rPr>
          <w:b/>
        </w:rPr>
        <w:t>58.</w:t>
      </w:r>
      <w:r>
        <w:tab/>
        <w:t xml:space="preserve">Deleted: No. 85 of 1970 s. 4.] </w:t>
      </w:r>
    </w:p>
    <w:p>
      <w:pPr>
        <w:pStyle w:val="Ednotesection"/>
      </w:pPr>
      <w:r>
        <w:t>[</w:t>
      </w:r>
      <w:r>
        <w:rPr>
          <w:b/>
        </w:rPr>
        <w:t>58A, 59.</w:t>
      </w:r>
      <w:r>
        <w:rPr>
          <w:b/>
        </w:rPr>
        <w:tab/>
      </w:r>
      <w:r>
        <w:t>Deleted: No. 70 of 2004 s. 57.]</w:t>
      </w:r>
    </w:p>
    <w:p>
      <w:pPr>
        <w:pStyle w:val="Ednotesection"/>
      </w:pPr>
      <w:r>
        <w:t>[</w:t>
      </w:r>
      <w:r>
        <w:rPr>
          <w:b/>
        </w:rPr>
        <w:t>60.</w:t>
      </w:r>
      <w:r>
        <w:tab/>
        <w:t xml:space="preserve">Deleted: No. 44 of 1963 s. 4.] </w:t>
      </w:r>
    </w:p>
    <w:p>
      <w:pPr>
        <w:pStyle w:val="Ednotesection"/>
      </w:pPr>
      <w:r>
        <w:t>[</w:t>
      </w:r>
      <w:r>
        <w:rPr>
          <w:b/>
        </w:rPr>
        <w:t>61.</w:t>
      </w:r>
      <w:r>
        <w:rPr>
          <w:b/>
        </w:rPr>
        <w:tab/>
      </w:r>
      <w:r>
        <w:t>Deleted: No. 70 of 2004 s. 57.]</w:t>
      </w:r>
    </w:p>
    <w:p>
      <w:pPr>
        <w:pStyle w:val="Ednotesection"/>
      </w:pPr>
      <w:r>
        <w:t>[</w:t>
      </w:r>
      <w:r>
        <w:rPr>
          <w:b/>
        </w:rPr>
        <w:t>62.</w:t>
      </w:r>
      <w:r>
        <w:tab/>
        <w:t xml:space="preserve">Deleted: 1 and 2 Edw. VII No. 14 s. 3.] </w:t>
      </w:r>
    </w:p>
    <w:p>
      <w:pPr>
        <w:pStyle w:val="Ednotesection"/>
      </w:pPr>
      <w:r>
        <w:t>[</w:t>
      </w:r>
      <w:r>
        <w:rPr>
          <w:b/>
        </w:rPr>
        <w:t>62A.</w:t>
      </w:r>
      <w:r>
        <w:tab/>
        <w:t xml:space="preserve">Deleted: No. 91 of 1975 s. 28.] </w:t>
      </w:r>
    </w:p>
    <w:p>
      <w:pPr>
        <w:pStyle w:val="Ednotesection"/>
      </w:pPr>
      <w:r>
        <w:t>[</w:t>
      </w:r>
      <w:r>
        <w:rPr>
          <w:b/>
        </w:rPr>
        <w:t>63</w:t>
      </w:r>
      <w:r>
        <w:rPr>
          <w:b/>
        </w:rPr>
        <w:noBreakHyphen/>
        <w:t>67A.</w:t>
      </w:r>
      <w:r>
        <w:rPr>
          <w:b/>
        </w:rPr>
        <w:tab/>
      </w:r>
      <w:r>
        <w:t>Deleted: No. 70 of 2004 s. 57.]</w:t>
      </w:r>
    </w:p>
    <w:p>
      <w:pPr>
        <w:pStyle w:val="Ednotesection"/>
      </w:pPr>
      <w:r>
        <w:lastRenderedPageBreak/>
        <w:t>[</w:t>
      </w:r>
      <w:r>
        <w:rPr>
          <w:b/>
        </w:rPr>
        <w:t>67B.</w:t>
      </w:r>
      <w:r>
        <w:rPr>
          <w:b/>
        </w:rPr>
        <w:tab/>
      </w:r>
      <w:r>
        <w:t>Deleted: No. 70 of 2004 s. 58.]</w:t>
      </w:r>
    </w:p>
    <w:p>
      <w:pPr>
        <w:pStyle w:val="Ednotesection"/>
      </w:pPr>
      <w:r>
        <w:t>[</w:t>
      </w:r>
      <w:r>
        <w:rPr>
          <w:b/>
          <w:bCs/>
        </w:rPr>
        <w:t>68.</w:t>
      </w:r>
      <w:r>
        <w:tab/>
        <w:t>Deleted: No. 59 of 2006 s. 64.]</w:t>
      </w:r>
    </w:p>
    <w:p>
      <w:pPr>
        <w:pStyle w:val="Ednotesection"/>
      </w:pPr>
      <w:r>
        <w:t>[</w:t>
      </w:r>
      <w:r>
        <w:rPr>
          <w:b/>
        </w:rPr>
        <w:t>69.</w:t>
      </w:r>
      <w:r>
        <w:rPr>
          <w:b/>
        </w:rPr>
        <w:tab/>
      </w:r>
      <w:r>
        <w:t>Deleted: No. 70 of 2004 s. 59.]</w:t>
      </w:r>
    </w:p>
    <w:p>
      <w:pPr>
        <w:pStyle w:val="Ednotesection"/>
        <w:keepNext/>
      </w:pPr>
      <w:r>
        <w:t>[</w:t>
      </w:r>
      <w:r>
        <w:rPr>
          <w:b/>
          <w:bCs/>
        </w:rPr>
        <w:t>70.</w:t>
      </w:r>
      <w:r>
        <w:tab/>
        <w:t>Deleted: No. 59 of 2006 s. 64.]</w:t>
      </w:r>
    </w:p>
    <w:p>
      <w:pPr>
        <w:pStyle w:val="Ednotesection"/>
        <w:keepNext/>
      </w:pPr>
      <w:r>
        <w:t>[</w:t>
      </w:r>
      <w:r>
        <w:rPr>
          <w:b/>
        </w:rPr>
        <w:t>71.</w:t>
      </w:r>
      <w:r>
        <w:rPr>
          <w:b/>
        </w:rPr>
        <w:tab/>
      </w:r>
      <w:r>
        <w:t>Deleted: No. 70 of 2004 s. 60.]</w:t>
      </w:r>
    </w:p>
    <w:p>
      <w:pPr>
        <w:pStyle w:val="Ednotesection"/>
      </w:pPr>
      <w:r>
        <w:t>[</w:t>
      </w:r>
      <w:r>
        <w:rPr>
          <w:b/>
        </w:rPr>
        <w:t>72, 73.</w:t>
      </w:r>
      <w:r>
        <w:tab/>
        <w:t xml:space="preserve">Deleted: No. 59 of 2004 s. 141.] </w:t>
      </w:r>
    </w:p>
    <w:p>
      <w:pPr>
        <w:pStyle w:val="Ednotepart"/>
        <w:ind w:left="890" w:hanging="890"/>
      </w:pPr>
      <w:r>
        <w:t xml:space="preserve">[Part VI: </w:t>
      </w:r>
      <w:r>
        <w:br/>
        <w:t>s. 74</w:t>
      </w:r>
      <w:r>
        <w:noBreakHyphen/>
        <w:t>76 deleted: No. 59 of 2006 s. 65;</w:t>
      </w:r>
      <w:r>
        <w:br/>
        <w:t>s. 76A</w:t>
      </w:r>
      <w:r>
        <w:noBreakHyphen/>
        <w:t>76G deleted: No. 70 of 2004 s. 63;</w:t>
      </w:r>
      <w:r>
        <w:br/>
        <w:t>s. 76H deleted: No. 17 of 1979 s. 4;</w:t>
      </w:r>
      <w:r>
        <w:br/>
        <w:t>s. 76I deleted: No. 70 of 2004 s. 63;</w:t>
      </w:r>
      <w:r>
        <w:br/>
        <w:t>s. 77 deleted: No. 91 of 1975 s. 42;</w:t>
      </w:r>
      <w:r>
        <w:br/>
        <w:t>s. 78 deleted: No. 59 of 2004 s. 141;</w:t>
      </w:r>
      <w:r>
        <w:br/>
        <w:t>s. 79 deleted: No. 33 of 1912 s. 2;</w:t>
      </w:r>
      <w:r>
        <w:br/>
        <w:t>s. 79A</w:t>
      </w:r>
      <w:r>
        <w:noBreakHyphen/>
        <w:t>83 deleted: No. 70 of 2004 s. 64;</w:t>
      </w:r>
      <w:r>
        <w:br/>
        <w:t>s. 83A deleted: No. 108 of 1982 s. 8;</w:t>
      </w:r>
      <w:r>
        <w:br/>
        <w:t>s. 84 deleted: No. 70 of 2004 s. 64;</w:t>
      </w:r>
      <w:r>
        <w:br/>
        <w:t>s. 84A</w:t>
      </w:r>
      <w:r>
        <w:noBreakHyphen/>
        <w:t>84H deleted: No. 35 of 2003 s. 177;</w:t>
      </w:r>
      <w:r>
        <w:br/>
        <w:t>s. 84I deleted: No. 29 of 1985 s. 5;</w:t>
      </w:r>
      <w:r>
        <w:br/>
        <w:t>s. 85</w:t>
      </w:r>
      <w:r>
        <w:noBreakHyphen/>
        <w:t>89C deleted: No. 74 of 1987 s. 58, 59 and 60;</w:t>
      </w:r>
      <w:r>
        <w:br/>
        <w:t>heading deleted: No. 70 of 2004 s. 65;</w:t>
      </w:r>
      <w:r>
        <w:br/>
        <w:t>s. 90</w:t>
      </w:r>
      <w:r>
        <w:noBreakHyphen/>
        <w:t>90A deleted: No. 70 of 2004 s. 66;</w:t>
      </w:r>
      <w:r>
        <w:br/>
        <w:t>s. 90B</w:t>
      </w:r>
      <w:r>
        <w:noBreakHyphen/>
        <w:t>90C deleted: No. 59 of 2006 s. 65;</w:t>
      </w:r>
      <w:r>
        <w:br/>
        <w:t>s. 91</w:t>
      </w:r>
      <w:r>
        <w:noBreakHyphen/>
        <w:t>92 deleted: No. 108 of 1982 s. 20;</w:t>
      </w:r>
      <w:r>
        <w:br/>
        <w:t>s. 93 deleted: 56 Vict. No. 10;</w:t>
      </w:r>
      <w:r>
        <w:br/>
        <w:t>s. 94 deleted: No. 108 of 1982 s. 24;</w:t>
      </w:r>
      <w:r>
        <w:br/>
        <w:t>s. 94A</w:t>
      </w:r>
      <w:r>
        <w:noBreakHyphen/>
        <w:t>94E deleted: No. 57 of 1981 s. 24;</w:t>
      </w:r>
      <w:r>
        <w:br/>
        <w:t>s. 94F</w:t>
      </w:r>
      <w:r>
        <w:noBreakHyphen/>
        <w:t>94H deleted: No. 146 of 1976 s. 13.]</w:t>
      </w:r>
    </w:p>
    <w:p>
      <w:pPr>
        <w:pStyle w:val="Ednotepart"/>
        <w:keepLines/>
        <w:ind w:left="890" w:hanging="890"/>
      </w:pPr>
      <w:r>
        <w:lastRenderedPageBreak/>
        <w:t>[Part VII:</w:t>
      </w:r>
      <w:r>
        <w:br/>
        <w:t>s. 95</w:t>
      </w:r>
      <w:r>
        <w:noBreakHyphen/>
        <w:t>99 deleted: No. 70 of 2004 s. 68;</w:t>
      </w:r>
      <w:r>
        <w:br/>
        <w:t>s. 100 deleted: No. 59 of 2004 s. 141;</w:t>
      </w:r>
      <w:r>
        <w:br/>
        <w:t>s. 101</w:t>
      </w:r>
      <w:r>
        <w:noBreakHyphen/>
        <w:t>120 deleted: No. 70 of 2004 s. 68;</w:t>
      </w:r>
      <w:r>
        <w:br/>
        <w:t>s. 121 deleted: No. 59 of 2004 s. 141.]</w:t>
      </w:r>
    </w:p>
    <w:p>
      <w:pPr>
        <w:pStyle w:val="Heading2"/>
      </w:pPr>
      <w:bookmarkStart w:id="189" w:name="_Toc90989605"/>
      <w:bookmarkStart w:id="190" w:name="_Toc90990652"/>
      <w:bookmarkStart w:id="191" w:name="_Toc91142221"/>
      <w:r>
        <w:rPr>
          <w:rStyle w:val="CharPartNo"/>
        </w:rPr>
        <w:lastRenderedPageBreak/>
        <w:t>Part VIII</w:t>
      </w:r>
      <w:r>
        <w:rPr>
          <w:rStyle w:val="CharDivNo"/>
        </w:rPr>
        <w:t> </w:t>
      </w:r>
      <w:r>
        <w:t>—</w:t>
      </w:r>
      <w:r>
        <w:rPr>
          <w:rStyle w:val="CharDivText"/>
        </w:rPr>
        <w:t> </w:t>
      </w:r>
      <w:r>
        <w:rPr>
          <w:rStyle w:val="CharPartText"/>
        </w:rPr>
        <w:t>Miscellaneous provisions</w:t>
      </w:r>
      <w:bookmarkEnd w:id="189"/>
      <w:bookmarkEnd w:id="190"/>
      <w:bookmarkEnd w:id="191"/>
      <w:r>
        <w:rPr>
          <w:rStyle w:val="CharPartText"/>
        </w:rPr>
        <w:t xml:space="preserve"> </w:t>
      </w:r>
    </w:p>
    <w:p>
      <w:pPr>
        <w:pStyle w:val="Ednotesection"/>
      </w:pPr>
      <w:r>
        <w:t>[</w:t>
      </w:r>
      <w:r>
        <w:rPr>
          <w:b/>
        </w:rPr>
        <w:t>122.</w:t>
      </w:r>
      <w:r>
        <w:rPr>
          <w:b/>
        </w:rPr>
        <w:tab/>
      </w:r>
      <w:r>
        <w:t>Deleted: No. 70 of 2004 s. 69.]</w:t>
      </w:r>
    </w:p>
    <w:p>
      <w:pPr>
        <w:pStyle w:val="Ednotesection"/>
      </w:pPr>
      <w:r>
        <w:t>[</w:t>
      </w:r>
      <w:r>
        <w:rPr>
          <w:b/>
        </w:rPr>
        <w:t>123.</w:t>
      </w:r>
      <w:r>
        <w:rPr>
          <w:b/>
        </w:rPr>
        <w:tab/>
      </w:r>
      <w:r>
        <w:t>Deleted: No. 59 of 2006 s. 66.]</w:t>
      </w:r>
    </w:p>
    <w:p>
      <w:pPr>
        <w:pStyle w:val="Ednotesection"/>
      </w:pPr>
      <w:r>
        <w:t>[</w:t>
      </w:r>
      <w:r>
        <w:rPr>
          <w:b/>
        </w:rPr>
        <w:t>124.</w:t>
      </w:r>
      <w:r>
        <w:rPr>
          <w:b/>
        </w:rPr>
        <w:tab/>
      </w:r>
      <w:r>
        <w:t>Deleted: No. 59 of 2006 s. 67.]</w:t>
      </w:r>
    </w:p>
    <w:p>
      <w:pPr>
        <w:pStyle w:val="Ednotesection"/>
      </w:pPr>
      <w:r>
        <w:t>[</w:t>
      </w:r>
      <w:r>
        <w:rPr>
          <w:b/>
        </w:rPr>
        <w:t>125</w:t>
      </w:r>
      <w:r>
        <w:rPr>
          <w:b/>
        </w:rPr>
        <w:noBreakHyphen/>
        <w:t>126.</w:t>
      </w:r>
      <w:r>
        <w:rPr>
          <w:b/>
        </w:rPr>
        <w:tab/>
      </w:r>
      <w:r>
        <w:t>Deleted: No. 70 of 2004 s. 70.]</w:t>
      </w:r>
    </w:p>
    <w:p>
      <w:pPr>
        <w:pStyle w:val="Ednotesection"/>
      </w:pPr>
      <w:r>
        <w:t>[</w:t>
      </w:r>
      <w:r>
        <w:rPr>
          <w:b/>
        </w:rPr>
        <w:t>127.</w:t>
      </w:r>
      <w:r>
        <w:rPr>
          <w:b/>
        </w:rPr>
        <w:tab/>
      </w:r>
      <w:r>
        <w:t>Deleted: No. 4 of 2004 s. 58.]</w:t>
      </w:r>
    </w:p>
    <w:p>
      <w:pPr>
        <w:pStyle w:val="Ednotesection"/>
      </w:pPr>
      <w:r>
        <w:t>[</w:t>
      </w:r>
      <w:r>
        <w:rPr>
          <w:b/>
        </w:rPr>
        <w:t>128.</w:t>
      </w:r>
      <w:r>
        <w:tab/>
        <w:t xml:space="preserve">Deleted: No. 59 of 2004 s. 141.] </w:t>
      </w:r>
    </w:p>
    <w:p>
      <w:pPr>
        <w:pStyle w:val="Ednotesection"/>
      </w:pPr>
      <w:r>
        <w:t>[</w:t>
      </w:r>
      <w:r>
        <w:rPr>
          <w:b/>
        </w:rPr>
        <w:t>129.</w:t>
      </w:r>
      <w:r>
        <w:tab/>
        <w:t xml:space="preserve">Deleted: No. 78 of 1995 s. 106.] </w:t>
      </w:r>
    </w:p>
    <w:p>
      <w:pPr>
        <w:pStyle w:val="Ednotesection"/>
      </w:pPr>
      <w:r>
        <w:t>[</w:t>
      </w:r>
      <w:r>
        <w:rPr>
          <w:b/>
        </w:rPr>
        <w:t>130</w:t>
      </w:r>
      <w:r>
        <w:rPr>
          <w:b/>
        </w:rPr>
        <w:noBreakHyphen/>
        <w:t>132.</w:t>
      </w:r>
      <w:r>
        <w:tab/>
        <w:t xml:space="preserve">Deleted: 2 Edw. VII. No. 11 s. 2.] </w:t>
      </w:r>
    </w:p>
    <w:p>
      <w:pPr>
        <w:pStyle w:val="Ednotesection"/>
      </w:pPr>
      <w:r>
        <w:t>[</w:t>
      </w:r>
      <w:r>
        <w:rPr>
          <w:b/>
        </w:rPr>
        <w:t>133, 134.</w:t>
      </w:r>
      <w:r>
        <w:rPr>
          <w:b/>
        </w:rPr>
        <w:tab/>
      </w:r>
      <w:r>
        <w:t>Deleted: No. 70 of 2004 s. 71.]</w:t>
      </w:r>
    </w:p>
    <w:p>
      <w:pPr>
        <w:pStyle w:val="Heading5"/>
      </w:pPr>
      <w:bookmarkStart w:id="192" w:name="_Toc91142222"/>
      <w:r>
        <w:rPr>
          <w:rStyle w:val="CharSectno"/>
        </w:rPr>
        <w:t>135</w:t>
      </w:r>
      <w:r>
        <w:t>.</w:t>
      </w:r>
      <w:r>
        <w:tab/>
        <w:t>Family violence incident reporting</w:t>
      </w:r>
      <w:bookmarkEnd w:id="192"/>
    </w:p>
    <w:p>
      <w:pPr>
        <w:pStyle w:val="Subsection"/>
      </w:pPr>
      <w:r>
        <w:tab/>
        <w:t>(1)</w:t>
      </w:r>
      <w:r>
        <w:tab/>
        <w:t xml:space="preserve">In this section — </w:t>
      </w:r>
    </w:p>
    <w:p>
      <w:pPr>
        <w:pStyle w:val="Defstart"/>
      </w:pPr>
      <w:r>
        <w:tab/>
      </w:r>
      <w:r>
        <w:rPr>
          <w:rStyle w:val="CharDefText"/>
        </w:rPr>
        <w:t>designated person</w:t>
      </w:r>
      <w:r>
        <w:t xml:space="preserve"> means — </w:t>
      </w:r>
    </w:p>
    <w:p>
      <w:pPr>
        <w:pStyle w:val="Defpara"/>
      </w:pPr>
      <w:r>
        <w:tab/>
        <w:t>(a)</w:t>
      </w:r>
      <w:r>
        <w:tab/>
        <w:t>a police officer; and</w:t>
      </w:r>
    </w:p>
    <w:p>
      <w:pPr>
        <w:pStyle w:val="Defpara"/>
      </w:pPr>
      <w:r>
        <w:tab/>
        <w:t>(b)</w:t>
      </w:r>
      <w:r>
        <w:tab/>
        <w:t>any other person appointed to an office under this Act; and</w:t>
      </w:r>
    </w:p>
    <w:p>
      <w:pPr>
        <w:pStyle w:val="Defpara"/>
      </w:pPr>
      <w:r>
        <w:tab/>
        <w:t>(c)</w:t>
      </w:r>
      <w:r>
        <w:tab/>
        <w:t>any other person whose duties of office involve or include interacting with members of the public at a police station;</w:t>
      </w:r>
    </w:p>
    <w:p>
      <w:pPr>
        <w:pStyle w:val="Defstart"/>
      </w:pPr>
      <w:r>
        <w:tab/>
      </w:r>
      <w:r>
        <w:rPr>
          <w:rStyle w:val="CharDefText"/>
        </w:rPr>
        <w:t>family violence</w:t>
      </w:r>
      <w:r>
        <w:t xml:space="preserve"> has the meaning given in the </w:t>
      </w:r>
      <w:r>
        <w:rPr>
          <w:i/>
        </w:rPr>
        <w:t xml:space="preserve">Restraining Orders Act 1997 </w:t>
      </w:r>
      <w:r>
        <w:t>section 5A.</w:t>
      </w:r>
    </w:p>
    <w:p>
      <w:pPr>
        <w:pStyle w:val="Subsection"/>
      </w:pPr>
      <w:r>
        <w:tab/>
        <w:t>(2)</w:t>
      </w:r>
      <w:r>
        <w:tab/>
        <w:t xml:space="preserve">This section applies if a designated person, while acting in the course of duty or employment — </w:t>
      </w:r>
    </w:p>
    <w:p>
      <w:pPr>
        <w:pStyle w:val="Indenta"/>
      </w:pPr>
      <w:r>
        <w:tab/>
        <w:t>(a)</w:t>
      </w:r>
      <w:r>
        <w:tab/>
        <w:t xml:space="preserve">attends at an incident involving (or allegedly or apparently involving) family violence; or </w:t>
      </w:r>
    </w:p>
    <w:p>
      <w:pPr>
        <w:pStyle w:val="Indenta"/>
      </w:pPr>
      <w:r>
        <w:tab/>
        <w:t>(b)</w:t>
      </w:r>
      <w:r>
        <w:tab/>
        <w:t>receives an allegation of family violence.</w:t>
      </w:r>
    </w:p>
    <w:p>
      <w:pPr>
        <w:pStyle w:val="Subsection"/>
      </w:pPr>
      <w:r>
        <w:lastRenderedPageBreak/>
        <w:tab/>
        <w:t>(3)</w:t>
      </w:r>
      <w:r>
        <w:tab/>
        <w:t xml:space="preserve">In a case where this section applies, the designated person must — </w:t>
      </w:r>
    </w:p>
    <w:p>
      <w:pPr>
        <w:pStyle w:val="Indenta"/>
      </w:pPr>
      <w:r>
        <w:tab/>
        <w:t>(a)</w:t>
      </w:r>
      <w:r>
        <w:tab/>
        <w:t xml:space="preserve">make a written record of the incident or allegation when the designated person is reasonably able to do so; and </w:t>
      </w:r>
    </w:p>
    <w:p>
      <w:pPr>
        <w:pStyle w:val="Indenta"/>
      </w:pPr>
      <w:r>
        <w:tab/>
        <w:t>(b)</w:t>
      </w:r>
      <w:r>
        <w:tab/>
        <w:t>if the report is made by, or apparently with the consent of, a person who appears to be, or claims to be, a victim of the incident or alleged incident, take reasonable steps to ensure that a report number, or other identifying information relating to the report, is provided to that person.</w:t>
      </w:r>
    </w:p>
    <w:p>
      <w:pPr>
        <w:pStyle w:val="Subsection"/>
      </w:pPr>
      <w:r>
        <w:tab/>
        <w:t>(4)</w:t>
      </w:r>
      <w:r>
        <w:tab/>
        <w:t>A requirement under subsection (3) is satisfied if the designated person complies with a guideline or policy prepared by the Commissioner of Police for the purposes of this section.</w:t>
      </w:r>
    </w:p>
    <w:p>
      <w:pPr>
        <w:pStyle w:val="Footnotesection"/>
      </w:pPr>
      <w:r>
        <w:tab/>
        <w:t>[Section 135 inserted: No. 30 of 2020 s. 84.]</w:t>
      </w:r>
    </w:p>
    <w:p>
      <w:pPr>
        <w:pStyle w:val="Heading5"/>
      </w:pPr>
      <w:bookmarkStart w:id="193" w:name="_Toc91142223"/>
      <w:r>
        <w:rPr>
          <w:rStyle w:val="CharSectno"/>
        </w:rPr>
        <w:t>136</w:t>
      </w:r>
      <w:r>
        <w:t>.</w:t>
      </w:r>
      <w:r>
        <w:tab/>
        <w:t>Terms used in s. 137 and 138</w:t>
      </w:r>
      <w:bookmarkEnd w:id="193"/>
    </w:p>
    <w:p>
      <w:pPr>
        <w:pStyle w:val="Subsection"/>
      </w:pPr>
      <w:r>
        <w:tab/>
        <w:t>(1)</w:t>
      </w:r>
      <w:r>
        <w:tab/>
        <w:t>In sections 137 and 138 —</w:t>
      </w:r>
    </w:p>
    <w:p>
      <w:pPr>
        <w:pStyle w:val="Defstart"/>
      </w:pPr>
      <w:r>
        <w:tab/>
      </w:r>
      <w:r>
        <w:rPr>
          <w:rStyle w:val="CharDefText"/>
        </w:rPr>
        <w:t>member of the Police Force</w:t>
      </w:r>
      <w:r>
        <w:t xml:space="preserve"> means a person appointed under Part I, III, IIIA or IIIB.</w:t>
      </w:r>
    </w:p>
    <w:p>
      <w:pPr>
        <w:pStyle w:val="Subsection"/>
      </w:pPr>
      <w:r>
        <w:tab/>
        <w:t>(2)</w:t>
      </w:r>
      <w:r>
        <w:tab/>
        <w:t>In sections 137 and 138, a reference to the doing of anything includes a reference to an omission to do anything.</w:t>
      </w:r>
    </w:p>
    <w:p>
      <w:pPr>
        <w:pStyle w:val="Footnotesection"/>
      </w:pPr>
      <w:r>
        <w:tab/>
        <w:t>[Section 136 inserted: No. 42 of 1999 s. 5; amended: No. 42 of 2009 s. 11.]</w:t>
      </w:r>
    </w:p>
    <w:p>
      <w:pPr>
        <w:pStyle w:val="Heading5"/>
      </w:pPr>
      <w:bookmarkStart w:id="194" w:name="_Toc91142224"/>
      <w:r>
        <w:rPr>
          <w:rStyle w:val="CharSectno"/>
        </w:rPr>
        <w:t>137</w:t>
      </w:r>
      <w:r>
        <w:t>.</w:t>
      </w:r>
      <w:r>
        <w:tab/>
        <w:t>Protection from personal liability</w:t>
      </w:r>
      <w:bookmarkEnd w:id="194"/>
    </w:p>
    <w:p>
      <w:pPr>
        <w:pStyle w:val="Subsection"/>
      </w:pPr>
      <w:r>
        <w:tab/>
        <w:t>(1)</w:t>
      </w:r>
      <w:r>
        <w:tab/>
        <w:t>This section —</w:t>
      </w:r>
    </w:p>
    <w:p>
      <w:pPr>
        <w:pStyle w:val="Indenta"/>
      </w:pPr>
      <w:r>
        <w:tab/>
        <w:t>(a)</w:t>
      </w:r>
      <w:r>
        <w:tab/>
        <w:t xml:space="preserve">is in addition to section 5 of the </w:t>
      </w:r>
      <w:r>
        <w:rPr>
          <w:i/>
        </w:rPr>
        <w:t>Criminal Code Act 1913</w:t>
      </w:r>
      <w:r>
        <w:t>; and</w:t>
      </w:r>
    </w:p>
    <w:p>
      <w:pPr>
        <w:pStyle w:val="Indenta"/>
      </w:pPr>
      <w:r>
        <w:tab/>
        <w:t>(b)</w:t>
      </w:r>
      <w:r>
        <w:tab/>
        <w:t>does not affect any right to recover damages from the owner or driver of a motor vehicle in respect of the death of or bodily injury to a person directly caused by, or by the driving of, the motor vehicle,</w:t>
      </w:r>
    </w:p>
    <w:p>
      <w:pPr>
        <w:pStyle w:val="Subsection"/>
      </w:pPr>
      <w:r>
        <w:lastRenderedPageBreak/>
        <w:tab/>
      </w:r>
      <w:r>
        <w:tab/>
        <w:t>but otherwise applies despite any other written law.</w:t>
      </w:r>
    </w:p>
    <w:p>
      <w:pPr>
        <w:pStyle w:val="Subsection"/>
      </w:pPr>
      <w:r>
        <w:tab/>
        <w:t>(2)</w:t>
      </w:r>
      <w:r>
        <w:tab/>
        <w:t xml:space="preserve">This section applies to and in respect of anything done after the commencement of the </w:t>
      </w:r>
      <w:r>
        <w:rPr>
          <w:i/>
        </w:rPr>
        <w:t>Acts Amendment (Police Immunity) Act 1999</w:t>
      </w:r>
      <w:r>
        <w:t>.</w:t>
      </w:r>
    </w:p>
    <w:p>
      <w:pPr>
        <w:pStyle w:val="Subsection"/>
        <w:rPr>
          <w:spacing w:val="-4"/>
        </w:rPr>
      </w:pPr>
      <w:r>
        <w:rPr>
          <w:spacing w:val="-4"/>
        </w:rPr>
        <w:tab/>
        <w:t>(3)</w:t>
      </w:r>
      <w:r>
        <w:rPr>
          <w:spacing w:val="-4"/>
        </w:rPr>
        <w:tab/>
        <w:t>An action in tort does not lie against a member of the Police Force for anything that the member has done, without corruption or malice, while performing or purporting to perform the functions of a member of the Police Force, whether or not under a written or other law.</w:t>
      </w:r>
    </w:p>
    <w:p>
      <w:pPr>
        <w:pStyle w:val="Subsection"/>
      </w:pPr>
      <w:r>
        <w:tab/>
        <w:t>(4)</w:t>
      </w:r>
      <w:r>
        <w:tab/>
        <w:t>An action in tort does not lie against a person for anything that the person has done, without corruption or malice, in assisting a member of the Police Force who is performing or purporting to perform the functions of a member of the Police Force, whether or not under a written or other law.</w:t>
      </w:r>
    </w:p>
    <w:p>
      <w:pPr>
        <w:pStyle w:val="Subsection"/>
      </w:pPr>
      <w:r>
        <w:tab/>
        <w:t>(5)</w:t>
      </w:r>
      <w:r>
        <w:tab/>
        <w:t>The Crown is liable for a tort that results from —</w:t>
      </w:r>
    </w:p>
    <w:p>
      <w:pPr>
        <w:pStyle w:val="Indenta"/>
      </w:pPr>
      <w:r>
        <w:tab/>
        <w:t>(a)</w:t>
      </w:r>
      <w:r>
        <w:tab/>
        <w:t>anything done by a member of the Police Force, without corruption or malice, while performing or purporting to perform the functions of a member of the Police Force, whether or not under a written or other law;</w:t>
      </w:r>
    </w:p>
    <w:p>
      <w:pPr>
        <w:pStyle w:val="Indenta"/>
        <w:rPr>
          <w:spacing w:val="-4"/>
        </w:rPr>
      </w:pPr>
      <w:r>
        <w:rPr>
          <w:spacing w:val="-4"/>
        </w:rPr>
        <w:tab/>
        <w:t>(b)</w:t>
      </w:r>
      <w:r>
        <w:rPr>
          <w:spacing w:val="-4"/>
        </w:rPr>
        <w:tab/>
        <w:t>anything done by a person, without corruption or malice, in assisting a member of the Police Force who is performing or purporting to perform the functions of a member of the Police Force, whether or not under a written or other law.</w:t>
      </w:r>
    </w:p>
    <w:p>
      <w:pPr>
        <w:pStyle w:val="Subsection"/>
      </w:pPr>
      <w:r>
        <w:tab/>
        <w:t>(6)</w:t>
      </w:r>
      <w:r>
        <w:tab/>
        <w:t>The Crown’s liability under subsection (5) does not extend to exemplary or punitive damages.</w:t>
      </w:r>
    </w:p>
    <w:p>
      <w:pPr>
        <w:pStyle w:val="Subsection"/>
        <w:keepNext/>
        <w:keepLines/>
      </w:pPr>
      <w:r>
        <w:lastRenderedPageBreak/>
        <w:tab/>
        <w:t>(7)</w:t>
      </w:r>
      <w:r>
        <w:tab/>
        <w:t>If a person to whom subsection (3) or (4) applies does not cooperate fully with the Crown in the defence of an action in tort against the Crown in respect of anything done by the person, the Crown may recover from the person the Crown’s costs of defending the action and any damages and costs awarded against the Crown in the action.</w:t>
      </w:r>
    </w:p>
    <w:p>
      <w:pPr>
        <w:pStyle w:val="Subsection"/>
      </w:pPr>
      <w:r>
        <w:tab/>
        <w:t>(8)</w:t>
      </w:r>
      <w:r>
        <w:tab/>
        <w:t>For the purposes of subsection (7), a person does not cooperate fully with the Crown if the person refuses —</w:t>
      </w:r>
    </w:p>
    <w:p>
      <w:pPr>
        <w:pStyle w:val="Indenta"/>
      </w:pPr>
      <w:r>
        <w:tab/>
        <w:t>(a)</w:t>
      </w:r>
      <w:r>
        <w:tab/>
        <w:t>to answer any question, including a question the answer to which is or may be self</w:t>
      </w:r>
      <w:r>
        <w:noBreakHyphen/>
        <w:t>incriminating; or</w:t>
      </w:r>
    </w:p>
    <w:p>
      <w:pPr>
        <w:pStyle w:val="Indenta"/>
      </w:pPr>
      <w:r>
        <w:tab/>
        <w:t>(b)</w:t>
      </w:r>
      <w:r>
        <w:tab/>
        <w:t>to produce any object or recorded information in the person’s possession or control,</w:t>
      </w:r>
    </w:p>
    <w:p>
      <w:pPr>
        <w:pStyle w:val="Subsection"/>
      </w:pPr>
      <w:r>
        <w:tab/>
      </w:r>
      <w:r>
        <w:tab/>
        <w:t>that is relevant to the defence of the action.</w:t>
      </w:r>
    </w:p>
    <w:p>
      <w:pPr>
        <w:pStyle w:val="Subsection"/>
      </w:pPr>
      <w:r>
        <w:tab/>
        <w:t>(9)</w:t>
      </w:r>
      <w:r>
        <w:tab/>
        <w:t>If a person, in cooperating with the Crown in the defence of an action referred to in subsection (8), gives an answer that is or may be self</w:t>
      </w:r>
      <w:r>
        <w:noBreakHyphen/>
        <w:t>incriminating, the answer is not admissible in any criminal or disciplinary proceedings against the person except proceedings for a criminal or disciplinary offence arising from the giving of a false answer.</w:t>
      </w:r>
    </w:p>
    <w:p>
      <w:pPr>
        <w:pStyle w:val="Footnotesection"/>
      </w:pPr>
      <w:r>
        <w:tab/>
        <w:t>[Section 137 inserted: No. 42 of 1999 s. 5.]</w:t>
      </w:r>
    </w:p>
    <w:p>
      <w:pPr>
        <w:pStyle w:val="Heading5"/>
      </w:pPr>
      <w:bookmarkStart w:id="195" w:name="_Toc91142225"/>
      <w:r>
        <w:rPr>
          <w:rStyle w:val="CharSectno"/>
        </w:rPr>
        <w:t>138</w:t>
      </w:r>
      <w:r>
        <w:t>.</w:t>
      </w:r>
      <w:r>
        <w:tab/>
        <w:t>Corrupt or malicious acts by police</w:t>
      </w:r>
      <w:bookmarkEnd w:id="195"/>
    </w:p>
    <w:p>
      <w:pPr>
        <w:pStyle w:val="Subsection"/>
      </w:pPr>
      <w:r>
        <w:tab/>
        <w:t>(1)</w:t>
      </w:r>
      <w:r>
        <w:tab/>
        <w:t>This section applies if a person (</w:t>
      </w:r>
      <w:r>
        <w:rPr>
          <w:rStyle w:val="CharDefText"/>
        </w:rPr>
        <w:t>the claimant</w:t>
      </w:r>
      <w:r>
        <w:t>), in an action in tort, is awarded damages —</w:t>
      </w:r>
    </w:p>
    <w:p>
      <w:pPr>
        <w:pStyle w:val="Indenta"/>
      </w:pPr>
      <w:r>
        <w:tab/>
        <w:t>(a)</w:t>
      </w:r>
      <w:r>
        <w:tab/>
        <w:t>against a member of the Police Force (</w:t>
      </w:r>
      <w:r>
        <w:rPr>
          <w:rStyle w:val="CharDefText"/>
        </w:rPr>
        <w:t>the defendant</w:t>
      </w:r>
      <w:r>
        <w:t>) for anything that the member has done maliciously or corruptly while performing or purporting to perform the functions of a member of the Police Force, whether or not under a written or other law; or</w:t>
      </w:r>
    </w:p>
    <w:p>
      <w:pPr>
        <w:pStyle w:val="Indenta"/>
      </w:pPr>
      <w:r>
        <w:tab/>
        <w:t>(b)</w:t>
      </w:r>
      <w:r>
        <w:tab/>
        <w:t>against a person (</w:t>
      </w:r>
      <w:r>
        <w:rPr>
          <w:rStyle w:val="CharDefText"/>
        </w:rPr>
        <w:t>the defendant</w:t>
      </w:r>
      <w:r>
        <w:t xml:space="preserve">) for anything that the person has done maliciously or corruptly in assisting a member of the Police Force who is performing or purporting to perform the functions of a member of the </w:t>
      </w:r>
      <w:r>
        <w:lastRenderedPageBreak/>
        <w:t>Police Force, whether or not under a written or other law,</w:t>
      </w:r>
    </w:p>
    <w:p>
      <w:pPr>
        <w:pStyle w:val="Subsection"/>
      </w:pPr>
      <w:r>
        <w:tab/>
      </w:r>
      <w:r>
        <w:tab/>
        <w:t xml:space="preserve">and the thing was done after the commencement of the </w:t>
      </w:r>
      <w:r>
        <w:rPr>
          <w:i/>
        </w:rPr>
        <w:t>Acts Amendment (Police Immunity) Act 1999</w:t>
      </w:r>
      <w:r>
        <w:t>.</w:t>
      </w:r>
    </w:p>
    <w:p>
      <w:pPr>
        <w:pStyle w:val="Subsection"/>
      </w:pPr>
      <w:r>
        <w:tab/>
        <w:t>(2)</w:t>
      </w:r>
      <w:r>
        <w:tab/>
        <w:t>The claimant may request the Treasurer to pay the damages awarded to the claimant, other than exemplary or punitive damages, and any costs ordered to be paid to the claimant.</w:t>
      </w:r>
    </w:p>
    <w:p>
      <w:pPr>
        <w:pStyle w:val="Subsection"/>
        <w:spacing w:before="80"/>
      </w:pPr>
      <w:r>
        <w:tab/>
        <w:t>(3)</w:t>
      </w:r>
      <w:r>
        <w:tab/>
        <w:t>The Treasurer may pay the claimant all or some of the damages and costs if satisfied —</w:t>
      </w:r>
    </w:p>
    <w:p>
      <w:pPr>
        <w:pStyle w:val="Indenta"/>
      </w:pPr>
      <w:r>
        <w:tab/>
        <w:t>(a)</w:t>
      </w:r>
      <w:r>
        <w:tab/>
        <w:t>that the claimant is unlikely to recover them from the defendant; and</w:t>
      </w:r>
    </w:p>
    <w:p>
      <w:pPr>
        <w:pStyle w:val="Indenta"/>
      </w:pPr>
      <w:r>
        <w:tab/>
        <w:t>(b)</w:t>
      </w:r>
      <w:r>
        <w:tab/>
        <w:t>that there is no relationship or connection between the claimant and the defendant, or a close relative of the defendant, that is likely to result in a benefit or advantage to the defendant if the claimant were paid the damages and costs.</w:t>
      </w:r>
    </w:p>
    <w:p>
      <w:pPr>
        <w:pStyle w:val="Subsection"/>
        <w:spacing w:before="80"/>
      </w:pPr>
      <w:r>
        <w:tab/>
        <w:t>(4)</w:t>
      </w:r>
      <w:r>
        <w:tab/>
        <w:t>Any amount paid by the Treasurer to the claimant is a debt due to the Crown by the defendant and may be recovered in a court of competent jurisdiction.</w:t>
      </w:r>
    </w:p>
    <w:p>
      <w:pPr>
        <w:pStyle w:val="Subsection"/>
        <w:keepNext/>
        <w:keepLines/>
      </w:pPr>
      <w:r>
        <w:tab/>
        <w:t>(5)</w:t>
      </w:r>
      <w:r>
        <w:tab/>
        <w:t xml:space="preserve">In this section — </w:t>
      </w:r>
    </w:p>
    <w:p>
      <w:pPr>
        <w:pStyle w:val="Defstart"/>
      </w:pPr>
      <w:r>
        <w:tab/>
      </w:r>
      <w:r>
        <w:rPr>
          <w:rStyle w:val="CharDefText"/>
        </w:rPr>
        <w:t>close relative</w:t>
      </w:r>
      <w:r>
        <w:t>, in relation to a person, includes a de facto partner of the person.</w:t>
      </w:r>
    </w:p>
    <w:p>
      <w:pPr>
        <w:pStyle w:val="Footnotesection"/>
      </w:pPr>
      <w:r>
        <w:tab/>
        <w:t>[Section 138 inserted: No. 42 of 1999 s. 6; amended: No. 28 of 2003 s. 158.]</w:t>
      </w:r>
    </w:p>
    <w:p>
      <w:pPr>
        <w:pStyle w:val="Heading5"/>
        <w:rPr>
          <w:iCs/>
        </w:rPr>
      </w:pPr>
      <w:bookmarkStart w:id="196" w:name="_Toc91142226"/>
      <w:r>
        <w:rPr>
          <w:rStyle w:val="CharSectno"/>
        </w:rPr>
        <w:t>138AA</w:t>
      </w:r>
      <w:r>
        <w:t>.</w:t>
      </w:r>
      <w:r>
        <w:tab/>
        <w:t xml:space="preserve">Application of </w:t>
      </w:r>
      <w:r>
        <w:rPr>
          <w:i/>
        </w:rPr>
        <w:t>Financial Management Act 2006</w:t>
      </w:r>
      <w:r>
        <w:rPr>
          <w:iCs/>
        </w:rPr>
        <w:t xml:space="preserve"> and </w:t>
      </w:r>
      <w:r>
        <w:rPr>
          <w:i/>
          <w:iCs/>
        </w:rPr>
        <w:t>Auditor General Act 2006</w:t>
      </w:r>
      <w:r>
        <w:rPr>
          <w:iCs/>
        </w:rPr>
        <w:t xml:space="preserve"> to moneys received by Commissioner</w:t>
      </w:r>
      <w:bookmarkEnd w:id="196"/>
    </w:p>
    <w:p>
      <w:pPr>
        <w:pStyle w:val="Subsection"/>
      </w:pPr>
      <w:r>
        <w:tab/>
        <w:t>(1)</w:t>
      </w:r>
      <w:r>
        <w:tab/>
        <w:t xml:space="preserve">In this section — </w:t>
      </w:r>
    </w:p>
    <w:p>
      <w:pPr>
        <w:pStyle w:val="Defstart"/>
      </w:pPr>
      <w:r>
        <w:tab/>
      </w:r>
      <w:r>
        <w:rPr>
          <w:rStyle w:val="CharDefText"/>
        </w:rPr>
        <w:t>Department</w:t>
      </w:r>
      <w:r>
        <w:t xml:space="preserve"> has the same meaning as in section 39A.</w:t>
      </w:r>
    </w:p>
    <w:p>
      <w:pPr>
        <w:pStyle w:val="Subsection"/>
        <w:rPr>
          <w:iCs/>
        </w:rPr>
      </w:pPr>
      <w:r>
        <w:tab/>
        <w:t>(2)</w:t>
      </w:r>
      <w:r>
        <w:tab/>
        <w:t xml:space="preserve">For the purposes of the </w:t>
      </w:r>
      <w:r>
        <w:rPr>
          <w:i/>
        </w:rPr>
        <w:t>Financial Management Act 2006</w:t>
      </w:r>
      <w:r>
        <w:t xml:space="preserve"> and the </w:t>
      </w:r>
      <w:r>
        <w:rPr>
          <w:i/>
        </w:rPr>
        <w:t>Auditor General Act 2006</w:t>
      </w:r>
      <w:r>
        <w:rPr>
          <w:iCs/>
        </w:rPr>
        <w:t xml:space="preserve">, moneys received </w:t>
      </w:r>
      <w:r>
        <w:t xml:space="preserve">by the </w:t>
      </w:r>
      <w:r>
        <w:lastRenderedPageBreak/>
        <w:t>Commissioner of Police under this Act or another written law are moneys received by the Department</w:t>
      </w:r>
      <w:r>
        <w:rPr>
          <w:iCs/>
        </w:rPr>
        <w:t>.</w:t>
      </w:r>
    </w:p>
    <w:p>
      <w:pPr>
        <w:pStyle w:val="Footnotesection"/>
      </w:pPr>
      <w:r>
        <w:tab/>
        <w:t>[Section 138AA inserted: No. 12 of 2011 s. 5.]</w:t>
      </w:r>
    </w:p>
    <w:p>
      <w:pPr>
        <w:pStyle w:val="Heading5"/>
        <w:rPr>
          <w:snapToGrid w:val="0"/>
        </w:rPr>
      </w:pPr>
      <w:bookmarkStart w:id="197" w:name="_Toc91142227"/>
      <w:r>
        <w:rPr>
          <w:rStyle w:val="CharSectno"/>
        </w:rPr>
        <w:t>138A</w:t>
      </w:r>
      <w:r>
        <w:rPr>
          <w:snapToGrid w:val="0"/>
        </w:rPr>
        <w:t>.</w:t>
      </w:r>
      <w:r>
        <w:rPr>
          <w:snapToGrid w:val="0"/>
        </w:rPr>
        <w:tab/>
        <w:t>Regulations</w:t>
      </w:r>
      <w:bookmarkEnd w:id="197"/>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penalties not exceeding in any case $100, in respect of the contravention of any provision thereof.</w:t>
      </w:r>
    </w:p>
    <w:p>
      <w:pPr>
        <w:pStyle w:val="Subsection"/>
        <w:rPr>
          <w:snapToGrid w:val="0"/>
        </w:rPr>
      </w:pPr>
      <w:r>
        <w:rPr>
          <w:snapToGrid w:val="0"/>
        </w:rPr>
        <w:tab/>
        <w:t>(3)</w:t>
      </w:r>
      <w:r>
        <w:rPr>
          <w:snapToGrid w:val="0"/>
        </w:rPr>
        <w:tab/>
        <w:t>The regulations may prescribe fees that may be charged for the issue of certificates or the provision of services, including the services of escorts or guards.</w:t>
      </w:r>
    </w:p>
    <w:p>
      <w:pPr>
        <w:pStyle w:val="Subsection"/>
        <w:keepNext/>
        <w:keepLines/>
      </w:pPr>
      <w:r>
        <w:tab/>
        <w:t>(4)</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notice under section 33L(1);</w:t>
      </w:r>
    </w:p>
    <w:p>
      <w:pPr>
        <w:pStyle w:val="Indenta"/>
      </w:pPr>
      <w:r>
        <w:tab/>
        <w:t>(b)</w:t>
      </w:r>
      <w:r>
        <w:tab/>
        <w:t xml:space="preserve">prescribing the procedure to be followed in relation to a removal from office under section 8 or the revocation of an appointment under section 38A; </w:t>
      </w:r>
    </w:p>
    <w:p>
      <w:pPr>
        <w:pStyle w:val="Indenta"/>
      </w:pPr>
      <w:r>
        <w:tab/>
        <w:t>(c)</w:t>
      </w:r>
      <w:r>
        <w:tab/>
        <w:t>prescribing restrictions in relation to any period during which consideration is being given to a member’s suitability to continue as a member of the Police Force on the exercise of any power of the Commissioner of Police or the Governor to suspend the member’s pay; and</w:t>
      </w:r>
    </w:p>
    <w:p>
      <w:pPr>
        <w:pStyle w:val="Indenta"/>
        <w:keepNext/>
        <w:keepLines/>
      </w:pPr>
      <w:r>
        <w:lastRenderedPageBreak/>
        <w:tab/>
        <w:t>(d)</w:t>
      </w:r>
      <w:r>
        <w:tab/>
        <w:t>prescribing the means of service of documents that are required to be served under Part IIB or regulations relating to that Part.</w:t>
      </w:r>
    </w:p>
    <w:p>
      <w:pPr>
        <w:pStyle w:val="Subsection"/>
        <w:keepNext/>
      </w:pPr>
      <w:r>
        <w:tab/>
        <w:t>(5)</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direction under section 33ZC;</w:t>
      </w:r>
    </w:p>
    <w:p>
      <w:pPr>
        <w:pStyle w:val="Indenta"/>
      </w:pPr>
      <w:r>
        <w:tab/>
        <w:t>(b)</w:t>
      </w:r>
      <w:r>
        <w:tab/>
        <w:t>prescribing the procedure to be followed in relation to a retirement on medical grounds under Part IIC;</w:t>
      </w:r>
    </w:p>
    <w:p>
      <w:pPr>
        <w:pStyle w:val="Indenta"/>
      </w:pPr>
      <w:r>
        <w:tab/>
        <w:t>(c)</w:t>
      </w:r>
      <w:r>
        <w:tab/>
        <w:t>prescribing restrictions, in relation to any period during which consideration is being given to a member’s retirement on medical grounds under Part IIC, on the exercise of any power of the Commissioner of Police or the Governor to suspend the member’s pay; and</w:t>
      </w:r>
    </w:p>
    <w:p>
      <w:pPr>
        <w:pStyle w:val="Indenta"/>
      </w:pPr>
      <w:r>
        <w:tab/>
        <w:t>(d)</w:t>
      </w:r>
      <w:r>
        <w:tab/>
        <w:t>prescribing the means of service of documents that are required to be served under Part IIC or regulations relating to that Part.</w:t>
      </w:r>
    </w:p>
    <w:p>
      <w:pPr>
        <w:pStyle w:val="Footnotesection"/>
      </w:pPr>
      <w:r>
        <w:tab/>
        <w:t xml:space="preserve">[Section 138A inserted: No. 85 of 1970 s. 13; amended: No. 71 of 1980 s. 7; No. 7 of 2003 s. 8; No. 19 of 2019 s. 7.] </w:t>
      </w:r>
    </w:p>
    <w:p>
      <w:pPr>
        <w:pStyle w:val="Ednotesection"/>
        <w:ind w:left="890" w:hanging="890"/>
      </w:pPr>
      <w:r>
        <w:t>[</w:t>
      </w:r>
      <w:r>
        <w:rPr>
          <w:b/>
        </w:rPr>
        <w:t>139</w:t>
      </w:r>
      <w:r>
        <w:rPr>
          <w:b/>
        </w:rPr>
        <w:noBreakHyphen/>
        <w:t>141.</w:t>
      </w:r>
      <w:r>
        <w:tab/>
        <w:t xml:space="preserve">Deleted: 2 Edw. VII. No. 11 s. 2.] </w:t>
      </w:r>
    </w:p>
    <w:p>
      <w:pPr>
        <w:pStyle w:val="Heading5"/>
        <w:rPr>
          <w:snapToGrid w:val="0"/>
        </w:rPr>
      </w:pPr>
      <w:bookmarkStart w:id="198" w:name="_Toc91142228"/>
      <w:r>
        <w:rPr>
          <w:rStyle w:val="CharSectno"/>
        </w:rPr>
        <w:t>142</w:t>
      </w:r>
      <w:r>
        <w:rPr>
          <w:snapToGrid w:val="0"/>
        </w:rPr>
        <w:t>.</w:t>
      </w:r>
      <w:r>
        <w:rPr>
          <w:snapToGrid w:val="0"/>
        </w:rPr>
        <w:tab/>
        <w:t>Commencement of Act</w:t>
      </w:r>
      <w:bookmarkEnd w:id="198"/>
      <w:r>
        <w:rPr>
          <w:snapToGrid w:val="0"/>
        </w:rPr>
        <w:t xml:space="preserve"> </w:t>
      </w:r>
    </w:p>
    <w:p>
      <w:pPr>
        <w:pStyle w:val="Subsection"/>
        <w:rPr>
          <w:snapToGrid w:val="0"/>
        </w:rPr>
      </w:pPr>
      <w:r>
        <w:rPr>
          <w:snapToGrid w:val="0"/>
        </w:rPr>
        <w:tab/>
      </w:r>
      <w:r>
        <w:rPr>
          <w:snapToGrid w:val="0"/>
        </w:rPr>
        <w:tab/>
        <w:t>This Act shall come into force on 1 April 1892.</w:t>
      </w:r>
    </w:p>
    <w:p>
      <w:pPr>
        <w:pStyle w:val="yEdnoteschedule"/>
      </w:pPr>
      <w:r>
        <w:t>[Heading deleted: No. 19 of 2010 s. 42(3).]</w:t>
      </w:r>
    </w:p>
    <w:p>
      <w:pPr>
        <w:pStyle w:val="yEdnoteschedule"/>
      </w:pPr>
      <w:r>
        <w:t xml:space="preserve">[The First Schedule omitted under the Reprints Act 1984 s. 7(4)(f).] </w:t>
      </w:r>
    </w:p>
    <w:p>
      <w:pPr>
        <w:pStyle w:val="yEdnoteschedule"/>
      </w:pPr>
      <w:r>
        <w:t>[The Second Schedule deleted: No. 70 of 2004 s. 72.]</w:t>
      </w:r>
    </w:p>
    <w:p>
      <w:pPr>
        <w:pStyle w:val="yEdnoteschedule"/>
      </w:pPr>
      <w:r>
        <w:t>[The Third Schedule deleted: No. 30 of 1983 s. 5.]</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199" w:name="_Toc90989613"/>
      <w:bookmarkStart w:id="200" w:name="_Toc90990660"/>
      <w:bookmarkStart w:id="201" w:name="_Toc91142229"/>
      <w:r>
        <w:lastRenderedPageBreak/>
        <w:t>Notes</w:t>
      </w:r>
      <w:bookmarkEnd w:id="199"/>
      <w:bookmarkEnd w:id="200"/>
      <w:bookmarkEnd w:id="201"/>
    </w:p>
    <w:p>
      <w:pPr>
        <w:pStyle w:val="nStatement"/>
      </w:pPr>
      <w:r>
        <w:t xml:space="preserve">This is a compilation of the </w:t>
      </w:r>
      <w:r>
        <w:rPr>
          <w:i/>
          <w:noProof/>
        </w:rPr>
        <w:t>Police Act 1892</w:t>
      </w:r>
      <w:r>
        <w:t xml:space="preserve"> and includes amendments made by other written laws. For provisions that have come into operation, and for information about any reprints, see the compilation table. </w:t>
      </w:r>
    </w:p>
    <w:p>
      <w:pPr>
        <w:pStyle w:val="nHeading3"/>
      </w:pPr>
      <w:bookmarkStart w:id="202" w:name="_Toc91142230"/>
      <w:r>
        <w:t>Compilation table</w:t>
      </w:r>
      <w:bookmarkEnd w:id="202"/>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7"/>
        <w:gridCol w:w="26"/>
        <w:gridCol w:w="1110"/>
        <w:gridCol w:w="11"/>
        <w:gridCol w:w="1127"/>
        <w:gridCol w:w="2547"/>
      </w:tblGrid>
      <w:tr>
        <w:trPr>
          <w:tblHeader/>
        </w:trPr>
        <w:tc>
          <w:tcPr>
            <w:tcW w:w="2267" w:type="dxa"/>
          </w:tcPr>
          <w:p>
            <w:pPr>
              <w:pStyle w:val="nTable"/>
              <w:spacing w:after="40"/>
              <w:rPr>
                <w:b/>
              </w:rPr>
            </w:pPr>
            <w:r>
              <w:rPr>
                <w:b/>
              </w:rPr>
              <w:t>Short title</w:t>
            </w:r>
          </w:p>
        </w:tc>
        <w:tc>
          <w:tcPr>
            <w:tcW w:w="1136" w:type="dxa"/>
            <w:gridSpan w:val="2"/>
          </w:tcPr>
          <w:p>
            <w:pPr>
              <w:pStyle w:val="nTable"/>
              <w:spacing w:after="40"/>
              <w:rPr>
                <w:b/>
              </w:rPr>
            </w:pPr>
            <w:r>
              <w:rPr>
                <w:b/>
              </w:rPr>
              <w:t>Number and year</w:t>
            </w:r>
          </w:p>
        </w:tc>
        <w:tc>
          <w:tcPr>
            <w:tcW w:w="1138" w:type="dxa"/>
            <w:gridSpan w:val="2"/>
          </w:tcPr>
          <w:p>
            <w:pPr>
              <w:pStyle w:val="nTable"/>
              <w:spacing w:after="40"/>
              <w:rPr>
                <w:b/>
              </w:rPr>
            </w:pPr>
            <w:r>
              <w:rPr>
                <w:b/>
              </w:rPr>
              <w:t>Assent</w:t>
            </w:r>
          </w:p>
        </w:tc>
        <w:tc>
          <w:tcPr>
            <w:tcW w:w="2547"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7" w:type="dxa"/>
            <w:tcBorders>
              <w:top w:val="single" w:sz="8" w:space="0" w:color="auto"/>
            </w:tcBorders>
          </w:tcPr>
          <w:p>
            <w:pPr>
              <w:pStyle w:val="nTable"/>
              <w:spacing w:after="40"/>
              <w:ind w:right="170"/>
              <w:rPr>
                <w:vertAlign w:val="superscript"/>
              </w:rPr>
            </w:pPr>
            <w:r>
              <w:rPr>
                <w:i/>
              </w:rPr>
              <w:t>The Police Act 1892</w:t>
            </w:r>
            <w:r>
              <w:rPr>
                <w:vertAlign w:val="superscript"/>
              </w:rPr>
              <w:t> 3</w:t>
            </w:r>
          </w:p>
        </w:tc>
        <w:tc>
          <w:tcPr>
            <w:tcW w:w="1136" w:type="dxa"/>
            <w:gridSpan w:val="2"/>
            <w:tcBorders>
              <w:top w:val="single" w:sz="8" w:space="0" w:color="auto"/>
            </w:tcBorders>
          </w:tcPr>
          <w:p>
            <w:pPr>
              <w:pStyle w:val="nTable"/>
              <w:spacing w:after="40"/>
            </w:pPr>
            <w:r>
              <w:t>1892 (55 Vict. No. 27)</w:t>
            </w:r>
          </w:p>
        </w:tc>
        <w:tc>
          <w:tcPr>
            <w:tcW w:w="1138" w:type="dxa"/>
            <w:gridSpan w:val="2"/>
            <w:tcBorders>
              <w:top w:val="single" w:sz="8" w:space="0" w:color="auto"/>
            </w:tcBorders>
          </w:tcPr>
          <w:p>
            <w:pPr>
              <w:pStyle w:val="nTable"/>
              <w:spacing w:after="40"/>
            </w:pPr>
            <w:r>
              <w:t>18 Mar 1892</w:t>
            </w:r>
          </w:p>
        </w:tc>
        <w:tc>
          <w:tcPr>
            <w:tcW w:w="2547" w:type="dxa"/>
            <w:tcBorders>
              <w:top w:val="single" w:sz="8" w:space="0" w:color="auto"/>
            </w:tcBorders>
          </w:tcPr>
          <w:p>
            <w:pPr>
              <w:pStyle w:val="nTable"/>
              <w:spacing w:after="40"/>
            </w:pPr>
            <w:r>
              <w:t>1 Apr 1892 (see s. 142)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The Police Act Amendment Act 1893 (No. 1)</w:t>
            </w:r>
          </w:p>
        </w:tc>
        <w:tc>
          <w:tcPr>
            <w:tcW w:w="1136" w:type="dxa"/>
            <w:gridSpan w:val="2"/>
          </w:tcPr>
          <w:p>
            <w:pPr>
              <w:pStyle w:val="nTable"/>
              <w:spacing w:after="40"/>
            </w:pPr>
            <w:r>
              <w:t>1893 (56 Vict. No. 10) (as amended by No. 15 of 1952 s. 7(1))</w:t>
            </w:r>
          </w:p>
        </w:tc>
        <w:tc>
          <w:tcPr>
            <w:tcW w:w="1138" w:type="dxa"/>
            <w:gridSpan w:val="2"/>
          </w:tcPr>
          <w:p>
            <w:pPr>
              <w:pStyle w:val="nTable"/>
              <w:spacing w:after="40"/>
            </w:pPr>
            <w:r>
              <w:t>13 Jan 1893</w:t>
            </w:r>
          </w:p>
        </w:tc>
        <w:tc>
          <w:tcPr>
            <w:tcW w:w="2547" w:type="dxa"/>
          </w:tcPr>
          <w:p>
            <w:pPr>
              <w:pStyle w:val="nTable"/>
              <w:spacing w:after="40"/>
            </w:pPr>
            <w:r>
              <w:t>13 Jan 1893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The Police Act 1892 Amendment Act 1894 (No. 2)</w:t>
            </w:r>
          </w:p>
        </w:tc>
        <w:tc>
          <w:tcPr>
            <w:tcW w:w="1136" w:type="dxa"/>
            <w:gridSpan w:val="2"/>
          </w:tcPr>
          <w:p>
            <w:pPr>
              <w:pStyle w:val="nTable"/>
              <w:spacing w:after="40"/>
            </w:pPr>
            <w:r>
              <w:t>1894 (58 Vict. No. 26) (as amended by No. 15 of 1952 s. 7(1))</w:t>
            </w:r>
          </w:p>
        </w:tc>
        <w:tc>
          <w:tcPr>
            <w:tcW w:w="1138" w:type="dxa"/>
            <w:gridSpan w:val="2"/>
          </w:tcPr>
          <w:p>
            <w:pPr>
              <w:pStyle w:val="nTable"/>
              <w:spacing w:after="40"/>
            </w:pPr>
            <w:r>
              <w:t>23 Nov 1894</w:t>
            </w:r>
          </w:p>
        </w:tc>
        <w:tc>
          <w:tcPr>
            <w:tcW w:w="2547" w:type="dxa"/>
          </w:tcPr>
          <w:p>
            <w:pPr>
              <w:pStyle w:val="nTable"/>
              <w:spacing w:after="40"/>
            </w:pPr>
            <w:r>
              <w:t>23 Nov 1894</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1898</w:t>
            </w:r>
          </w:p>
        </w:tc>
        <w:tc>
          <w:tcPr>
            <w:tcW w:w="1136" w:type="dxa"/>
            <w:gridSpan w:val="2"/>
          </w:tcPr>
          <w:p>
            <w:pPr>
              <w:pStyle w:val="nTable"/>
              <w:spacing w:after="40"/>
            </w:pPr>
            <w:r>
              <w:t>1898 (62 Vict. No. 21) (as amended by No. 15 of 1952 s. 7(1))</w:t>
            </w:r>
          </w:p>
        </w:tc>
        <w:tc>
          <w:tcPr>
            <w:tcW w:w="1138" w:type="dxa"/>
            <w:gridSpan w:val="2"/>
          </w:tcPr>
          <w:p>
            <w:pPr>
              <w:pStyle w:val="nTable"/>
              <w:spacing w:after="40"/>
            </w:pPr>
            <w:r>
              <w:t>28 Oct 1898</w:t>
            </w:r>
          </w:p>
        </w:tc>
        <w:tc>
          <w:tcPr>
            <w:tcW w:w="2547" w:type="dxa"/>
          </w:tcPr>
          <w:p>
            <w:pPr>
              <w:pStyle w:val="nTable"/>
              <w:spacing w:after="40"/>
            </w:pPr>
            <w:r>
              <w:t>28 Oct 1898</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Criminal Code Act 1902 </w:t>
            </w:r>
            <w:r>
              <w:t>s. 3(2)</w:t>
            </w:r>
          </w:p>
        </w:tc>
        <w:tc>
          <w:tcPr>
            <w:tcW w:w="1136" w:type="dxa"/>
            <w:gridSpan w:val="2"/>
          </w:tcPr>
          <w:p>
            <w:pPr>
              <w:pStyle w:val="nTable"/>
              <w:spacing w:after="40"/>
            </w:pPr>
            <w:r>
              <w:t>1902 (1 &amp; 2 Edw. VII No. 14)</w:t>
            </w:r>
          </w:p>
        </w:tc>
        <w:tc>
          <w:tcPr>
            <w:tcW w:w="1138" w:type="dxa"/>
            <w:gridSpan w:val="2"/>
          </w:tcPr>
          <w:p>
            <w:pPr>
              <w:pStyle w:val="nTable"/>
              <w:spacing w:after="40"/>
            </w:pPr>
            <w:r>
              <w:t>19 Feb 1902</w:t>
            </w:r>
          </w:p>
        </w:tc>
        <w:tc>
          <w:tcPr>
            <w:tcW w:w="2547" w:type="dxa"/>
          </w:tcPr>
          <w:p>
            <w:pPr>
              <w:pStyle w:val="nTable"/>
              <w:spacing w:after="40"/>
            </w:pPr>
            <w:r>
              <w:t>1 May 1902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Justices Act 1902</w:t>
            </w:r>
            <w:r>
              <w:t xml:space="preserve"> s. 2</w:t>
            </w:r>
          </w:p>
        </w:tc>
        <w:tc>
          <w:tcPr>
            <w:tcW w:w="1136" w:type="dxa"/>
            <w:gridSpan w:val="2"/>
          </w:tcPr>
          <w:p>
            <w:pPr>
              <w:pStyle w:val="nTable"/>
              <w:spacing w:after="40"/>
            </w:pPr>
            <w:r>
              <w:t>1902 (2 Edw. VII No. 11)</w:t>
            </w:r>
          </w:p>
        </w:tc>
        <w:tc>
          <w:tcPr>
            <w:tcW w:w="1138" w:type="dxa"/>
            <w:gridSpan w:val="2"/>
          </w:tcPr>
          <w:p>
            <w:pPr>
              <w:pStyle w:val="nTable"/>
              <w:spacing w:after="40"/>
            </w:pPr>
            <w:r>
              <w:t>18 Nov 1902</w:t>
            </w:r>
          </w:p>
        </w:tc>
        <w:tc>
          <w:tcPr>
            <w:tcW w:w="2547" w:type="dxa"/>
          </w:tcPr>
          <w:p>
            <w:pPr>
              <w:pStyle w:val="nTable"/>
              <w:spacing w:after="40"/>
            </w:pPr>
            <w:r>
              <w:t>18 Nov 1902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1902</w:t>
            </w:r>
          </w:p>
        </w:tc>
        <w:tc>
          <w:tcPr>
            <w:tcW w:w="1136" w:type="dxa"/>
            <w:gridSpan w:val="2"/>
          </w:tcPr>
          <w:p>
            <w:pPr>
              <w:pStyle w:val="nTable"/>
              <w:spacing w:after="40"/>
            </w:pPr>
            <w:r>
              <w:t>1902 (2 Edw. VII No. 31) (as amended by No. 15 of 1952 s. 7(1))</w:t>
            </w:r>
          </w:p>
        </w:tc>
        <w:tc>
          <w:tcPr>
            <w:tcW w:w="1138" w:type="dxa"/>
            <w:gridSpan w:val="2"/>
          </w:tcPr>
          <w:p>
            <w:pPr>
              <w:pStyle w:val="nTable"/>
              <w:spacing w:after="40"/>
            </w:pPr>
            <w:r>
              <w:t>20 Dec 1902</w:t>
            </w:r>
          </w:p>
        </w:tc>
        <w:tc>
          <w:tcPr>
            <w:tcW w:w="2547" w:type="dxa"/>
          </w:tcPr>
          <w:p>
            <w:pPr>
              <w:pStyle w:val="nTable"/>
              <w:spacing w:after="40"/>
            </w:pPr>
            <w:r>
              <w:t>20 Dec 1902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lastRenderedPageBreak/>
              <w:t>Police Act</w:t>
            </w:r>
            <w:r>
              <w:rPr>
                <w:i/>
                <w:iCs/>
              </w:rPr>
              <w:t xml:space="preserve"> </w:t>
            </w:r>
            <w:r>
              <w:rPr>
                <w:i/>
              </w:rPr>
              <w:t>Amendment Act 1907</w:t>
            </w:r>
          </w:p>
        </w:tc>
        <w:tc>
          <w:tcPr>
            <w:tcW w:w="1136" w:type="dxa"/>
            <w:gridSpan w:val="2"/>
          </w:tcPr>
          <w:p>
            <w:pPr>
              <w:pStyle w:val="nTable"/>
              <w:spacing w:after="40"/>
            </w:pPr>
            <w:r>
              <w:t>10 of 1907 (7 Edw. VII No. 10) (as amended by No. 15 of 1952 s. 7(1))</w:t>
            </w:r>
          </w:p>
        </w:tc>
        <w:tc>
          <w:tcPr>
            <w:tcW w:w="1138" w:type="dxa"/>
            <w:gridSpan w:val="2"/>
          </w:tcPr>
          <w:p>
            <w:pPr>
              <w:pStyle w:val="nTable"/>
              <w:spacing w:after="40"/>
            </w:pPr>
            <w:r>
              <w:t>20 Dec 1907</w:t>
            </w:r>
          </w:p>
        </w:tc>
        <w:tc>
          <w:tcPr>
            <w:tcW w:w="2547" w:type="dxa"/>
          </w:tcPr>
          <w:p>
            <w:pPr>
              <w:pStyle w:val="nTable"/>
              <w:spacing w:after="40"/>
            </w:pPr>
            <w:r>
              <w:t>20 Dec 1907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Prevention of Cruelty to Animals Act 1912</w:t>
            </w:r>
            <w:r>
              <w:t xml:space="preserve"> s. 2</w:t>
            </w:r>
          </w:p>
        </w:tc>
        <w:tc>
          <w:tcPr>
            <w:tcW w:w="1136" w:type="dxa"/>
            <w:gridSpan w:val="2"/>
          </w:tcPr>
          <w:p>
            <w:pPr>
              <w:pStyle w:val="nTable"/>
              <w:spacing w:after="40"/>
            </w:pPr>
            <w:r>
              <w:t>33 of 1912 (3 Geo. V No. 14)</w:t>
            </w:r>
          </w:p>
        </w:tc>
        <w:tc>
          <w:tcPr>
            <w:tcW w:w="1138" w:type="dxa"/>
            <w:gridSpan w:val="2"/>
          </w:tcPr>
          <w:p>
            <w:pPr>
              <w:pStyle w:val="nTable"/>
              <w:spacing w:after="40"/>
            </w:pPr>
            <w:r>
              <w:t>10 Oct 1912</w:t>
            </w:r>
          </w:p>
        </w:tc>
        <w:tc>
          <w:tcPr>
            <w:tcW w:w="2547" w:type="dxa"/>
          </w:tcPr>
          <w:p>
            <w:pPr>
              <w:pStyle w:val="nTable"/>
              <w:spacing w:after="40"/>
            </w:pPr>
            <w:r>
              <w:t>10 Oct 1912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1915</w:t>
            </w:r>
          </w:p>
        </w:tc>
        <w:tc>
          <w:tcPr>
            <w:tcW w:w="1136" w:type="dxa"/>
            <w:gridSpan w:val="2"/>
          </w:tcPr>
          <w:p>
            <w:pPr>
              <w:pStyle w:val="nTable"/>
              <w:spacing w:after="40"/>
            </w:pPr>
            <w:r>
              <w:t>13 of 1915</w:t>
            </w:r>
            <w:r>
              <w:br/>
              <w:t>(5 Geo. V No. 40)</w:t>
            </w:r>
            <w:r>
              <w:br/>
              <w:t>(as amended by No. 15 of 1952 s. 7(1))</w:t>
            </w:r>
          </w:p>
        </w:tc>
        <w:tc>
          <w:tcPr>
            <w:tcW w:w="1138" w:type="dxa"/>
            <w:gridSpan w:val="2"/>
          </w:tcPr>
          <w:p>
            <w:pPr>
              <w:pStyle w:val="nTable"/>
              <w:spacing w:after="40"/>
            </w:pPr>
            <w:r>
              <w:t>18 Feb 1915</w:t>
            </w:r>
          </w:p>
        </w:tc>
        <w:tc>
          <w:tcPr>
            <w:tcW w:w="2547" w:type="dxa"/>
          </w:tcPr>
          <w:p>
            <w:pPr>
              <w:pStyle w:val="nTable"/>
              <w:spacing w:after="40"/>
            </w:pPr>
            <w:r>
              <w:t>18 Feb 1915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Ministers’ Titles Act 1925 </w:t>
            </w:r>
            <w:r>
              <w:t>s. 2</w:t>
            </w:r>
          </w:p>
        </w:tc>
        <w:tc>
          <w:tcPr>
            <w:tcW w:w="1136" w:type="dxa"/>
            <w:gridSpan w:val="2"/>
          </w:tcPr>
          <w:p>
            <w:pPr>
              <w:pStyle w:val="nTable"/>
              <w:spacing w:after="40"/>
            </w:pPr>
            <w:r>
              <w:t>8 of 1925 (16 Geo. V No. 8)</w:t>
            </w:r>
          </w:p>
        </w:tc>
        <w:tc>
          <w:tcPr>
            <w:tcW w:w="1138" w:type="dxa"/>
            <w:gridSpan w:val="2"/>
          </w:tcPr>
          <w:p>
            <w:pPr>
              <w:pStyle w:val="nTable"/>
              <w:spacing w:after="40"/>
            </w:pPr>
            <w:r>
              <w:t>24 Sep 1925</w:t>
            </w:r>
          </w:p>
        </w:tc>
        <w:tc>
          <w:tcPr>
            <w:tcW w:w="2547" w:type="dxa"/>
          </w:tcPr>
          <w:p>
            <w:pPr>
              <w:pStyle w:val="nTable"/>
              <w:spacing w:after="40"/>
            </w:pPr>
            <w:r>
              <w:t>24 Sep 1925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Offences (Drugs) Act 1928</w:t>
            </w:r>
            <w:r>
              <w:t xml:space="preserve"> s. 2</w:t>
            </w:r>
          </w:p>
        </w:tc>
        <w:tc>
          <w:tcPr>
            <w:tcW w:w="1136" w:type="dxa"/>
            <w:gridSpan w:val="2"/>
          </w:tcPr>
          <w:p>
            <w:pPr>
              <w:pStyle w:val="nTable"/>
              <w:spacing w:after="40"/>
            </w:pPr>
            <w:r>
              <w:t>11 of 1928</w:t>
            </w:r>
            <w:r>
              <w:br/>
              <w:t>(19 Geo. V No. 11)</w:t>
            </w:r>
            <w:r>
              <w:br/>
              <w:t>(as amended by No. 15 of 1952 s. 7(1))</w:t>
            </w:r>
          </w:p>
        </w:tc>
        <w:tc>
          <w:tcPr>
            <w:tcW w:w="1138" w:type="dxa"/>
            <w:gridSpan w:val="2"/>
          </w:tcPr>
          <w:p>
            <w:pPr>
              <w:pStyle w:val="nTable"/>
              <w:spacing w:after="40"/>
            </w:pPr>
            <w:r>
              <w:t>23 Nov 1928</w:t>
            </w:r>
          </w:p>
        </w:tc>
        <w:tc>
          <w:tcPr>
            <w:tcW w:w="2547" w:type="dxa"/>
          </w:tcPr>
          <w:p>
            <w:pPr>
              <w:pStyle w:val="nTable"/>
              <w:spacing w:after="40"/>
            </w:pPr>
            <w:r>
              <w:t>23 Nov 1928</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w:t>
            </w:r>
            <w:r>
              <w:rPr>
                <w:i/>
                <w:iCs/>
              </w:rPr>
              <w:t xml:space="preserve"> </w:t>
            </w:r>
            <w:r>
              <w:rPr>
                <w:i/>
              </w:rPr>
              <w:t>Amendment Act 1933</w:t>
            </w:r>
          </w:p>
        </w:tc>
        <w:tc>
          <w:tcPr>
            <w:tcW w:w="1136" w:type="dxa"/>
            <w:gridSpan w:val="2"/>
          </w:tcPr>
          <w:p>
            <w:pPr>
              <w:pStyle w:val="nTable"/>
              <w:spacing w:after="40"/>
            </w:pPr>
            <w:r>
              <w:t>19 of 1933 (24 Geo. V No. 19)</w:t>
            </w:r>
          </w:p>
        </w:tc>
        <w:tc>
          <w:tcPr>
            <w:tcW w:w="1138" w:type="dxa"/>
            <w:gridSpan w:val="2"/>
          </w:tcPr>
          <w:p>
            <w:pPr>
              <w:pStyle w:val="nTable"/>
              <w:spacing w:after="40"/>
            </w:pPr>
            <w:r>
              <w:t>13 Nov 1933</w:t>
            </w:r>
          </w:p>
        </w:tc>
        <w:tc>
          <w:tcPr>
            <w:tcW w:w="2547" w:type="dxa"/>
          </w:tcPr>
          <w:p>
            <w:pPr>
              <w:pStyle w:val="nTable"/>
              <w:spacing w:after="40"/>
            </w:pPr>
            <w:r>
              <w:t>13 Nov 1933</w:t>
            </w:r>
          </w:p>
        </w:tc>
      </w:tr>
      <w:tr>
        <w:tblPrEx>
          <w:tblBorders>
            <w:top w:val="none" w:sz="0" w:space="0" w:color="auto"/>
            <w:bottom w:val="none" w:sz="0" w:space="0" w:color="auto"/>
            <w:insideH w:val="none" w:sz="0" w:space="0" w:color="auto"/>
          </w:tblBorders>
        </w:tblPrEx>
        <w:trPr>
          <w:cantSplit/>
        </w:trPr>
        <w:tc>
          <w:tcPr>
            <w:tcW w:w="2267" w:type="dxa"/>
          </w:tcPr>
          <w:p>
            <w:pPr>
              <w:pStyle w:val="nTable"/>
              <w:keepNext/>
              <w:spacing w:after="40"/>
              <w:ind w:right="170"/>
            </w:pPr>
            <w:r>
              <w:rPr>
                <w:i/>
              </w:rPr>
              <w:t>Police Act Amendment Act 1940</w:t>
            </w:r>
          </w:p>
        </w:tc>
        <w:tc>
          <w:tcPr>
            <w:tcW w:w="1136" w:type="dxa"/>
            <w:gridSpan w:val="2"/>
          </w:tcPr>
          <w:p>
            <w:pPr>
              <w:pStyle w:val="nTable"/>
              <w:keepNext/>
              <w:spacing w:after="40"/>
            </w:pPr>
            <w:r>
              <w:t>19 of 1940 (4 Geo. VI No. 19)</w:t>
            </w:r>
          </w:p>
        </w:tc>
        <w:tc>
          <w:tcPr>
            <w:tcW w:w="1138" w:type="dxa"/>
            <w:gridSpan w:val="2"/>
          </w:tcPr>
          <w:p>
            <w:pPr>
              <w:pStyle w:val="nTable"/>
              <w:keepNext/>
              <w:spacing w:after="40"/>
            </w:pPr>
            <w:r>
              <w:t>29 Nov 1940</w:t>
            </w:r>
          </w:p>
        </w:tc>
        <w:tc>
          <w:tcPr>
            <w:tcW w:w="2547" w:type="dxa"/>
          </w:tcPr>
          <w:p>
            <w:pPr>
              <w:pStyle w:val="nTable"/>
              <w:keepNext/>
              <w:spacing w:after="40"/>
            </w:pPr>
            <w:r>
              <w:t>29 Nov 1940</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1945</w:t>
            </w:r>
          </w:p>
        </w:tc>
        <w:tc>
          <w:tcPr>
            <w:tcW w:w="1136" w:type="dxa"/>
            <w:gridSpan w:val="2"/>
          </w:tcPr>
          <w:p>
            <w:pPr>
              <w:pStyle w:val="nTable"/>
              <w:spacing w:after="40"/>
            </w:pPr>
            <w:r>
              <w:t>5 of 1945 (9 Geo. VI No. 5)</w:t>
            </w:r>
          </w:p>
        </w:tc>
        <w:tc>
          <w:tcPr>
            <w:tcW w:w="1138" w:type="dxa"/>
            <w:gridSpan w:val="2"/>
          </w:tcPr>
          <w:p>
            <w:pPr>
              <w:pStyle w:val="nTable"/>
              <w:spacing w:after="40"/>
            </w:pPr>
            <w:r>
              <w:t>27 Nov 1945</w:t>
            </w:r>
          </w:p>
        </w:tc>
        <w:tc>
          <w:tcPr>
            <w:tcW w:w="2547" w:type="dxa"/>
          </w:tcPr>
          <w:p>
            <w:pPr>
              <w:pStyle w:val="nTable"/>
              <w:spacing w:after="40"/>
            </w:pPr>
            <w:r>
              <w:t>27 Nov 1945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1902 Amendment Act 1945</w:t>
            </w:r>
          </w:p>
        </w:tc>
        <w:tc>
          <w:tcPr>
            <w:tcW w:w="1136" w:type="dxa"/>
            <w:gridSpan w:val="2"/>
          </w:tcPr>
          <w:p>
            <w:pPr>
              <w:pStyle w:val="nTable"/>
              <w:spacing w:after="40"/>
            </w:pPr>
            <w:r>
              <w:t>6 of 1945</w:t>
            </w:r>
            <w:r>
              <w:br/>
              <w:t>(9 Geo. VI No. 6) (as amended by No. 15 of 1952 s. 7(1))</w:t>
            </w:r>
          </w:p>
        </w:tc>
        <w:tc>
          <w:tcPr>
            <w:tcW w:w="1138" w:type="dxa"/>
            <w:gridSpan w:val="2"/>
          </w:tcPr>
          <w:p>
            <w:pPr>
              <w:pStyle w:val="nTable"/>
              <w:spacing w:after="40"/>
            </w:pPr>
            <w:r>
              <w:t>27 Nov 1945</w:t>
            </w:r>
          </w:p>
        </w:tc>
        <w:tc>
          <w:tcPr>
            <w:tcW w:w="2547" w:type="dxa"/>
          </w:tcPr>
          <w:p>
            <w:pPr>
              <w:pStyle w:val="nTable"/>
              <w:spacing w:after="40"/>
            </w:pPr>
            <w:r>
              <w:t>27 Nov 1945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lastRenderedPageBreak/>
              <w:t>Police Act Amendment Act 1952</w:t>
            </w:r>
          </w:p>
        </w:tc>
        <w:tc>
          <w:tcPr>
            <w:tcW w:w="1136" w:type="dxa"/>
            <w:gridSpan w:val="2"/>
          </w:tcPr>
          <w:p>
            <w:pPr>
              <w:pStyle w:val="nTable"/>
              <w:spacing w:after="40"/>
            </w:pPr>
            <w:r>
              <w:t>15 of 1952 (1 Eliz. II No. 15)</w:t>
            </w:r>
          </w:p>
        </w:tc>
        <w:tc>
          <w:tcPr>
            <w:tcW w:w="1138" w:type="dxa"/>
            <w:gridSpan w:val="2"/>
          </w:tcPr>
          <w:p>
            <w:pPr>
              <w:pStyle w:val="nTable"/>
              <w:spacing w:after="40"/>
            </w:pPr>
            <w:r>
              <w:t>7 Nov 1952</w:t>
            </w:r>
          </w:p>
        </w:tc>
        <w:tc>
          <w:tcPr>
            <w:tcW w:w="2547" w:type="dxa"/>
          </w:tcPr>
          <w:p>
            <w:pPr>
              <w:pStyle w:val="nTable"/>
              <w:spacing w:after="40"/>
            </w:pPr>
            <w:r>
              <w:t xml:space="preserve">19 Jun 1953 (see s. 2 and </w:t>
            </w:r>
            <w:r>
              <w:rPr>
                <w:i/>
              </w:rPr>
              <w:t>Gazette</w:t>
            </w:r>
            <w:r>
              <w:t xml:space="preserve"> 19 Jun 1953 p. 1225)</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23 Mar 1953 in Volume 6 of Reprinted Acts</w:t>
            </w:r>
            <w:r>
              <w:t xml:space="preserve"> (includes amendments listed above except those in the </w:t>
            </w:r>
            <w:r>
              <w:rPr>
                <w:i/>
              </w:rPr>
              <w:t>Police Act Amendment Act 1952</w:t>
            </w:r>
            <w:r>
              <w:t>)</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1953</w:t>
            </w:r>
          </w:p>
        </w:tc>
        <w:tc>
          <w:tcPr>
            <w:tcW w:w="1121" w:type="dxa"/>
            <w:gridSpan w:val="2"/>
          </w:tcPr>
          <w:p>
            <w:pPr>
              <w:pStyle w:val="nTable"/>
              <w:spacing w:after="40"/>
            </w:pPr>
            <w:r>
              <w:t>28 of 1953 (2 Eliz. II No. 28)</w:t>
            </w:r>
          </w:p>
        </w:tc>
        <w:tc>
          <w:tcPr>
            <w:tcW w:w="1127" w:type="dxa"/>
          </w:tcPr>
          <w:p>
            <w:pPr>
              <w:pStyle w:val="nTable"/>
              <w:spacing w:after="40"/>
            </w:pPr>
            <w:r>
              <w:t>18 Dec 1953</w:t>
            </w:r>
          </w:p>
        </w:tc>
        <w:tc>
          <w:tcPr>
            <w:tcW w:w="2547" w:type="dxa"/>
          </w:tcPr>
          <w:p>
            <w:pPr>
              <w:pStyle w:val="nTable"/>
              <w:spacing w:after="40"/>
            </w:pPr>
            <w:r>
              <w:t>1 Jan 1955 (see s. 2 and</w:t>
            </w:r>
            <w:r>
              <w:rPr>
                <w:i/>
              </w:rPr>
              <w:t> Gazette</w:t>
            </w:r>
            <w:r>
              <w:t xml:space="preserve"> 26 Feb 1954 p. 304)</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1954</w:t>
            </w:r>
          </w:p>
        </w:tc>
        <w:tc>
          <w:tcPr>
            <w:tcW w:w="1121" w:type="dxa"/>
            <w:gridSpan w:val="2"/>
          </w:tcPr>
          <w:p>
            <w:pPr>
              <w:pStyle w:val="nTable"/>
              <w:spacing w:after="40"/>
            </w:pPr>
            <w:r>
              <w:t>6 of 1954 (3 Eliz. II No. 6)</w:t>
            </w:r>
          </w:p>
        </w:tc>
        <w:tc>
          <w:tcPr>
            <w:tcW w:w="1127" w:type="dxa"/>
          </w:tcPr>
          <w:p>
            <w:pPr>
              <w:pStyle w:val="nTable"/>
              <w:spacing w:after="40"/>
            </w:pPr>
            <w:r>
              <w:t>25 Aug 1954</w:t>
            </w:r>
          </w:p>
        </w:tc>
        <w:tc>
          <w:tcPr>
            <w:tcW w:w="2547" w:type="dxa"/>
          </w:tcPr>
          <w:p>
            <w:pPr>
              <w:pStyle w:val="nTable"/>
              <w:spacing w:after="40"/>
            </w:pPr>
            <w:r>
              <w:t>25 Aug 1954</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(No. 2) 1954</w:t>
            </w:r>
          </w:p>
        </w:tc>
        <w:tc>
          <w:tcPr>
            <w:tcW w:w="1121" w:type="dxa"/>
            <w:gridSpan w:val="2"/>
          </w:tcPr>
          <w:p>
            <w:pPr>
              <w:pStyle w:val="nTable"/>
              <w:spacing w:after="40"/>
            </w:pPr>
            <w:r>
              <w:t>25 of 1954 (3 Eliz. II No. 25)</w:t>
            </w:r>
          </w:p>
        </w:tc>
        <w:tc>
          <w:tcPr>
            <w:tcW w:w="1127" w:type="dxa"/>
          </w:tcPr>
          <w:p>
            <w:pPr>
              <w:pStyle w:val="nTable"/>
              <w:spacing w:after="40"/>
            </w:pPr>
            <w:r>
              <w:t>20 Oct 1954</w:t>
            </w:r>
          </w:p>
        </w:tc>
        <w:tc>
          <w:tcPr>
            <w:tcW w:w="2547" w:type="dxa"/>
          </w:tcPr>
          <w:p>
            <w:pPr>
              <w:pStyle w:val="nTable"/>
              <w:spacing w:after="40"/>
            </w:pPr>
            <w:r>
              <w:t xml:space="preserve">18 Mar 1955 (see s. 2 and </w:t>
            </w:r>
            <w:r>
              <w:rPr>
                <w:i/>
              </w:rPr>
              <w:t xml:space="preserve">Gazette </w:t>
            </w:r>
            <w:r>
              <w:t>18 Mar 1955 p. 517)</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pPr>
            <w:r>
              <w:rPr>
                <w:i/>
              </w:rPr>
              <w:t xml:space="preserve">Betting Control Act 1954 </w:t>
            </w:r>
            <w:r>
              <w:t>s. 5</w:t>
            </w:r>
          </w:p>
        </w:tc>
        <w:tc>
          <w:tcPr>
            <w:tcW w:w="1121" w:type="dxa"/>
            <w:gridSpan w:val="2"/>
          </w:tcPr>
          <w:p>
            <w:pPr>
              <w:pStyle w:val="nTable"/>
              <w:spacing w:after="40"/>
            </w:pPr>
            <w:r>
              <w:t>63 of 1954 (3 Eliz. II No. 63)</w:t>
            </w:r>
          </w:p>
        </w:tc>
        <w:tc>
          <w:tcPr>
            <w:tcW w:w="1127" w:type="dxa"/>
          </w:tcPr>
          <w:p>
            <w:pPr>
              <w:pStyle w:val="nTable"/>
              <w:spacing w:after="40"/>
            </w:pPr>
            <w:r>
              <w:t>30 Dec 1954</w:t>
            </w:r>
          </w:p>
        </w:tc>
        <w:tc>
          <w:tcPr>
            <w:tcW w:w="2547" w:type="dxa"/>
          </w:tcPr>
          <w:p>
            <w:pPr>
              <w:pStyle w:val="nTable"/>
              <w:spacing w:after="40"/>
            </w:pPr>
            <w:r>
              <w:t xml:space="preserve">1 Aug 1955 (see s. 2(1) and </w:t>
            </w:r>
            <w:r>
              <w:rPr>
                <w:i/>
              </w:rPr>
              <w:t xml:space="preserve">Gazette </w:t>
            </w:r>
            <w:r>
              <w:t>29 Jul 1955 p. 1767)</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1955</w:t>
            </w:r>
          </w:p>
        </w:tc>
        <w:tc>
          <w:tcPr>
            <w:tcW w:w="1121" w:type="dxa"/>
            <w:gridSpan w:val="2"/>
          </w:tcPr>
          <w:p>
            <w:pPr>
              <w:pStyle w:val="nTable"/>
              <w:spacing w:after="40"/>
            </w:pPr>
            <w:r>
              <w:t>8 of 1955 (4 Eliz. II No. 8)</w:t>
            </w:r>
          </w:p>
        </w:tc>
        <w:tc>
          <w:tcPr>
            <w:tcW w:w="1127" w:type="dxa"/>
          </w:tcPr>
          <w:p>
            <w:pPr>
              <w:pStyle w:val="nTable"/>
              <w:spacing w:after="40"/>
            </w:pPr>
            <w:r>
              <w:t>19 Oct 1955</w:t>
            </w:r>
          </w:p>
        </w:tc>
        <w:tc>
          <w:tcPr>
            <w:tcW w:w="2547" w:type="dxa"/>
          </w:tcPr>
          <w:p>
            <w:pPr>
              <w:pStyle w:val="nTable"/>
              <w:spacing w:after="40"/>
            </w:pPr>
            <w:r>
              <w:t>19 Oct 1955</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1956</w:t>
            </w:r>
          </w:p>
        </w:tc>
        <w:tc>
          <w:tcPr>
            <w:tcW w:w="1121" w:type="dxa"/>
            <w:gridSpan w:val="2"/>
          </w:tcPr>
          <w:p>
            <w:pPr>
              <w:pStyle w:val="nTable"/>
              <w:spacing w:after="40"/>
            </w:pPr>
            <w:r>
              <w:t>20 of 1956 (5 Eliz. II No. 20)</w:t>
            </w:r>
          </w:p>
        </w:tc>
        <w:tc>
          <w:tcPr>
            <w:tcW w:w="1127" w:type="dxa"/>
          </w:tcPr>
          <w:p>
            <w:pPr>
              <w:pStyle w:val="nTable"/>
              <w:spacing w:after="40"/>
            </w:pPr>
            <w:r>
              <w:t>19 Nov 1956</w:t>
            </w:r>
          </w:p>
        </w:tc>
        <w:tc>
          <w:tcPr>
            <w:tcW w:w="2547" w:type="dxa"/>
          </w:tcPr>
          <w:p>
            <w:pPr>
              <w:pStyle w:val="nTable"/>
              <w:spacing w:after="40"/>
            </w:pPr>
            <w:r>
              <w:t>19 Nov 1956</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Licensing (Police Force Canteen) Act 1958 </w:t>
            </w:r>
            <w:r>
              <w:t>Pt. III</w:t>
            </w:r>
          </w:p>
        </w:tc>
        <w:tc>
          <w:tcPr>
            <w:tcW w:w="1121" w:type="dxa"/>
            <w:gridSpan w:val="2"/>
          </w:tcPr>
          <w:p>
            <w:pPr>
              <w:pStyle w:val="nTable"/>
              <w:spacing w:after="40"/>
            </w:pPr>
            <w:r>
              <w:t>40 of 1958 (7 Eliz. II No. 40)</w:t>
            </w:r>
          </w:p>
        </w:tc>
        <w:tc>
          <w:tcPr>
            <w:tcW w:w="1127" w:type="dxa"/>
          </w:tcPr>
          <w:p>
            <w:pPr>
              <w:pStyle w:val="nTable"/>
              <w:spacing w:after="40"/>
            </w:pPr>
            <w:r>
              <w:t>11 Dec 1958</w:t>
            </w:r>
          </w:p>
        </w:tc>
        <w:tc>
          <w:tcPr>
            <w:tcW w:w="2547" w:type="dxa"/>
          </w:tcPr>
          <w:p>
            <w:pPr>
              <w:pStyle w:val="nTable"/>
              <w:spacing w:after="40"/>
            </w:pPr>
            <w:r>
              <w:t xml:space="preserve">18 Jul 1959 (see s. 2 and </w:t>
            </w:r>
            <w:r>
              <w:rPr>
                <w:i/>
              </w:rPr>
              <w:t xml:space="preserve">Gazette </w:t>
            </w:r>
            <w:r>
              <w:t>10 Jul 1959 p. 1829)</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1959</w:t>
            </w:r>
          </w:p>
        </w:tc>
        <w:tc>
          <w:tcPr>
            <w:tcW w:w="1121" w:type="dxa"/>
            <w:gridSpan w:val="2"/>
          </w:tcPr>
          <w:p>
            <w:pPr>
              <w:pStyle w:val="nTable"/>
              <w:spacing w:after="40"/>
            </w:pPr>
            <w:r>
              <w:t>10 of 1959 (8 Eliz. II No. 10)</w:t>
            </w:r>
          </w:p>
        </w:tc>
        <w:tc>
          <w:tcPr>
            <w:tcW w:w="1127" w:type="dxa"/>
          </w:tcPr>
          <w:p>
            <w:pPr>
              <w:pStyle w:val="nTable"/>
              <w:spacing w:after="40"/>
            </w:pPr>
            <w:r>
              <w:t>25 Sep 1959</w:t>
            </w:r>
          </w:p>
        </w:tc>
        <w:tc>
          <w:tcPr>
            <w:tcW w:w="2547" w:type="dxa"/>
          </w:tcPr>
          <w:p>
            <w:pPr>
              <w:pStyle w:val="nTable"/>
              <w:spacing w:after="40"/>
            </w:pPr>
            <w:r>
              <w:t>25 Sep 1959</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keepNext/>
              <w:spacing w:after="40"/>
              <w:ind w:right="170"/>
            </w:pPr>
            <w:r>
              <w:rPr>
                <w:i/>
              </w:rPr>
              <w:t xml:space="preserve">Totalisator Agency Board Betting Act 1960 </w:t>
            </w:r>
            <w:r>
              <w:t>s. 20</w:t>
            </w:r>
          </w:p>
        </w:tc>
        <w:tc>
          <w:tcPr>
            <w:tcW w:w="1121" w:type="dxa"/>
            <w:gridSpan w:val="2"/>
          </w:tcPr>
          <w:p>
            <w:pPr>
              <w:pStyle w:val="nTable"/>
              <w:keepNext/>
              <w:spacing w:after="40"/>
            </w:pPr>
            <w:r>
              <w:t>50 of 1960 (9 Eliz. II No. 50)</w:t>
            </w:r>
          </w:p>
        </w:tc>
        <w:tc>
          <w:tcPr>
            <w:tcW w:w="1127" w:type="dxa"/>
          </w:tcPr>
          <w:p>
            <w:pPr>
              <w:pStyle w:val="nTable"/>
              <w:keepNext/>
              <w:spacing w:after="40"/>
            </w:pPr>
            <w:r>
              <w:t>28 Nov 1960</w:t>
            </w:r>
          </w:p>
        </w:tc>
        <w:tc>
          <w:tcPr>
            <w:tcW w:w="2547" w:type="dxa"/>
          </w:tcPr>
          <w:p>
            <w:pPr>
              <w:pStyle w:val="nTable"/>
              <w:keepNext/>
              <w:spacing w:after="40"/>
            </w:pPr>
            <w:r>
              <w:t xml:space="preserve">31 Dec 1960 (see s. 2 and </w:t>
            </w:r>
            <w:r>
              <w:rPr>
                <w:i/>
              </w:rPr>
              <w:t xml:space="preserve">Gazette </w:t>
            </w:r>
            <w:r>
              <w:t>23 Dec 1960 p. 4073)</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1961</w:t>
            </w:r>
          </w:p>
        </w:tc>
        <w:tc>
          <w:tcPr>
            <w:tcW w:w="1121" w:type="dxa"/>
            <w:gridSpan w:val="2"/>
          </w:tcPr>
          <w:p>
            <w:pPr>
              <w:pStyle w:val="nTable"/>
              <w:spacing w:after="40"/>
            </w:pPr>
            <w:r>
              <w:t>71 of 1961 (10 Eliz. II No. 71)</w:t>
            </w:r>
          </w:p>
        </w:tc>
        <w:tc>
          <w:tcPr>
            <w:tcW w:w="1127" w:type="dxa"/>
          </w:tcPr>
          <w:p>
            <w:pPr>
              <w:pStyle w:val="nTable"/>
              <w:spacing w:after="40"/>
            </w:pPr>
            <w:r>
              <w:t>28 Nov 1961</w:t>
            </w:r>
          </w:p>
        </w:tc>
        <w:tc>
          <w:tcPr>
            <w:tcW w:w="2547" w:type="dxa"/>
          </w:tcPr>
          <w:p>
            <w:pPr>
              <w:pStyle w:val="nTable"/>
              <w:spacing w:after="40"/>
            </w:pPr>
            <w:r>
              <w:t>28 Nov 1961</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26 Jun 1962 (not in a Volume)</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1962</w:t>
            </w:r>
          </w:p>
        </w:tc>
        <w:tc>
          <w:tcPr>
            <w:tcW w:w="1136" w:type="dxa"/>
            <w:gridSpan w:val="2"/>
          </w:tcPr>
          <w:p>
            <w:pPr>
              <w:pStyle w:val="nTable"/>
              <w:spacing w:after="40"/>
            </w:pPr>
            <w:r>
              <w:t>29 of 1962 (11 Eliz. II No. 29)</w:t>
            </w:r>
          </w:p>
        </w:tc>
        <w:tc>
          <w:tcPr>
            <w:tcW w:w="1138" w:type="dxa"/>
            <w:gridSpan w:val="2"/>
          </w:tcPr>
          <w:p>
            <w:pPr>
              <w:pStyle w:val="nTable"/>
              <w:spacing w:after="40"/>
            </w:pPr>
            <w:r>
              <w:t>4 Oct 1962</w:t>
            </w:r>
          </w:p>
        </w:tc>
        <w:tc>
          <w:tcPr>
            <w:tcW w:w="2547" w:type="dxa"/>
          </w:tcPr>
          <w:p>
            <w:pPr>
              <w:pStyle w:val="nTable"/>
              <w:spacing w:after="40"/>
            </w:pPr>
            <w:r>
              <w:t>4 Oct 1962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lastRenderedPageBreak/>
              <w:t>Police Act Amendment Act 1963</w:t>
            </w:r>
          </w:p>
        </w:tc>
        <w:tc>
          <w:tcPr>
            <w:tcW w:w="1136" w:type="dxa"/>
            <w:gridSpan w:val="2"/>
          </w:tcPr>
          <w:p>
            <w:pPr>
              <w:pStyle w:val="nTable"/>
              <w:spacing w:after="40"/>
            </w:pPr>
            <w:r>
              <w:t>42 of 1963 (12 Eliz. II No. 42)</w:t>
            </w:r>
          </w:p>
        </w:tc>
        <w:tc>
          <w:tcPr>
            <w:tcW w:w="1138" w:type="dxa"/>
            <w:gridSpan w:val="2"/>
          </w:tcPr>
          <w:p>
            <w:pPr>
              <w:pStyle w:val="nTable"/>
              <w:spacing w:after="40"/>
            </w:pPr>
            <w:r>
              <w:t>25 Nov 1963</w:t>
            </w:r>
          </w:p>
        </w:tc>
        <w:tc>
          <w:tcPr>
            <w:tcW w:w="2547" w:type="dxa"/>
          </w:tcPr>
          <w:p>
            <w:pPr>
              <w:pStyle w:val="nTable"/>
              <w:spacing w:after="40"/>
            </w:pPr>
            <w:r>
              <w:t>25 Nov 1963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Factories and Shops Act 1963 </w:t>
            </w:r>
            <w:r>
              <w:t>s. 4</w:t>
            </w:r>
          </w:p>
        </w:tc>
        <w:tc>
          <w:tcPr>
            <w:tcW w:w="1136" w:type="dxa"/>
            <w:gridSpan w:val="2"/>
          </w:tcPr>
          <w:p>
            <w:pPr>
              <w:pStyle w:val="nTable"/>
              <w:spacing w:after="40"/>
            </w:pPr>
            <w:r>
              <w:t>44 of 1963 (12 Eliz. II No. 44)</w:t>
            </w:r>
          </w:p>
        </w:tc>
        <w:tc>
          <w:tcPr>
            <w:tcW w:w="1138" w:type="dxa"/>
            <w:gridSpan w:val="2"/>
          </w:tcPr>
          <w:p>
            <w:pPr>
              <w:pStyle w:val="nTable"/>
              <w:spacing w:after="40"/>
            </w:pPr>
            <w:r>
              <w:t>3 Dec 1963</w:t>
            </w:r>
          </w:p>
        </w:tc>
        <w:tc>
          <w:tcPr>
            <w:tcW w:w="2547" w:type="dxa"/>
          </w:tcPr>
          <w:p>
            <w:pPr>
              <w:pStyle w:val="nTable"/>
              <w:spacing w:after="40"/>
            </w:pPr>
            <w:r>
              <w:t>1 Jan 1964 (see s. 2 and </w:t>
            </w:r>
            <w:r>
              <w:rPr>
                <w:i/>
              </w:rPr>
              <w:t xml:space="preserve">Gazette </w:t>
            </w:r>
            <w:r>
              <w:t>13 Dec 1963 p. 3836)</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1964</w:t>
            </w:r>
          </w:p>
        </w:tc>
        <w:tc>
          <w:tcPr>
            <w:tcW w:w="1136" w:type="dxa"/>
            <w:gridSpan w:val="2"/>
          </w:tcPr>
          <w:p>
            <w:pPr>
              <w:pStyle w:val="nTable"/>
              <w:spacing w:after="40"/>
            </w:pPr>
            <w:r>
              <w:t>28 of 1964 (13 Eliz. II No. 28)</w:t>
            </w:r>
          </w:p>
        </w:tc>
        <w:tc>
          <w:tcPr>
            <w:tcW w:w="1138" w:type="dxa"/>
            <w:gridSpan w:val="2"/>
          </w:tcPr>
          <w:p>
            <w:pPr>
              <w:pStyle w:val="nTable"/>
              <w:spacing w:after="40"/>
            </w:pPr>
            <w:r>
              <w:t>4 Nov 1964</w:t>
            </w:r>
          </w:p>
        </w:tc>
        <w:tc>
          <w:tcPr>
            <w:tcW w:w="2547" w:type="dxa"/>
          </w:tcPr>
          <w:p>
            <w:pPr>
              <w:pStyle w:val="nTable"/>
              <w:spacing w:after="40"/>
            </w:pPr>
            <w:r>
              <w:t>4 Nov 1964</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(No. 2) 1964</w:t>
            </w:r>
          </w:p>
        </w:tc>
        <w:tc>
          <w:tcPr>
            <w:tcW w:w="1136" w:type="dxa"/>
            <w:gridSpan w:val="2"/>
          </w:tcPr>
          <w:p>
            <w:pPr>
              <w:pStyle w:val="nTable"/>
              <w:spacing w:after="40"/>
            </w:pPr>
            <w:r>
              <w:t>71 of 1964 (13 Eliz. II No. 71)</w:t>
            </w:r>
          </w:p>
        </w:tc>
        <w:tc>
          <w:tcPr>
            <w:tcW w:w="1138" w:type="dxa"/>
            <w:gridSpan w:val="2"/>
          </w:tcPr>
          <w:p>
            <w:pPr>
              <w:pStyle w:val="nTable"/>
              <w:spacing w:after="40"/>
            </w:pPr>
            <w:r>
              <w:t>11 Dec 1964</w:t>
            </w:r>
          </w:p>
        </w:tc>
        <w:tc>
          <w:tcPr>
            <w:tcW w:w="2547" w:type="dxa"/>
          </w:tcPr>
          <w:p>
            <w:pPr>
              <w:pStyle w:val="nTable"/>
              <w:spacing w:after="40"/>
            </w:pPr>
            <w:r>
              <w:t>1 Jul 1965 (see s. 2 and </w:t>
            </w:r>
            <w:r>
              <w:rPr>
                <w:i/>
              </w:rPr>
              <w:t xml:space="preserve">Gazette </w:t>
            </w:r>
            <w:r>
              <w:t>29 Jun 1965 p. 1933)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1965</w:t>
            </w:r>
          </w:p>
        </w:tc>
        <w:tc>
          <w:tcPr>
            <w:tcW w:w="1136" w:type="dxa"/>
            <w:gridSpan w:val="2"/>
          </w:tcPr>
          <w:p>
            <w:pPr>
              <w:pStyle w:val="nTable"/>
              <w:spacing w:after="40"/>
            </w:pPr>
            <w:r>
              <w:t>22 of 1965</w:t>
            </w:r>
          </w:p>
        </w:tc>
        <w:tc>
          <w:tcPr>
            <w:tcW w:w="1138" w:type="dxa"/>
            <w:gridSpan w:val="2"/>
          </w:tcPr>
          <w:p>
            <w:pPr>
              <w:pStyle w:val="nTable"/>
              <w:spacing w:after="40"/>
            </w:pPr>
            <w:r>
              <w:t>1 Oct 1965</w:t>
            </w:r>
          </w:p>
        </w:tc>
        <w:tc>
          <w:tcPr>
            <w:tcW w:w="2547" w:type="dxa"/>
          </w:tcPr>
          <w:p>
            <w:pPr>
              <w:pStyle w:val="nTable"/>
              <w:spacing w:after="40"/>
            </w:pPr>
            <w:r>
              <w:t>1 Oct 1965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Decimal Currency Act 1965</w:t>
            </w:r>
          </w:p>
        </w:tc>
        <w:tc>
          <w:tcPr>
            <w:tcW w:w="1136" w:type="dxa"/>
            <w:gridSpan w:val="2"/>
          </w:tcPr>
          <w:p>
            <w:pPr>
              <w:pStyle w:val="nTable"/>
              <w:spacing w:after="40"/>
            </w:pPr>
            <w:r>
              <w:t>113 of 1965</w:t>
            </w:r>
          </w:p>
        </w:tc>
        <w:tc>
          <w:tcPr>
            <w:tcW w:w="1138" w:type="dxa"/>
            <w:gridSpan w:val="2"/>
          </w:tcPr>
          <w:p>
            <w:pPr>
              <w:pStyle w:val="nTable"/>
              <w:spacing w:after="40"/>
            </w:pPr>
            <w:r>
              <w:t>21 Dec 1965</w:t>
            </w:r>
          </w:p>
        </w:tc>
        <w:tc>
          <w:tcPr>
            <w:tcW w:w="2547"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1967</w:t>
            </w:r>
          </w:p>
        </w:tc>
        <w:tc>
          <w:tcPr>
            <w:tcW w:w="1136" w:type="dxa"/>
            <w:gridSpan w:val="2"/>
          </w:tcPr>
          <w:p>
            <w:pPr>
              <w:pStyle w:val="nTable"/>
              <w:spacing w:after="40"/>
            </w:pPr>
            <w:r>
              <w:t>7 of 1967</w:t>
            </w:r>
          </w:p>
        </w:tc>
        <w:tc>
          <w:tcPr>
            <w:tcW w:w="1138" w:type="dxa"/>
            <w:gridSpan w:val="2"/>
          </w:tcPr>
          <w:p>
            <w:pPr>
              <w:pStyle w:val="nTable"/>
              <w:spacing w:after="40"/>
            </w:pPr>
            <w:r>
              <w:t>5 Oct 1967</w:t>
            </w:r>
          </w:p>
        </w:tc>
        <w:tc>
          <w:tcPr>
            <w:tcW w:w="2547" w:type="dxa"/>
          </w:tcPr>
          <w:p>
            <w:pPr>
              <w:pStyle w:val="nTable"/>
              <w:spacing w:after="40"/>
            </w:pPr>
            <w:r>
              <w:t>5 Oct 1967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(No. 2) 1967</w:t>
            </w:r>
          </w:p>
        </w:tc>
        <w:tc>
          <w:tcPr>
            <w:tcW w:w="1136" w:type="dxa"/>
            <w:gridSpan w:val="2"/>
          </w:tcPr>
          <w:p>
            <w:pPr>
              <w:pStyle w:val="nTable"/>
              <w:spacing w:after="40"/>
            </w:pPr>
            <w:r>
              <w:t>52 of 1967</w:t>
            </w:r>
          </w:p>
        </w:tc>
        <w:tc>
          <w:tcPr>
            <w:tcW w:w="1138" w:type="dxa"/>
            <w:gridSpan w:val="2"/>
          </w:tcPr>
          <w:p>
            <w:pPr>
              <w:pStyle w:val="nTable"/>
              <w:spacing w:after="40"/>
            </w:pPr>
            <w:r>
              <w:t>5 Dec 1967</w:t>
            </w:r>
          </w:p>
        </w:tc>
        <w:tc>
          <w:tcPr>
            <w:tcW w:w="2547" w:type="dxa"/>
          </w:tcPr>
          <w:p>
            <w:pPr>
              <w:pStyle w:val="nTable"/>
              <w:spacing w:after="40"/>
            </w:pPr>
            <w:r>
              <w:t>5 Dec 1967</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15 Dec 1967 in Volume 21 of Reprinted Acts</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1968</w:t>
            </w:r>
          </w:p>
        </w:tc>
        <w:tc>
          <w:tcPr>
            <w:tcW w:w="1121" w:type="dxa"/>
            <w:gridSpan w:val="2"/>
          </w:tcPr>
          <w:p>
            <w:pPr>
              <w:pStyle w:val="nTable"/>
              <w:spacing w:after="40"/>
            </w:pPr>
            <w:r>
              <w:t>26 of 1968</w:t>
            </w:r>
          </w:p>
        </w:tc>
        <w:tc>
          <w:tcPr>
            <w:tcW w:w="1127" w:type="dxa"/>
          </w:tcPr>
          <w:p>
            <w:pPr>
              <w:pStyle w:val="nTable"/>
              <w:spacing w:after="40"/>
            </w:pPr>
            <w:r>
              <w:t>25 Oct 1968</w:t>
            </w:r>
          </w:p>
        </w:tc>
        <w:tc>
          <w:tcPr>
            <w:tcW w:w="2547" w:type="dxa"/>
          </w:tcPr>
          <w:p>
            <w:pPr>
              <w:pStyle w:val="nTable"/>
              <w:spacing w:after="40"/>
            </w:pPr>
            <w:r>
              <w:t>25 Oct 1968</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1969</w:t>
            </w:r>
          </w:p>
        </w:tc>
        <w:tc>
          <w:tcPr>
            <w:tcW w:w="1121" w:type="dxa"/>
            <w:gridSpan w:val="2"/>
          </w:tcPr>
          <w:p>
            <w:pPr>
              <w:pStyle w:val="nTable"/>
              <w:spacing w:after="40"/>
            </w:pPr>
            <w:r>
              <w:t>24 of 1969</w:t>
            </w:r>
          </w:p>
        </w:tc>
        <w:tc>
          <w:tcPr>
            <w:tcW w:w="1127" w:type="dxa"/>
          </w:tcPr>
          <w:p>
            <w:pPr>
              <w:pStyle w:val="nTable"/>
              <w:spacing w:after="40"/>
            </w:pPr>
            <w:r>
              <w:t>16 May 1969</w:t>
            </w:r>
          </w:p>
        </w:tc>
        <w:tc>
          <w:tcPr>
            <w:tcW w:w="2547" w:type="dxa"/>
          </w:tcPr>
          <w:p>
            <w:pPr>
              <w:pStyle w:val="nTable"/>
              <w:spacing w:after="40"/>
            </w:pPr>
            <w:r>
              <w:t>16 May 1969</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1970</w:t>
            </w:r>
          </w:p>
        </w:tc>
        <w:tc>
          <w:tcPr>
            <w:tcW w:w="1121" w:type="dxa"/>
            <w:gridSpan w:val="2"/>
          </w:tcPr>
          <w:p>
            <w:pPr>
              <w:pStyle w:val="nTable"/>
              <w:spacing w:after="40"/>
            </w:pPr>
            <w:r>
              <w:t>1 of 1970</w:t>
            </w:r>
          </w:p>
        </w:tc>
        <w:tc>
          <w:tcPr>
            <w:tcW w:w="1127" w:type="dxa"/>
          </w:tcPr>
          <w:p>
            <w:pPr>
              <w:pStyle w:val="nTable"/>
              <w:spacing w:after="40"/>
            </w:pPr>
            <w:r>
              <w:t>29 Apr 1970</w:t>
            </w:r>
          </w:p>
        </w:tc>
        <w:tc>
          <w:tcPr>
            <w:tcW w:w="2547" w:type="dxa"/>
          </w:tcPr>
          <w:p>
            <w:pPr>
              <w:pStyle w:val="nTable"/>
              <w:spacing w:after="40"/>
            </w:pPr>
            <w:r>
              <w:t>29 Apr 1970</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(No. 2) 1970</w:t>
            </w:r>
          </w:p>
        </w:tc>
        <w:tc>
          <w:tcPr>
            <w:tcW w:w="1121" w:type="dxa"/>
            <w:gridSpan w:val="2"/>
          </w:tcPr>
          <w:p>
            <w:pPr>
              <w:pStyle w:val="nTable"/>
              <w:spacing w:after="40"/>
            </w:pPr>
            <w:r>
              <w:t>85 of 1970</w:t>
            </w:r>
          </w:p>
        </w:tc>
        <w:tc>
          <w:tcPr>
            <w:tcW w:w="1127" w:type="dxa"/>
          </w:tcPr>
          <w:p>
            <w:pPr>
              <w:pStyle w:val="nTable"/>
              <w:spacing w:after="40"/>
            </w:pPr>
            <w:r>
              <w:t>30 Nov 1970</w:t>
            </w:r>
          </w:p>
        </w:tc>
        <w:tc>
          <w:tcPr>
            <w:tcW w:w="2547" w:type="dxa"/>
          </w:tcPr>
          <w:p>
            <w:pPr>
              <w:pStyle w:val="nTable"/>
              <w:spacing w:after="40"/>
            </w:pPr>
            <w:r>
              <w:t>1 Jul 1971 (see s. 2 and </w:t>
            </w:r>
            <w:r>
              <w:rPr>
                <w:i/>
              </w:rPr>
              <w:t xml:space="preserve">Gazette </w:t>
            </w:r>
            <w:r>
              <w:t>18 Jun 1971 p. 2147)</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1972</w:t>
            </w:r>
          </w:p>
        </w:tc>
        <w:tc>
          <w:tcPr>
            <w:tcW w:w="1121" w:type="dxa"/>
            <w:gridSpan w:val="2"/>
          </w:tcPr>
          <w:p>
            <w:pPr>
              <w:pStyle w:val="nTable"/>
              <w:spacing w:after="40"/>
            </w:pPr>
            <w:r>
              <w:t>7 of 1972</w:t>
            </w:r>
          </w:p>
        </w:tc>
        <w:tc>
          <w:tcPr>
            <w:tcW w:w="1127" w:type="dxa"/>
          </w:tcPr>
          <w:p>
            <w:pPr>
              <w:pStyle w:val="nTable"/>
              <w:spacing w:after="40"/>
            </w:pPr>
            <w:r>
              <w:t>25 May 1972</w:t>
            </w:r>
          </w:p>
        </w:tc>
        <w:tc>
          <w:tcPr>
            <w:tcW w:w="2547" w:type="dxa"/>
          </w:tcPr>
          <w:p>
            <w:pPr>
              <w:pStyle w:val="nTable"/>
              <w:spacing w:after="40"/>
            </w:pPr>
            <w:r>
              <w:t>25 May 1972</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7 Jun 1972 (not in a Volume)</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Metric Conversion Act 1972</w:t>
            </w:r>
          </w:p>
        </w:tc>
        <w:tc>
          <w:tcPr>
            <w:tcW w:w="1136" w:type="dxa"/>
            <w:gridSpan w:val="2"/>
          </w:tcPr>
          <w:p>
            <w:pPr>
              <w:pStyle w:val="nTable"/>
              <w:spacing w:after="40"/>
            </w:pPr>
            <w:r>
              <w:t>94 of 1972</w:t>
            </w:r>
            <w:r>
              <w:br/>
              <w:t>(as amended by No. 19 of 1973 s. 3)</w:t>
            </w:r>
          </w:p>
        </w:tc>
        <w:tc>
          <w:tcPr>
            <w:tcW w:w="1138" w:type="dxa"/>
            <w:gridSpan w:val="2"/>
          </w:tcPr>
          <w:p>
            <w:pPr>
              <w:pStyle w:val="nTable"/>
              <w:spacing w:after="40"/>
            </w:pPr>
            <w:r>
              <w:t>4 Dec 1972</w:t>
            </w:r>
          </w:p>
        </w:tc>
        <w:tc>
          <w:tcPr>
            <w:tcW w:w="2547" w:type="dxa"/>
          </w:tcPr>
          <w:p>
            <w:pPr>
              <w:pStyle w:val="nTable"/>
              <w:spacing w:after="40"/>
            </w:pPr>
            <w:r>
              <w:t>Relevant amendments (see First Sch.</w:t>
            </w:r>
            <w:r>
              <w:rPr>
                <w:vertAlign w:val="superscript"/>
              </w:rPr>
              <w:t> 4</w:t>
            </w:r>
            <w:r>
              <w:t xml:space="preserve">) took effect on 1 Jul 1973 (see s. 4(2) and </w:t>
            </w:r>
            <w:r>
              <w:rPr>
                <w:i/>
              </w:rPr>
              <w:t>Gazette</w:t>
            </w:r>
            <w:r>
              <w:t xml:space="preserve"> 18 May 1973 p. 1261)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lastRenderedPageBreak/>
              <w:t>Police Act Amendment Act 1974</w:t>
            </w:r>
          </w:p>
        </w:tc>
        <w:tc>
          <w:tcPr>
            <w:tcW w:w="1136" w:type="dxa"/>
            <w:gridSpan w:val="2"/>
          </w:tcPr>
          <w:p>
            <w:pPr>
              <w:pStyle w:val="nTable"/>
              <w:spacing w:after="40"/>
            </w:pPr>
            <w:r>
              <w:t>41 of 1974</w:t>
            </w:r>
          </w:p>
        </w:tc>
        <w:tc>
          <w:tcPr>
            <w:tcW w:w="1138" w:type="dxa"/>
            <w:gridSpan w:val="2"/>
          </w:tcPr>
          <w:p>
            <w:pPr>
              <w:pStyle w:val="nTable"/>
              <w:spacing w:after="40"/>
            </w:pPr>
            <w:r>
              <w:t>15 Nov 1974</w:t>
            </w:r>
          </w:p>
        </w:tc>
        <w:tc>
          <w:tcPr>
            <w:tcW w:w="2547" w:type="dxa"/>
          </w:tcPr>
          <w:p>
            <w:pPr>
              <w:pStyle w:val="nTable"/>
              <w:spacing w:after="40"/>
            </w:pPr>
            <w:r>
              <w:t>15 Nov 1974</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1975</w:t>
            </w:r>
          </w:p>
        </w:tc>
        <w:tc>
          <w:tcPr>
            <w:tcW w:w="1136" w:type="dxa"/>
            <w:gridSpan w:val="2"/>
          </w:tcPr>
          <w:p>
            <w:pPr>
              <w:pStyle w:val="nTable"/>
              <w:spacing w:after="40"/>
            </w:pPr>
            <w:r>
              <w:t>18 of 1975</w:t>
            </w:r>
          </w:p>
        </w:tc>
        <w:tc>
          <w:tcPr>
            <w:tcW w:w="1138" w:type="dxa"/>
            <w:gridSpan w:val="2"/>
          </w:tcPr>
          <w:p>
            <w:pPr>
              <w:pStyle w:val="nTable"/>
              <w:spacing w:after="40"/>
            </w:pPr>
            <w:r>
              <w:t>13 May 1975</w:t>
            </w:r>
          </w:p>
        </w:tc>
        <w:tc>
          <w:tcPr>
            <w:tcW w:w="2547" w:type="dxa"/>
          </w:tcPr>
          <w:p>
            <w:pPr>
              <w:pStyle w:val="nTable"/>
              <w:spacing w:after="40"/>
            </w:pPr>
            <w:r>
              <w:t>13 May 1975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(No. 2) 1975</w:t>
            </w:r>
          </w:p>
        </w:tc>
        <w:tc>
          <w:tcPr>
            <w:tcW w:w="1136" w:type="dxa"/>
            <w:gridSpan w:val="2"/>
          </w:tcPr>
          <w:p>
            <w:pPr>
              <w:pStyle w:val="nTable"/>
              <w:spacing w:after="40"/>
            </w:pPr>
            <w:r>
              <w:t>91 of 1975</w:t>
            </w:r>
          </w:p>
        </w:tc>
        <w:tc>
          <w:tcPr>
            <w:tcW w:w="1138" w:type="dxa"/>
            <w:gridSpan w:val="2"/>
          </w:tcPr>
          <w:p>
            <w:pPr>
              <w:pStyle w:val="nTable"/>
              <w:spacing w:after="40"/>
            </w:pPr>
            <w:r>
              <w:t>20 Nov 1975</w:t>
            </w:r>
          </w:p>
        </w:tc>
        <w:tc>
          <w:tcPr>
            <w:tcW w:w="2547" w:type="dxa"/>
          </w:tcPr>
          <w:p>
            <w:pPr>
              <w:pStyle w:val="nTable"/>
              <w:spacing w:after="40"/>
            </w:pPr>
            <w:r>
              <w:t xml:space="preserve">1 Mar 1976 (see s. 2 and </w:t>
            </w:r>
            <w:r>
              <w:rPr>
                <w:i/>
              </w:rPr>
              <w:t xml:space="preserve">Gazette </w:t>
            </w:r>
            <w:r>
              <w:t>23 Jan 1976 p. 111)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1976</w:t>
            </w:r>
          </w:p>
        </w:tc>
        <w:tc>
          <w:tcPr>
            <w:tcW w:w="1136" w:type="dxa"/>
            <w:gridSpan w:val="2"/>
          </w:tcPr>
          <w:p>
            <w:pPr>
              <w:pStyle w:val="nTable"/>
              <w:spacing w:after="40"/>
            </w:pPr>
            <w:r>
              <w:t>146 of 1976</w:t>
            </w:r>
          </w:p>
        </w:tc>
        <w:tc>
          <w:tcPr>
            <w:tcW w:w="1138" w:type="dxa"/>
            <w:gridSpan w:val="2"/>
          </w:tcPr>
          <w:p>
            <w:pPr>
              <w:pStyle w:val="nTable"/>
              <w:spacing w:after="40"/>
            </w:pPr>
            <w:r>
              <w:t>13 Dec 1976</w:t>
            </w:r>
          </w:p>
        </w:tc>
        <w:tc>
          <w:tcPr>
            <w:tcW w:w="2547" w:type="dxa"/>
          </w:tcPr>
          <w:p>
            <w:pPr>
              <w:pStyle w:val="nTable"/>
              <w:spacing w:after="40"/>
            </w:pPr>
            <w:r>
              <w:t>14 Jan 1977 (see s. 2 and</w:t>
            </w:r>
            <w:r>
              <w:rPr>
                <w:i/>
              </w:rPr>
              <w:t xml:space="preserve"> Gazette </w:t>
            </w:r>
            <w:r>
              <w:t>14 Jan 1977 p. 49)</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1977</w:t>
            </w:r>
          </w:p>
        </w:tc>
        <w:tc>
          <w:tcPr>
            <w:tcW w:w="1136" w:type="dxa"/>
            <w:gridSpan w:val="2"/>
          </w:tcPr>
          <w:p>
            <w:pPr>
              <w:pStyle w:val="nTable"/>
              <w:spacing w:after="40"/>
            </w:pPr>
            <w:r>
              <w:t>50 of 1977</w:t>
            </w:r>
          </w:p>
        </w:tc>
        <w:tc>
          <w:tcPr>
            <w:tcW w:w="1138" w:type="dxa"/>
            <w:gridSpan w:val="2"/>
          </w:tcPr>
          <w:p>
            <w:pPr>
              <w:pStyle w:val="nTable"/>
              <w:spacing w:after="40"/>
            </w:pPr>
            <w:r>
              <w:t>18 Nov 1977</w:t>
            </w:r>
          </w:p>
        </w:tc>
        <w:tc>
          <w:tcPr>
            <w:tcW w:w="2547" w:type="dxa"/>
          </w:tcPr>
          <w:p>
            <w:pPr>
              <w:pStyle w:val="nTable"/>
              <w:spacing w:after="40"/>
            </w:pPr>
            <w:r>
              <w:t>18 Nov 1977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1978</w:t>
            </w:r>
          </w:p>
        </w:tc>
        <w:tc>
          <w:tcPr>
            <w:tcW w:w="1136" w:type="dxa"/>
            <w:gridSpan w:val="2"/>
          </w:tcPr>
          <w:p>
            <w:pPr>
              <w:pStyle w:val="nTable"/>
              <w:spacing w:after="40"/>
            </w:pPr>
            <w:r>
              <w:t>6 of 1978</w:t>
            </w:r>
          </w:p>
        </w:tc>
        <w:tc>
          <w:tcPr>
            <w:tcW w:w="1138" w:type="dxa"/>
            <w:gridSpan w:val="2"/>
          </w:tcPr>
          <w:p>
            <w:pPr>
              <w:pStyle w:val="nTable"/>
              <w:spacing w:after="40"/>
            </w:pPr>
            <w:r>
              <w:t>11 May 1978</w:t>
            </w:r>
          </w:p>
        </w:tc>
        <w:tc>
          <w:tcPr>
            <w:tcW w:w="2547" w:type="dxa"/>
          </w:tcPr>
          <w:p>
            <w:pPr>
              <w:pStyle w:val="nTable"/>
              <w:spacing w:after="40"/>
            </w:pPr>
            <w:r>
              <w:t>11 May 1978</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11 Jul 1978 </w:t>
            </w:r>
            <w:r>
              <w:t>(includes amendments listed above)</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Sunday Entertainments Act 1979 </w:t>
            </w:r>
            <w:r>
              <w:t>s. 4</w:t>
            </w:r>
          </w:p>
        </w:tc>
        <w:tc>
          <w:tcPr>
            <w:tcW w:w="1121" w:type="dxa"/>
            <w:gridSpan w:val="2"/>
          </w:tcPr>
          <w:p>
            <w:pPr>
              <w:pStyle w:val="nTable"/>
              <w:spacing w:after="40"/>
            </w:pPr>
            <w:r>
              <w:t>17 of 1979</w:t>
            </w:r>
          </w:p>
        </w:tc>
        <w:tc>
          <w:tcPr>
            <w:tcW w:w="1127" w:type="dxa"/>
          </w:tcPr>
          <w:p>
            <w:pPr>
              <w:pStyle w:val="nTable"/>
              <w:spacing w:after="40"/>
            </w:pPr>
            <w:r>
              <w:t>30 Aug 1979</w:t>
            </w:r>
          </w:p>
        </w:tc>
        <w:tc>
          <w:tcPr>
            <w:tcW w:w="2547" w:type="dxa"/>
          </w:tcPr>
          <w:p>
            <w:pPr>
              <w:pStyle w:val="nTable"/>
              <w:spacing w:after="40"/>
            </w:pPr>
            <w:r>
              <w:t xml:space="preserve">8 Feb 1980 (see s. 1(2) and </w:t>
            </w:r>
            <w:r>
              <w:rPr>
                <w:i/>
              </w:rPr>
              <w:t xml:space="preserve">Gazette </w:t>
            </w:r>
            <w:r>
              <w:t>1 Feb 1980 p. 283)</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1979</w:t>
            </w:r>
          </w:p>
        </w:tc>
        <w:tc>
          <w:tcPr>
            <w:tcW w:w="1121" w:type="dxa"/>
            <w:gridSpan w:val="2"/>
          </w:tcPr>
          <w:p>
            <w:pPr>
              <w:pStyle w:val="nTable"/>
              <w:spacing w:after="40"/>
            </w:pPr>
            <w:r>
              <w:t>29 of 1979</w:t>
            </w:r>
          </w:p>
        </w:tc>
        <w:tc>
          <w:tcPr>
            <w:tcW w:w="1127" w:type="dxa"/>
          </w:tcPr>
          <w:p>
            <w:pPr>
              <w:pStyle w:val="nTable"/>
              <w:spacing w:after="40"/>
            </w:pPr>
            <w:r>
              <w:t>21 Sep 1979</w:t>
            </w:r>
          </w:p>
        </w:tc>
        <w:tc>
          <w:tcPr>
            <w:tcW w:w="2547" w:type="dxa"/>
          </w:tcPr>
          <w:p>
            <w:pPr>
              <w:pStyle w:val="nTable"/>
              <w:spacing w:after="40"/>
            </w:pPr>
            <w:r>
              <w:t>21 Sep 1979</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(No. 3) 1979</w:t>
            </w:r>
          </w:p>
        </w:tc>
        <w:tc>
          <w:tcPr>
            <w:tcW w:w="1121" w:type="dxa"/>
            <w:gridSpan w:val="2"/>
          </w:tcPr>
          <w:p>
            <w:pPr>
              <w:pStyle w:val="nTable"/>
              <w:spacing w:after="40"/>
            </w:pPr>
            <w:r>
              <w:t>83 of 1979</w:t>
            </w:r>
          </w:p>
        </w:tc>
        <w:tc>
          <w:tcPr>
            <w:tcW w:w="1127" w:type="dxa"/>
          </w:tcPr>
          <w:p>
            <w:pPr>
              <w:pStyle w:val="nTable"/>
              <w:spacing w:after="40"/>
            </w:pPr>
            <w:r>
              <w:t>11 Dec 1979</w:t>
            </w:r>
          </w:p>
        </w:tc>
        <w:tc>
          <w:tcPr>
            <w:tcW w:w="2547" w:type="dxa"/>
          </w:tcPr>
          <w:p>
            <w:pPr>
              <w:pStyle w:val="nTable"/>
              <w:spacing w:after="40"/>
            </w:pPr>
            <w:r>
              <w:t xml:space="preserve">15 Jul 1980 (see s. 2 and </w:t>
            </w:r>
            <w:r>
              <w:rPr>
                <w:i/>
              </w:rPr>
              <w:t xml:space="preserve">Gazette </w:t>
            </w:r>
            <w:r>
              <w:t>4 Jul 1980 p. 2114)</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Amendment Act 1980</w:t>
            </w:r>
          </w:p>
        </w:tc>
        <w:tc>
          <w:tcPr>
            <w:tcW w:w="1121" w:type="dxa"/>
            <w:gridSpan w:val="2"/>
          </w:tcPr>
          <w:p>
            <w:pPr>
              <w:pStyle w:val="nTable"/>
              <w:spacing w:after="40"/>
            </w:pPr>
            <w:r>
              <w:t>71 of 1980</w:t>
            </w:r>
          </w:p>
        </w:tc>
        <w:tc>
          <w:tcPr>
            <w:tcW w:w="1127" w:type="dxa"/>
          </w:tcPr>
          <w:p>
            <w:pPr>
              <w:pStyle w:val="nTable"/>
              <w:spacing w:after="40"/>
            </w:pPr>
            <w:r>
              <w:t>26 Nov 1980</w:t>
            </w:r>
          </w:p>
        </w:tc>
        <w:tc>
          <w:tcPr>
            <w:tcW w:w="2547" w:type="dxa"/>
          </w:tcPr>
          <w:p>
            <w:pPr>
              <w:pStyle w:val="nTable"/>
              <w:spacing w:after="40"/>
            </w:pPr>
            <w:r>
              <w:t>24 Dec 1980 (see s. 2)</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Act Amendment (Misuse of Drugs) Act 1981 </w:t>
            </w:r>
            <w:r>
              <w:t>Pt. V</w:t>
            </w:r>
          </w:p>
        </w:tc>
        <w:tc>
          <w:tcPr>
            <w:tcW w:w="1121" w:type="dxa"/>
            <w:gridSpan w:val="2"/>
          </w:tcPr>
          <w:p>
            <w:pPr>
              <w:pStyle w:val="nTable"/>
              <w:spacing w:after="40"/>
            </w:pPr>
            <w:r>
              <w:t>57 of 1981</w:t>
            </w:r>
            <w:r>
              <w:br/>
              <w:t>(as amended by No. 8 of 1982)</w:t>
            </w:r>
          </w:p>
        </w:tc>
        <w:tc>
          <w:tcPr>
            <w:tcW w:w="1127" w:type="dxa"/>
          </w:tcPr>
          <w:p>
            <w:pPr>
              <w:pStyle w:val="nTable"/>
              <w:spacing w:after="40"/>
            </w:pPr>
            <w:r>
              <w:t>13 Oct 1981</w:t>
            </w:r>
          </w:p>
        </w:tc>
        <w:tc>
          <w:tcPr>
            <w:tcW w:w="2547" w:type="dxa"/>
          </w:tcPr>
          <w:p>
            <w:pPr>
              <w:pStyle w:val="nTable"/>
              <w:spacing w:after="40"/>
            </w:pPr>
            <w:r>
              <w:t xml:space="preserve">1 Sep 1982 (see s. 2 and </w:t>
            </w:r>
            <w:r>
              <w:rPr>
                <w:i/>
              </w:rPr>
              <w:t>Gazette</w:t>
            </w:r>
            <w:r>
              <w:t xml:space="preserve"> 20 Aug 1982 p. 3250)</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Acts Amendment (Lotto) Act 1981 </w:t>
            </w:r>
            <w:r>
              <w:t>Pt. III</w:t>
            </w:r>
          </w:p>
        </w:tc>
        <w:tc>
          <w:tcPr>
            <w:tcW w:w="1121" w:type="dxa"/>
            <w:gridSpan w:val="2"/>
          </w:tcPr>
          <w:p>
            <w:pPr>
              <w:pStyle w:val="nTable"/>
              <w:spacing w:after="40"/>
            </w:pPr>
            <w:r>
              <w:t>103 of 1981</w:t>
            </w:r>
          </w:p>
        </w:tc>
        <w:tc>
          <w:tcPr>
            <w:tcW w:w="1127" w:type="dxa"/>
          </w:tcPr>
          <w:p>
            <w:pPr>
              <w:pStyle w:val="nTable"/>
              <w:spacing w:after="40"/>
            </w:pPr>
            <w:r>
              <w:t>2 Dec 1981</w:t>
            </w:r>
          </w:p>
        </w:tc>
        <w:tc>
          <w:tcPr>
            <w:tcW w:w="2547" w:type="dxa"/>
          </w:tcPr>
          <w:p>
            <w:pPr>
              <w:pStyle w:val="nTable"/>
              <w:spacing w:after="40"/>
            </w:pPr>
            <w:r>
              <w:t xml:space="preserve">18 Dec 1981 (see s. 2 and </w:t>
            </w:r>
            <w:r>
              <w:rPr>
                <w:i/>
              </w:rPr>
              <w:t xml:space="preserve">Gazette </w:t>
            </w:r>
            <w:r>
              <w:t>18 Dec 1981 p. 5163)</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Amendment Act 1981</w:t>
            </w:r>
          </w:p>
        </w:tc>
        <w:tc>
          <w:tcPr>
            <w:tcW w:w="1121" w:type="dxa"/>
            <w:gridSpan w:val="2"/>
          </w:tcPr>
          <w:p>
            <w:pPr>
              <w:pStyle w:val="nTable"/>
              <w:spacing w:after="40"/>
            </w:pPr>
            <w:r>
              <w:t>107 of 1981</w:t>
            </w:r>
          </w:p>
        </w:tc>
        <w:tc>
          <w:tcPr>
            <w:tcW w:w="1127" w:type="dxa"/>
          </w:tcPr>
          <w:p>
            <w:pPr>
              <w:pStyle w:val="nTable"/>
              <w:spacing w:after="40"/>
            </w:pPr>
            <w:r>
              <w:t>4 Dec 1981</w:t>
            </w:r>
          </w:p>
        </w:tc>
        <w:tc>
          <w:tcPr>
            <w:tcW w:w="2547" w:type="dxa"/>
          </w:tcPr>
          <w:p>
            <w:pPr>
              <w:pStyle w:val="nTable"/>
              <w:spacing w:after="40"/>
            </w:pPr>
            <w:r>
              <w:t>4 Dec 1981</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Acts Amendment (Bail) Act 1982 </w:t>
            </w:r>
            <w:r>
              <w:t>Pt. IV</w:t>
            </w:r>
          </w:p>
        </w:tc>
        <w:tc>
          <w:tcPr>
            <w:tcW w:w="1121" w:type="dxa"/>
            <w:gridSpan w:val="2"/>
          </w:tcPr>
          <w:p>
            <w:pPr>
              <w:pStyle w:val="nTable"/>
              <w:spacing w:after="40"/>
            </w:pPr>
            <w:r>
              <w:t>87 of 1982</w:t>
            </w:r>
          </w:p>
        </w:tc>
        <w:tc>
          <w:tcPr>
            <w:tcW w:w="1127" w:type="dxa"/>
          </w:tcPr>
          <w:p>
            <w:pPr>
              <w:pStyle w:val="nTable"/>
              <w:spacing w:after="40"/>
            </w:pPr>
            <w:r>
              <w:t>17 Nov 1982</w:t>
            </w:r>
          </w:p>
        </w:tc>
        <w:tc>
          <w:tcPr>
            <w:tcW w:w="2547" w:type="dxa"/>
          </w:tcPr>
          <w:p>
            <w:pPr>
              <w:pStyle w:val="nTable"/>
              <w:spacing w:after="40"/>
            </w:pPr>
            <w:r>
              <w:t xml:space="preserve">6 Feb 1989 (see s. 2 and </w:t>
            </w:r>
            <w:r>
              <w:rPr>
                <w:i/>
              </w:rPr>
              <w:t xml:space="preserve">Gazette </w:t>
            </w:r>
            <w:r>
              <w:t>27 Jan 1989 p. 263)</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Acts Amendment (Betting and Gaming) Act 1982 </w:t>
            </w:r>
            <w:r>
              <w:t>Pt. II</w:t>
            </w:r>
          </w:p>
        </w:tc>
        <w:tc>
          <w:tcPr>
            <w:tcW w:w="1121" w:type="dxa"/>
            <w:gridSpan w:val="2"/>
          </w:tcPr>
          <w:p>
            <w:pPr>
              <w:pStyle w:val="nTable"/>
              <w:spacing w:after="40"/>
            </w:pPr>
            <w:r>
              <w:t>108 of 1982</w:t>
            </w:r>
          </w:p>
        </w:tc>
        <w:tc>
          <w:tcPr>
            <w:tcW w:w="1127" w:type="dxa"/>
          </w:tcPr>
          <w:p>
            <w:pPr>
              <w:pStyle w:val="nTable"/>
              <w:spacing w:after="40"/>
            </w:pPr>
            <w:r>
              <w:t>7 Dec 1982</w:t>
            </w:r>
          </w:p>
        </w:tc>
        <w:tc>
          <w:tcPr>
            <w:tcW w:w="2547" w:type="dxa"/>
          </w:tcPr>
          <w:p>
            <w:pPr>
              <w:pStyle w:val="nTable"/>
              <w:spacing w:after="40"/>
            </w:pPr>
            <w:r>
              <w:t xml:space="preserve">31 Dec 1982 (see s. 2 and </w:t>
            </w:r>
            <w:r>
              <w:rPr>
                <w:i/>
              </w:rPr>
              <w:t xml:space="preserve">Gazette </w:t>
            </w:r>
            <w:r>
              <w:t>31 Dec 1982 p. 4968)</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18 Apr 1983 </w:t>
            </w:r>
            <w:r>
              <w:t xml:space="preserve">(includes amendments listed above except those in the </w:t>
            </w:r>
            <w:r>
              <w:rPr>
                <w:i/>
              </w:rPr>
              <w:t>Acts Amendment (Bail) Act 1982</w:t>
            </w:r>
            <w:r>
              <w:t>)</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lastRenderedPageBreak/>
              <w:t xml:space="preserve">Acts Amendment (Trade Promotion Lotteries) Act 1983 </w:t>
            </w:r>
            <w:r>
              <w:t>Pt. III</w:t>
            </w:r>
          </w:p>
        </w:tc>
        <w:tc>
          <w:tcPr>
            <w:tcW w:w="1136" w:type="dxa"/>
            <w:gridSpan w:val="2"/>
          </w:tcPr>
          <w:p>
            <w:pPr>
              <w:pStyle w:val="nTable"/>
              <w:spacing w:after="40"/>
            </w:pPr>
            <w:r>
              <w:t>21 of 1983</w:t>
            </w:r>
          </w:p>
        </w:tc>
        <w:tc>
          <w:tcPr>
            <w:tcW w:w="1138" w:type="dxa"/>
            <w:gridSpan w:val="2"/>
          </w:tcPr>
          <w:p>
            <w:pPr>
              <w:pStyle w:val="nTable"/>
              <w:spacing w:after="40"/>
            </w:pPr>
            <w:r>
              <w:t>22 Nov 1983</w:t>
            </w:r>
          </w:p>
        </w:tc>
        <w:tc>
          <w:tcPr>
            <w:tcW w:w="2547" w:type="dxa"/>
          </w:tcPr>
          <w:p>
            <w:pPr>
              <w:pStyle w:val="nTable"/>
              <w:spacing w:after="40"/>
            </w:pPr>
            <w:r>
              <w:t>22 Nov 1983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Amendment Act 1983</w:t>
            </w:r>
          </w:p>
        </w:tc>
        <w:tc>
          <w:tcPr>
            <w:tcW w:w="1136" w:type="dxa"/>
            <w:gridSpan w:val="2"/>
          </w:tcPr>
          <w:p>
            <w:pPr>
              <w:pStyle w:val="nTable"/>
              <w:spacing w:after="40"/>
            </w:pPr>
            <w:r>
              <w:t>30 of 1983</w:t>
            </w:r>
          </w:p>
        </w:tc>
        <w:tc>
          <w:tcPr>
            <w:tcW w:w="1138" w:type="dxa"/>
            <w:gridSpan w:val="2"/>
          </w:tcPr>
          <w:p>
            <w:pPr>
              <w:pStyle w:val="nTable"/>
              <w:spacing w:after="40"/>
            </w:pPr>
            <w:r>
              <w:t>1 Dec 1983</w:t>
            </w:r>
          </w:p>
        </w:tc>
        <w:tc>
          <w:tcPr>
            <w:tcW w:w="2547" w:type="dxa"/>
          </w:tcPr>
          <w:p>
            <w:pPr>
              <w:pStyle w:val="nTable"/>
              <w:spacing w:after="40"/>
            </w:pPr>
            <w:r>
              <w:t>29 Dec 1983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(Soccer Football Pools) Act 1984 </w:t>
            </w:r>
            <w:r>
              <w:t>Pt. II</w:t>
            </w:r>
          </w:p>
        </w:tc>
        <w:tc>
          <w:tcPr>
            <w:tcW w:w="1136" w:type="dxa"/>
            <w:gridSpan w:val="2"/>
          </w:tcPr>
          <w:p>
            <w:pPr>
              <w:pStyle w:val="nTable"/>
              <w:spacing w:after="40"/>
            </w:pPr>
            <w:r>
              <w:t>22 of 1984</w:t>
            </w:r>
          </w:p>
        </w:tc>
        <w:tc>
          <w:tcPr>
            <w:tcW w:w="1138" w:type="dxa"/>
            <w:gridSpan w:val="2"/>
          </w:tcPr>
          <w:p>
            <w:pPr>
              <w:pStyle w:val="nTable"/>
              <w:spacing w:after="40"/>
            </w:pPr>
            <w:r>
              <w:t>31 May 1984</w:t>
            </w:r>
          </w:p>
        </w:tc>
        <w:tc>
          <w:tcPr>
            <w:tcW w:w="2547" w:type="dxa"/>
          </w:tcPr>
          <w:p>
            <w:pPr>
              <w:pStyle w:val="nTable"/>
              <w:spacing w:after="40"/>
            </w:pPr>
            <w:r>
              <w:t xml:space="preserve">13 Jul 1984 (see s. 2 and </w:t>
            </w:r>
            <w:r>
              <w:rPr>
                <w:i/>
              </w:rPr>
              <w:t>Gazette</w:t>
            </w:r>
            <w:r>
              <w:t xml:space="preserve"> 6 Jul 1984 p. 2017)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Public Meetings and Processions Act 1984 </w:t>
            </w:r>
            <w:r>
              <w:t>s. 12</w:t>
            </w:r>
          </w:p>
        </w:tc>
        <w:tc>
          <w:tcPr>
            <w:tcW w:w="1136" w:type="dxa"/>
            <w:gridSpan w:val="2"/>
          </w:tcPr>
          <w:p>
            <w:pPr>
              <w:pStyle w:val="nTable"/>
              <w:keepNext/>
              <w:spacing w:after="40"/>
            </w:pPr>
            <w:r>
              <w:t>23 of 1984</w:t>
            </w:r>
          </w:p>
        </w:tc>
        <w:tc>
          <w:tcPr>
            <w:tcW w:w="1138" w:type="dxa"/>
            <w:gridSpan w:val="2"/>
          </w:tcPr>
          <w:p>
            <w:pPr>
              <w:pStyle w:val="nTable"/>
              <w:keepNext/>
              <w:spacing w:after="40"/>
            </w:pPr>
            <w:r>
              <w:t>31 May 1984</w:t>
            </w:r>
          </w:p>
        </w:tc>
        <w:tc>
          <w:tcPr>
            <w:tcW w:w="2547" w:type="dxa"/>
          </w:tcPr>
          <w:p>
            <w:pPr>
              <w:pStyle w:val="nTable"/>
              <w:keepNext/>
              <w:spacing w:after="40"/>
            </w:pPr>
            <w:r>
              <w:t xml:space="preserve">1 Dec 1984 (see s. 2 and </w:t>
            </w:r>
            <w:r>
              <w:rPr>
                <w:i/>
              </w:rPr>
              <w:t xml:space="preserve">Gazette </w:t>
            </w:r>
            <w:r>
              <w:t>30 Nov 1984 p. 3945)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and Validation (Casino Control) Act 1985 </w:t>
            </w:r>
            <w:r>
              <w:t>Pt. II</w:t>
            </w:r>
          </w:p>
        </w:tc>
        <w:tc>
          <w:tcPr>
            <w:tcW w:w="1136" w:type="dxa"/>
            <w:gridSpan w:val="2"/>
          </w:tcPr>
          <w:p>
            <w:pPr>
              <w:pStyle w:val="nTable"/>
              <w:spacing w:after="40"/>
            </w:pPr>
            <w:r>
              <w:t>10 of 1985</w:t>
            </w:r>
          </w:p>
        </w:tc>
        <w:tc>
          <w:tcPr>
            <w:tcW w:w="1138" w:type="dxa"/>
            <w:gridSpan w:val="2"/>
          </w:tcPr>
          <w:p>
            <w:pPr>
              <w:pStyle w:val="nTable"/>
              <w:spacing w:after="40"/>
            </w:pPr>
            <w:r>
              <w:t>25 Mar 1985</w:t>
            </w:r>
          </w:p>
        </w:tc>
        <w:tc>
          <w:tcPr>
            <w:tcW w:w="2547" w:type="dxa"/>
          </w:tcPr>
          <w:p>
            <w:pPr>
              <w:pStyle w:val="nTable"/>
              <w:spacing w:after="40"/>
            </w:pPr>
            <w:r>
              <w:t>19 Feb 1985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(Lotteries) Act 1985 </w:t>
            </w:r>
            <w:r>
              <w:t>Pt. IV</w:t>
            </w:r>
          </w:p>
        </w:tc>
        <w:tc>
          <w:tcPr>
            <w:tcW w:w="1136" w:type="dxa"/>
            <w:gridSpan w:val="2"/>
          </w:tcPr>
          <w:p>
            <w:pPr>
              <w:pStyle w:val="nTable"/>
              <w:spacing w:after="40"/>
            </w:pPr>
            <w:r>
              <w:t>19 of 1985</w:t>
            </w:r>
          </w:p>
        </w:tc>
        <w:tc>
          <w:tcPr>
            <w:tcW w:w="1138" w:type="dxa"/>
            <w:gridSpan w:val="2"/>
          </w:tcPr>
          <w:p>
            <w:pPr>
              <w:pStyle w:val="nTable"/>
              <w:spacing w:after="40"/>
            </w:pPr>
            <w:r>
              <w:t>19 Apr 1985</w:t>
            </w:r>
          </w:p>
        </w:tc>
        <w:tc>
          <w:tcPr>
            <w:tcW w:w="2547" w:type="dxa"/>
          </w:tcPr>
          <w:p>
            <w:pPr>
              <w:pStyle w:val="nTable"/>
              <w:spacing w:after="40"/>
            </w:pPr>
            <w:r>
              <w:t>19 Apr 1985 (see s. 2(1))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(Gaming and related provisions) Act 1985 </w:t>
            </w:r>
            <w:r>
              <w:t>Pt. IV</w:t>
            </w:r>
          </w:p>
        </w:tc>
        <w:tc>
          <w:tcPr>
            <w:tcW w:w="1136" w:type="dxa"/>
            <w:gridSpan w:val="2"/>
          </w:tcPr>
          <w:p>
            <w:pPr>
              <w:pStyle w:val="nTable"/>
              <w:spacing w:after="40"/>
            </w:pPr>
            <w:r>
              <w:t>29 of 1985</w:t>
            </w:r>
          </w:p>
        </w:tc>
        <w:tc>
          <w:tcPr>
            <w:tcW w:w="1138" w:type="dxa"/>
            <w:gridSpan w:val="2"/>
          </w:tcPr>
          <w:p>
            <w:pPr>
              <w:pStyle w:val="nTable"/>
              <w:spacing w:after="40"/>
            </w:pPr>
            <w:r>
              <w:t>24 Apr 1985</w:t>
            </w:r>
          </w:p>
        </w:tc>
        <w:tc>
          <w:tcPr>
            <w:tcW w:w="2547" w:type="dxa"/>
          </w:tcPr>
          <w:p>
            <w:pPr>
              <w:pStyle w:val="nTable"/>
              <w:spacing w:after="40"/>
            </w:pPr>
            <w:r>
              <w:t xml:space="preserve">1 Jun 1985 (see s. 2 and </w:t>
            </w:r>
            <w:r>
              <w:rPr>
                <w:i/>
              </w:rPr>
              <w:t xml:space="preserve">Gazette </w:t>
            </w:r>
            <w:r>
              <w:t>31 May 1985 p. 1877)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and Repeal (Gaming) Act 1987 </w:t>
            </w:r>
            <w:r>
              <w:t>Pt. VI</w:t>
            </w:r>
          </w:p>
        </w:tc>
        <w:tc>
          <w:tcPr>
            <w:tcW w:w="1136" w:type="dxa"/>
            <w:gridSpan w:val="2"/>
          </w:tcPr>
          <w:p>
            <w:pPr>
              <w:pStyle w:val="nTable"/>
              <w:spacing w:after="40"/>
            </w:pPr>
            <w:r>
              <w:t>74 of 1987</w:t>
            </w:r>
          </w:p>
        </w:tc>
        <w:tc>
          <w:tcPr>
            <w:tcW w:w="1138" w:type="dxa"/>
            <w:gridSpan w:val="2"/>
          </w:tcPr>
          <w:p>
            <w:pPr>
              <w:pStyle w:val="nTable"/>
              <w:spacing w:after="40"/>
            </w:pPr>
            <w:r>
              <w:t>26 Nov 1987</w:t>
            </w:r>
          </w:p>
        </w:tc>
        <w:tc>
          <w:tcPr>
            <w:tcW w:w="2547" w:type="dxa"/>
          </w:tcPr>
          <w:p>
            <w:pPr>
              <w:pStyle w:val="nTable"/>
              <w:spacing w:after="40"/>
            </w:pPr>
            <w:r>
              <w:t xml:space="preserve">2 May 1988 (see s. 2 and </w:t>
            </w:r>
            <w:r>
              <w:rPr>
                <w:i/>
              </w:rPr>
              <w:t xml:space="preserve">Gazette </w:t>
            </w:r>
            <w:r>
              <w:t>29 Apr 1988 p. 1292)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Acts Amendment (Events on Roads) Act 1988</w:t>
            </w:r>
            <w:r>
              <w:t xml:space="preserve"> Pt. 3</w:t>
            </w:r>
          </w:p>
        </w:tc>
        <w:tc>
          <w:tcPr>
            <w:tcW w:w="1136" w:type="dxa"/>
            <w:gridSpan w:val="2"/>
          </w:tcPr>
          <w:p>
            <w:pPr>
              <w:pStyle w:val="nTable"/>
              <w:spacing w:after="40"/>
            </w:pPr>
            <w:r>
              <w:t>64 of 1988</w:t>
            </w:r>
          </w:p>
        </w:tc>
        <w:tc>
          <w:tcPr>
            <w:tcW w:w="1138" w:type="dxa"/>
            <w:gridSpan w:val="2"/>
          </w:tcPr>
          <w:p>
            <w:pPr>
              <w:pStyle w:val="nTable"/>
              <w:spacing w:after="40"/>
            </w:pPr>
            <w:r>
              <w:t>8 Dec 1988</w:t>
            </w:r>
          </w:p>
        </w:tc>
        <w:tc>
          <w:tcPr>
            <w:tcW w:w="2547" w:type="dxa"/>
          </w:tcPr>
          <w:p>
            <w:pPr>
              <w:pStyle w:val="nTable"/>
              <w:spacing w:after="40"/>
            </w:pPr>
            <w:r>
              <w:t xml:space="preserve">1 Feb 1991 (see s. 2 and </w:t>
            </w:r>
            <w:r>
              <w:rPr>
                <w:i/>
              </w:rPr>
              <w:t>Gazette</w:t>
            </w:r>
            <w:r>
              <w:t xml:space="preserve"> 1 Feb 1991 p. 511)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(Detention of Drunken Persons) Act 1989 </w:t>
            </w:r>
            <w:r>
              <w:t>Pt. 2</w:t>
            </w:r>
          </w:p>
        </w:tc>
        <w:tc>
          <w:tcPr>
            <w:tcW w:w="1136" w:type="dxa"/>
            <w:gridSpan w:val="2"/>
          </w:tcPr>
          <w:p>
            <w:pPr>
              <w:pStyle w:val="nTable"/>
              <w:spacing w:after="40"/>
            </w:pPr>
            <w:r>
              <w:t>35 of 1989</w:t>
            </w:r>
          </w:p>
        </w:tc>
        <w:tc>
          <w:tcPr>
            <w:tcW w:w="1138" w:type="dxa"/>
            <w:gridSpan w:val="2"/>
          </w:tcPr>
          <w:p>
            <w:pPr>
              <w:pStyle w:val="nTable"/>
              <w:spacing w:after="40"/>
            </w:pPr>
            <w:r>
              <w:t>21 Dec 1989</w:t>
            </w:r>
          </w:p>
        </w:tc>
        <w:tc>
          <w:tcPr>
            <w:tcW w:w="2547" w:type="dxa"/>
          </w:tcPr>
          <w:p>
            <w:pPr>
              <w:pStyle w:val="nTable"/>
              <w:spacing w:after="40"/>
            </w:pPr>
            <w:r>
              <w:t xml:space="preserve">27 Apr 1990 (see s. 2 and </w:t>
            </w:r>
            <w:r>
              <w:rPr>
                <w:i/>
              </w:rPr>
              <w:t xml:space="preserve">Gazette </w:t>
            </w:r>
            <w:r>
              <w:t>27 Apr 1990 p. 2089)</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Lotteries Commission Act 1990 </w:t>
            </w:r>
            <w:r>
              <w:t>s. 33</w:t>
            </w:r>
          </w:p>
        </w:tc>
        <w:tc>
          <w:tcPr>
            <w:tcW w:w="1136" w:type="dxa"/>
            <w:gridSpan w:val="2"/>
          </w:tcPr>
          <w:p>
            <w:pPr>
              <w:pStyle w:val="nTable"/>
              <w:spacing w:after="40"/>
            </w:pPr>
            <w:r>
              <w:t>16 of 1990</w:t>
            </w:r>
          </w:p>
        </w:tc>
        <w:tc>
          <w:tcPr>
            <w:tcW w:w="1138" w:type="dxa"/>
            <w:gridSpan w:val="2"/>
          </w:tcPr>
          <w:p>
            <w:pPr>
              <w:pStyle w:val="nTable"/>
              <w:spacing w:after="40"/>
            </w:pPr>
            <w:r>
              <w:t>31 Jul 1990</w:t>
            </w:r>
          </w:p>
        </w:tc>
        <w:tc>
          <w:tcPr>
            <w:tcW w:w="2547" w:type="dxa"/>
          </w:tcPr>
          <w:p>
            <w:pPr>
              <w:pStyle w:val="nTable"/>
              <w:spacing w:after="40"/>
            </w:pPr>
            <w:r>
              <w:t xml:space="preserve">1 Jan 1991 (see s. 2 and </w:t>
            </w:r>
            <w:r>
              <w:rPr>
                <w:i/>
              </w:rPr>
              <w:t xml:space="preserve">Gazette </w:t>
            </w:r>
            <w:r>
              <w:t>28 Dec 1990 p. 6369)</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as at 24 Apr 1992 </w:t>
            </w:r>
            <w:r>
              <w:t>(includes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Criminal Law Amendment Act (No. 2) 1992 </w:t>
            </w:r>
            <w:r>
              <w:t>s. 16(1) and (3)</w:t>
            </w:r>
          </w:p>
        </w:tc>
        <w:tc>
          <w:tcPr>
            <w:tcW w:w="1136" w:type="dxa"/>
            <w:gridSpan w:val="2"/>
          </w:tcPr>
          <w:p>
            <w:pPr>
              <w:pStyle w:val="nTable"/>
              <w:spacing w:after="40"/>
            </w:pPr>
            <w:r>
              <w:t>51 of 1992</w:t>
            </w:r>
          </w:p>
        </w:tc>
        <w:tc>
          <w:tcPr>
            <w:tcW w:w="1138" w:type="dxa"/>
            <w:gridSpan w:val="2"/>
          </w:tcPr>
          <w:p>
            <w:pPr>
              <w:pStyle w:val="nTable"/>
              <w:spacing w:after="40"/>
            </w:pPr>
            <w:r>
              <w:t>9 Dec 1992</w:t>
            </w:r>
          </w:p>
        </w:tc>
        <w:tc>
          <w:tcPr>
            <w:tcW w:w="2547"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Amendment (Graffiti) Act 1994</w:t>
            </w:r>
          </w:p>
        </w:tc>
        <w:tc>
          <w:tcPr>
            <w:tcW w:w="1136" w:type="dxa"/>
            <w:gridSpan w:val="2"/>
          </w:tcPr>
          <w:p>
            <w:pPr>
              <w:pStyle w:val="nTable"/>
              <w:spacing w:after="40"/>
            </w:pPr>
            <w:r>
              <w:t>2 of 1994</w:t>
            </w:r>
          </w:p>
        </w:tc>
        <w:tc>
          <w:tcPr>
            <w:tcW w:w="1138" w:type="dxa"/>
            <w:gridSpan w:val="2"/>
          </w:tcPr>
          <w:p>
            <w:pPr>
              <w:pStyle w:val="nTable"/>
              <w:spacing w:after="40"/>
            </w:pPr>
            <w:r>
              <w:t>11 Apr 1994</w:t>
            </w:r>
          </w:p>
        </w:tc>
        <w:tc>
          <w:tcPr>
            <w:tcW w:w="2547" w:type="dxa"/>
          </w:tcPr>
          <w:p>
            <w:pPr>
              <w:pStyle w:val="nTable"/>
              <w:spacing w:after="40"/>
            </w:pPr>
            <w:r>
              <w:t>9 May 1994</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lastRenderedPageBreak/>
              <w:t xml:space="preserve">Statutes (Repeals and Minor Amendments) Act 1994 </w:t>
            </w:r>
            <w:r>
              <w:t>s. 4</w:t>
            </w:r>
          </w:p>
        </w:tc>
        <w:tc>
          <w:tcPr>
            <w:tcW w:w="1136" w:type="dxa"/>
            <w:gridSpan w:val="2"/>
          </w:tcPr>
          <w:p>
            <w:pPr>
              <w:pStyle w:val="nTable"/>
              <w:spacing w:after="40"/>
            </w:pPr>
            <w:r>
              <w:t>73 of 1994</w:t>
            </w:r>
          </w:p>
        </w:tc>
        <w:tc>
          <w:tcPr>
            <w:tcW w:w="1138" w:type="dxa"/>
            <w:gridSpan w:val="2"/>
          </w:tcPr>
          <w:p>
            <w:pPr>
              <w:pStyle w:val="nTable"/>
              <w:spacing w:after="40"/>
            </w:pPr>
            <w:r>
              <w:t>9 Dec 1994</w:t>
            </w:r>
          </w:p>
        </w:tc>
        <w:tc>
          <w:tcPr>
            <w:tcW w:w="2547"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(Fines, Penalties and Infringement Notices) Act 1994 </w:t>
            </w:r>
            <w:r>
              <w:t>Pt. 17</w:t>
            </w:r>
          </w:p>
        </w:tc>
        <w:tc>
          <w:tcPr>
            <w:tcW w:w="1136" w:type="dxa"/>
            <w:gridSpan w:val="2"/>
          </w:tcPr>
          <w:p>
            <w:pPr>
              <w:pStyle w:val="nTable"/>
              <w:spacing w:after="40"/>
            </w:pPr>
            <w:r>
              <w:t>92 of 1994</w:t>
            </w:r>
          </w:p>
        </w:tc>
        <w:tc>
          <w:tcPr>
            <w:tcW w:w="1138" w:type="dxa"/>
            <w:gridSpan w:val="2"/>
          </w:tcPr>
          <w:p>
            <w:pPr>
              <w:pStyle w:val="nTable"/>
              <w:spacing w:after="40"/>
            </w:pPr>
            <w:r>
              <w:t>23 Dec 1994</w:t>
            </w:r>
          </w:p>
        </w:tc>
        <w:tc>
          <w:tcPr>
            <w:tcW w:w="2547"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Hospitals Amendment Act 1994 </w:t>
            </w:r>
            <w:r>
              <w:t>s. 18</w:t>
            </w:r>
          </w:p>
        </w:tc>
        <w:tc>
          <w:tcPr>
            <w:tcW w:w="1136" w:type="dxa"/>
            <w:gridSpan w:val="2"/>
          </w:tcPr>
          <w:p>
            <w:pPr>
              <w:pStyle w:val="nTable"/>
              <w:spacing w:after="40"/>
            </w:pPr>
            <w:r>
              <w:t>103 of 1994</w:t>
            </w:r>
          </w:p>
        </w:tc>
        <w:tc>
          <w:tcPr>
            <w:tcW w:w="1138" w:type="dxa"/>
            <w:gridSpan w:val="2"/>
          </w:tcPr>
          <w:p>
            <w:pPr>
              <w:pStyle w:val="nTable"/>
              <w:spacing w:after="40"/>
            </w:pPr>
            <w:r>
              <w:t>11 Jan 1995</w:t>
            </w:r>
          </w:p>
        </w:tc>
        <w:tc>
          <w:tcPr>
            <w:tcW w:w="2547" w:type="dxa"/>
          </w:tcPr>
          <w:p>
            <w:pPr>
              <w:pStyle w:val="nTable"/>
              <w:spacing w:after="40"/>
            </w:pPr>
            <w:r>
              <w:t xml:space="preserve">3 Feb 1995 (see s. 2 and </w:t>
            </w:r>
            <w:r>
              <w:rPr>
                <w:i/>
              </w:rPr>
              <w:t xml:space="preserve">Gazette </w:t>
            </w:r>
            <w:r>
              <w:t>3 Feb 1995 p. 333)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Amendment Act 1995</w:t>
            </w:r>
          </w:p>
        </w:tc>
        <w:tc>
          <w:tcPr>
            <w:tcW w:w="1136" w:type="dxa"/>
            <w:gridSpan w:val="2"/>
          </w:tcPr>
          <w:p>
            <w:pPr>
              <w:pStyle w:val="nTable"/>
              <w:spacing w:after="40"/>
            </w:pPr>
            <w:r>
              <w:t>49 of 1995</w:t>
            </w:r>
          </w:p>
        </w:tc>
        <w:tc>
          <w:tcPr>
            <w:tcW w:w="1138" w:type="dxa"/>
            <w:gridSpan w:val="2"/>
          </w:tcPr>
          <w:p>
            <w:pPr>
              <w:pStyle w:val="nTable"/>
              <w:spacing w:after="40"/>
            </w:pPr>
            <w:r>
              <w:t>6 Nov 1995</w:t>
            </w:r>
          </w:p>
        </w:tc>
        <w:tc>
          <w:tcPr>
            <w:tcW w:w="2547" w:type="dxa"/>
          </w:tcPr>
          <w:p>
            <w:pPr>
              <w:pStyle w:val="nTable"/>
              <w:spacing w:after="40"/>
            </w:pPr>
            <w:r>
              <w:t>6 Nov 1995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Sentencing (Consequential Provisions) Act 1995 </w:t>
            </w:r>
            <w:r>
              <w:t>Pt. 65 and s. 147</w:t>
            </w:r>
          </w:p>
        </w:tc>
        <w:tc>
          <w:tcPr>
            <w:tcW w:w="1136" w:type="dxa"/>
            <w:gridSpan w:val="2"/>
          </w:tcPr>
          <w:p>
            <w:pPr>
              <w:pStyle w:val="nTable"/>
              <w:spacing w:after="40"/>
            </w:pPr>
            <w:r>
              <w:t>78 of 1995</w:t>
            </w:r>
          </w:p>
        </w:tc>
        <w:tc>
          <w:tcPr>
            <w:tcW w:w="1138" w:type="dxa"/>
            <w:gridSpan w:val="2"/>
          </w:tcPr>
          <w:p>
            <w:pPr>
              <w:pStyle w:val="nTable"/>
              <w:spacing w:after="40"/>
            </w:pPr>
            <w:r>
              <w:t>16 Jan 1996</w:t>
            </w:r>
          </w:p>
        </w:tc>
        <w:tc>
          <w:tcPr>
            <w:tcW w:w="2547" w:type="dxa"/>
          </w:tcPr>
          <w:p>
            <w:pPr>
              <w:pStyle w:val="nTable"/>
              <w:spacing w:after="40"/>
            </w:pPr>
            <w:r>
              <w:t xml:space="preserve">4 Nov 1996 (see s. 2 and </w:t>
            </w:r>
            <w:r>
              <w:rPr>
                <w:i/>
              </w:rPr>
              <w:t xml:space="preserve">Gazette </w:t>
            </w:r>
            <w:r>
              <w:t>25 Oct 1996 p. 5632)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Local Government  (Consequential Amendments) Act 1996 </w:t>
            </w:r>
            <w:r>
              <w:t>s. 4</w:t>
            </w:r>
          </w:p>
        </w:tc>
        <w:tc>
          <w:tcPr>
            <w:tcW w:w="1136" w:type="dxa"/>
            <w:gridSpan w:val="2"/>
          </w:tcPr>
          <w:p>
            <w:pPr>
              <w:pStyle w:val="nTable"/>
              <w:spacing w:after="40"/>
            </w:pPr>
            <w:r>
              <w:t>14 of 1996</w:t>
            </w:r>
          </w:p>
        </w:tc>
        <w:tc>
          <w:tcPr>
            <w:tcW w:w="1138" w:type="dxa"/>
            <w:gridSpan w:val="2"/>
          </w:tcPr>
          <w:p>
            <w:pPr>
              <w:pStyle w:val="nTable"/>
              <w:spacing w:after="40"/>
            </w:pPr>
            <w:r>
              <w:t>28 Jun 1996</w:t>
            </w:r>
          </w:p>
        </w:tc>
        <w:tc>
          <w:tcPr>
            <w:tcW w:w="2547" w:type="dxa"/>
          </w:tcPr>
          <w:p>
            <w:pPr>
              <w:pStyle w:val="nTable"/>
              <w:spacing w:after="40"/>
            </w:pPr>
            <w:r>
              <w:t>1 Jul 1996 (see s. 2(1))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Mental Health (Consequential Provisions) Act 1996</w:t>
            </w:r>
            <w:r>
              <w:t xml:space="preserve"> Pt. 15</w:t>
            </w:r>
          </w:p>
        </w:tc>
        <w:tc>
          <w:tcPr>
            <w:tcW w:w="1136" w:type="dxa"/>
            <w:gridSpan w:val="2"/>
          </w:tcPr>
          <w:p>
            <w:pPr>
              <w:pStyle w:val="nTable"/>
              <w:spacing w:after="40"/>
            </w:pPr>
            <w:r>
              <w:t>69 of 1996</w:t>
            </w:r>
          </w:p>
        </w:tc>
        <w:tc>
          <w:tcPr>
            <w:tcW w:w="1138" w:type="dxa"/>
            <w:gridSpan w:val="2"/>
          </w:tcPr>
          <w:p>
            <w:pPr>
              <w:pStyle w:val="nTable"/>
              <w:spacing w:after="40"/>
            </w:pPr>
            <w:r>
              <w:t>13 Nov 1996</w:t>
            </w:r>
          </w:p>
        </w:tc>
        <w:tc>
          <w:tcPr>
            <w:tcW w:w="2547"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as at 31 Jan 1997 </w:t>
            </w:r>
            <w:r>
              <w:t xml:space="preserve">(includes amendments listed above except those in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Sunday Observance Laws Amendment and Repeal Act 1997</w:t>
            </w:r>
            <w:r>
              <w:t xml:space="preserve"> s. 5</w:t>
            </w:r>
          </w:p>
        </w:tc>
        <w:tc>
          <w:tcPr>
            <w:tcW w:w="1147" w:type="dxa"/>
            <w:gridSpan w:val="3"/>
          </w:tcPr>
          <w:p>
            <w:pPr>
              <w:pStyle w:val="nTable"/>
              <w:spacing w:after="40"/>
            </w:pPr>
            <w:r>
              <w:t>49 of 1997</w:t>
            </w:r>
          </w:p>
        </w:tc>
        <w:tc>
          <w:tcPr>
            <w:tcW w:w="1127" w:type="dxa"/>
          </w:tcPr>
          <w:p>
            <w:pPr>
              <w:pStyle w:val="nTable"/>
              <w:spacing w:after="40"/>
            </w:pPr>
            <w:r>
              <w:t>10 Dec 1997</w:t>
            </w:r>
          </w:p>
        </w:tc>
        <w:tc>
          <w:tcPr>
            <w:tcW w:w="2547"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Statutes (Repeals and Minor Amendments) Act 1997</w:t>
            </w:r>
            <w:r>
              <w:t xml:space="preserve"> s. 96</w:t>
            </w:r>
          </w:p>
        </w:tc>
        <w:tc>
          <w:tcPr>
            <w:tcW w:w="1147" w:type="dxa"/>
            <w:gridSpan w:val="3"/>
          </w:tcPr>
          <w:p>
            <w:pPr>
              <w:pStyle w:val="nTable"/>
              <w:spacing w:after="40"/>
            </w:pPr>
            <w:r>
              <w:t>57 of 1997</w:t>
            </w:r>
          </w:p>
        </w:tc>
        <w:tc>
          <w:tcPr>
            <w:tcW w:w="1127" w:type="dxa"/>
          </w:tcPr>
          <w:p>
            <w:pPr>
              <w:pStyle w:val="nTable"/>
              <w:spacing w:after="40"/>
            </w:pPr>
            <w:r>
              <w:t>15 Dec 1997</w:t>
            </w:r>
          </w:p>
        </w:tc>
        <w:tc>
          <w:tcPr>
            <w:tcW w:w="2547"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Statutes (Repeals and Minor Amendments) Act (No. 2) 1998</w:t>
            </w:r>
            <w:r>
              <w:t xml:space="preserve"> s. 59</w:t>
            </w:r>
          </w:p>
        </w:tc>
        <w:tc>
          <w:tcPr>
            <w:tcW w:w="1147" w:type="dxa"/>
            <w:gridSpan w:val="3"/>
          </w:tcPr>
          <w:p>
            <w:pPr>
              <w:pStyle w:val="nTable"/>
              <w:keepLines/>
              <w:spacing w:after="40"/>
            </w:pPr>
            <w:r>
              <w:t>10 of 1998</w:t>
            </w:r>
          </w:p>
        </w:tc>
        <w:tc>
          <w:tcPr>
            <w:tcW w:w="1127" w:type="dxa"/>
          </w:tcPr>
          <w:p>
            <w:pPr>
              <w:pStyle w:val="nTable"/>
              <w:keepLines/>
              <w:spacing w:after="40"/>
            </w:pPr>
            <w:r>
              <w:t>30 Apr 1998</w:t>
            </w:r>
          </w:p>
        </w:tc>
        <w:tc>
          <w:tcPr>
            <w:tcW w:w="2547" w:type="dxa"/>
          </w:tcPr>
          <w:p>
            <w:pPr>
              <w:pStyle w:val="nTable"/>
              <w:keepLines/>
              <w:spacing w:after="40"/>
            </w:pPr>
            <w:r>
              <w:t>30 Apr 1998 (see s. 2(1))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Amendment Act 1998</w:t>
            </w:r>
            <w:r>
              <w:t xml:space="preserve"> Pt. 2</w:t>
            </w:r>
          </w:p>
        </w:tc>
        <w:tc>
          <w:tcPr>
            <w:tcW w:w="1147" w:type="dxa"/>
            <w:gridSpan w:val="3"/>
          </w:tcPr>
          <w:p>
            <w:pPr>
              <w:pStyle w:val="nTable"/>
              <w:keepLines/>
              <w:spacing w:after="40"/>
            </w:pPr>
            <w:r>
              <w:t>47 of 1998</w:t>
            </w:r>
          </w:p>
        </w:tc>
        <w:tc>
          <w:tcPr>
            <w:tcW w:w="1127" w:type="dxa"/>
          </w:tcPr>
          <w:p>
            <w:pPr>
              <w:pStyle w:val="nTable"/>
              <w:keepLines/>
              <w:spacing w:after="40"/>
            </w:pPr>
            <w:r>
              <w:t>19 Nov 1998</w:t>
            </w:r>
          </w:p>
        </w:tc>
        <w:tc>
          <w:tcPr>
            <w:tcW w:w="2547" w:type="dxa"/>
          </w:tcPr>
          <w:p>
            <w:pPr>
              <w:pStyle w:val="nTable"/>
              <w:keepLines/>
              <w:spacing w:after="40"/>
            </w:pPr>
            <w:r>
              <w:t xml:space="preserve">5 Dec 1998 (see s. 2 and </w:t>
            </w:r>
            <w:r>
              <w:rPr>
                <w:i/>
              </w:rPr>
              <w:t>Gazette</w:t>
            </w:r>
            <w:r>
              <w:t xml:space="preserve"> 4 Dec 1998 p. 6447)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Weapons Act 1999</w:t>
            </w:r>
            <w:r>
              <w:t xml:space="preserve"> s. 21</w:t>
            </w:r>
          </w:p>
        </w:tc>
        <w:tc>
          <w:tcPr>
            <w:tcW w:w="1147" w:type="dxa"/>
            <w:gridSpan w:val="3"/>
          </w:tcPr>
          <w:p>
            <w:pPr>
              <w:pStyle w:val="nTable"/>
              <w:keepLines/>
              <w:spacing w:after="40"/>
            </w:pPr>
            <w:r>
              <w:t>18 of 1999</w:t>
            </w:r>
          </w:p>
        </w:tc>
        <w:tc>
          <w:tcPr>
            <w:tcW w:w="1127" w:type="dxa"/>
          </w:tcPr>
          <w:p>
            <w:pPr>
              <w:pStyle w:val="nTable"/>
              <w:keepLines/>
              <w:spacing w:after="40"/>
            </w:pPr>
            <w:r>
              <w:t>16 Jun 1999</w:t>
            </w:r>
          </w:p>
        </w:tc>
        <w:tc>
          <w:tcPr>
            <w:tcW w:w="2547" w:type="dxa"/>
          </w:tcPr>
          <w:p>
            <w:pPr>
              <w:pStyle w:val="nTable"/>
              <w:keepLines/>
              <w:spacing w:after="40"/>
            </w:pPr>
            <w:r>
              <w:t>1 Mar 2000 (see s. 2(2))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(Police Immunity) Act 1999 </w:t>
            </w:r>
            <w:r>
              <w:t>Pt. 2</w:t>
            </w:r>
          </w:p>
        </w:tc>
        <w:tc>
          <w:tcPr>
            <w:tcW w:w="1147" w:type="dxa"/>
            <w:gridSpan w:val="3"/>
          </w:tcPr>
          <w:p>
            <w:pPr>
              <w:pStyle w:val="nTable"/>
              <w:keepLines/>
              <w:spacing w:after="40"/>
            </w:pPr>
            <w:r>
              <w:t>42 of 1999</w:t>
            </w:r>
          </w:p>
        </w:tc>
        <w:tc>
          <w:tcPr>
            <w:tcW w:w="1127" w:type="dxa"/>
          </w:tcPr>
          <w:p>
            <w:pPr>
              <w:pStyle w:val="nTable"/>
              <w:keepLines/>
              <w:spacing w:after="40"/>
            </w:pPr>
            <w:r>
              <w:t>25 Nov 1999</w:t>
            </w:r>
          </w:p>
        </w:tc>
        <w:tc>
          <w:tcPr>
            <w:tcW w:w="2547" w:type="dxa"/>
          </w:tcPr>
          <w:p>
            <w:pPr>
              <w:pStyle w:val="nTable"/>
              <w:keepLines/>
              <w:spacing w:after="40"/>
            </w:pPr>
            <w:r>
              <w:t>25 Nov 1999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lastRenderedPageBreak/>
              <w:t>Court Security and Custodial Services (Consequential Provisions) Act 1999</w:t>
            </w:r>
            <w:r>
              <w:t xml:space="preserve"> Pt. 9</w:t>
            </w:r>
          </w:p>
        </w:tc>
        <w:tc>
          <w:tcPr>
            <w:tcW w:w="1147" w:type="dxa"/>
            <w:gridSpan w:val="3"/>
          </w:tcPr>
          <w:p>
            <w:pPr>
              <w:pStyle w:val="nTable"/>
              <w:keepLines/>
              <w:spacing w:after="40"/>
            </w:pPr>
            <w:r>
              <w:t>47 of 1999</w:t>
            </w:r>
          </w:p>
        </w:tc>
        <w:tc>
          <w:tcPr>
            <w:tcW w:w="1127" w:type="dxa"/>
          </w:tcPr>
          <w:p>
            <w:pPr>
              <w:pStyle w:val="nTable"/>
              <w:keepLines/>
              <w:spacing w:after="40"/>
            </w:pPr>
            <w:r>
              <w:t>8 Dec 1999</w:t>
            </w:r>
          </w:p>
        </w:tc>
        <w:tc>
          <w:tcPr>
            <w:tcW w:w="2547" w:type="dxa"/>
          </w:tcPr>
          <w:p>
            <w:pPr>
              <w:pStyle w:val="nTable"/>
              <w:keepLines/>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as at 1 Apr 2000 </w:t>
            </w:r>
            <w:r>
              <w:t>(includes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Prostitution Act 2000</w:t>
            </w:r>
            <w:r>
              <w:t xml:space="preserve"> s. 64</w:t>
            </w:r>
          </w:p>
        </w:tc>
        <w:tc>
          <w:tcPr>
            <w:tcW w:w="1147" w:type="dxa"/>
            <w:gridSpan w:val="3"/>
          </w:tcPr>
          <w:p>
            <w:pPr>
              <w:pStyle w:val="nTable"/>
              <w:spacing w:after="40"/>
            </w:pPr>
            <w:r>
              <w:t>17 of 2000</w:t>
            </w:r>
          </w:p>
        </w:tc>
        <w:tc>
          <w:tcPr>
            <w:tcW w:w="1127" w:type="dxa"/>
          </w:tcPr>
          <w:p>
            <w:pPr>
              <w:pStyle w:val="nTable"/>
              <w:spacing w:after="40"/>
            </w:pPr>
            <w:r>
              <w:t xml:space="preserve">22 Jun 2000 </w:t>
            </w:r>
          </w:p>
        </w:tc>
        <w:tc>
          <w:tcPr>
            <w:tcW w:w="2547" w:type="dxa"/>
          </w:tcPr>
          <w:p>
            <w:pPr>
              <w:pStyle w:val="nTable"/>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Statutes (Repeals and Minor Amendments) Act 2000</w:t>
            </w:r>
            <w:r>
              <w:t xml:space="preserve"> s. 33 and 54</w:t>
            </w:r>
          </w:p>
        </w:tc>
        <w:tc>
          <w:tcPr>
            <w:tcW w:w="1147" w:type="dxa"/>
            <w:gridSpan w:val="3"/>
          </w:tcPr>
          <w:p>
            <w:pPr>
              <w:pStyle w:val="nTable"/>
              <w:keepNext/>
              <w:keepLines/>
              <w:spacing w:after="40"/>
            </w:pPr>
            <w:r>
              <w:t>24 of 2000</w:t>
            </w:r>
          </w:p>
        </w:tc>
        <w:tc>
          <w:tcPr>
            <w:tcW w:w="1127" w:type="dxa"/>
          </w:tcPr>
          <w:p>
            <w:pPr>
              <w:pStyle w:val="nTable"/>
              <w:keepNext/>
              <w:keepLines/>
              <w:spacing w:after="40"/>
            </w:pPr>
            <w:r>
              <w:t>4 Jul 2000</w:t>
            </w:r>
          </w:p>
        </w:tc>
        <w:tc>
          <w:tcPr>
            <w:tcW w:w="2547" w:type="dxa"/>
          </w:tcPr>
          <w:p>
            <w:pPr>
              <w:pStyle w:val="nTable"/>
              <w:keepNext/>
              <w:keepLines/>
              <w:spacing w:after="40"/>
            </w:pPr>
            <w:r>
              <w:t>4 Jul 2000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Protective Custody Act 2000</w:t>
            </w:r>
            <w:r>
              <w:t xml:space="preserve"> s. 30</w:t>
            </w:r>
          </w:p>
        </w:tc>
        <w:tc>
          <w:tcPr>
            <w:tcW w:w="1147" w:type="dxa"/>
            <w:gridSpan w:val="3"/>
          </w:tcPr>
          <w:p>
            <w:pPr>
              <w:pStyle w:val="nTable"/>
              <w:spacing w:after="40"/>
            </w:pPr>
            <w:r>
              <w:t>50 of 2000</w:t>
            </w:r>
          </w:p>
        </w:tc>
        <w:tc>
          <w:tcPr>
            <w:tcW w:w="1127" w:type="dxa"/>
          </w:tcPr>
          <w:p>
            <w:pPr>
              <w:pStyle w:val="nTable"/>
              <w:spacing w:after="40"/>
            </w:pPr>
            <w:r>
              <w:t>28 Nov 2000</w:t>
            </w:r>
          </w:p>
        </w:tc>
        <w:tc>
          <w:tcPr>
            <w:tcW w:w="2547" w:type="dxa"/>
          </w:tcPr>
          <w:p>
            <w:pPr>
              <w:pStyle w:val="nTable"/>
              <w:keepNext/>
              <w:keepLines/>
              <w:spacing w:after="40"/>
              <w:rPr>
                <w:i/>
              </w:rPr>
            </w:pPr>
            <w:r>
              <w:t>1 Jan 2001 (see s. 2 and </w:t>
            </w:r>
            <w:r>
              <w:rPr>
                <w:i/>
              </w:rPr>
              <w:t xml:space="preserve">Gazette </w:t>
            </w:r>
            <w:r>
              <w:t>29 Dec 2000 p. 7903)</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as at 12 Jan 2001 </w:t>
            </w:r>
            <w:r>
              <w:t xml:space="preserve">(includes amendments listed above) (correction: </w:t>
            </w:r>
            <w:r>
              <w:rPr>
                <w:i/>
              </w:rPr>
              <w:t>Gazette</w:t>
            </w:r>
            <w:r>
              <w:t xml:space="preserve"> 27 Feb 2001 p. 1209)</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Criminal Investigation (Identifying People) Act 2002</w:t>
            </w:r>
            <w:r>
              <w:t xml:space="preserve"> Sch. 2 cl. 5</w:t>
            </w:r>
          </w:p>
        </w:tc>
        <w:tc>
          <w:tcPr>
            <w:tcW w:w="1147" w:type="dxa"/>
            <w:gridSpan w:val="3"/>
          </w:tcPr>
          <w:p>
            <w:pPr>
              <w:pStyle w:val="nTable"/>
              <w:spacing w:after="40"/>
            </w:pPr>
            <w:r>
              <w:t>6 of 2002</w:t>
            </w:r>
          </w:p>
        </w:tc>
        <w:tc>
          <w:tcPr>
            <w:tcW w:w="1127" w:type="dxa"/>
          </w:tcPr>
          <w:p>
            <w:pPr>
              <w:pStyle w:val="nTable"/>
              <w:spacing w:after="40"/>
            </w:pPr>
            <w:r>
              <w:t>4 Jun 2002</w:t>
            </w:r>
          </w:p>
        </w:tc>
        <w:tc>
          <w:tcPr>
            <w:tcW w:w="2547" w:type="dxa"/>
          </w:tcPr>
          <w:p>
            <w:pPr>
              <w:pStyle w:val="nTable"/>
              <w:keepNext/>
              <w:keepLines/>
              <w:spacing w:after="40"/>
            </w:pPr>
            <w:r>
              <w:t xml:space="preserve">Sch. 2 cl. 5(1): 29 Jun 2002 (see s. 2 and </w:t>
            </w:r>
            <w:r>
              <w:rPr>
                <w:i/>
              </w:rPr>
              <w:t>Gazette</w:t>
            </w:r>
            <w:r>
              <w:t xml:space="preserve"> 28 Jun 2002 p. 3037);</w:t>
            </w:r>
            <w:r>
              <w:br/>
              <w:t xml:space="preserve">Sch. 2 cl. 5(2): 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 xml:space="preserve">Police Amendment Act 2003 </w:t>
            </w:r>
            <w:r>
              <w:rPr>
                <w:vertAlign w:val="superscript"/>
              </w:rPr>
              <w:t>5</w:t>
            </w:r>
          </w:p>
        </w:tc>
        <w:tc>
          <w:tcPr>
            <w:tcW w:w="1147" w:type="dxa"/>
            <w:gridSpan w:val="3"/>
          </w:tcPr>
          <w:p>
            <w:pPr>
              <w:pStyle w:val="nTable"/>
              <w:spacing w:after="40"/>
            </w:pPr>
            <w:r>
              <w:t>7 of 2003</w:t>
            </w:r>
          </w:p>
        </w:tc>
        <w:tc>
          <w:tcPr>
            <w:tcW w:w="1127" w:type="dxa"/>
          </w:tcPr>
          <w:p>
            <w:pPr>
              <w:pStyle w:val="nTable"/>
              <w:spacing w:after="40"/>
            </w:pPr>
            <w:r>
              <w:t>27 Mar 2003</w:t>
            </w:r>
          </w:p>
        </w:tc>
        <w:tc>
          <w:tcPr>
            <w:tcW w:w="2547" w:type="dxa"/>
          </w:tcPr>
          <w:p>
            <w:pPr>
              <w:pStyle w:val="nTable"/>
              <w:keepNext/>
              <w:keepLines/>
              <w:spacing w:after="40"/>
            </w:pPr>
            <w:r>
              <w:t>s. 1 and 2: 27 Mar 2003;</w:t>
            </w:r>
            <w:r>
              <w:br/>
              <w:t xml:space="preserve">Act other than s. 1 and 2: 27 Aug 2003 (see s. 2 and </w:t>
            </w:r>
            <w:r>
              <w:rPr>
                <w:i/>
              </w:rPr>
              <w:t>Gazette</w:t>
            </w:r>
            <w:r>
              <w:t xml:space="preserve"> 26 Aug 2003 p. 3753)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Acts Amendment (Equality of Status) Act 2003</w:t>
            </w:r>
            <w:r>
              <w:t xml:space="preserve"> Pt. 48</w:t>
            </w:r>
          </w:p>
        </w:tc>
        <w:tc>
          <w:tcPr>
            <w:tcW w:w="1147" w:type="dxa"/>
            <w:gridSpan w:val="3"/>
          </w:tcPr>
          <w:p>
            <w:pPr>
              <w:pStyle w:val="nTable"/>
              <w:spacing w:after="40"/>
            </w:pPr>
            <w:r>
              <w:t>28 of 2003</w:t>
            </w:r>
          </w:p>
        </w:tc>
        <w:tc>
          <w:tcPr>
            <w:tcW w:w="1127" w:type="dxa"/>
          </w:tcPr>
          <w:p>
            <w:pPr>
              <w:pStyle w:val="nTable"/>
              <w:spacing w:after="40"/>
            </w:pPr>
            <w:r>
              <w:t>22 May 2003</w:t>
            </w:r>
          </w:p>
        </w:tc>
        <w:tc>
          <w:tcPr>
            <w:tcW w:w="2547" w:type="dxa"/>
          </w:tcPr>
          <w:p>
            <w:pPr>
              <w:pStyle w:val="nTable"/>
              <w:keepNext/>
              <w:keepLines/>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Racing and Gambling Legislation Amendment and Repeal Act 2003 </w:t>
            </w:r>
            <w:r>
              <w:t>s. 175(2) and Pt. 10</w:t>
            </w:r>
            <w:r>
              <w:rPr>
                <w:vertAlign w:val="superscript"/>
              </w:rPr>
              <w:t> 6</w:t>
            </w:r>
          </w:p>
        </w:tc>
        <w:tc>
          <w:tcPr>
            <w:tcW w:w="1147" w:type="dxa"/>
            <w:gridSpan w:val="3"/>
          </w:tcPr>
          <w:p>
            <w:pPr>
              <w:pStyle w:val="nTable"/>
              <w:spacing w:after="40"/>
            </w:pPr>
            <w:r>
              <w:t>35 of 2003</w:t>
            </w:r>
          </w:p>
        </w:tc>
        <w:tc>
          <w:tcPr>
            <w:tcW w:w="1127" w:type="dxa"/>
          </w:tcPr>
          <w:p>
            <w:pPr>
              <w:pStyle w:val="nTable"/>
              <w:spacing w:after="40"/>
            </w:pPr>
            <w:r>
              <w:t>26 Jun 2003</w:t>
            </w:r>
          </w:p>
        </w:tc>
        <w:tc>
          <w:tcPr>
            <w:tcW w:w="2547" w:type="dxa"/>
          </w:tcPr>
          <w:p>
            <w:pPr>
              <w:pStyle w:val="nTable"/>
              <w:keepNext/>
              <w:keepLines/>
              <w:spacing w:after="40"/>
            </w:pPr>
            <w:r>
              <w:t xml:space="preserve">30 Jan 2004 (see s. 2 and </w:t>
            </w:r>
            <w:r>
              <w:rPr>
                <w:i/>
              </w:rPr>
              <w:t>Gazette</w:t>
            </w:r>
            <w:r>
              <w:t xml:space="preserve"> 30 Jan 2004 p. 397)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 xml:space="preserve">Sentencing Legislation Amendment and Repeal Act 2003 </w:t>
            </w:r>
            <w:r>
              <w:t>s. 85</w:t>
            </w:r>
          </w:p>
        </w:tc>
        <w:tc>
          <w:tcPr>
            <w:tcW w:w="1147" w:type="dxa"/>
            <w:gridSpan w:val="3"/>
          </w:tcPr>
          <w:p>
            <w:pPr>
              <w:pStyle w:val="nTable"/>
              <w:spacing w:after="40"/>
            </w:pPr>
            <w:r>
              <w:t>50 of 2003</w:t>
            </w:r>
          </w:p>
        </w:tc>
        <w:tc>
          <w:tcPr>
            <w:tcW w:w="1127" w:type="dxa"/>
          </w:tcPr>
          <w:p>
            <w:pPr>
              <w:pStyle w:val="nTable"/>
              <w:spacing w:after="40"/>
            </w:pPr>
            <w:r>
              <w:t>9 Jul 2003</w:t>
            </w:r>
          </w:p>
        </w:tc>
        <w:tc>
          <w:tcPr>
            <w:tcW w:w="2547" w:type="dxa"/>
          </w:tcPr>
          <w:p>
            <w:pPr>
              <w:pStyle w:val="nTable"/>
              <w:keepNext/>
              <w:keepLines/>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 xml:space="preserve">Criminal Code Amendment Act 2004 </w:t>
            </w:r>
            <w:r>
              <w:t>s. 58 </w:t>
            </w:r>
          </w:p>
        </w:tc>
        <w:tc>
          <w:tcPr>
            <w:tcW w:w="1147" w:type="dxa"/>
            <w:gridSpan w:val="3"/>
          </w:tcPr>
          <w:p>
            <w:pPr>
              <w:pStyle w:val="nTable"/>
              <w:spacing w:after="40"/>
            </w:pPr>
            <w:r>
              <w:t>4 of 2004</w:t>
            </w:r>
          </w:p>
        </w:tc>
        <w:tc>
          <w:tcPr>
            <w:tcW w:w="1127" w:type="dxa"/>
          </w:tcPr>
          <w:p>
            <w:pPr>
              <w:pStyle w:val="nTable"/>
              <w:spacing w:after="40"/>
            </w:pPr>
            <w:r>
              <w:t>23 Apr 2004</w:t>
            </w:r>
          </w:p>
        </w:tc>
        <w:tc>
          <w:tcPr>
            <w:tcW w:w="2547" w:type="dxa"/>
          </w:tcPr>
          <w:p>
            <w:pPr>
              <w:pStyle w:val="nTable"/>
              <w:keepNext/>
              <w:keepLines/>
              <w:spacing w:after="40"/>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keepNext/>
              <w:keepLines/>
              <w:spacing w:after="40"/>
            </w:pPr>
            <w:r>
              <w:rPr>
                <w:b/>
              </w:rPr>
              <w:lastRenderedPageBreak/>
              <w:t xml:space="preserve">Reprint 11: The </w:t>
            </w:r>
            <w:r>
              <w:rPr>
                <w:b/>
                <w:i/>
              </w:rPr>
              <w:t>Police Act 1892</w:t>
            </w:r>
            <w:r>
              <w:rPr>
                <w:b/>
              </w:rPr>
              <w:t xml:space="preserve"> as at 10 Sep 2004 </w:t>
            </w:r>
            <w:r>
              <w:t>(includes amendments listed above)</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
              </w:rPr>
            </w:pPr>
            <w:r>
              <w:rPr>
                <w:i/>
                <w:snapToGrid w:val="0"/>
              </w:rPr>
              <w:t>Courts Legislation Amendment and Repeal Act 2004</w:t>
            </w:r>
            <w:r>
              <w:rPr>
                <w:snapToGrid w:val="0"/>
              </w:rPr>
              <w:t xml:space="preserve"> s. 141</w:t>
            </w:r>
          </w:p>
        </w:tc>
        <w:tc>
          <w:tcPr>
            <w:tcW w:w="1121" w:type="dxa"/>
            <w:gridSpan w:val="2"/>
          </w:tcPr>
          <w:p>
            <w:pPr>
              <w:pStyle w:val="nTable"/>
              <w:spacing w:after="40"/>
            </w:pPr>
            <w:r>
              <w:rPr>
                <w:snapToGrid w:val="0"/>
              </w:rPr>
              <w:t>59 of 2004</w:t>
            </w:r>
          </w:p>
        </w:tc>
        <w:tc>
          <w:tcPr>
            <w:tcW w:w="1127" w:type="dxa"/>
          </w:tcPr>
          <w:p>
            <w:pPr>
              <w:pStyle w:val="nTable"/>
              <w:spacing w:after="40"/>
            </w:pPr>
            <w:r>
              <w:t>23 Nov 2004</w:t>
            </w:r>
          </w:p>
        </w:tc>
        <w:tc>
          <w:tcPr>
            <w:tcW w:w="2547" w:type="dxa"/>
          </w:tcPr>
          <w:p>
            <w:pPr>
              <w:pStyle w:val="nTable"/>
              <w:keepNext/>
              <w:keepLines/>
              <w:spacing w:after="40"/>
            </w:pPr>
            <w:r>
              <w:rPr>
                <w:snapToGrid w:val="0"/>
              </w:rPr>
              <w:t xml:space="preserve">1 May 2005 (see s. 2 and </w:t>
            </w:r>
            <w:r>
              <w:rPr>
                <w:i/>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State Administrative Tribunal (Conferral of Jurisdiction) Amendment and Repeal Act 2004</w:t>
            </w:r>
            <w:r>
              <w:t xml:space="preserve"> Pt. 2 Div. 109 Subdiv. 2</w:t>
            </w:r>
            <w:r>
              <w:rPr>
                <w:vertAlign w:val="superscript"/>
              </w:rPr>
              <w:t> 7</w:t>
            </w:r>
          </w:p>
        </w:tc>
        <w:tc>
          <w:tcPr>
            <w:tcW w:w="1121" w:type="dxa"/>
            <w:gridSpan w:val="2"/>
          </w:tcPr>
          <w:p>
            <w:pPr>
              <w:pStyle w:val="nTable"/>
              <w:spacing w:after="40"/>
            </w:pPr>
            <w:r>
              <w:t>55 of 2004</w:t>
            </w:r>
          </w:p>
        </w:tc>
        <w:tc>
          <w:tcPr>
            <w:tcW w:w="1127" w:type="dxa"/>
          </w:tcPr>
          <w:p>
            <w:pPr>
              <w:pStyle w:val="nTable"/>
              <w:spacing w:after="40"/>
            </w:pPr>
            <w:r>
              <w:t>24 Nov 2004</w:t>
            </w:r>
          </w:p>
        </w:tc>
        <w:tc>
          <w:tcPr>
            <w:tcW w:w="2547" w:type="dxa"/>
          </w:tcPr>
          <w:p>
            <w:pPr>
              <w:pStyle w:val="nTable"/>
              <w:keepNext/>
              <w:keepLines/>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
              </w:rPr>
            </w:pPr>
            <w:r>
              <w:rPr>
                <w:i/>
                <w:snapToGrid w:val="0"/>
              </w:rPr>
              <w:t xml:space="preserve">Criminal Law Amendment (Simple Offences) Act 2004 </w:t>
            </w:r>
            <w:r>
              <w:rPr>
                <w:snapToGrid w:val="0"/>
              </w:rPr>
              <w:t>Pt. 3</w:t>
            </w:r>
            <w:r>
              <w:rPr>
                <w:snapToGrid w:val="0"/>
                <w:vertAlign w:val="superscript"/>
              </w:rPr>
              <w:t> 8</w:t>
            </w:r>
          </w:p>
        </w:tc>
        <w:tc>
          <w:tcPr>
            <w:tcW w:w="1121" w:type="dxa"/>
            <w:gridSpan w:val="2"/>
          </w:tcPr>
          <w:p>
            <w:pPr>
              <w:pStyle w:val="nTable"/>
              <w:spacing w:after="40"/>
            </w:pPr>
            <w:r>
              <w:rPr>
                <w:snapToGrid w:val="0"/>
              </w:rPr>
              <w:t>70 of 2004</w:t>
            </w:r>
          </w:p>
        </w:tc>
        <w:tc>
          <w:tcPr>
            <w:tcW w:w="1127" w:type="dxa"/>
          </w:tcPr>
          <w:p>
            <w:pPr>
              <w:pStyle w:val="nTable"/>
              <w:spacing w:after="40"/>
            </w:pPr>
            <w:r>
              <w:rPr>
                <w:snapToGrid w:val="0"/>
              </w:rPr>
              <w:t>8 Dec 2004</w:t>
            </w:r>
          </w:p>
        </w:tc>
        <w:tc>
          <w:tcPr>
            <w:tcW w:w="2547" w:type="dxa"/>
          </w:tcPr>
          <w:p>
            <w:pPr>
              <w:pStyle w:val="nTable"/>
              <w:keepNext/>
              <w:keepLines/>
              <w:spacing w:after="40"/>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
              </w:rPr>
            </w:pPr>
            <w:r>
              <w:rPr>
                <w:i/>
                <w:snapToGrid w:val="0"/>
              </w:rPr>
              <w:t>Criminal Procedure and Appeals (Consequential and Other Provisions) Act 2004</w:t>
            </w:r>
            <w:r>
              <w:rPr>
                <w:snapToGrid w:val="0"/>
              </w:rPr>
              <w:t xml:space="preserve"> s. 78 and 80</w:t>
            </w:r>
          </w:p>
        </w:tc>
        <w:tc>
          <w:tcPr>
            <w:tcW w:w="1121" w:type="dxa"/>
            <w:gridSpan w:val="2"/>
          </w:tcPr>
          <w:p>
            <w:pPr>
              <w:pStyle w:val="nTable"/>
              <w:spacing w:after="40"/>
            </w:pPr>
            <w:r>
              <w:rPr>
                <w:snapToGrid w:val="0"/>
              </w:rPr>
              <w:t>84 of 2004</w:t>
            </w:r>
          </w:p>
        </w:tc>
        <w:tc>
          <w:tcPr>
            <w:tcW w:w="1127" w:type="dxa"/>
          </w:tcPr>
          <w:p>
            <w:pPr>
              <w:pStyle w:val="nTable"/>
              <w:spacing w:after="40"/>
            </w:pPr>
            <w:r>
              <w:t>16 Dec 2004</w:t>
            </w:r>
          </w:p>
        </w:tc>
        <w:tc>
          <w:tcPr>
            <w:tcW w:w="2547" w:type="dxa"/>
          </w:tcPr>
          <w:p>
            <w:pPr>
              <w:pStyle w:val="nTable"/>
              <w:keepNext/>
              <w:keepLines/>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keepNext/>
              <w:keepLines/>
              <w:spacing w:after="40"/>
              <w:rPr>
                <w:snapToGrid w:val="0"/>
              </w:rPr>
            </w:pPr>
            <w:r>
              <w:rPr>
                <w:b/>
              </w:rPr>
              <w:t xml:space="preserve">Reprint 12: The </w:t>
            </w:r>
            <w:r>
              <w:rPr>
                <w:b/>
                <w:i/>
              </w:rPr>
              <w:t>Police Act 1892</w:t>
            </w:r>
            <w:r>
              <w:rPr>
                <w:b/>
              </w:rPr>
              <w:t xml:space="preserve"> as at 1 Jun 2005 </w:t>
            </w:r>
            <w:r>
              <w:t>(includes amendments listed above)</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13"/>
              <w:rPr>
                <w:i/>
                <w:snapToGrid w:val="0"/>
              </w:rPr>
            </w:pPr>
            <w:r>
              <w:rPr>
                <w:i/>
                <w:snapToGrid w:val="0"/>
              </w:rPr>
              <w:t>Criminal Investigation (Consequential Provisions) Act 2006</w:t>
            </w:r>
            <w:r>
              <w:rPr>
                <w:snapToGrid w:val="0"/>
              </w:rPr>
              <w:t xml:space="preserve"> Pt. 12</w:t>
            </w:r>
            <w:r>
              <w:rPr>
                <w:snapToGrid w:val="0"/>
                <w:vertAlign w:val="superscript"/>
              </w:rPr>
              <w:t> 9</w:t>
            </w:r>
          </w:p>
        </w:tc>
        <w:tc>
          <w:tcPr>
            <w:tcW w:w="1121" w:type="dxa"/>
            <w:gridSpan w:val="2"/>
          </w:tcPr>
          <w:p>
            <w:pPr>
              <w:pStyle w:val="nTable"/>
              <w:spacing w:after="40"/>
              <w:rPr>
                <w:snapToGrid w:val="0"/>
              </w:rPr>
            </w:pPr>
            <w:r>
              <w:rPr>
                <w:snapToGrid w:val="0"/>
              </w:rPr>
              <w:t>59 of 2006</w:t>
            </w:r>
          </w:p>
        </w:tc>
        <w:tc>
          <w:tcPr>
            <w:tcW w:w="1127" w:type="dxa"/>
          </w:tcPr>
          <w:p>
            <w:pPr>
              <w:pStyle w:val="nTable"/>
              <w:spacing w:after="40"/>
              <w:rPr>
                <w:snapToGrid w:val="0"/>
              </w:rPr>
            </w:pPr>
            <w:r>
              <w:t>16 Nov 2006</w:t>
            </w:r>
          </w:p>
        </w:tc>
        <w:tc>
          <w:tcPr>
            <w:tcW w:w="2547" w:type="dxa"/>
          </w:tcPr>
          <w:p>
            <w:pPr>
              <w:pStyle w:val="nTable"/>
              <w:keepNext/>
              <w:keepLines/>
              <w:spacing w:after="40"/>
              <w:rPr>
                <w:snapToGrid w:val="0"/>
              </w:rPr>
            </w:pPr>
            <w:r>
              <w:rPr>
                <w:snapToGrid w:val="0"/>
              </w:rPr>
              <w:t xml:space="preserve">1 Jul 2007 (see s. 2 and </w:t>
            </w:r>
            <w:r>
              <w:rPr>
                <w:i/>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
              </w:rPr>
            </w:pPr>
            <w:r>
              <w:rPr>
                <w:i/>
                <w:snapToGrid w:val="0"/>
              </w:rPr>
              <w:t xml:space="preserve">Financial Legislation Amendment and Repeal Act 2006 </w:t>
            </w:r>
            <w:r>
              <w:rPr>
                <w:snapToGrid w:val="0"/>
              </w:rPr>
              <w:t>Sch. 1 cl. 130</w:t>
            </w:r>
          </w:p>
        </w:tc>
        <w:tc>
          <w:tcPr>
            <w:tcW w:w="1121" w:type="dxa"/>
            <w:gridSpan w:val="2"/>
          </w:tcPr>
          <w:p>
            <w:pPr>
              <w:pStyle w:val="nTable"/>
              <w:spacing w:after="40"/>
            </w:pPr>
            <w:r>
              <w:rPr>
                <w:snapToGrid w:val="0"/>
              </w:rPr>
              <w:t xml:space="preserve">77 of 2006 </w:t>
            </w:r>
          </w:p>
        </w:tc>
        <w:tc>
          <w:tcPr>
            <w:tcW w:w="1127" w:type="dxa"/>
          </w:tcPr>
          <w:p>
            <w:pPr>
              <w:pStyle w:val="nTable"/>
              <w:spacing w:after="40"/>
            </w:pPr>
            <w:r>
              <w:rPr>
                <w:snapToGrid w:val="0"/>
              </w:rPr>
              <w:t>21 Dec 2006</w:t>
            </w:r>
          </w:p>
        </w:tc>
        <w:tc>
          <w:tcPr>
            <w:tcW w:w="2547" w:type="dxa"/>
          </w:tcPr>
          <w:p>
            <w:pPr>
              <w:pStyle w:val="nTable"/>
              <w:keepNext/>
              <w:keepLines/>
              <w:spacing w:after="40"/>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rPr>
                <w:snapToGrid w:val="0"/>
              </w:rPr>
            </w:pPr>
            <w:r>
              <w:rPr>
                <w:b/>
              </w:rPr>
              <w:t xml:space="preserve">Reprint 13: The </w:t>
            </w:r>
            <w:r>
              <w:rPr>
                <w:b/>
                <w:i/>
              </w:rPr>
              <w:t>Police Act 1892</w:t>
            </w:r>
            <w:r>
              <w:rPr>
                <w:b/>
              </w:rPr>
              <w:t xml:space="preserve"> as at 23 Nov 2007 </w:t>
            </w:r>
            <w:r>
              <w:t>(includes amendments listed above)</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Cs/>
              </w:rPr>
            </w:pPr>
            <w:r>
              <w:rPr>
                <w:i/>
              </w:rPr>
              <w:t xml:space="preserve">Police Amendment Act 2008 </w:t>
            </w:r>
            <w:r>
              <w:rPr>
                <w:iCs/>
              </w:rPr>
              <w:t>Pt. 2</w:t>
            </w:r>
          </w:p>
        </w:tc>
        <w:tc>
          <w:tcPr>
            <w:tcW w:w="1121" w:type="dxa"/>
            <w:gridSpan w:val="2"/>
          </w:tcPr>
          <w:p>
            <w:pPr>
              <w:pStyle w:val="nTable"/>
              <w:spacing w:after="40"/>
            </w:pPr>
            <w:r>
              <w:t>8 of 2008</w:t>
            </w:r>
          </w:p>
        </w:tc>
        <w:tc>
          <w:tcPr>
            <w:tcW w:w="1127" w:type="dxa"/>
          </w:tcPr>
          <w:p>
            <w:pPr>
              <w:pStyle w:val="nTable"/>
              <w:spacing w:after="40"/>
            </w:pPr>
            <w:r>
              <w:t>31 Mar 2008</w:t>
            </w:r>
          </w:p>
        </w:tc>
        <w:tc>
          <w:tcPr>
            <w:tcW w:w="2547" w:type="dxa"/>
          </w:tcPr>
          <w:p>
            <w:pPr>
              <w:pStyle w:val="nTable"/>
              <w:keepNext/>
              <w:keepLines/>
              <w:spacing w:after="40"/>
            </w:pPr>
            <w:r>
              <w:t>1 Apr 2008 (see s. 2(1))</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
              </w:rPr>
            </w:pPr>
            <w:r>
              <w:rPr>
                <w:i/>
                <w:iCs/>
                <w:snapToGrid w:val="0"/>
              </w:rPr>
              <w:t>Legal Profession Act 2008</w:t>
            </w:r>
            <w:r>
              <w:rPr>
                <w:snapToGrid w:val="0"/>
              </w:rPr>
              <w:t xml:space="preserve"> s. 692</w:t>
            </w:r>
          </w:p>
        </w:tc>
        <w:tc>
          <w:tcPr>
            <w:tcW w:w="1121" w:type="dxa"/>
            <w:gridSpan w:val="2"/>
          </w:tcPr>
          <w:p>
            <w:pPr>
              <w:pStyle w:val="nTable"/>
              <w:spacing w:after="40"/>
            </w:pPr>
            <w:r>
              <w:t>21 of 2008</w:t>
            </w:r>
          </w:p>
        </w:tc>
        <w:tc>
          <w:tcPr>
            <w:tcW w:w="1127" w:type="dxa"/>
          </w:tcPr>
          <w:p>
            <w:pPr>
              <w:pStyle w:val="nTable"/>
              <w:spacing w:after="40"/>
            </w:pPr>
            <w:r>
              <w:t>27 May 2008</w:t>
            </w:r>
          </w:p>
        </w:tc>
        <w:tc>
          <w:tcPr>
            <w:tcW w:w="2547" w:type="dxa"/>
          </w:tcPr>
          <w:p>
            <w:pPr>
              <w:pStyle w:val="nTable"/>
              <w:keepNext/>
              <w:keepLines/>
              <w:spacing w:after="40"/>
            </w:pPr>
            <w:r>
              <w:rPr>
                <w:snapToGrid w:val="0"/>
              </w:rPr>
              <w:t xml:space="preserve">1 Mar 2009 (see s. 2(b) and </w:t>
            </w:r>
            <w:r>
              <w:rPr>
                <w:i/>
                <w:iCs/>
                <w:snapToGrid w:val="0"/>
              </w:rPr>
              <w:t>Gazette</w:t>
            </w:r>
            <w:r>
              <w:rPr>
                <w:snapToGrid w:val="0"/>
              </w:rPr>
              <w:t xml:space="preserve"> 27 Feb 2009 p. 511</w:t>
            </w:r>
            <w:r>
              <w:t>)</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rPr>
                <w:iCs/>
                <w:snapToGrid w:val="0"/>
              </w:rPr>
            </w:pPr>
            <w:r>
              <w:rPr>
                <w:i/>
                <w:snapToGrid w:val="0"/>
              </w:rPr>
              <w:t>Acts Amendment (Bankruptcy) Act 2009</w:t>
            </w:r>
            <w:r>
              <w:rPr>
                <w:iCs/>
                <w:snapToGrid w:val="0"/>
              </w:rPr>
              <w:t xml:space="preserve"> s. 68</w:t>
            </w:r>
          </w:p>
        </w:tc>
        <w:tc>
          <w:tcPr>
            <w:tcW w:w="1121" w:type="dxa"/>
            <w:gridSpan w:val="2"/>
          </w:tcPr>
          <w:p>
            <w:pPr>
              <w:pStyle w:val="nTable"/>
              <w:spacing w:after="40"/>
            </w:pPr>
            <w:r>
              <w:t>18 of 2009</w:t>
            </w:r>
          </w:p>
        </w:tc>
        <w:tc>
          <w:tcPr>
            <w:tcW w:w="1127" w:type="dxa"/>
          </w:tcPr>
          <w:p>
            <w:pPr>
              <w:pStyle w:val="nTable"/>
              <w:spacing w:after="40"/>
            </w:pPr>
            <w:r>
              <w:t>16 Sep 2009</w:t>
            </w:r>
          </w:p>
        </w:tc>
        <w:tc>
          <w:tcPr>
            <w:tcW w:w="2547"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rPr>
                <w:i/>
                <w:snapToGrid w:val="0"/>
              </w:rPr>
            </w:pPr>
            <w:r>
              <w:rPr>
                <w:i/>
                <w:snapToGrid w:val="0"/>
              </w:rPr>
              <w:t xml:space="preserve">Police Amendment Act 2009 </w:t>
            </w:r>
            <w:r>
              <w:rPr>
                <w:iCs/>
                <w:snapToGrid w:val="0"/>
              </w:rPr>
              <w:t>Pt. 2</w:t>
            </w:r>
          </w:p>
        </w:tc>
        <w:tc>
          <w:tcPr>
            <w:tcW w:w="1121" w:type="dxa"/>
            <w:gridSpan w:val="2"/>
          </w:tcPr>
          <w:p>
            <w:pPr>
              <w:pStyle w:val="nTable"/>
              <w:spacing w:after="40"/>
            </w:pPr>
            <w:r>
              <w:rPr>
                <w:snapToGrid w:val="0"/>
              </w:rPr>
              <w:t>42 of 2009</w:t>
            </w:r>
          </w:p>
        </w:tc>
        <w:tc>
          <w:tcPr>
            <w:tcW w:w="1127" w:type="dxa"/>
          </w:tcPr>
          <w:p>
            <w:pPr>
              <w:pStyle w:val="nTable"/>
              <w:spacing w:after="40"/>
            </w:pPr>
            <w:r>
              <w:t>3 Dec 2009</w:t>
            </w:r>
          </w:p>
        </w:tc>
        <w:tc>
          <w:tcPr>
            <w:tcW w:w="2547" w:type="dxa"/>
          </w:tcPr>
          <w:p>
            <w:pPr>
              <w:pStyle w:val="nTable"/>
              <w:spacing w:after="40"/>
            </w:pPr>
            <w:r>
              <w:t xml:space="preserve">13 Mar 2010 (see s. 2(b) and </w:t>
            </w:r>
            <w:r>
              <w:rPr>
                <w:i/>
                <w:iCs/>
              </w:rPr>
              <w:t>Gazette</w:t>
            </w:r>
            <w:r>
              <w:t xml:space="preserve"> 12 Mar 2010 p. 941)</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14: The </w:t>
            </w:r>
            <w:r>
              <w:rPr>
                <w:b/>
                <w:i/>
              </w:rPr>
              <w:t>Police Act 1892</w:t>
            </w:r>
            <w:r>
              <w:rPr>
                <w:b/>
              </w:rPr>
              <w:t xml:space="preserve"> as at 16 Apr 2010 </w:t>
            </w:r>
            <w:r>
              <w:t>(includes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42(3), 43(2), 44(3) and 51</w:t>
            </w:r>
          </w:p>
        </w:tc>
        <w:tc>
          <w:tcPr>
            <w:tcW w:w="1147" w:type="dxa"/>
            <w:gridSpan w:val="3"/>
          </w:tcPr>
          <w:p>
            <w:pPr>
              <w:pStyle w:val="nTable"/>
              <w:spacing w:after="40"/>
              <w:rPr>
                <w:snapToGrid w:val="0"/>
              </w:rPr>
            </w:pPr>
            <w:r>
              <w:rPr>
                <w:snapToGrid w:val="0"/>
              </w:rPr>
              <w:t>19 of 2010</w:t>
            </w:r>
          </w:p>
        </w:tc>
        <w:tc>
          <w:tcPr>
            <w:tcW w:w="1127" w:type="dxa"/>
          </w:tcPr>
          <w:p>
            <w:pPr>
              <w:pStyle w:val="nTable"/>
              <w:spacing w:after="40"/>
              <w:rPr>
                <w:snapToGrid w:val="0"/>
              </w:rPr>
            </w:pPr>
            <w:r>
              <w:rPr>
                <w:snapToGrid w:val="0"/>
              </w:rPr>
              <w:t>28 Jun 2010</w:t>
            </w:r>
          </w:p>
        </w:tc>
        <w:tc>
          <w:tcPr>
            <w:tcW w:w="2547"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
                <w:snapToGrid w:val="0"/>
              </w:rPr>
            </w:pPr>
            <w:r>
              <w:rPr>
                <w:i/>
                <w:snapToGrid w:val="0"/>
              </w:rPr>
              <w:lastRenderedPageBreak/>
              <w:t>Police Amendment Act 2011</w:t>
            </w:r>
          </w:p>
        </w:tc>
        <w:tc>
          <w:tcPr>
            <w:tcW w:w="1147" w:type="dxa"/>
            <w:gridSpan w:val="3"/>
          </w:tcPr>
          <w:p>
            <w:pPr>
              <w:pStyle w:val="nTable"/>
              <w:spacing w:after="40"/>
              <w:rPr>
                <w:snapToGrid w:val="0"/>
              </w:rPr>
            </w:pPr>
            <w:r>
              <w:rPr>
                <w:snapToGrid w:val="0"/>
              </w:rPr>
              <w:t>12 of 2011</w:t>
            </w:r>
          </w:p>
        </w:tc>
        <w:tc>
          <w:tcPr>
            <w:tcW w:w="1127" w:type="dxa"/>
          </w:tcPr>
          <w:p>
            <w:pPr>
              <w:pStyle w:val="nTable"/>
              <w:spacing w:after="40"/>
              <w:rPr>
                <w:snapToGrid w:val="0"/>
              </w:rPr>
            </w:pPr>
            <w:r>
              <w:rPr>
                <w:snapToGrid w:val="0"/>
              </w:rPr>
              <w:t>2 May 2011</w:t>
            </w:r>
          </w:p>
        </w:tc>
        <w:tc>
          <w:tcPr>
            <w:tcW w:w="2547" w:type="dxa"/>
          </w:tcPr>
          <w:p>
            <w:pPr>
              <w:pStyle w:val="nTable"/>
              <w:spacing w:after="40"/>
              <w:rPr>
                <w:snapToGrid w:val="0"/>
              </w:rPr>
            </w:pPr>
            <w:r>
              <w:t>s. 1 and 2: 2 May 2011 (see s. 2(a);</w:t>
            </w:r>
            <w:r>
              <w:br/>
              <w:t xml:space="preserve">Act other than s. 1 and 2: 13 Jan 2018 (see s. 2(b) and </w:t>
            </w:r>
            <w:r>
              <w:rPr>
                <w:i/>
              </w:rPr>
              <w:t>Gazette</w:t>
            </w:r>
            <w:r>
              <w:t xml:space="preserve"> 12 Jan 2018 p. 115)</w:t>
            </w:r>
          </w:p>
        </w:tc>
      </w:tr>
      <w:tr>
        <w:trPr>
          <w:cantSplit/>
        </w:trPr>
        <w:tc>
          <w:tcPr>
            <w:tcW w:w="2267" w:type="dxa"/>
            <w:tcBorders>
              <w:top w:val="nil"/>
              <w:bottom w:val="nil"/>
            </w:tcBorders>
          </w:tcPr>
          <w:p>
            <w:pPr>
              <w:pStyle w:val="nTable"/>
              <w:spacing w:after="40"/>
              <w:ind w:right="113"/>
              <w:rPr>
                <w:i/>
                <w:snapToGrid w:val="0"/>
              </w:rPr>
            </w:pPr>
            <w:r>
              <w:rPr>
                <w:i/>
              </w:rPr>
              <w:t>Industrial Relations Amendment Act 2018</w:t>
            </w:r>
            <w:r>
              <w:t xml:space="preserve"> s. 70</w:t>
            </w:r>
          </w:p>
        </w:tc>
        <w:tc>
          <w:tcPr>
            <w:tcW w:w="1147" w:type="dxa"/>
            <w:gridSpan w:val="3"/>
            <w:tcBorders>
              <w:top w:val="nil"/>
              <w:bottom w:val="nil"/>
            </w:tcBorders>
          </w:tcPr>
          <w:p>
            <w:pPr>
              <w:pStyle w:val="nTable"/>
              <w:spacing w:after="40"/>
              <w:rPr>
                <w:snapToGrid w:val="0"/>
              </w:rPr>
            </w:pPr>
            <w:r>
              <w:t>39 of 2018</w:t>
            </w:r>
          </w:p>
        </w:tc>
        <w:tc>
          <w:tcPr>
            <w:tcW w:w="1127" w:type="dxa"/>
            <w:tcBorders>
              <w:top w:val="nil"/>
              <w:bottom w:val="nil"/>
            </w:tcBorders>
          </w:tcPr>
          <w:p>
            <w:pPr>
              <w:pStyle w:val="nTable"/>
              <w:spacing w:after="40"/>
              <w:rPr>
                <w:snapToGrid w:val="0"/>
              </w:rPr>
            </w:pPr>
            <w:r>
              <w:t>12 Dec 2018</w:t>
            </w:r>
          </w:p>
        </w:tc>
        <w:tc>
          <w:tcPr>
            <w:tcW w:w="2547" w:type="dxa"/>
            <w:tcBorders>
              <w:top w:val="nil"/>
              <w:bottom w:val="nil"/>
            </w:tcBorders>
          </w:tcPr>
          <w:p>
            <w:pPr>
              <w:pStyle w:val="nTable"/>
              <w:spacing w:after="40"/>
            </w:pPr>
            <w:r>
              <w:rPr>
                <w:snapToGrid w:val="0"/>
              </w:rPr>
              <w:t xml:space="preserve">19 Dec 2018 (see s. 2(b) and </w:t>
            </w:r>
            <w:r>
              <w:rPr>
                <w:i/>
                <w:snapToGrid w:val="0"/>
              </w:rPr>
              <w:t>Gazette</w:t>
            </w:r>
            <w:r>
              <w:rPr>
                <w:snapToGrid w:val="0"/>
              </w:rPr>
              <w:t xml:space="preserve"> 18 Dec 2018 p. 4835)</w:t>
            </w:r>
          </w:p>
        </w:tc>
      </w:tr>
      <w:tr>
        <w:trPr>
          <w:cantSplit/>
        </w:trPr>
        <w:tc>
          <w:tcPr>
            <w:tcW w:w="2267" w:type="dxa"/>
            <w:tcBorders>
              <w:top w:val="nil"/>
              <w:bottom w:val="nil"/>
            </w:tcBorders>
          </w:tcPr>
          <w:p>
            <w:pPr>
              <w:pStyle w:val="nTable"/>
              <w:spacing w:after="40"/>
              <w:ind w:right="113"/>
            </w:pPr>
            <w:r>
              <w:rPr>
                <w:i/>
              </w:rPr>
              <w:t>Police Amendment (Medical Retirement) Act 2019</w:t>
            </w:r>
            <w:r>
              <w:t xml:space="preserve"> Pt. 2</w:t>
            </w:r>
          </w:p>
        </w:tc>
        <w:tc>
          <w:tcPr>
            <w:tcW w:w="1147" w:type="dxa"/>
            <w:gridSpan w:val="3"/>
            <w:tcBorders>
              <w:top w:val="nil"/>
              <w:bottom w:val="nil"/>
            </w:tcBorders>
          </w:tcPr>
          <w:p>
            <w:pPr>
              <w:pStyle w:val="nTable"/>
              <w:spacing w:after="40"/>
            </w:pPr>
            <w:r>
              <w:t>19 of 2019</w:t>
            </w:r>
          </w:p>
        </w:tc>
        <w:tc>
          <w:tcPr>
            <w:tcW w:w="1127" w:type="dxa"/>
            <w:tcBorders>
              <w:top w:val="nil"/>
              <w:bottom w:val="nil"/>
            </w:tcBorders>
          </w:tcPr>
          <w:p>
            <w:pPr>
              <w:pStyle w:val="nTable"/>
              <w:spacing w:after="40"/>
            </w:pPr>
            <w:r>
              <w:t>15 Aug 2019</w:t>
            </w:r>
          </w:p>
        </w:tc>
        <w:tc>
          <w:tcPr>
            <w:tcW w:w="2547" w:type="dxa"/>
            <w:tcBorders>
              <w:top w:val="nil"/>
              <w:bottom w:val="nil"/>
            </w:tcBorders>
          </w:tcPr>
          <w:p>
            <w:pPr>
              <w:pStyle w:val="nTable"/>
              <w:spacing w:after="40"/>
              <w:rPr>
                <w:snapToGrid w:val="0"/>
              </w:rPr>
            </w:pPr>
            <w:r>
              <w:rPr>
                <w:snapToGrid w:val="0"/>
              </w:rPr>
              <w:t xml:space="preserve">30 Nov 2019 (see s. 2(b) and </w:t>
            </w:r>
            <w:r>
              <w:rPr>
                <w:i/>
                <w:snapToGrid w:val="0"/>
              </w:rPr>
              <w:t xml:space="preserve">Gazette </w:t>
            </w:r>
            <w:r>
              <w:rPr>
                <w:snapToGrid w:val="0"/>
              </w:rPr>
              <w:t>29 Nov 2019 p. 4133)</w:t>
            </w:r>
          </w:p>
        </w:tc>
      </w:tr>
      <w:tr>
        <w:trPr>
          <w:cantSplit/>
        </w:trPr>
        <w:tc>
          <w:tcPr>
            <w:tcW w:w="2267" w:type="dxa"/>
            <w:tcBorders>
              <w:top w:val="nil"/>
              <w:bottom w:val="nil"/>
            </w:tcBorders>
          </w:tcPr>
          <w:p>
            <w:pPr>
              <w:pStyle w:val="nTable"/>
              <w:spacing w:after="40"/>
              <w:ind w:right="113"/>
              <w:rPr>
                <w:i/>
              </w:rPr>
            </w:pPr>
            <w:r>
              <w:rPr>
                <w:i/>
              </w:rPr>
              <w:t>Family Violence Legislation Reform Act 2020</w:t>
            </w:r>
            <w:r>
              <w:t xml:space="preserve"> Pt. 7</w:t>
            </w:r>
          </w:p>
        </w:tc>
        <w:tc>
          <w:tcPr>
            <w:tcW w:w="1147" w:type="dxa"/>
            <w:gridSpan w:val="3"/>
            <w:tcBorders>
              <w:top w:val="nil"/>
              <w:bottom w:val="nil"/>
            </w:tcBorders>
          </w:tcPr>
          <w:p>
            <w:pPr>
              <w:pStyle w:val="nTable"/>
              <w:spacing w:after="40"/>
            </w:pPr>
            <w:r>
              <w:t>30 of 2020</w:t>
            </w:r>
          </w:p>
        </w:tc>
        <w:tc>
          <w:tcPr>
            <w:tcW w:w="1127" w:type="dxa"/>
            <w:tcBorders>
              <w:top w:val="nil"/>
              <w:bottom w:val="nil"/>
            </w:tcBorders>
          </w:tcPr>
          <w:p>
            <w:pPr>
              <w:pStyle w:val="nTable"/>
              <w:spacing w:after="40"/>
            </w:pPr>
            <w:r>
              <w:t>9 Jul 2020</w:t>
            </w:r>
          </w:p>
        </w:tc>
        <w:tc>
          <w:tcPr>
            <w:tcW w:w="2547" w:type="dxa"/>
            <w:tcBorders>
              <w:top w:val="nil"/>
              <w:bottom w:val="nil"/>
            </w:tcBorders>
          </w:tcPr>
          <w:p>
            <w:pPr>
              <w:pStyle w:val="nTable"/>
              <w:spacing w:after="40"/>
              <w:rPr>
                <w:snapToGrid w:val="0"/>
              </w:rPr>
            </w:pPr>
            <w:r>
              <w:rPr>
                <w:snapToGrid w:val="0"/>
              </w:rPr>
              <w:t>6 Aug 2020 (see s. 2(1)(c) and SL 2020/125 cl. 2(a)(v))</w:t>
            </w:r>
          </w:p>
        </w:tc>
      </w:tr>
      <w:tr>
        <w:trPr>
          <w:cantSplit/>
        </w:trPr>
        <w:tc>
          <w:tcPr>
            <w:tcW w:w="2267" w:type="dxa"/>
            <w:tcBorders>
              <w:top w:val="nil"/>
              <w:bottom w:val="single" w:sz="4" w:space="0" w:color="auto"/>
            </w:tcBorders>
          </w:tcPr>
          <w:p>
            <w:pPr>
              <w:pStyle w:val="nTable"/>
              <w:spacing w:after="40"/>
              <w:ind w:right="113"/>
              <w:rPr>
                <w:i/>
              </w:rPr>
            </w:pPr>
            <w:r>
              <w:rPr>
                <w:i/>
              </w:rPr>
              <w:t>Police Amendment (Compensation Scheme) Act 2021</w:t>
            </w:r>
            <w:r>
              <w:t xml:space="preserve"> Pt. 2</w:t>
            </w:r>
          </w:p>
        </w:tc>
        <w:tc>
          <w:tcPr>
            <w:tcW w:w="1147" w:type="dxa"/>
            <w:gridSpan w:val="3"/>
            <w:tcBorders>
              <w:top w:val="nil"/>
              <w:bottom w:val="single" w:sz="4" w:space="0" w:color="auto"/>
            </w:tcBorders>
          </w:tcPr>
          <w:p>
            <w:pPr>
              <w:pStyle w:val="nTable"/>
              <w:spacing w:after="40"/>
            </w:pPr>
            <w:r>
              <w:t>26 of 2021</w:t>
            </w:r>
          </w:p>
        </w:tc>
        <w:tc>
          <w:tcPr>
            <w:tcW w:w="1127" w:type="dxa"/>
            <w:tcBorders>
              <w:top w:val="nil"/>
              <w:bottom w:val="single" w:sz="4" w:space="0" w:color="auto"/>
            </w:tcBorders>
          </w:tcPr>
          <w:p>
            <w:pPr>
              <w:pStyle w:val="nTable"/>
              <w:spacing w:after="40"/>
            </w:pPr>
            <w:r>
              <w:t>13 Dec 2021</w:t>
            </w:r>
          </w:p>
        </w:tc>
        <w:tc>
          <w:tcPr>
            <w:tcW w:w="2547" w:type="dxa"/>
            <w:tcBorders>
              <w:top w:val="nil"/>
              <w:bottom w:val="single" w:sz="4" w:space="0" w:color="auto"/>
            </w:tcBorders>
          </w:tcPr>
          <w:p>
            <w:pPr>
              <w:pStyle w:val="nTable"/>
              <w:spacing w:after="40"/>
              <w:rPr>
                <w:snapToGrid w:val="0"/>
              </w:rPr>
            </w:pPr>
            <w:r>
              <w:rPr>
                <w:snapToGrid w:val="0"/>
              </w:rPr>
              <w:t>1 Jan 2022 (see s. 2(b) and SL 2021/222 cl. 2)</w:t>
            </w:r>
          </w:p>
        </w:tc>
      </w:tr>
    </w:tbl>
    <w:p>
      <w:pPr>
        <w:pStyle w:val="nHeading3"/>
      </w:pPr>
      <w:bookmarkStart w:id="203" w:name="_Toc91142231"/>
      <w:r>
        <w:t>Other notes</w:t>
      </w:r>
      <w:bookmarkEnd w:id="203"/>
    </w:p>
    <w:p>
      <w:pPr>
        <w:pStyle w:val="nNote"/>
        <w:keepNext/>
        <w:keepLines/>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keepLines/>
        <w:rPr>
          <w:snapToGrid w:val="0"/>
        </w:rPr>
      </w:pPr>
      <w:r>
        <w:rPr>
          <w:snapToGrid w:val="0"/>
          <w:vertAlign w:val="superscript"/>
        </w:rPr>
        <w:t>1</w:t>
      </w:r>
      <w:r>
        <w:rPr>
          <w:snapToGrid w:val="0"/>
          <w:vertAlign w:val="superscript"/>
        </w:rPr>
        <w:tab/>
      </w:r>
      <w:r>
        <w:rPr>
          <w:snapToGrid w:val="0"/>
        </w:rPr>
        <w:t>Footnote no longer applicable.</w:t>
      </w:r>
    </w:p>
    <w:p>
      <w:pPr>
        <w:pStyle w:val="nNote"/>
        <w:rPr>
          <w:snapToGrid w:val="0"/>
          <w:vertAlign w:val="superscript"/>
        </w:rPr>
      </w:pPr>
      <w:r>
        <w:rPr>
          <w:snapToGrid w:val="0"/>
          <w:vertAlign w:val="superscript"/>
        </w:rPr>
        <w:t>2</w:t>
      </w:r>
      <w:r>
        <w:rPr>
          <w:snapToGrid w:val="0"/>
        </w:rPr>
        <w:tab/>
        <w:t>Part IIIA commenced 1 Apr 2008.</w:t>
      </w:r>
    </w:p>
    <w:p>
      <w:pPr>
        <w:pStyle w:val="nNote"/>
        <w:rPr>
          <w:snapToGrid w:val="0"/>
        </w:rPr>
      </w:pPr>
      <w:r>
        <w:rPr>
          <w:snapToGrid w:val="0"/>
          <w:vertAlign w:val="superscript"/>
        </w:rPr>
        <w:t>3</w:t>
      </w:r>
      <w:r>
        <w:rPr>
          <w:snapToGrid w:val="0"/>
        </w:rPr>
        <w:tab/>
        <w:t xml:space="preserve">Now known as the </w:t>
      </w:r>
      <w:r>
        <w:rPr>
          <w:i/>
          <w:snapToGrid w:val="0"/>
        </w:rPr>
        <w:t>Police Act 1892</w:t>
      </w:r>
      <w:r>
        <w:rPr>
          <w:snapToGrid w:val="0"/>
        </w:rPr>
        <w:t>; short title changed (see note under s. 3).</w:t>
      </w:r>
    </w:p>
    <w:p>
      <w:pPr>
        <w:pStyle w:val="nNote"/>
        <w:rPr>
          <w:snapToGrid w:val="0"/>
        </w:rPr>
      </w:pPr>
      <w:r>
        <w:rPr>
          <w:snapToGrid w:val="0"/>
          <w:vertAlign w:val="superscript"/>
        </w:rPr>
        <w:t>4</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 xml:space="preserve">Metric Conversion Act Amendment Act 1973 </w:t>
      </w:r>
      <w:r>
        <w:rPr>
          <w:snapToGrid w:val="0"/>
        </w:rPr>
        <w:t>s. 3.</w:t>
      </w:r>
    </w:p>
    <w:p>
      <w:pPr>
        <w:pStyle w:val="nNote"/>
        <w:keepNext/>
        <w:rPr>
          <w:snapToGrid w:val="0"/>
        </w:rPr>
      </w:pPr>
      <w:r>
        <w:rPr>
          <w:snapToGrid w:val="0"/>
          <w:vertAlign w:val="superscript"/>
        </w:rPr>
        <w:t>5</w:t>
      </w:r>
      <w:r>
        <w:rPr>
          <w:snapToGrid w:val="0"/>
        </w:rPr>
        <w:tab/>
        <w:t xml:space="preserve">The </w:t>
      </w:r>
      <w:r>
        <w:rPr>
          <w:i/>
          <w:snapToGrid w:val="0"/>
        </w:rPr>
        <w:t>Police Amendment Act 2003</w:t>
      </w:r>
      <w:r>
        <w:rPr>
          <w:snapToGrid w:val="0"/>
        </w:rPr>
        <w:t xml:space="preserve"> s. 9 is a transitional provision that is of no further effect.</w:t>
      </w:r>
    </w:p>
    <w:p>
      <w:pPr>
        <w:pStyle w:val="nNote"/>
        <w:keepNext/>
        <w:keepLines/>
        <w:rPr>
          <w:snapToGrid w:val="0"/>
        </w:rPr>
      </w:pPr>
      <w:r>
        <w:rPr>
          <w:snapToGrid w:val="0"/>
          <w:vertAlign w:val="superscript"/>
        </w:rPr>
        <w:t>6</w:t>
      </w:r>
      <w:r>
        <w:rPr>
          <w:snapToGrid w:val="0"/>
        </w:rPr>
        <w:tab/>
      </w:r>
      <w:r>
        <w:t>The</w:t>
      </w:r>
      <w:r>
        <w:rPr>
          <w:snapToGrid w:val="0"/>
        </w:rPr>
        <w:t xml:space="preserve"> </w:t>
      </w:r>
      <w:r>
        <w:rPr>
          <w:i/>
          <w:snapToGrid w:val="0"/>
        </w:rPr>
        <w:t>Racing and Gambling Legislation Amendment and Repeal Act 2003</w:t>
      </w:r>
      <w:r>
        <w:rPr>
          <w:snapToGrid w:val="0"/>
        </w:rPr>
        <w:t xml:space="preserve"> s. 178 is a savings provision that is of no further effect.</w:t>
      </w:r>
    </w:p>
    <w:p>
      <w:pPr>
        <w:pStyle w:val="nNote"/>
        <w:spacing w:before="120"/>
        <w:rPr>
          <w:snapToGrid w:val="0"/>
        </w:rPr>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vertAlign w:val="superscript"/>
        </w:rPr>
        <w:lastRenderedPageBreak/>
        <w:t>8</w:t>
      </w:r>
      <w:r>
        <w:tab/>
      </w:r>
      <w:r>
        <w:rPr>
          <w:snapToGrid w:val="0"/>
        </w:rPr>
        <w:t xml:space="preserve">The </w:t>
      </w:r>
      <w:r>
        <w:rPr>
          <w:i/>
          <w:snapToGrid w:val="0"/>
        </w:rPr>
        <w:t>Criminal Law Amendment (Simple Offences) Act 2004</w:t>
      </w:r>
      <w:r>
        <w:rPr>
          <w:snapToGrid w:val="0"/>
        </w:rPr>
        <w:t xml:space="preserve"> Pt. 3 Div. 2 is a transitional provision that is of no further effect.</w:t>
      </w:r>
    </w:p>
    <w:p>
      <w:pPr>
        <w:pStyle w:val="nNote"/>
        <w:keepNext/>
        <w:keepLines/>
        <w:rPr>
          <w:snapToGrid w:val="0"/>
        </w:rPr>
      </w:pPr>
      <w:r>
        <w:rPr>
          <w:snapToGrid w:val="0"/>
          <w:vertAlign w:val="superscript"/>
        </w:rPr>
        <w:t>9</w:t>
      </w:r>
      <w:r>
        <w:rPr>
          <w:snapToGrid w:val="0"/>
        </w:rPr>
        <w:tab/>
        <w:t xml:space="preserve">The </w:t>
      </w:r>
      <w:r>
        <w:rPr>
          <w:i/>
          <w:snapToGrid w:val="0"/>
          <w:sz w:val="19"/>
        </w:rPr>
        <w:t>Criminal Investigation (Consequential Provisions) Act 2006</w:t>
      </w:r>
      <w:r>
        <w:rPr>
          <w:snapToGrid w:val="0"/>
          <w:sz w:val="19"/>
        </w:rPr>
        <w:t xml:space="preserve"> Pt. 12 Div. 2 </w:t>
      </w:r>
      <w:r>
        <w:rPr>
          <w:snapToGrid w:val="0"/>
        </w:rPr>
        <w:t>reads as follows:</w:t>
      </w:r>
    </w:p>
    <w:p>
      <w:pPr>
        <w:pStyle w:val="BlankOpen"/>
        <w:rPr>
          <w:snapToGrid w:val="0"/>
        </w:rPr>
      </w:pPr>
    </w:p>
    <w:p>
      <w:pPr>
        <w:pStyle w:val="nzHeading3"/>
        <w:spacing w:before="0"/>
      </w:pPr>
      <w:r>
        <w:rPr>
          <w:rStyle w:val="CharDivNo"/>
        </w:rPr>
        <w:t>Division 2</w:t>
      </w:r>
      <w:r>
        <w:t> — </w:t>
      </w:r>
      <w:r>
        <w:rPr>
          <w:rStyle w:val="CharDivText"/>
        </w:rPr>
        <w:t>Transitional provisions</w:t>
      </w:r>
    </w:p>
    <w:p>
      <w:pPr>
        <w:pStyle w:val="nzHeading5"/>
        <w:spacing w:before="180"/>
      </w:pPr>
      <w:r>
        <w:rPr>
          <w:rStyle w:val="CharSectno"/>
        </w:rPr>
        <w:t>68</w:t>
      </w:r>
      <w:r>
        <w:t>.</w:t>
      </w:r>
      <w:r>
        <w:tab/>
        <w:t>Existing special constables’ appointments terminated</w:t>
      </w:r>
    </w:p>
    <w:p>
      <w:pPr>
        <w:pStyle w:val="nzSubsection"/>
      </w:pPr>
      <w:r>
        <w:tab/>
        <w:t>(1)</w:t>
      </w:r>
      <w:r>
        <w:tab/>
        <w:t xml:space="preserve">If immediately before the commencement of section 63 a person holds an appointment as a special constable made under the </w:t>
      </w:r>
      <w:r>
        <w:rPr>
          <w:i/>
        </w:rPr>
        <w:t xml:space="preserve">Police Act 1892 </w:t>
      </w:r>
      <w:r>
        <w:t>Part III, then on the commencement of section 63 the person ceases to be a special constable.</w:t>
      </w:r>
    </w:p>
    <w:p>
      <w:pPr>
        <w:pStyle w:val="nzSubsection"/>
      </w:pPr>
      <w:r>
        <w:tab/>
        <w:t>(2)</w:t>
      </w:r>
      <w:r>
        <w:tab/>
        <w:t xml:space="preserve">Subsection (1) does not prevent the appointment of a person to whom it applies as a special constable under the </w:t>
      </w:r>
      <w:r>
        <w:rPr>
          <w:i/>
        </w:rPr>
        <w:t xml:space="preserve">Police Act 1892 </w:t>
      </w:r>
      <w:r>
        <w:t>Part III as inserted by section 63.</w:t>
      </w:r>
    </w:p>
    <w:p>
      <w:pPr>
        <w:pStyle w:val="nzHeading5"/>
        <w:spacing w:before="160"/>
      </w:pPr>
      <w:r>
        <w:rPr>
          <w:rStyle w:val="CharSectno"/>
        </w:rPr>
        <w:t>69</w:t>
      </w:r>
      <w:r>
        <w:t>.</w:t>
      </w:r>
      <w:r>
        <w:tab/>
        <w:t>Search warrants and related matters</w:t>
      </w:r>
    </w:p>
    <w:p>
      <w:pPr>
        <w:pStyle w:val="nzSubsection"/>
        <w:spacing w:before="100"/>
      </w:pPr>
      <w:r>
        <w:tab/>
        <w:t>(1)</w:t>
      </w:r>
      <w:r>
        <w:tab/>
        <w:t xml:space="preserve">In this section — </w:t>
      </w:r>
    </w:p>
    <w:p>
      <w:pPr>
        <w:pStyle w:val="nzDefstart"/>
        <w:spacing w:before="60"/>
      </w:pPr>
      <w:r>
        <w:rPr>
          <w:b/>
        </w:rPr>
        <w:tab/>
      </w:r>
      <w:r>
        <w:rPr>
          <w:rStyle w:val="CharDefText"/>
        </w:rPr>
        <w:t>repeal day</w:t>
      </w:r>
      <w:r>
        <w:t xml:space="preserve"> means the day on which section 64 comes into operation.</w:t>
      </w:r>
    </w:p>
    <w:p>
      <w:pPr>
        <w:pStyle w:val="nzSubsection"/>
        <w:spacing w:before="100"/>
      </w:pPr>
      <w:r>
        <w:tab/>
        <w:t>(2)</w:t>
      </w:r>
      <w:r>
        <w:tab/>
        <w:t xml:space="preserve">This section does not limit the operation of the </w:t>
      </w:r>
      <w:r>
        <w:rPr>
          <w:i/>
        </w:rPr>
        <w:t>Interpretation Act 1984</w:t>
      </w:r>
      <w:r>
        <w:t xml:space="preserve"> Part V.</w:t>
      </w:r>
    </w:p>
    <w:p>
      <w:pPr>
        <w:pStyle w:val="nzSubsection"/>
        <w:spacing w:before="100"/>
      </w:pPr>
      <w:r>
        <w:tab/>
        <w:t>(3)</w:t>
      </w:r>
      <w:r>
        <w:tab/>
        <w:t xml:space="preserve">If immediately before repeal day a warrant issued under the </w:t>
      </w:r>
      <w:r>
        <w:rPr>
          <w:i/>
        </w:rPr>
        <w:t xml:space="preserve">Police Act 1892 </w:t>
      </w:r>
      <w:r>
        <w:t>section 70 is in force but not executed, then, subject to the terms of the warrant, the warrant may be executed on or after repeal day and, if any thing is seized under it —</w:t>
      </w:r>
    </w:p>
    <w:p>
      <w:pPr>
        <w:pStyle w:val="nzIndenta"/>
      </w:pPr>
      <w:r>
        <w:tab/>
        <w:t>(a)</w:t>
      </w:r>
      <w:r>
        <w:tab/>
        <w:t>despite section 70 and the warrant, the thing must not be taken before a Justice; and</w:t>
      </w:r>
    </w:p>
    <w:p>
      <w:pPr>
        <w:pStyle w:val="nzIndenta"/>
      </w:pPr>
      <w:r>
        <w:tab/>
        <w:t>(b)</w:t>
      </w:r>
      <w:r>
        <w:tab/>
        <w:t xml:space="preserve">the </w:t>
      </w:r>
      <w:r>
        <w:rPr>
          <w:i/>
        </w:rPr>
        <w:t>Criminal and Found Property Disposal Act 2006</w:t>
      </w:r>
      <w:r>
        <w:t xml:space="preserve"> applies to and in respect of the thing.</w:t>
      </w:r>
    </w:p>
    <w:p>
      <w:pPr>
        <w:pStyle w:val="nzHeading5"/>
      </w:pPr>
      <w:r>
        <w:rPr>
          <w:rStyle w:val="CharSectno"/>
        </w:rPr>
        <w:t>70</w:t>
      </w:r>
      <w:r>
        <w:t>.</w:t>
      </w:r>
      <w:r>
        <w:tab/>
        <w:t>Embargo notices</w:t>
      </w:r>
    </w:p>
    <w:p>
      <w:pPr>
        <w:pStyle w:val="nzSubsection"/>
      </w:pPr>
      <w:r>
        <w:tab/>
        <w:t>(1)</w:t>
      </w:r>
      <w:r>
        <w:tab/>
        <w:t xml:space="preserve">In this section — </w:t>
      </w:r>
    </w:p>
    <w:p>
      <w:pPr>
        <w:pStyle w:val="nzDefstart"/>
      </w:pPr>
      <w:r>
        <w:rPr>
          <w:b/>
        </w:rPr>
        <w:tab/>
      </w:r>
      <w:r>
        <w:rPr>
          <w:rStyle w:val="CharDefText"/>
        </w:rPr>
        <w:t>repeal day</w:t>
      </w:r>
      <w:r>
        <w:t xml:space="preserve"> means the day on which section 65 comes into operation.</w:t>
      </w:r>
    </w:p>
    <w:p>
      <w:pPr>
        <w:pStyle w:val="nzSubsection"/>
      </w:pPr>
      <w:r>
        <w:tab/>
        <w:t>(2)</w:t>
      </w:r>
      <w:r>
        <w:tab/>
        <w:t xml:space="preserve">If immediately before repeal day any property is subject to an embargo notice granted under the </w:t>
      </w:r>
      <w:r>
        <w:rPr>
          <w:i/>
        </w:rPr>
        <w:t>Police Act 1892</w:t>
      </w:r>
      <w:r>
        <w:t xml:space="preserve"> section 90B, whether the property was seized under Part V of that Act or under an Act that refers to that section, then on and after repeal day sections 90B and 90C of that Act apply to and in respect of the notice as if they had not been repealed.</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205" w:name="_Toc91142232"/>
      <w:r>
        <w:rPr>
          <w:sz w:val="28"/>
        </w:rPr>
        <w:lastRenderedPageBreak/>
        <w:t>Defined terms</w:t>
      </w:r>
      <w:bookmarkEnd w:id="2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39A</w:t>
      </w:r>
    </w:p>
    <w:p>
      <w:pPr>
        <w:pStyle w:val="DefinedTerms"/>
      </w:pPr>
      <w:r>
        <w:t>AIDS</w:t>
      </w:r>
      <w:r>
        <w:tab/>
        <w:t>33ZY(1)</w:t>
      </w:r>
    </w:p>
    <w:p>
      <w:pPr>
        <w:pStyle w:val="DefinedTerms"/>
      </w:pPr>
      <w:r>
        <w:t>APLO</w:t>
      </w:r>
      <w:r>
        <w:tab/>
        <w:t>38A</w:t>
      </w:r>
    </w:p>
    <w:p>
      <w:pPr>
        <w:pStyle w:val="DefinedTerms"/>
      </w:pPr>
      <w:r>
        <w:t>appellant</w:t>
      </w:r>
      <w:r>
        <w:tab/>
        <w:t>33K, 33ZB</w:t>
      </w:r>
    </w:p>
    <w:p>
      <w:pPr>
        <w:pStyle w:val="DefinedTerms"/>
      </w:pPr>
      <w:r>
        <w:t>approved medical specialist</w:t>
      </w:r>
      <w:r>
        <w:tab/>
        <w:t>33ZS(1)</w:t>
      </w:r>
    </w:p>
    <w:p>
      <w:pPr>
        <w:pStyle w:val="DefinedTerms"/>
      </w:pPr>
      <w:r>
        <w:t>assessor</w:t>
      </w:r>
      <w:r>
        <w:tab/>
        <w:t>33ZZ(1) and (5)</w:t>
      </w:r>
    </w:p>
    <w:p>
      <w:pPr>
        <w:pStyle w:val="DefinedTerms"/>
      </w:pPr>
      <w:r>
        <w:t>Board</w:t>
      </w:r>
      <w:r>
        <w:tab/>
        <w:t>33A</w:t>
      </w:r>
    </w:p>
    <w:p>
      <w:pPr>
        <w:pStyle w:val="DefinedTerms"/>
      </w:pPr>
      <w:r>
        <w:t>Chairman</w:t>
      </w:r>
      <w:r>
        <w:tab/>
        <w:t>33A</w:t>
      </w:r>
    </w:p>
    <w:p>
      <w:pPr>
        <w:pStyle w:val="DefinedTerms"/>
      </w:pPr>
      <w:r>
        <w:t>charitable organisation</w:t>
      </w:r>
      <w:r>
        <w:tab/>
        <w:t>39E</w:t>
      </w:r>
    </w:p>
    <w:p>
      <w:pPr>
        <w:pStyle w:val="DefinedTerms"/>
      </w:pPr>
      <w:r>
        <w:t>Chief Commissioner</w:t>
      </w:r>
      <w:r>
        <w:tab/>
        <w:t>33K, 33ZB</w:t>
      </w:r>
    </w:p>
    <w:p>
      <w:pPr>
        <w:pStyle w:val="DefinedTerms"/>
      </w:pPr>
      <w:r>
        <w:t>close relative</w:t>
      </w:r>
      <w:r>
        <w:tab/>
        <w:t>138(5)</w:t>
      </w:r>
    </w:p>
    <w:p>
      <w:pPr>
        <w:pStyle w:val="DefinedTerms"/>
      </w:pPr>
      <w:r>
        <w:t>commencement day</w:t>
      </w:r>
      <w:r>
        <w:tab/>
        <w:t>33Z(1), 33ZQ(1), 39N(1)</w:t>
      </w:r>
    </w:p>
    <w:p>
      <w:pPr>
        <w:pStyle w:val="DefinedTerms"/>
      </w:pPr>
      <w:r>
        <w:t>Commission</w:t>
      </w:r>
      <w:r>
        <w:tab/>
        <w:t>33ZL</w:t>
      </w:r>
    </w:p>
    <w:p>
      <w:pPr>
        <w:pStyle w:val="DefinedTerms"/>
      </w:pPr>
      <w:r>
        <w:t>Commissioner</w:t>
      </w:r>
      <w:r>
        <w:tab/>
        <w:t>33A, 34, 38A, 38F</w:t>
      </w:r>
    </w:p>
    <w:p>
      <w:pPr>
        <w:pStyle w:val="DefinedTerms"/>
      </w:pPr>
      <w:r>
        <w:t>compensable medical condition</w:t>
      </w:r>
      <w:r>
        <w:tab/>
        <w:t>33ZS(1)</w:t>
      </w:r>
    </w:p>
    <w:p>
      <w:pPr>
        <w:pStyle w:val="DefinedTerms"/>
      </w:pPr>
      <w:r>
        <w:t>contract</w:t>
      </w:r>
      <w:r>
        <w:tab/>
        <w:t>39A</w:t>
      </w:r>
    </w:p>
    <w:p>
      <w:pPr>
        <w:pStyle w:val="DefinedTerms"/>
      </w:pPr>
      <w:r>
        <w:t>degree of permanent impairment</w:t>
      </w:r>
      <w:r>
        <w:tab/>
        <w:t>33ZW(1)</w:t>
      </w:r>
    </w:p>
    <w:p>
      <w:pPr>
        <w:pStyle w:val="DefinedTerms"/>
      </w:pPr>
      <w:r>
        <w:t>Department</w:t>
      </w:r>
      <w:r>
        <w:tab/>
        <w:t>39A, 39E, 138AA(1)</w:t>
      </w:r>
    </w:p>
    <w:p>
      <w:pPr>
        <w:pStyle w:val="DefinedTerms"/>
      </w:pPr>
      <w:r>
        <w:t>designated person</w:t>
      </w:r>
      <w:r>
        <w:tab/>
        <w:t>135(1)</w:t>
      </w:r>
    </w:p>
    <w:p>
      <w:pPr>
        <w:pStyle w:val="DefinedTerms"/>
      </w:pPr>
      <w:r>
        <w:t>disease</w:t>
      </w:r>
      <w:r>
        <w:tab/>
        <w:t>33ZS(1)</w:t>
      </w:r>
    </w:p>
    <w:p>
      <w:pPr>
        <w:pStyle w:val="DefinedTerms"/>
      </w:pPr>
      <w:r>
        <w:t>disputed decision</w:t>
      </w:r>
      <w:r>
        <w:tab/>
        <w:t>33ZB, 33ZI(2)</w:t>
      </w:r>
    </w:p>
    <w:p>
      <w:pPr>
        <w:pStyle w:val="DefinedTerms"/>
      </w:pPr>
      <w:r>
        <w:t>entitlement day</w:t>
      </w:r>
      <w:r>
        <w:tab/>
        <w:t>33ZS(1)</w:t>
      </w:r>
    </w:p>
    <w:p>
      <w:pPr>
        <w:pStyle w:val="DefinedTerms"/>
      </w:pPr>
      <w:r>
        <w:t>entitlement financial year</w:t>
      </w:r>
      <w:r>
        <w:tab/>
        <w:t>33ZS(1)</w:t>
      </w:r>
    </w:p>
    <w:p>
      <w:pPr>
        <w:pStyle w:val="DefinedTerms"/>
      </w:pPr>
      <w:r>
        <w:t>event</w:t>
      </w:r>
      <w:r>
        <w:tab/>
        <w:t>39E</w:t>
      </w:r>
    </w:p>
    <w:p>
      <w:pPr>
        <w:pStyle w:val="DefinedTerms"/>
      </w:pPr>
      <w:r>
        <w:t>family violence</w:t>
      </w:r>
      <w:r>
        <w:tab/>
        <w:t>135(1)</w:t>
      </w:r>
    </w:p>
    <w:p>
      <w:pPr>
        <w:pStyle w:val="DefinedTerms"/>
      </w:pPr>
      <w:r>
        <w:t>government-sponsored event</w:t>
      </w:r>
      <w:r>
        <w:tab/>
        <w:t>39E</w:t>
      </w:r>
    </w:p>
    <w:p>
      <w:pPr>
        <w:pStyle w:val="DefinedTerms"/>
      </w:pPr>
      <w:r>
        <w:t>industrial Commissioner</w:t>
      </w:r>
      <w:r>
        <w:tab/>
        <w:t>33K, 33ZB, 33ZZA(1)</w:t>
      </w:r>
    </w:p>
    <w:p>
      <w:pPr>
        <w:pStyle w:val="DefinedTerms"/>
      </w:pPr>
      <w:r>
        <w:t>IR Act</w:t>
      </w:r>
      <w:r>
        <w:tab/>
        <w:t>33ZS(1)</w:t>
      </w:r>
    </w:p>
    <w:p>
      <w:pPr>
        <w:pStyle w:val="DefinedTerms"/>
      </w:pPr>
      <w:r>
        <w:t>IR regulations</w:t>
      </w:r>
      <w:r>
        <w:tab/>
        <w:t>33ZS(1)</w:t>
      </w:r>
    </w:p>
    <w:p>
      <w:pPr>
        <w:pStyle w:val="DefinedTerms"/>
      </w:pPr>
      <w:r>
        <w:t>lodgment period</w:t>
      </w:r>
      <w:r>
        <w:tab/>
        <w:t>33ZZB(2) and (5)</w:t>
      </w:r>
    </w:p>
    <w:p>
      <w:pPr>
        <w:pStyle w:val="DefinedTerms"/>
      </w:pPr>
      <w:r>
        <w:t>loss of hearing</w:t>
      </w:r>
      <w:r>
        <w:tab/>
        <w:t>33ZX(1)</w:t>
      </w:r>
    </w:p>
    <w:p>
      <w:pPr>
        <w:pStyle w:val="DefinedTerms"/>
      </w:pPr>
      <w:r>
        <w:t>major event</w:t>
      </w:r>
      <w:r>
        <w:tab/>
        <w:t>39E, 39F</w:t>
      </w:r>
    </w:p>
    <w:p>
      <w:pPr>
        <w:pStyle w:val="DefinedTerms"/>
      </w:pPr>
      <w:r>
        <w:t>medical condition</w:t>
      </w:r>
      <w:r>
        <w:tab/>
        <w:t>33ZS(1)</w:t>
      </w:r>
    </w:p>
    <w:p>
      <w:pPr>
        <w:pStyle w:val="DefinedTerms"/>
      </w:pPr>
      <w:r>
        <w:t>medically retired member</w:t>
      </w:r>
      <w:r>
        <w:tab/>
        <w:t>33ZS(1)</w:t>
      </w:r>
    </w:p>
    <w:p>
      <w:pPr>
        <w:pStyle w:val="DefinedTerms"/>
      </w:pPr>
      <w:r>
        <w:t>medically unfit</w:t>
      </w:r>
      <w:r>
        <w:tab/>
        <w:t>33ZB</w:t>
      </w:r>
    </w:p>
    <w:p>
      <w:pPr>
        <w:pStyle w:val="DefinedTerms"/>
      </w:pPr>
      <w:r>
        <w:t>medical practitioner</w:t>
      </w:r>
      <w:r>
        <w:tab/>
        <w:t>33ZB</w:t>
      </w:r>
    </w:p>
    <w:p>
      <w:pPr>
        <w:pStyle w:val="DefinedTerms"/>
      </w:pPr>
      <w:r>
        <w:t>member</w:t>
      </w:r>
      <w:r>
        <w:tab/>
        <w:t>33A, 33K, 33ZB, 33ZS(1)</w:t>
      </w:r>
    </w:p>
    <w:p>
      <w:pPr>
        <w:pStyle w:val="DefinedTerms"/>
      </w:pPr>
      <w:r>
        <w:t>member of the Police Force</w:t>
      </w:r>
      <w:r>
        <w:tab/>
        <w:t>136(1)</w:t>
      </w:r>
    </w:p>
    <w:p>
      <w:pPr>
        <w:pStyle w:val="DefinedTerms"/>
      </w:pPr>
      <w:r>
        <w:t>member’s prescribed amount</w:t>
      </w:r>
      <w:r>
        <w:tab/>
        <w:t>33ZV(2)</w:t>
      </w:r>
    </w:p>
    <w:p>
      <w:pPr>
        <w:pStyle w:val="DefinedTerms"/>
      </w:pPr>
      <w:r>
        <w:t>new evidence</w:t>
      </w:r>
      <w:r>
        <w:tab/>
        <w:t>33R(11), 33ZK(1)</w:t>
      </w:r>
    </w:p>
    <w:p>
      <w:pPr>
        <w:pStyle w:val="DefinedTerms"/>
      </w:pPr>
      <w:r>
        <w:lastRenderedPageBreak/>
        <w:t>noise induced hearing loss</w:t>
      </w:r>
      <w:r>
        <w:tab/>
        <w:t>33ZX(1)</w:t>
      </w:r>
    </w:p>
    <w:p>
      <w:pPr>
        <w:pStyle w:val="DefinedTerms"/>
      </w:pPr>
      <w:r>
        <w:t>police auxiliary officer</w:t>
      </w:r>
      <w:r>
        <w:tab/>
        <w:t>38F</w:t>
      </w:r>
    </w:p>
    <w:p>
      <w:pPr>
        <w:pStyle w:val="DefinedTerms"/>
      </w:pPr>
      <w:r>
        <w:t>police clothing</w:t>
      </w:r>
      <w:r>
        <w:tab/>
        <w:t>16(1)</w:t>
      </w:r>
    </w:p>
    <w:p>
      <w:pPr>
        <w:pStyle w:val="DefinedTerms"/>
      </w:pPr>
      <w:r>
        <w:t>Police Commissioner</w:t>
      </w:r>
      <w:r>
        <w:tab/>
        <w:t>33ZB, 33ZS(1)</w:t>
      </w:r>
    </w:p>
    <w:p>
      <w:pPr>
        <w:pStyle w:val="DefinedTerms"/>
      </w:pPr>
      <w:r>
        <w:t>police officer</w:t>
      </w:r>
      <w:r>
        <w:tab/>
        <w:t>34, 38A, 38F</w:t>
      </w:r>
    </w:p>
    <w:p>
      <w:pPr>
        <w:pStyle w:val="DefinedTerms"/>
      </w:pPr>
      <w:r>
        <w:t>police property</w:t>
      </w:r>
      <w:r>
        <w:tab/>
        <w:t>39A</w:t>
      </w:r>
    </w:p>
    <w:p>
      <w:pPr>
        <w:pStyle w:val="DefinedTerms"/>
      </w:pPr>
      <w:r>
        <w:t>police services</w:t>
      </w:r>
      <w:r>
        <w:tab/>
        <w:t>39E</w:t>
      </w:r>
    </w:p>
    <w:p>
      <w:pPr>
        <w:pStyle w:val="DefinedTerms"/>
      </w:pPr>
      <w:r>
        <w:t>prescribed amount</w:t>
      </w:r>
      <w:r>
        <w:tab/>
        <w:t>33ZS(1) and (2)</w:t>
      </w:r>
    </w:p>
    <w:p>
      <w:pPr>
        <w:pStyle w:val="DefinedTerms"/>
      </w:pPr>
      <w:r>
        <w:t>qualifies for compensation</w:t>
      </w:r>
      <w:r>
        <w:tab/>
        <w:t>33ZZ(1) and (7)</w:t>
      </w:r>
    </w:p>
    <w:p>
      <w:pPr>
        <w:pStyle w:val="DefinedTerms"/>
      </w:pPr>
      <w:r>
        <w:t>removal action</w:t>
      </w:r>
      <w:r>
        <w:tab/>
        <w:t>33K</w:t>
      </w:r>
    </w:p>
    <w:p>
      <w:pPr>
        <w:pStyle w:val="DefinedTerms"/>
      </w:pPr>
      <w:r>
        <w:t>removal from office</w:t>
      </w:r>
      <w:r>
        <w:tab/>
        <w:t>33K</w:t>
      </w:r>
    </w:p>
    <w:p>
      <w:pPr>
        <w:pStyle w:val="DefinedTerms"/>
      </w:pPr>
      <w:r>
        <w:t>retire</w:t>
      </w:r>
      <w:r>
        <w:tab/>
        <w:t>33ZB</w:t>
      </w:r>
    </w:p>
    <w:p>
      <w:pPr>
        <w:pStyle w:val="DefinedTerms"/>
      </w:pPr>
      <w:r>
        <w:t>retirement day</w:t>
      </w:r>
      <w:r>
        <w:tab/>
        <w:t>33ZB, 33ZS(1)</w:t>
      </w:r>
    </w:p>
    <w:p>
      <w:pPr>
        <w:pStyle w:val="DefinedTerms"/>
      </w:pPr>
      <w:r>
        <w:t>Senior Commissioner</w:t>
      </w:r>
      <w:r>
        <w:tab/>
        <w:t>33K, 33ZB</w:t>
      </w:r>
    </w:p>
    <w:p>
      <w:pPr>
        <w:pStyle w:val="DefinedTerms"/>
      </w:pPr>
      <w:r>
        <w:t>special constable</w:t>
      </w:r>
      <w:r>
        <w:tab/>
        <w:t>34</w:t>
      </w:r>
    </w:p>
    <w:p>
      <w:pPr>
        <w:pStyle w:val="DefinedTerms"/>
      </w:pPr>
      <w:r>
        <w:t>the claimant</w:t>
      </w:r>
      <w:r>
        <w:tab/>
        <w:t>138(1)</w:t>
      </w:r>
    </w:p>
    <w:p>
      <w:pPr>
        <w:pStyle w:val="DefinedTerms"/>
      </w:pPr>
      <w:r>
        <w:t>the defendant</w:t>
      </w:r>
      <w:r>
        <w:tab/>
        <w:t>138(1)</w:t>
      </w:r>
    </w:p>
    <w:p>
      <w:pPr>
        <w:pStyle w:val="DefinedTerms"/>
      </w:pPr>
      <w:r>
        <w:t>Treasury</w:t>
      </w:r>
      <w:r>
        <w:tab/>
        <w:t>39A</w:t>
      </w:r>
    </w:p>
    <w:p>
      <w:pPr>
        <w:pStyle w:val="DefinedTerms"/>
      </w:pPr>
      <w:r>
        <w:t>Tribunal</w:t>
      </w:r>
      <w:r>
        <w:tab/>
        <w:t>33ZS(1), 33ZZA(2)</w:t>
      </w:r>
    </w:p>
    <w:p>
      <w:pPr>
        <w:pStyle w:val="DefinedTerms"/>
      </w:pPr>
      <w:r>
        <w:t>vocational rehabilitation amount</w:t>
      </w:r>
      <w:r>
        <w:tab/>
        <w:t>33ZV(4)</w:t>
      </w:r>
    </w:p>
    <w:p>
      <w:pPr>
        <w:pStyle w:val="DefinedTerms"/>
      </w:pPr>
      <w:r>
        <w:t>WAIRC</w:t>
      </w:r>
      <w:r>
        <w:tab/>
        <w:t>33K, 33ZB, 33ZZA(1)</w:t>
      </w:r>
    </w:p>
    <w:p>
      <w:pPr>
        <w:pStyle w:val="DefinedTerms"/>
      </w:pPr>
      <w:r>
        <w:t>WC&amp;IM Act</w:t>
      </w:r>
      <w:r>
        <w:tab/>
        <w:t>33ZS(1)</w:t>
      </w:r>
    </w:p>
    <w:p>
      <w:pPr>
        <w:pStyle w:val="DefinedTerms"/>
      </w:pPr>
      <w:r>
        <w:t>WorkCover Guides</w:t>
      </w:r>
      <w:r>
        <w:tab/>
        <w:t>33ZS(1)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04" w:name="Compilation"/>
    <w:bookmarkEnd w:id="20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6" w:name="DefinedTerms"/>
    <w:bookmarkEnd w:id="20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7" w:name="Coversheet"/>
    <w:bookmarkEnd w:id="2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Police Act 1892</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Act 1892</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46809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54E7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62EA2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6D23F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5F2FF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428D5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D6B1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60E1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4C0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8089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70AC60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21142945"/>
    <w:docVar w:name="WAFER_20140123144410" w:val="RemoveTocBookmarks,RemoveUnusedBookmarks,RemoveLanguageTags,UsedStyles,ResetPageSize,UpdateArrangement"/>
    <w:docVar w:name="WAFER_20140123144410_GUID" w:val="991e7397-7dde-4bea-aa31-b95b47752c5b"/>
    <w:docVar w:name="WAFER_20140123152634" w:val="RemoveTocBookmarks,RunningHeaders"/>
    <w:docVar w:name="WAFER_20140123152634_GUID" w:val="6e1c16bf-648d-487d-9153-f616237f1739"/>
    <w:docVar w:name="WAFER_20150710092438" w:val="ResetPageSize,UpdateArrangement,UpdateNTable"/>
    <w:docVar w:name="WAFER_20150710092438_GUID" w:val="ad658947-9651-4a85-876d-d7dc511183de"/>
    <w:docVar w:name="WAFER_20151109112729" w:val="UpdateStyles,UsedStyles"/>
    <w:docVar w:name="WAFER_20151109112729_GUID" w:val="19eaa961-2d98-4ed4-847f-6a6ae5e5064a"/>
    <w:docVar w:name="WAFER_20151201103549" w:val="RemoveTrackChanges"/>
    <w:docVar w:name="WAFER_20151201103549_GUID" w:val="653f2f20-5750-4030-856d-ca9d4a03a54b"/>
    <w:docVar w:name="WAFER_20180112112351" w:val="RemoveTocBookmarks,RemoveUnusedBookmarks,RemoveLanguageTags,UsedStyles,ResetPageSize"/>
    <w:docVar w:name="WAFER_20180112112351_GUID" w:val="e8b28772-17e4-4607-8ed0-fe0a2ced1e30"/>
    <w:docVar w:name="WAFER_20181213102258" w:val="RemoveTocBookmarks,RemoveUnusedBookmarks,RemoveLanguageTags,UsedStyles,ResetPageSize"/>
    <w:docVar w:name="WAFER_20181213102258_GUID" w:val="c04d6471-185e-4108-98ed-a4f1ecaaa9dc"/>
    <w:docVar w:name="WAFER_20190816165246" w:val="RemoveTocBookmarks,RemoveUnusedBookmarks,RemoveLanguageTags,ResetPageSize,RunningHeaders,UpdateStyles,UsedStyles"/>
    <w:docVar w:name="WAFER_20190816165246_GUID" w:val="2e9546fb-6ea9-4b59-ac89-d0203e98dc3b"/>
    <w:docVar w:name="WAFER_20191128111127" w:val="RemoveTocBookmarks,RemoveUnusedBookmarks,RemoveLanguageTags,ResetPageSize,RunningHeaders,UpdateStyles,UsedStyles"/>
    <w:docVar w:name="WAFER_20191128111127_GUID" w:val="9551231e-eb8e-4794-858b-7be99d981daf"/>
    <w:docVar w:name="WAFER_202007100922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221_GUID" w:val="cc08ce8f-d1a0-407e-b9fe-873f2cfab954"/>
    <w:docVar w:name="WAFER_202007281551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55112_GUID" w:val="ff57b6a4-5b0c-4b35-a37e-cefef224c8bc"/>
    <w:docVar w:name="WAFER_20211214105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05219_GUID" w:val="1d5646d1-6363-42eb-97ce-0afe07620a49"/>
    <w:docVar w:name="WAFER_202112211429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2945_GUID" w:val="a04bebaa-0933-4593-acac-96a3f6e9d0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5:docId w15:val="{0597AF51-6BF5-4D5B-A27B-6549E9D2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Ednotedivision">
    <w:name w:val="Ednote(division)"/>
    <w:basedOn w:val="Ednotepart"/>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5C7CE-A507-45DE-81CC-BD4C5FEAB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31122</Words>
  <Characters>147210</Characters>
  <Application>Microsoft Office Word</Application>
  <DocSecurity>0</DocSecurity>
  <Lines>4460</Lines>
  <Paragraphs>2584</Paragraphs>
  <ScaleCrop>false</ScaleCrop>
  <HeadingPairs>
    <vt:vector size="2" baseType="variant">
      <vt:variant>
        <vt:lpstr>Title</vt:lpstr>
      </vt:variant>
      <vt:variant>
        <vt:i4>1</vt:i4>
      </vt:variant>
    </vt:vector>
  </HeadingPairs>
  <TitlesOfParts>
    <vt:vector size="1" baseType="lpstr">
      <vt:lpstr>POLICE ACT 1892</vt:lpstr>
    </vt:vector>
  </TitlesOfParts>
  <Manager/>
  <Company/>
  <LinksUpToDate>false</LinksUpToDate>
  <CharactersWithSpaces>175748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1892 - 14-m0-00</dc:title>
  <dc:subject/>
  <dc:creator/>
  <cp:keywords/>
  <dc:description/>
  <cp:lastModifiedBy>Master Repository Process</cp:lastModifiedBy>
  <cp:revision>4</cp:revision>
  <cp:lastPrinted>2019-11-28T07:27:00Z</cp:lastPrinted>
  <dcterms:created xsi:type="dcterms:W3CDTF">2021-12-31T01:48:00Z</dcterms:created>
  <dcterms:modified xsi:type="dcterms:W3CDTF">2021-12-31T01:48:00Z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1892</vt:lpwstr>
  </property>
  <property fmtid="{D5CDD505-2E9C-101B-9397-08002B2CF9AE}" pid="3" name="DocumentType">
    <vt:lpwstr>Act</vt:lpwstr>
  </property>
  <property fmtid="{D5CDD505-2E9C-101B-9397-08002B2CF9AE}" pid="4" name="OwlsUID">
    <vt:i4>615</vt:i4>
  </property>
  <property fmtid="{D5CDD505-2E9C-101B-9397-08002B2CF9AE}" pid="5" name="ReprintNo">
    <vt:lpwstr>14</vt:lpwstr>
  </property>
  <property fmtid="{D5CDD505-2E9C-101B-9397-08002B2CF9AE}" pid="6" name="AsAtDate">
    <vt:lpwstr>01 Jan 2022</vt:lpwstr>
  </property>
  <property fmtid="{D5CDD505-2E9C-101B-9397-08002B2CF9AE}" pid="7" name="Suffix">
    <vt:lpwstr>14-m0-00</vt:lpwstr>
  </property>
  <property fmtid="{D5CDD505-2E9C-101B-9397-08002B2CF9AE}" pid="8" name="CommencementDate">
    <vt:lpwstr>20220101</vt:lpwstr>
  </property>
</Properties>
</file>