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Supreme Court (General)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Supreme Court (General)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_Toc425243495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_Toc425243496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_Toc425243497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rules</w:t>
      </w:r>
      <w:r>
        <w:tab/>
      </w:r>
      <w:r>
        <w:fldChar w:fldCharType="begin"/>
      </w:r>
      <w:r>
        <w:instrText xml:space="preserve"> PAGEREF _Toc425243498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Recording proceedings</w:t>
      </w:r>
    </w:p>
    <w:p>
      <w:pPr>
        <w:pStyle w:val="TOC8"/>
        <w:rPr>
          <w:rFonts w:asciiTheme="minorHAnsi" w:eastAsiaTheme="minorEastAsia" w:hAnsiTheme="minorHAnsi" w:cstheme="minorBidi"/>
          <w:szCs w:val="22"/>
        </w:rPr>
      </w:pPr>
      <w:r>
        <w:t>5.</w:t>
      </w:r>
      <w:r>
        <w:tab/>
        <w:t>Interpretation</w:t>
      </w:r>
      <w:r>
        <w:tab/>
      </w:r>
      <w:r>
        <w:fldChar w:fldCharType="begin"/>
      </w:r>
      <w:r>
        <w:instrText xml:space="preserve"> PAGEREF _Toc425243500 \h </w:instrText>
      </w:r>
      <w:r>
        <w:fldChar w:fldCharType="separate"/>
      </w:r>
      <w:r>
        <w:t>2</w:t>
      </w:r>
      <w:r>
        <w:fldChar w:fldCharType="end"/>
      </w:r>
    </w:p>
    <w:p>
      <w:pPr>
        <w:pStyle w:val="TOC8"/>
        <w:rPr>
          <w:rFonts w:asciiTheme="minorHAnsi" w:eastAsiaTheme="minorEastAsia" w:hAnsiTheme="minorHAnsi" w:cstheme="minorBidi"/>
          <w:szCs w:val="22"/>
        </w:rPr>
      </w:pPr>
      <w:r>
        <w:t>6.</w:t>
      </w:r>
      <w:r>
        <w:tab/>
        <w:t>Transcripts may be in electronic form</w:t>
      </w:r>
      <w:r>
        <w:tab/>
      </w:r>
      <w:r>
        <w:fldChar w:fldCharType="begin"/>
      </w:r>
      <w:r>
        <w:instrText xml:space="preserve"> PAGEREF _Toc425243501 \h </w:instrText>
      </w:r>
      <w:r>
        <w:fldChar w:fldCharType="separate"/>
      </w:r>
      <w:r>
        <w:t>2</w:t>
      </w:r>
      <w:r>
        <w:fldChar w:fldCharType="end"/>
      </w:r>
    </w:p>
    <w:p>
      <w:pPr>
        <w:pStyle w:val="TOC8"/>
        <w:rPr>
          <w:rFonts w:asciiTheme="minorHAnsi" w:eastAsiaTheme="minorEastAsia" w:hAnsiTheme="minorHAnsi" w:cstheme="minorBidi"/>
          <w:szCs w:val="22"/>
        </w:rPr>
      </w:pPr>
      <w:r>
        <w:t>7.</w:t>
      </w:r>
      <w:r>
        <w:tab/>
        <w:t>Which proceedings are to be recorded and transcribed</w:t>
      </w:r>
      <w:r>
        <w:tab/>
      </w:r>
      <w:r>
        <w:fldChar w:fldCharType="begin"/>
      </w:r>
      <w:r>
        <w:instrText xml:space="preserve"> PAGEREF _Toc425243502 \h </w:instrText>
      </w:r>
      <w:r>
        <w:fldChar w:fldCharType="separate"/>
      </w:r>
      <w:r>
        <w:t>2</w:t>
      </w:r>
      <w:r>
        <w:fldChar w:fldCharType="end"/>
      </w:r>
    </w:p>
    <w:p>
      <w:pPr>
        <w:pStyle w:val="TOC8"/>
        <w:rPr>
          <w:rFonts w:asciiTheme="minorHAnsi" w:eastAsiaTheme="minorEastAsia" w:hAnsiTheme="minorHAnsi" w:cstheme="minorBidi"/>
          <w:szCs w:val="22"/>
        </w:rPr>
      </w:pPr>
      <w:r>
        <w:t>8.</w:t>
      </w:r>
      <w:r>
        <w:tab/>
        <w:t>Recorders and transcribers, duties of</w:t>
      </w:r>
      <w:r>
        <w:tab/>
      </w:r>
      <w:r>
        <w:fldChar w:fldCharType="begin"/>
      </w:r>
      <w:r>
        <w:instrText xml:space="preserve"> PAGEREF _Toc425243503 \h </w:instrText>
      </w:r>
      <w:r>
        <w:fldChar w:fldCharType="separate"/>
      </w:r>
      <w:r>
        <w:t>2</w:t>
      </w:r>
      <w:r>
        <w:fldChar w:fldCharType="end"/>
      </w:r>
    </w:p>
    <w:p>
      <w:pPr>
        <w:pStyle w:val="TOC8"/>
        <w:rPr>
          <w:rFonts w:asciiTheme="minorHAnsi" w:eastAsiaTheme="minorEastAsia" w:hAnsiTheme="minorHAnsi" w:cstheme="minorBidi"/>
          <w:szCs w:val="22"/>
        </w:rPr>
      </w:pPr>
      <w:r>
        <w:t>9.</w:t>
      </w:r>
      <w:r>
        <w:tab/>
        <w:t>Accuracy, requesting a check of</w:t>
      </w:r>
      <w:r>
        <w:tab/>
      </w:r>
      <w:r>
        <w:fldChar w:fldCharType="begin"/>
      </w:r>
      <w:r>
        <w:instrText xml:space="preserve"> PAGEREF _Toc425243504 \h </w:instrText>
      </w:r>
      <w:r>
        <w:fldChar w:fldCharType="separate"/>
      </w:r>
      <w:r>
        <w:t>3</w:t>
      </w:r>
      <w:r>
        <w:fldChar w:fldCharType="end"/>
      </w:r>
    </w:p>
    <w:p>
      <w:pPr>
        <w:pStyle w:val="TOC8"/>
        <w:rPr>
          <w:rFonts w:asciiTheme="minorHAnsi" w:eastAsiaTheme="minorEastAsia" w:hAnsiTheme="minorHAnsi" w:cstheme="minorBidi"/>
          <w:szCs w:val="22"/>
        </w:rPr>
      </w:pPr>
      <w:r>
        <w:t>10.</w:t>
      </w:r>
      <w:r>
        <w:tab/>
        <w:t>Certificate of accuracy</w:t>
      </w:r>
      <w:r>
        <w:tab/>
      </w:r>
      <w:r>
        <w:fldChar w:fldCharType="begin"/>
      </w:r>
      <w:r>
        <w:instrText xml:space="preserve"> PAGEREF _Toc425243505 \h </w:instrText>
      </w:r>
      <w:r>
        <w:fldChar w:fldCharType="separate"/>
      </w:r>
      <w:r>
        <w:t>4</w:t>
      </w:r>
      <w:r>
        <w:fldChar w:fldCharType="end"/>
      </w:r>
    </w:p>
    <w:p>
      <w:pPr>
        <w:pStyle w:val="TOC8"/>
        <w:rPr>
          <w:rFonts w:asciiTheme="minorHAnsi" w:eastAsiaTheme="minorEastAsia" w:hAnsiTheme="minorHAnsi" w:cstheme="minorBidi"/>
          <w:szCs w:val="22"/>
        </w:rPr>
      </w:pPr>
      <w:r>
        <w:t>11.</w:t>
      </w:r>
      <w:r>
        <w:tab/>
        <w:t>Custody of recordings and transcripts</w:t>
      </w:r>
      <w:r>
        <w:tab/>
      </w:r>
      <w:r>
        <w:fldChar w:fldCharType="begin"/>
      </w:r>
      <w:r>
        <w:instrText xml:space="preserve"> PAGEREF _Toc425243506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_Toc425243508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Supreme Court Act 1935</w:t>
      </w:r>
    </w:p>
    <w:p>
      <w:pPr>
        <w:pStyle w:val="NameofActReg"/>
      </w:pPr>
      <w:r>
        <w:t>Supreme Court (General) Rules 2005</w:t>
      </w:r>
    </w:p>
    <w:p>
      <w:pPr>
        <w:pStyle w:val="Heading2"/>
        <w:pageBreakBefore w:val="0"/>
        <w:spacing w:before="240"/>
      </w:pPr>
      <w:bookmarkStart w:id="3" w:name="_Toc379203472"/>
      <w:bookmarkStart w:id="4" w:name="_Toc379203487"/>
      <w:bookmarkStart w:id="5" w:name="_Toc379203575"/>
      <w:bookmarkStart w:id="6" w:name="_Toc379203590"/>
      <w:bookmarkStart w:id="7" w:name="_Toc42524349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379203488"/>
      <w:bookmarkStart w:id="9" w:name="_Toc379203591"/>
      <w:bookmarkStart w:id="10" w:name="_Toc425243495"/>
      <w:r>
        <w:rPr>
          <w:rStyle w:val="CharSectno"/>
        </w:rPr>
        <w:t>1</w:t>
      </w:r>
      <w:r>
        <w:t>.</w:t>
      </w:r>
      <w:r>
        <w:tab/>
        <w:t>Citation</w:t>
      </w:r>
      <w:bookmarkEnd w:id="8"/>
      <w:bookmarkEnd w:id="9"/>
      <w:bookmarkEnd w:id="10"/>
    </w:p>
    <w:p>
      <w:pPr>
        <w:pStyle w:val="Subsection"/>
        <w:rPr>
          <w:i/>
        </w:rPr>
      </w:pPr>
      <w:r>
        <w:tab/>
      </w:r>
      <w:r>
        <w:tab/>
      </w:r>
      <w:r>
        <w:rPr>
          <w:spacing w:val="-2"/>
        </w:rPr>
        <w:t>These</w:t>
      </w:r>
      <w:r>
        <w:t xml:space="preserve"> </w:t>
      </w:r>
      <w:r>
        <w:rPr>
          <w:spacing w:val="-2"/>
        </w:rPr>
        <w:t>rules</w:t>
      </w:r>
      <w:r>
        <w:t xml:space="preserve"> are the </w:t>
      </w:r>
      <w:r>
        <w:rPr>
          <w:i/>
        </w:rPr>
        <w:t>Supreme Court (General) Rules 2005</w:t>
      </w:r>
      <w:r>
        <w:t>.</w:t>
      </w:r>
    </w:p>
    <w:p>
      <w:pPr>
        <w:pStyle w:val="Heading5"/>
        <w:rPr>
          <w:spacing w:val="-2"/>
        </w:rPr>
      </w:pPr>
      <w:bookmarkStart w:id="11" w:name="_Toc379203489"/>
      <w:bookmarkStart w:id="12" w:name="_Toc379203592"/>
      <w:bookmarkStart w:id="13" w:name="_Toc425243496"/>
      <w:r>
        <w:rPr>
          <w:rStyle w:val="CharSectno"/>
        </w:rPr>
        <w:t>2</w:t>
      </w:r>
      <w:r>
        <w:rPr>
          <w:spacing w:val="-2"/>
        </w:rPr>
        <w:t>.</w:t>
      </w:r>
      <w:r>
        <w:rPr>
          <w:spacing w:val="-2"/>
        </w:rPr>
        <w:tab/>
        <w:t>Commencement</w:t>
      </w:r>
      <w:bookmarkEnd w:id="11"/>
      <w:bookmarkEnd w:id="12"/>
      <w:bookmarkEnd w:id="13"/>
    </w:p>
    <w:p>
      <w:pPr>
        <w:pStyle w:val="Subsection"/>
        <w:rPr>
          <w:rFonts w:ascii="Times" w:hAnsi="Times"/>
        </w:rPr>
      </w:pPr>
      <w:r>
        <w:rPr>
          <w:spacing w:val="-2"/>
        </w:rPr>
        <w:tab/>
      </w:r>
      <w:r>
        <w:rPr>
          <w:spacing w:val="-2"/>
        </w:rPr>
        <w:tab/>
        <w:t>These rules come into operation on 2 May 2005</w:t>
      </w:r>
      <w:r>
        <w:rPr>
          <w:rFonts w:ascii="Times" w:hAnsi="Times"/>
        </w:rPr>
        <w:t xml:space="preserve"> or the day on which they are published in the </w:t>
      </w:r>
      <w:r>
        <w:rPr>
          <w:rFonts w:ascii="Times" w:hAnsi="Times"/>
          <w:i/>
          <w:iCs/>
        </w:rPr>
        <w:t>Gazette</w:t>
      </w:r>
      <w:r>
        <w:rPr>
          <w:rFonts w:ascii="Times" w:hAnsi="Times"/>
        </w:rPr>
        <w:t>, whichever is the later.</w:t>
      </w:r>
    </w:p>
    <w:p>
      <w:pPr>
        <w:pStyle w:val="Heading5"/>
      </w:pPr>
      <w:bookmarkStart w:id="14" w:name="_Toc379203490"/>
      <w:bookmarkStart w:id="15" w:name="_Toc379203593"/>
      <w:bookmarkStart w:id="16" w:name="_Toc425243497"/>
      <w:r>
        <w:rPr>
          <w:rStyle w:val="CharSectno"/>
        </w:rPr>
        <w:t>3</w:t>
      </w:r>
      <w:r>
        <w:t>.</w:t>
      </w:r>
      <w:r>
        <w:tab/>
        <w:t>Interpretation</w:t>
      </w:r>
      <w:bookmarkEnd w:id="14"/>
      <w:bookmarkEnd w:id="15"/>
      <w:bookmarkEnd w:id="16"/>
    </w:p>
    <w:p>
      <w:pPr>
        <w:pStyle w:val="Subsection"/>
      </w:pPr>
      <w:r>
        <w:tab/>
        <w:t>(1)</w:t>
      </w:r>
      <w:r>
        <w:tab/>
        <w:t xml:space="preserve">In these rules, unless the contrary intention appears — </w:t>
      </w:r>
    </w:p>
    <w:p>
      <w:pPr>
        <w:pStyle w:val="Defstart"/>
      </w:pPr>
      <w:r>
        <w:rPr>
          <w:b/>
        </w:rPr>
        <w:tab/>
      </w:r>
      <w:r>
        <w:rPr>
          <w:rStyle w:val="CharDefText"/>
        </w:rPr>
        <w:t>proceedings</w:t>
      </w:r>
      <w:r>
        <w:t xml:space="preserve"> means any proceedings in the civil or criminal jurisdiction of the Supreme Court;</w:t>
      </w:r>
    </w:p>
    <w:p>
      <w:pPr>
        <w:pStyle w:val="Defstart"/>
      </w:pPr>
      <w:r>
        <w:rPr>
          <w:b/>
        </w:rPr>
        <w:tab/>
      </w:r>
      <w:r>
        <w:rPr>
          <w:rStyle w:val="CharDefText"/>
        </w:rPr>
        <w:t>RSC</w:t>
      </w:r>
      <w:r>
        <w:t xml:space="preserve"> means the </w:t>
      </w:r>
      <w:r>
        <w:rPr>
          <w:i/>
        </w:rPr>
        <w:t>Rules of the Supreme Court </w:t>
      </w:r>
      <w:r>
        <w:rPr>
          <w:i/>
          <w:iCs/>
        </w:rPr>
        <w:t>1971</w:t>
      </w:r>
      <w:r>
        <w:t>.</w:t>
      </w:r>
    </w:p>
    <w:p>
      <w:pPr>
        <w:pStyle w:val="Subsection"/>
      </w:pPr>
      <w:r>
        <w:tab/>
        <w:t>(2)</w:t>
      </w:r>
      <w:r>
        <w:tab/>
        <w:t>A term defined in the RSC has the same meaning in these rules as it has in the RSC, unless the contrary intention appears.</w:t>
      </w:r>
    </w:p>
    <w:p>
      <w:pPr>
        <w:pStyle w:val="Heading5"/>
      </w:pPr>
      <w:bookmarkStart w:id="17" w:name="_Toc379203491"/>
      <w:bookmarkStart w:id="18" w:name="_Toc379203594"/>
      <w:bookmarkStart w:id="19" w:name="_Toc425243498"/>
      <w:r>
        <w:rPr>
          <w:rStyle w:val="CharSectno"/>
        </w:rPr>
        <w:t>4</w:t>
      </w:r>
      <w:r>
        <w:t>.</w:t>
      </w:r>
      <w:r>
        <w:tab/>
        <w:t>Application of these rules</w:t>
      </w:r>
      <w:bookmarkEnd w:id="17"/>
      <w:bookmarkEnd w:id="18"/>
      <w:bookmarkEnd w:id="19"/>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2"/>
      </w:pPr>
      <w:bookmarkStart w:id="20" w:name="_Toc379203477"/>
      <w:bookmarkStart w:id="21" w:name="_Toc379203492"/>
      <w:bookmarkStart w:id="22" w:name="_Toc379203580"/>
      <w:bookmarkStart w:id="23" w:name="_Toc379203595"/>
      <w:bookmarkStart w:id="24" w:name="_Toc425243499"/>
      <w:r>
        <w:rPr>
          <w:rStyle w:val="CharPartNo"/>
        </w:rPr>
        <w:t>Part 2</w:t>
      </w:r>
      <w:r>
        <w:rPr>
          <w:rStyle w:val="CharDivNo"/>
        </w:rPr>
        <w:t> </w:t>
      </w:r>
      <w:r>
        <w:t>—</w:t>
      </w:r>
      <w:r>
        <w:rPr>
          <w:rStyle w:val="CharDivText"/>
        </w:rPr>
        <w:t> </w:t>
      </w:r>
      <w:r>
        <w:rPr>
          <w:rStyle w:val="CharPartText"/>
        </w:rPr>
        <w:t>Recording proceedings</w:t>
      </w:r>
      <w:bookmarkEnd w:id="20"/>
      <w:bookmarkEnd w:id="21"/>
      <w:bookmarkEnd w:id="22"/>
      <w:bookmarkEnd w:id="23"/>
      <w:bookmarkEnd w:id="24"/>
    </w:p>
    <w:p>
      <w:pPr>
        <w:pStyle w:val="Heading5"/>
      </w:pPr>
      <w:bookmarkStart w:id="25" w:name="_Toc379203493"/>
      <w:bookmarkStart w:id="26" w:name="_Toc379203596"/>
      <w:bookmarkStart w:id="27" w:name="_Toc425243500"/>
      <w:r>
        <w:rPr>
          <w:rStyle w:val="CharSectno"/>
        </w:rPr>
        <w:t>5</w:t>
      </w:r>
      <w:r>
        <w:t>.</w:t>
      </w:r>
      <w:r>
        <w:tab/>
        <w:t>Interpretation</w:t>
      </w:r>
      <w:bookmarkEnd w:id="25"/>
      <w:bookmarkEnd w:id="26"/>
      <w:bookmarkEnd w:id="27"/>
    </w:p>
    <w:p>
      <w:pPr>
        <w:pStyle w:val="Subsection"/>
      </w:pPr>
      <w:r>
        <w:tab/>
      </w:r>
      <w:r>
        <w:tab/>
        <w:t xml:space="preserve">In this Part, unless the contrary intention appears — </w:t>
      </w:r>
    </w:p>
    <w:p>
      <w:pPr>
        <w:pStyle w:val="Defstar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Heading5"/>
      </w:pPr>
      <w:bookmarkStart w:id="28" w:name="_Toc379203494"/>
      <w:bookmarkStart w:id="29" w:name="_Toc379203597"/>
      <w:bookmarkStart w:id="30" w:name="_Toc425243501"/>
      <w:r>
        <w:rPr>
          <w:rStyle w:val="CharSectno"/>
        </w:rPr>
        <w:t>6</w:t>
      </w:r>
      <w:r>
        <w:t>.</w:t>
      </w:r>
      <w:r>
        <w:tab/>
        <w:t>Transcripts may be in electronic form</w:t>
      </w:r>
      <w:bookmarkEnd w:id="28"/>
      <w:bookmarkEnd w:id="29"/>
      <w:bookmarkEnd w:id="30"/>
    </w:p>
    <w:p>
      <w:pPr>
        <w:pStyle w:val="Subsection"/>
      </w:pPr>
      <w:r>
        <w:tab/>
      </w:r>
      <w:r>
        <w:tab/>
        <w:t>This Part does not prevent a transcript of proceedings being in an electronic form.</w:t>
      </w:r>
    </w:p>
    <w:p>
      <w:pPr>
        <w:pStyle w:val="Heading5"/>
      </w:pPr>
      <w:bookmarkStart w:id="31" w:name="_Toc379203495"/>
      <w:bookmarkStart w:id="32" w:name="_Toc379203598"/>
      <w:bookmarkStart w:id="33" w:name="_Toc425243502"/>
      <w:r>
        <w:rPr>
          <w:rStyle w:val="CharSectno"/>
        </w:rPr>
        <w:t>7</w:t>
      </w:r>
      <w:r>
        <w:t>.</w:t>
      </w:r>
      <w:r>
        <w:tab/>
        <w:t>Which proceedings are to be recorded and transcribed</w:t>
      </w:r>
      <w:bookmarkEnd w:id="31"/>
      <w:bookmarkEnd w:id="32"/>
      <w:bookmarkEnd w:id="33"/>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34" w:name="_Toc379203496"/>
      <w:bookmarkStart w:id="35" w:name="_Toc379203599"/>
      <w:bookmarkStart w:id="36" w:name="_Toc425243503"/>
      <w:r>
        <w:rPr>
          <w:rStyle w:val="CharSectno"/>
        </w:rPr>
        <w:t>8</w:t>
      </w:r>
      <w:r>
        <w:t>.</w:t>
      </w:r>
      <w:r>
        <w:tab/>
        <w:t>Recorders and transcribers, duties of</w:t>
      </w:r>
      <w:bookmarkEnd w:id="34"/>
      <w:bookmarkEnd w:id="35"/>
      <w:bookmarkEnd w:id="36"/>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judge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37" w:name="_Toc379203497"/>
      <w:bookmarkStart w:id="38" w:name="_Toc379203600"/>
      <w:bookmarkStart w:id="39" w:name="_Toc425243504"/>
      <w:r>
        <w:rPr>
          <w:rStyle w:val="CharSectno"/>
        </w:rPr>
        <w:t>9</w:t>
      </w:r>
      <w:r>
        <w:t>.</w:t>
      </w:r>
      <w:r>
        <w:tab/>
        <w:t>Accuracy, requesting a check of</w:t>
      </w:r>
      <w:bookmarkEnd w:id="37"/>
      <w:bookmarkEnd w:id="38"/>
      <w:bookmarkEnd w:id="39"/>
    </w:p>
    <w:p>
      <w:pPr>
        <w:pStyle w:val="Subsection"/>
      </w:pPr>
      <w:r>
        <w:tab/>
        <w:t>(1)</w:t>
      </w:r>
      <w:r>
        <w:tab/>
        <w:t>Whether or not a transcript or a copy has been certified under this Part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40" w:name="_Toc379203498"/>
      <w:bookmarkStart w:id="41" w:name="_Toc379203601"/>
      <w:bookmarkStart w:id="42" w:name="_Toc425243505"/>
      <w:r>
        <w:rPr>
          <w:rStyle w:val="CharSectno"/>
        </w:rPr>
        <w:t>10</w:t>
      </w:r>
      <w:r>
        <w:t>.</w:t>
      </w:r>
      <w:r>
        <w:tab/>
        <w:t>Certificate of accuracy</w:t>
      </w:r>
      <w:bookmarkEnd w:id="40"/>
      <w:bookmarkEnd w:id="41"/>
      <w:bookmarkEnd w:id="42"/>
    </w:p>
    <w:p>
      <w:pPr>
        <w:pStyle w:val="Subsection"/>
      </w:pPr>
      <w:r>
        <w:tab/>
      </w:r>
      <w:r>
        <w:tab/>
        <w:t>A transcript or a copy that has been certified under this Part to be accurate is to be taken to be an accurate account of the proceedings and to accurately identify what was said by whom in the proceedings.</w:t>
      </w:r>
    </w:p>
    <w:p>
      <w:pPr>
        <w:pStyle w:val="Heading5"/>
      </w:pPr>
      <w:bookmarkStart w:id="43" w:name="_Toc379203499"/>
      <w:bookmarkStart w:id="44" w:name="_Toc379203602"/>
      <w:bookmarkStart w:id="45" w:name="_Toc425243506"/>
      <w:r>
        <w:rPr>
          <w:rStyle w:val="CharSectno"/>
        </w:rPr>
        <w:t>11</w:t>
      </w:r>
      <w:r>
        <w:t>.</w:t>
      </w:r>
      <w:r>
        <w:tab/>
        <w:t>Custody of recordings and transcripts</w:t>
      </w:r>
      <w:bookmarkEnd w:id="43"/>
      <w:bookmarkEnd w:id="44"/>
      <w:bookmarkEnd w:id="45"/>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6" w:name="_Toc379203485"/>
      <w:bookmarkStart w:id="47" w:name="_Toc379203500"/>
      <w:bookmarkStart w:id="48" w:name="_Toc379203588"/>
      <w:bookmarkStart w:id="49" w:name="_Toc379203603"/>
      <w:bookmarkStart w:id="50" w:name="_Toc425243507"/>
      <w:r>
        <w:t>Notes</w:t>
      </w:r>
      <w:bookmarkEnd w:id="46"/>
      <w:bookmarkEnd w:id="47"/>
      <w:bookmarkEnd w:id="48"/>
      <w:bookmarkEnd w:id="49"/>
      <w:bookmarkEnd w:id="50"/>
    </w:p>
    <w:p>
      <w:pPr>
        <w:pStyle w:val="nSubsection"/>
        <w:rPr>
          <w:snapToGrid w:val="0"/>
        </w:rPr>
      </w:pPr>
      <w:r>
        <w:rPr>
          <w:snapToGrid w:val="0"/>
          <w:vertAlign w:val="superscript"/>
        </w:rPr>
        <w:t>1</w:t>
      </w:r>
      <w:r>
        <w:rPr>
          <w:snapToGrid w:val="0"/>
        </w:rPr>
        <w:tab/>
        <w:t xml:space="preserve">This is a compilation of the </w:t>
      </w:r>
      <w:r>
        <w:rPr>
          <w:i/>
        </w:rPr>
        <w:t>Supreme Court (General) Rules 2005.</w:t>
      </w:r>
      <w:r>
        <w:t xml:space="preserve">  </w:t>
      </w:r>
      <w:r>
        <w:rPr>
          <w:snapToGrid w:val="0"/>
        </w:rPr>
        <w:t>The following table contains information about those rules.</w:t>
      </w:r>
    </w:p>
    <w:p>
      <w:pPr>
        <w:pStyle w:val="nHeading3"/>
      </w:pPr>
      <w:bookmarkStart w:id="51" w:name="_Toc379203501"/>
      <w:bookmarkStart w:id="52" w:name="_Toc379203604"/>
      <w:bookmarkStart w:id="53" w:name="_Toc425243508"/>
      <w:r>
        <w:t>Compilation table</w:t>
      </w:r>
      <w:bookmarkEnd w:id="51"/>
      <w:bookmarkEnd w:id="52"/>
      <w:bookmarkEnd w:id="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bottom w:val="single" w:sz="4" w:space="0" w:color="auto"/>
            </w:tcBorders>
          </w:tcPr>
          <w:p>
            <w:pPr>
              <w:pStyle w:val="nTable"/>
            </w:pPr>
            <w:r>
              <w:rPr>
                <w:i/>
              </w:rPr>
              <w:t>Supreme Court (General) Rules 2005</w:t>
            </w:r>
          </w:p>
        </w:tc>
        <w:tc>
          <w:tcPr>
            <w:tcW w:w="1276" w:type="dxa"/>
            <w:tcBorders>
              <w:top w:val="single" w:sz="8" w:space="0" w:color="auto"/>
              <w:bottom w:val="single" w:sz="4" w:space="0" w:color="auto"/>
            </w:tcBorders>
          </w:tcPr>
          <w:p>
            <w:pPr>
              <w:pStyle w:val="nTable"/>
            </w:pPr>
            <w:r>
              <w:t>29 Apr 2005 p. 1877-84</w:t>
            </w:r>
          </w:p>
        </w:tc>
        <w:tc>
          <w:tcPr>
            <w:tcW w:w="2693" w:type="dxa"/>
            <w:tcBorders>
              <w:top w:val="single" w:sz="8" w:space="0" w:color="auto"/>
              <w:bottom w:val="single" w:sz="4" w:space="0" w:color="auto"/>
            </w:tcBorders>
          </w:tcPr>
          <w:p>
            <w:pPr>
              <w:pStyle w:val="nTable"/>
            </w:pPr>
            <w:r>
              <w:t>2 May 2005 (see r. 2)</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proceedings</w:t>
      </w:r>
      <w:r>
        <w:tab/>
        <w:t>3(1)</w:t>
      </w:r>
    </w:p>
    <w:p>
      <w:pPr>
        <w:pStyle w:val="DefinedTerms"/>
      </w:pPr>
      <w:r>
        <w:t>record</w:t>
      </w:r>
      <w:r>
        <w:tab/>
        <w:t>5</w:t>
      </w:r>
    </w:p>
    <w:p>
      <w:pPr>
        <w:pStyle w:val="DefinedTerms"/>
      </w:pPr>
      <w:r>
        <w:t>RSC</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(General)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(General)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(General)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(General)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 w:name="DefinedTerms"/>
    <w:bookmarkEnd w:id="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(General)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(General)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(General)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(General)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0353"/>
    <w:docVar w:name="WAFER_20140203143942" w:val="RemoveTocBookmarks,RemoveUnusedBookmarks,RemoveLanguageTags,UsedStyles,ResetPageSize,UpdateArrangement"/>
    <w:docVar w:name="WAFER_20140203143942_GUID" w:val="5388eda8-eb08-4543-a002-96ab59202158"/>
    <w:docVar w:name="WAFER_20140203145229" w:val="RemoveTocBookmarks,RunningHeaders"/>
    <w:docVar w:name="WAFER_20140203145229_GUID" w:val="cd9a5772-0d78-4b00-a274-be3bb215c85e"/>
    <w:docVar w:name="WAFER_20150721101538" w:val="ResetPageSize,UpdateArrangement,UpdateNTable"/>
    <w:docVar w:name="WAFER_20150721101538_GUID" w:val="c0a18698-a12b-40eb-8ec0-827155d62f95"/>
    <w:docVar w:name="WAFER_20151111120353" w:val="UpdateStyles,UsedStyles"/>
    <w:docVar w:name="WAFER_20151111120353_GUID" w:val="358b4b37-2a5e-4fa5-bd15-35c5bc6e72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65534">
      <w:bodyDiv w:val="1"/>
      <w:marLeft w:val="0"/>
      <w:marRight w:val="0"/>
      <w:marTop w:val="0"/>
      <w:marBottom w:val="0"/>
      <w:divBdr>
        <w:top w:val="none" w:sz="0" w:space="0" w:color="auto"/>
        <w:left w:val="none" w:sz="0" w:space="0" w:color="auto"/>
        <w:bottom w:val="none" w:sz="0" w:space="0" w:color="auto"/>
        <w:right w:val="none" w:sz="0" w:space="0" w:color="auto"/>
      </w:divBdr>
    </w:div>
    <w:div w:id="152563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1052</Words>
  <Characters>5202</Characters>
  <Application>Microsoft Office Word</Application>
  <DocSecurity>0</DocSecurity>
  <Lines>162</Lines>
  <Paragraphs>125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Part 1 — Preliminary</vt:lpstr>
      <vt:lpstr>    Part 2 — Recording proceedings</vt:lpstr>
      <vt:lpstr>    Notes</vt:lpstr>
    </vt:vector>
  </TitlesOfParts>
  <Manager/>
  <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(General) Rules 2005 - 00-a0-10</dc:title>
  <dc:subject/>
  <dc:creator/>
  <cp:keywords/>
  <dc:description/>
  <cp:lastModifiedBy>svcMRProcess</cp:lastModifiedBy>
  <cp:revision>4</cp:revision>
  <cp:lastPrinted>2005-04-08T01:36:00Z</cp:lastPrinted>
  <dcterms:created xsi:type="dcterms:W3CDTF">2019-01-18T02:30:00Z</dcterms:created>
  <dcterms:modified xsi:type="dcterms:W3CDTF">2019-01-18T02:30:00Z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1877-84</vt:lpwstr>
  </property>
  <property fmtid="{D5CDD505-2E9C-101B-9397-08002B2CF9AE}" pid="3" name="CommencementDate">
    <vt:lpwstr>20050502</vt:lpwstr>
  </property>
  <property fmtid="{D5CDD505-2E9C-101B-9397-08002B2CF9AE}" pid="4" name="DocumentType">
    <vt:lpwstr>Reg</vt:lpwstr>
  </property>
  <property fmtid="{D5CDD505-2E9C-101B-9397-08002B2CF9AE}" pid="5" name="OwlsUID">
    <vt:i4>37592</vt:i4>
  </property>
  <property fmtid="{D5CDD505-2E9C-101B-9397-08002B2CF9AE}" pid="6" name="AsAtDate">
    <vt:lpwstr>02 May 2005</vt:lpwstr>
  </property>
  <property fmtid="{D5CDD505-2E9C-101B-9397-08002B2CF9AE}" pid="7" name="Suffix">
    <vt:lpwstr>00-a0-10</vt:lpwstr>
  </property>
</Properties>
</file>