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_Toc97129373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_Toc97129374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_Toc97129375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_Toc97129376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_Toc97129377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_Toc97129378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_Toc97129379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_Toc97129380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_Toc97129381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_Toc97129382 \h </w:instrText>
      </w:r>
      <w:r>
        <w:fldChar w:fldCharType="separate"/>
      </w:r>
      <w:r>
        <w:t>3</w:t>
      </w:r>
      <w:r>
        <w:fldChar w:fldCharType="end"/>
      </w:r>
    </w:p>
    <w:p>
      <w:pPr>
        <w:pStyle w:val="TOC8"/>
        <w:rPr>
          <w:rFonts w:asciiTheme="minorHAnsi" w:eastAsiaTheme="minorEastAsia" w:hAnsiTheme="minorHAnsi" w:cstheme="minorBidi"/>
          <w:szCs w:val="22"/>
        </w:rPr>
      </w:pPr>
      <w:r>
        <w:t>9A.</w:t>
      </w:r>
      <w:r>
        <w:tab/>
        <w:t>Principal officer of health service provider</w:t>
      </w:r>
      <w:r>
        <w:tab/>
      </w:r>
      <w:r>
        <w:fldChar w:fldCharType="begin"/>
      </w:r>
      <w:r>
        <w:instrText xml:space="preserve"> PAGEREF _Toc97129383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_Toc97129384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_Toc97129388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_Toc97129389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3" w:name="_Toc9712937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9712937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5" w:name="_Toc97129375"/>
      <w:r>
        <w:rPr>
          <w:rStyle w:val="CharSectno"/>
        </w:rPr>
        <w:t>2A</w:t>
      </w:r>
      <w:r>
        <w:rPr>
          <w:snapToGrid w:val="0"/>
        </w:rPr>
        <w:t>.</w:t>
      </w:r>
      <w:r>
        <w:rPr>
          <w:snapToGrid w:val="0"/>
        </w:rPr>
        <w:tab/>
        <w:t>Term used: non-personal information</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6" w:name="_Toc97129376"/>
      <w:r>
        <w:rPr>
          <w:rStyle w:val="CharSectno"/>
        </w:rPr>
        <w:t>3</w:t>
      </w:r>
      <w:r>
        <w:rPr>
          <w:snapToGrid w:val="0"/>
        </w:rPr>
        <w:t>.</w:t>
      </w:r>
      <w:r>
        <w:rPr>
          <w:snapToGrid w:val="0"/>
        </w:rPr>
        <w:tab/>
        <w:t>General provisions relating to charges</w:t>
      </w:r>
      <w:bookmarkEnd w:id="6"/>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7" w:name="_Toc97129377"/>
      <w:r>
        <w:rPr>
          <w:rStyle w:val="CharSectno"/>
        </w:rPr>
        <w:lastRenderedPageBreak/>
        <w:t>4</w:t>
      </w:r>
      <w:r>
        <w:rPr>
          <w:snapToGrid w:val="0"/>
        </w:rPr>
        <w:t>.</w:t>
      </w:r>
      <w:r>
        <w:rPr>
          <w:snapToGrid w:val="0"/>
        </w:rPr>
        <w:tab/>
        <w:t>Application fee (section 12(1)(e))</w:t>
      </w:r>
      <w:bookmarkEnd w:id="7"/>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8" w:name="_Toc97129378"/>
      <w:r>
        <w:rPr>
          <w:rStyle w:val="CharSectno"/>
        </w:rPr>
        <w:t>5</w:t>
      </w:r>
      <w:r>
        <w:rPr>
          <w:snapToGrid w:val="0"/>
        </w:rPr>
        <w:t>.</w:t>
      </w:r>
      <w:r>
        <w:rPr>
          <w:snapToGrid w:val="0"/>
        </w:rPr>
        <w:tab/>
        <w:t>Charges (section 16(1))</w:t>
      </w:r>
      <w:bookmarkEnd w:id="8"/>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9" w:name="_Toc97129379"/>
      <w:r>
        <w:rPr>
          <w:rStyle w:val="CharSectno"/>
        </w:rPr>
        <w:t>6</w:t>
      </w:r>
      <w:r>
        <w:rPr>
          <w:snapToGrid w:val="0"/>
        </w:rPr>
        <w:t>.</w:t>
      </w:r>
      <w:r>
        <w:rPr>
          <w:snapToGrid w:val="0"/>
        </w:rPr>
        <w:tab/>
        <w:t>Advance deposits (section 18(1) and (4))</w:t>
      </w:r>
      <w:bookmarkEnd w:id="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0" w:name="_Toc97129380"/>
      <w:r>
        <w:rPr>
          <w:rStyle w:val="CharSectno"/>
        </w:rPr>
        <w:t>7</w:t>
      </w:r>
      <w:r>
        <w:rPr>
          <w:snapToGrid w:val="0"/>
        </w:rPr>
        <w:t>.</w:t>
      </w:r>
      <w:r>
        <w:rPr>
          <w:snapToGrid w:val="0"/>
        </w:rPr>
        <w:tab/>
        <w:t>Term used: suitably qualified person (section 28)</w:t>
      </w:r>
      <w:bookmarkEnd w:id="10"/>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1" w:name="_Toc97129381"/>
      <w:r>
        <w:rPr>
          <w:rStyle w:val="CharSectno"/>
        </w:rPr>
        <w:t>8</w:t>
      </w:r>
      <w:r>
        <w:rPr>
          <w:snapToGrid w:val="0"/>
        </w:rPr>
        <w:t>.</w:t>
      </w:r>
      <w:r>
        <w:rPr>
          <w:snapToGrid w:val="0"/>
        </w:rPr>
        <w:tab/>
        <w:t>Information or details to be included in complaint (section 66(1)(d))</w:t>
      </w:r>
      <w:bookmarkEnd w:id="11"/>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12" w:name="_Toc97129382"/>
      <w:r>
        <w:rPr>
          <w:rStyle w:val="CharSectno"/>
        </w:rPr>
        <w:t>9</w:t>
      </w:r>
      <w:r>
        <w:rPr>
          <w:snapToGrid w:val="0"/>
        </w:rPr>
        <w:t>.</w:t>
      </w:r>
      <w:r>
        <w:rPr>
          <w:snapToGrid w:val="0"/>
        </w:rPr>
        <w:tab/>
        <w:t>Prescribed personal details (Act Schedule 1 clause 3)</w:t>
      </w:r>
      <w:bookmarkEnd w:id="1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 xml:space="preserve">the functions and duties of the position or the details of the services to be provided under the contract, as </w:t>
      </w:r>
      <w:r>
        <w:rPr>
          <w:snapToGrid w:val="0"/>
        </w:rPr>
        <w:lastRenderedPageBreak/>
        <w:t>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13" w:name="_Toc97129383"/>
      <w:r>
        <w:rPr>
          <w:rStyle w:val="CharSectno"/>
        </w:rPr>
        <w:t>9A</w:t>
      </w:r>
      <w:r>
        <w:t>.</w:t>
      </w:r>
      <w:r>
        <w:tab/>
        <w:t>Principal officer of health service provider</w:t>
      </w:r>
      <w:bookmarkEnd w:id="1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14" w:name="_Toc97129384"/>
      <w:r>
        <w:rPr>
          <w:rStyle w:val="CharSectno"/>
        </w:rPr>
        <w:t>10</w:t>
      </w:r>
      <w:r>
        <w:rPr>
          <w:snapToGrid w:val="0"/>
        </w:rPr>
        <w:t>.</w:t>
      </w:r>
      <w:r>
        <w:rPr>
          <w:snapToGrid w:val="0"/>
        </w:rPr>
        <w:tab/>
        <w:t>Specified bodies etc. to be regarded as part of other agencies</w:t>
      </w:r>
      <w:bookmarkEnd w:id="14"/>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97129385"/>
      <w:r>
        <w:rPr>
          <w:rStyle w:val="CharSchNo"/>
        </w:rPr>
        <w:lastRenderedPageBreak/>
        <w:t>Schedule 1</w:t>
      </w:r>
      <w:bookmarkEnd w:id="15"/>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16" w:name="_Toc97129386"/>
      <w:r>
        <w:rPr>
          <w:rStyle w:val="CharSchNo"/>
        </w:rPr>
        <w:lastRenderedPageBreak/>
        <w:t>Schedule 2</w:t>
      </w:r>
      <w:r>
        <w:t> — </w:t>
      </w:r>
      <w:r>
        <w:rPr>
          <w:rStyle w:val="CharSchText"/>
        </w:rPr>
        <w:t>Offices and bodies to be regarded as part of other agencies</w:t>
      </w:r>
      <w:bookmarkEnd w:id="16"/>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Strategic Leadership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rPr>
                <w:sz w:val="20"/>
              </w:rPr>
            </w:pPr>
          </w:p>
        </w:tc>
        <w:tc>
          <w:tcPr>
            <w:tcW w:w="5194" w:type="dxa"/>
          </w:tcPr>
          <w:p>
            <w:pPr>
              <w:pStyle w:val="yTable"/>
              <w:ind w:left="209" w:hanging="209"/>
              <w:rPr>
                <w:sz w:val="20"/>
              </w:rPr>
            </w:pPr>
            <w:r>
              <w:rPr>
                <w:sz w:val="20"/>
              </w:rPr>
              <w:t>Board of Examiners (Mine Managers and Underground Supervisors)</w:t>
            </w:r>
          </w:p>
        </w:tc>
      </w:tr>
      <w:tr>
        <w:trPr>
          <w:cantSplit/>
        </w:trPr>
        <w:tc>
          <w:tcPr>
            <w:tcW w:w="1894" w:type="dxa"/>
            <w:vMerge/>
          </w:tcPr>
          <w:p>
            <w:pPr>
              <w:pStyle w:val="yTable"/>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lastRenderedPageBreak/>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Teacher Registration Board of Western Australia</w:t>
            </w:r>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Architects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Conservation Commission of Western Australia</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lastRenderedPageBreak/>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 w:name="_Toc97129387"/>
      <w:r>
        <w:lastRenderedPageBreak/>
        <w:t>Notes</w:t>
      </w:r>
      <w:bookmarkEnd w:id="18"/>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 w:name="_Toc97129388"/>
      <w:r>
        <w:t>Compilation table</w:t>
      </w:r>
      <w:bookmarkEnd w:id="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20" w:name="RuleErr_8"/>
            <w:r>
              <w:rPr>
                <w:i/>
              </w:rPr>
              <w:lastRenderedPageBreak/>
              <w:t>Freedom of Information Amendment Regulations 2013</w:t>
            </w:r>
            <w:bookmarkEnd w:id="20"/>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Attorney General Regulations Amendment (Swan Valley Planning Scheme) Regulations 2021</w:t>
            </w:r>
            <w:r>
              <w:t xml:space="preserve"> Pt. 2</w:t>
            </w:r>
          </w:p>
        </w:tc>
        <w:tc>
          <w:tcPr>
            <w:tcW w:w="1276" w:type="dxa"/>
            <w:tcBorders>
              <w:bottom w:val="single" w:sz="4" w:space="0" w:color="auto"/>
            </w:tcBorders>
          </w:tcPr>
          <w:p>
            <w:pPr>
              <w:pStyle w:val="nTable"/>
              <w:keepNext/>
              <w:spacing w:after="40"/>
            </w:pPr>
            <w:r>
              <w:t>SL 2021/127</w:t>
            </w:r>
            <w:r>
              <w:br/>
              <w:t>16 Jul 2021</w:t>
            </w:r>
          </w:p>
        </w:tc>
        <w:tc>
          <w:tcPr>
            <w:tcW w:w="2693" w:type="dxa"/>
            <w:tcBorders>
              <w:bottom w:val="single" w:sz="4" w:space="0" w:color="auto"/>
            </w:tcBorders>
          </w:tcPr>
          <w:p>
            <w:pPr>
              <w:pStyle w:val="nTable"/>
              <w:keepNext/>
              <w:spacing w:after="40"/>
              <w:rPr>
                <w:snapToGrid w:val="0"/>
              </w:rPr>
            </w:pPr>
            <w:r>
              <w:t>1 Aug 2021 (see r. 2(b) and SL 2021/124 cl. 2)</w:t>
            </w:r>
          </w:p>
        </w:tc>
      </w:tr>
    </w:tbl>
    <w:p>
      <w:pPr>
        <w:pStyle w:val="nHeading3"/>
      </w:pPr>
      <w:bookmarkStart w:id="21" w:name="_Toc97129389"/>
      <w:r>
        <w:t>Uncommenced provisions table</w:t>
      </w:r>
      <w:bookmarkEnd w:id="2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Freedom of Information Amendment Regulations 2022 </w:t>
            </w:r>
            <w:r>
              <w:t>r. 3 and  4</w:t>
            </w:r>
          </w:p>
        </w:tc>
        <w:tc>
          <w:tcPr>
            <w:tcW w:w="1276" w:type="dxa"/>
          </w:tcPr>
          <w:p>
            <w:pPr>
              <w:pStyle w:val="nTable"/>
              <w:spacing w:after="40"/>
            </w:pPr>
            <w:r>
              <w:t>SL 2022/5 18 Jan 2022</w:t>
            </w:r>
          </w:p>
        </w:tc>
        <w:tc>
          <w:tcPr>
            <w:tcW w:w="2693" w:type="dxa"/>
          </w:tcPr>
          <w:p>
            <w:pPr>
              <w:pStyle w:val="nTable"/>
              <w:spacing w:after="40"/>
            </w:pPr>
            <w:r>
              <w:t xml:space="preserve">Operative on commencement of </w:t>
            </w:r>
            <w:r>
              <w:rPr>
                <w:i/>
              </w:rPr>
              <w:t xml:space="preserve">Arts and Culture Trust Act 2021 </w:t>
            </w:r>
            <w:r>
              <w:t>s. 73(1) (see r. 2(b))</w:t>
            </w:r>
          </w:p>
        </w:tc>
      </w:tr>
    </w:tbl>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for </w:t>
      </w:r>
      <w:r>
        <w:lastRenderedPageBreak/>
        <w:t>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3" w:name="_Toc97129390"/>
      <w:r>
        <w:rPr>
          <w:sz w:val="28"/>
        </w:rPr>
        <w:lastRenderedPageBreak/>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2155522"/>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6F16-7571-4D11-9422-623BC708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4665</Words>
  <Characters>27573</Characters>
  <Application>Microsoft Office Word</Application>
  <DocSecurity>0</DocSecurity>
  <Lines>1253</Lines>
  <Paragraphs>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1993 - 02-h0-01</dc:title>
  <dc:subject/>
  <dc:creator/>
  <cp:keywords/>
  <dc:description/>
  <cp:lastModifiedBy>Master Repository Process</cp:lastModifiedBy>
  <cp:revision>4</cp:revision>
  <cp:lastPrinted>2021-07-27T01:34:00Z</cp:lastPrinted>
  <dcterms:created xsi:type="dcterms:W3CDTF">2022-03-02T08:16:00Z</dcterms:created>
  <dcterms:modified xsi:type="dcterms:W3CDTF">2022-03-02T08:16:00Z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18 Jan 2022</vt:lpwstr>
  </property>
  <property fmtid="{D5CDD505-2E9C-101B-9397-08002B2CF9AE}" pid="8" name="Suffix">
    <vt:lpwstr>02-h0-01</vt:lpwstr>
  </property>
  <property fmtid="{D5CDD505-2E9C-101B-9397-08002B2CF9AE}" pid="9" name="CommencementDate">
    <vt:lpwstr>20220118</vt:lpwstr>
  </property>
</Properties>
</file>