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Motor Vehicle Dealers Act 1973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Act 1973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_Toc106096803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_Toc106096804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_Toc106096805 \h </w:instrText>
      </w:r>
      <w:r>
        <w:fldChar w:fldCharType="separate"/>
      </w:r>
      <w:r>
        <w:t>2</w:t>
      </w:r>
      <w:r>
        <w:fldChar w:fldCharType="end"/>
      </w:r>
    </w:p>
    <w:p>
      <w:pPr>
        <w:pStyle w:val="TOC8"/>
        <w:rPr>
          <w:rFonts w:asciiTheme="minorHAnsi" w:eastAsiaTheme="minorEastAsia" w:hAnsiTheme="minorHAnsi" w:cstheme="minorBidi"/>
          <w:szCs w:val="22"/>
        </w:rPr>
      </w:pPr>
      <w:r>
        <w:t>5A.</w:t>
      </w:r>
      <w:r>
        <w:tab/>
        <w:t>Classes of business and categories of licence</w:t>
      </w:r>
      <w:r>
        <w:tab/>
      </w:r>
      <w:r>
        <w:fldChar w:fldCharType="begin"/>
      </w:r>
      <w:r>
        <w:instrText xml:space="preserve"> PAGEREF _Toc106096806 \h </w:instrText>
      </w:r>
      <w:r>
        <w:fldChar w:fldCharType="separate"/>
      </w:r>
      <w:r>
        <w:t>8</w:t>
      </w:r>
      <w:r>
        <w:fldChar w:fldCharType="end"/>
      </w:r>
    </w:p>
    <w:p>
      <w:pPr>
        <w:pStyle w:val="TOC8"/>
        <w:rPr>
          <w:rFonts w:asciiTheme="minorHAnsi" w:eastAsiaTheme="minorEastAsia" w:hAnsiTheme="minorHAnsi" w:cstheme="minorBidi"/>
          <w:szCs w:val="22"/>
        </w:rPr>
      </w:pPr>
      <w:r>
        <w:t>5B.</w:t>
      </w:r>
      <w:r>
        <w:tab/>
        <w:t>Some persons taken to be dealers</w:t>
      </w:r>
      <w:r>
        <w:tab/>
      </w:r>
      <w:r>
        <w:fldChar w:fldCharType="begin"/>
      </w:r>
      <w:r>
        <w:instrText xml:space="preserve"> PAGEREF _Toc106096807 \h </w:instrText>
      </w:r>
      <w:r>
        <w:fldChar w:fldCharType="separate"/>
      </w:r>
      <w:r>
        <w:t>8</w:t>
      </w:r>
      <w:r>
        <w:fldChar w:fldCharType="end"/>
      </w:r>
    </w:p>
    <w:p>
      <w:pPr>
        <w:pStyle w:val="TOC8"/>
        <w:rPr>
          <w:rFonts w:asciiTheme="minorHAnsi" w:eastAsiaTheme="minorEastAsia" w:hAnsiTheme="minorHAnsi" w:cstheme="minorBidi"/>
          <w:szCs w:val="22"/>
        </w:rPr>
      </w:pPr>
      <w:r>
        <w:t>6.</w:t>
      </w:r>
      <w:r>
        <w:tab/>
        <w:t>Investigation powers</w:t>
      </w:r>
      <w:r>
        <w:tab/>
      </w:r>
      <w:r>
        <w:fldChar w:fldCharType="begin"/>
      </w:r>
      <w:r>
        <w:instrText xml:space="preserve"> PAGEREF _Toc106096808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Licensing, registration, powers and offences</w:t>
      </w:r>
    </w:p>
    <w:p>
      <w:pPr>
        <w:pStyle w:val="TOC4"/>
        <w:tabs>
          <w:tab w:val="right" w:leader="dot" w:pos="7077"/>
        </w:tabs>
        <w:rPr>
          <w:rFonts w:asciiTheme="minorHAnsi" w:eastAsiaTheme="minorEastAsia" w:hAnsiTheme="minorHAnsi" w:cstheme="minorBidi"/>
          <w:b w:val="0"/>
          <w:szCs w:val="22"/>
        </w:rPr>
      </w:pPr>
      <w:r>
        <w:t>Division 2 — Licensing and registration</w:t>
      </w:r>
    </w:p>
    <w:p>
      <w:pPr>
        <w:pStyle w:val="TOC8"/>
        <w:rPr>
          <w:rFonts w:asciiTheme="minorHAnsi" w:eastAsiaTheme="minorEastAsia" w:hAnsiTheme="minorHAnsi" w:cstheme="minorBidi"/>
          <w:szCs w:val="22"/>
        </w:rPr>
      </w:pPr>
      <w:r>
        <w:t>15</w:t>
      </w:r>
      <w:r>
        <w:rPr>
          <w:snapToGrid w:val="0"/>
        </w:rPr>
        <w:t>.</w:t>
      </w:r>
      <w:r>
        <w:rPr>
          <w:snapToGrid w:val="0"/>
        </w:rPr>
        <w:tab/>
        <w:t>Vehicle dealer’s licence, application for and grant of</w:t>
      </w:r>
      <w:r>
        <w:tab/>
      </w:r>
      <w:r>
        <w:fldChar w:fldCharType="begin"/>
      </w:r>
      <w:r>
        <w:instrText xml:space="preserve"> PAGEREF _Toc106096811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Yard manager’s licence, application for and grant of</w:t>
      </w:r>
      <w:r>
        <w:tab/>
      </w:r>
      <w:r>
        <w:fldChar w:fldCharType="begin"/>
      </w:r>
      <w:r>
        <w:instrText xml:space="preserve"> PAGEREF _Toc106096812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Salesperson’s licence, application for and grant of</w:t>
      </w:r>
      <w:r>
        <w:tab/>
      </w:r>
      <w:r>
        <w:fldChar w:fldCharType="begin"/>
      </w:r>
      <w:r>
        <w:instrText xml:space="preserve"> PAGEREF _Toc106096813 \h </w:instrText>
      </w:r>
      <w:r>
        <w:fldChar w:fldCharType="separate"/>
      </w:r>
      <w:r>
        <w:t>13</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Car market operator, registration as</w:t>
      </w:r>
      <w:r>
        <w:tab/>
      </w:r>
      <w:r>
        <w:fldChar w:fldCharType="begin"/>
      </w:r>
      <w:r>
        <w:instrText xml:space="preserve"> PAGEREF _Toc106096814 \h </w:instrText>
      </w:r>
      <w:r>
        <w:fldChar w:fldCharType="separate"/>
      </w:r>
      <w:r>
        <w:t>14</w:t>
      </w:r>
      <w:r>
        <w:fldChar w:fldCharType="end"/>
      </w:r>
    </w:p>
    <w:p>
      <w:pPr>
        <w:pStyle w:val="TOC8"/>
        <w:rPr>
          <w:rFonts w:asciiTheme="minorHAnsi" w:eastAsiaTheme="minorEastAsia" w:hAnsiTheme="minorHAnsi" w:cstheme="minorBidi"/>
          <w:szCs w:val="22"/>
        </w:rPr>
      </w:pPr>
      <w:r>
        <w:t>17C.</w:t>
      </w:r>
      <w:r>
        <w:tab/>
        <w:t>Power to refuse registration under s. 17B or renewal of registration</w:t>
      </w:r>
      <w:r>
        <w:tab/>
      </w:r>
      <w:r>
        <w:fldChar w:fldCharType="begin"/>
      </w:r>
      <w:r>
        <w:instrText xml:space="preserve"> PAGEREF _Toc106096815 \h </w:instrText>
      </w:r>
      <w:r>
        <w:fldChar w:fldCharType="separate"/>
      </w:r>
      <w:r>
        <w:t>15</w:t>
      </w:r>
      <w:r>
        <w:fldChar w:fldCharType="end"/>
      </w:r>
    </w:p>
    <w:p>
      <w:pPr>
        <w:pStyle w:val="TOC8"/>
        <w:rPr>
          <w:rFonts w:asciiTheme="minorHAnsi" w:eastAsiaTheme="minorEastAsia" w:hAnsiTheme="minorHAnsi" w:cstheme="minorBidi"/>
          <w:szCs w:val="22"/>
        </w:rPr>
      </w:pPr>
      <w:r>
        <w:t>17D.</w:t>
      </w:r>
      <w:r>
        <w:tab/>
        <w:t>Person cannot be both registered car market operator and licensee</w:t>
      </w:r>
      <w:r>
        <w:tab/>
      </w:r>
      <w:r>
        <w:fldChar w:fldCharType="begin"/>
      </w:r>
      <w:r>
        <w:instrText xml:space="preserve"> PAGEREF _Toc106096816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r>
      <w:r>
        <w:t>Grounds for refusing to grant or renew authorisation</w:t>
      </w:r>
      <w:r>
        <w:tab/>
      </w:r>
      <w:r>
        <w:fldChar w:fldCharType="begin"/>
      </w:r>
      <w:r>
        <w:instrText xml:space="preserve"> PAGEREF _Toc106096817 \h </w:instrText>
      </w:r>
      <w:r>
        <w:fldChar w:fldCharType="separate"/>
      </w:r>
      <w:r>
        <w:t>16</w:t>
      </w:r>
      <w:r>
        <w:fldChar w:fldCharType="end"/>
      </w:r>
    </w:p>
    <w:p>
      <w:pPr>
        <w:pStyle w:val="TOC8"/>
        <w:rPr>
          <w:rFonts w:asciiTheme="minorHAnsi" w:eastAsiaTheme="minorEastAsia" w:hAnsiTheme="minorHAnsi" w:cstheme="minorBidi"/>
          <w:szCs w:val="22"/>
        </w:rPr>
      </w:pPr>
      <w:r>
        <w:t>18A.</w:t>
      </w:r>
      <w:r>
        <w:tab/>
        <w:t>Conditions etc. on licences</w:t>
      </w:r>
      <w:r>
        <w:tab/>
      </w:r>
      <w:r>
        <w:fldChar w:fldCharType="begin"/>
      </w:r>
      <w:r>
        <w:instrText xml:space="preserve"> PAGEREF _Toc106096818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Duration and renewal of authorisations</w:t>
      </w:r>
      <w:r>
        <w:tab/>
      </w:r>
      <w:r>
        <w:fldChar w:fldCharType="begin"/>
      </w:r>
      <w:r>
        <w:instrText xml:space="preserve"> PAGEREF _Toc106096819 \h </w:instrText>
      </w:r>
      <w:r>
        <w:fldChar w:fldCharType="separate"/>
      </w:r>
      <w:r>
        <w:t>18</w:t>
      </w:r>
      <w:r>
        <w:fldChar w:fldCharType="end"/>
      </w:r>
    </w:p>
    <w:p>
      <w:pPr>
        <w:pStyle w:val="TOC8"/>
        <w:rPr>
          <w:rFonts w:asciiTheme="minorHAnsi" w:eastAsiaTheme="minorEastAsia" w:hAnsiTheme="minorHAnsi" w:cstheme="minorBidi"/>
          <w:szCs w:val="22"/>
        </w:rPr>
      </w:pPr>
      <w:r>
        <w:t>19A.</w:t>
      </w:r>
      <w:r>
        <w:tab/>
        <w:t>Surrender of authorisation</w:t>
      </w:r>
      <w:r>
        <w:tab/>
      </w:r>
      <w:r>
        <w:fldChar w:fldCharType="begin"/>
      </w:r>
      <w:r>
        <w:instrText xml:space="preserve"> PAGEREF _Toc106096820 \h </w:instrText>
      </w:r>
      <w:r>
        <w:fldChar w:fldCharType="separate"/>
      </w:r>
      <w:r>
        <w:t>19</w:t>
      </w:r>
      <w:r>
        <w:fldChar w:fldCharType="end"/>
      </w:r>
    </w:p>
    <w:p>
      <w:pPr>
        <w:pStyle w:val="TOC8"/>
        <w:rPr>
          <w:rFonts w:asciiTheme="minorHAnsi" w:eastAsiaTheme="minorEastAsia" w:hAnsiTheme="minorHAnsi" w:cstheme="minorBidi"/>
          <w:szCs w:val="22"/>
        </w:rPr>
      </w:pPr>
      <w:r>
        <w:t>20.</w:t>
      </w:r>
      <w:r>
        <w:tab/>
        <w:t>Allegations Commissioner may make to SAT</w:t>
      </w:r>
      <w:r>
        <w:tab/>
      </w:r>
      <w:r>
        <w:fldChar w:fldCharType="begin"/>
      </w:r>
      <w:r>
        <w:instrText xml:space="preserve"> PAGEREF _Toc106096821 \h </w:instrText>
      </w:r>
      <w:r>
        <w:fldChar w:fldCharType="separate"/>
      </w:r>
      <w:r>
        <w:t>20</w:t>
      </w:r>
      <w:r>
        <w:fldChar w:fldCharType="end"/>
      </w:r>
    </w:p>
    <w:p>
      <w:pPr>
        <w:pStyle w:val="TOC8"/>
        <w:rPr>
          <w:rFonts w:asciiTheme="minorHAnsi" w:eastAsiaTheme="minorEastAsia" w:hAnsiTheme="minorHAnsi" w:cstheme="minorBidi"/>
          <w:szCs w:val="22"/>
        </w:rPr>
      </w:pPr>
      <w:r>
        <w:t>20A.</w:t>
      </w:r>
      <w:r>
        <w:tab/>
        <w:t>Orders SAT may make on s. 20(1) allegation</w:t>
      </w:r>
      <w:r>
        <w:tab/>
      </w:r>
      <w:r>
        <w:fldChar w:fldCharType="begin"/>
      </w:r>
      <w:r>
        <w:instrText xml:space="preserve"> PAGEREF _Toc106096822 \h </w:instrText>
      </w:r>
      <w:r>
        <w:fldChar w:fldCharType="separate"/>
      </w:r>
      <w:r>
        <w:t>21</w:t>
      </w:r>
      <w:r>
        <w:fldChar w:fldCharType="end"/>
      </w:r>
    </w:p>
    <w:p>
      <w:pPr>
        <w:pStyle w:val="TOC8"/>
        <w:rPr>
          <w:rFonts w:asciiTheme="minorHAnsi" w:eastAsiaTheme="minorEastAsia" w:hAnsiTheme="minorHAnsi" w:cstheme="minorBidi"/>
          <w:szCs w:val="22"/>
        </w:rPr>
      </w:pPr>
      <w:r>
        <w:lastRenderedPageBreak/>
        <w:t>20B.</w:t>
      </w:r>
      <w:r>
        <w:tab/>
        <w:t>Limitations on s. 20A(4) powers</w:t>
      </w:r>
      <w:r>
        <w:tab/>
      </w:r>
      <w:r>
        <w:fldChar w:fldCharType="begin"/>
      </w:r>
      <w:r>
        <w:instrText xml:space="preserve"> PAGEREF _Toc106096823 \h </w:instrText>
      </w:r>
      <w:r>
        <w:fldChar w:fldCharType="separate"/>
      </w:r>
      <w:r>
        <w:t>22</w:t>
      </w:r>
      <w:r>
        <w:fldChar w:fldCharType="end"/>
      </w:r>
    </w:p>
    <w:p>
      <w:pPr>
        <w:pStyle w:val="TOC8"/>
        <w:rPr>
          <w:rFonts w:asciiTheme="minorHAnsi" w:eastAsiaTheme="minorEastAsia" w:hAnsiTheme="minorHAnsi" w:cstheme="minorBidi"/>
          <w:szCs w:val="22"/>
        </w:rPr>
      </w:pPr>
      <w:r>
        <w:t>20BA.</w:t>
      </w:r>
      <w:r>
        <w:tab/>
        <w:t>Orders SAT may make on s. 20(2) or (3) allegation</w:t>
      </w:r>
      <w:r>
        <w:tab/>
      </w:r>
      <w:r>
        <w:fldChar w:fldCharType="begin"/>
      </w:r>
      <w:r>
        <w:instrText xml:space="preserve"> PAGEREF _Toc106096824 \h </w:instrText>
      </w:r>
      <w:r>
        <w:fldChar w:fldCharType="separate"/>
      </w:r>
      <w:r>
        <w:t>22</w:t>
      </w:r>
      <w:r>
        <w:fldChar w:fldCharType="end"/>
      </w:r>
    </w:p>
    <w:p>
      <w:pPr>
        <w:pStyle w:val="TOC8"/>
        <w:rPr>
          <w:rFonts w:asciiTheme="minorHAnsi" w:eastAsiaTheme="minorEastAsia" w:hAnsiTheme="minorHAnsi" w:cstheme="minorBidi"/>
          <w:szCs w:val="22"/>
        </w:rPr>
      </w:pPr>
      <w:r>
        <w:t>20C.</w:t>
      </w:r>
      <w:r>
        <w:tab/>
        <w:t>SAT may suspend authorisation in some cases</w:t>
      </w:r>
      <w:r>
        <w:tab/>
      </w:r>
      <w:r>
        <w:fldChar w:fldCharType="begin"/>
      </w:r>
      <w:r>
        <w:instrText xml:space="preserve"> PAGEREF _Toc106096825 \h </w:instrText>
      </w:r>
      <w:r>
        <w:fldChar w:fldCharType="separate"/>
      </w:r>
      <w:r>
        <w:t>23</w:t>
      </w:r>
      <w:r>
        <w:fldChar w:fldCharType="end"/>
      </w:r>
    </w:p>
    <w:p>
      <w:pPr>
        <w:pStyle w:val="TOC8"/>
        <w:rPr>
          <w:rFonts w:asciiTheme="minorHAnsi" w:eastAsiaTheme="minorEastAsia" w:hAnsiTheme="minorHAnsi" w:cstheme="minorBidi"/>
          <w:szCs w:val="22"/>
        </w:rPr>
      </w:pPr>
      <w:r>
        <w:t>20D.</w:t>
      </w:r>
      <w:r>
        <w:tab/>
        <w:t>Disqualified persons, offences as to</w:t>
      </w:r>
      <w:r>
        <w:tab/>
      </w:r>
      <w:r>
        <w:fldChar w:fldCharType="begin"/>
      </w:r>
      <w:r>
        <w:instrText xml:space="preserve"> PAGEREF _Toc106096826 \h </w:instrText>
      </w:r>
      <w:r>
        <w:fldChar w:fldCharType="separate"/>
      </w:r>
      <w:r>
        <w:t>23</w:t>
      </w:r>
      <w:r>
        <w:fldChar w:fldCharType="end"/>
      </w:r>
    </w:p>
    <w:p>
      <w:pPr>
        <w:pStyle w:val="TOC8"/>
        <w:rPr>
          <w:rFonts w:asciiTheme="minorHAnsi" w:eastAsiaTheme="minorEastAsia" w:hAnsiTheme="minorHAnsi" w:cstheme="minorBidi"/>
          <w:szCs w:val="22"/>
        </w:rPr>
      </w:pPr>
      <w:r>
        <w:t>20E.</w:t>
      </w:r>
      <w:r>
        <w:tab/>
        <w:t>Dealer’s licence, applications for to specify premises etc.</w:t>
      </w:r>
      <w:r>
        <w:tab/>
      </w:r>
      <w:r>
        <w:fldChar w:fldCharType="begin"/>
      </w:r>
      <w:r>
        <w:instrText xml:space="preserve"> PAGEREF _Toc106096827 \h </w:instrText>
      </w:r>
      <w:r>
        <w:fldChar w:fldCharType="separate"/>
      </w:r>
      <w:r>
        <w:t>23</w:t>
      </w:r>
      <w:r>
        <w:fldChar w:fldCharType="end"/>
      </w:r>
    </w:p>
    <w:p>
      <w:pPr>
        <w:pStyle w:val="TOC8"/>
        <w:rPr>
          <w:rFonts w:asciiTheme="minorHAnsi" w:eastAsiaTheme="minorEastAsia" w:hAnsiTheme="minorHAnsi" w:cstheme="minorBidi"/>
          <w:szCs w:val="22"/>
        </w:rPr>
      </w:pPr>
      <w:r>
        <w:t>20FA.</w:t>
      </w:r>
      <w:r>
        <w:tab/>
        <w:t>Authorisation of premises does not affect planning laws</w:t>
      </w:r>
      <w:r>
        <w:tab/>
      </w:r>
      <w:r>
        <w:fldChar w:fldCharType="begin"/>
      </w:r>
      <w:r>
        <w:instrText xml:space="preserve"> PAGEREF _Toc106096828 \h </w:instrText>
      </w:r>
      <w:r>
        <w:fldChar w:fldCharType="separate"/>
      </w:r>
      <w:r>
        <w:t>24</w:t>
      </w:r>
      <w:r>
        <w:fldChar w:fldCharType="end"/>
      </w:r>
    </w:p>
    <w:p>
      <w:pPr>
        <w:pStyle w:val="TOC8"/>
        <w:rPr>
          <w:rFonts w:asciiTheme="minorHAnsi" w:eastAsiaTheme="minorEastAsia" w:hAnsiTheme="minorHAnsi" w:cstheme="minorBidi"/>
          <w:szCs w:val="22"/>
        </w:rPr>
      </w:pPr>
      <w:r>
        <w:t>20F.</w:t>
      </w:r>
      <w:r>
        <w:tab/>
        <w:t>Changes in authorised premises</w:t>
      </w:r>
      <w:r>
        <w:tab/>
      </w:r>
      <w:r>
        <w:fldChar w:fldCharType="begin"/>
      </w:r>
      <w:r>
        <w:instrText xml:space="preserve"> PAGEREF _Toc106096829 \h </w:instrText>
      </w:r>
      <w:r>
        <w:fldChar w:fldCharType="separate"/>
      </w:r>
      <w:r>
        <w:t>24</w:t>
      </w:r>
      <w:r>
        <w:fldChar w:fldCharType="end"/>
      </w:r>
    </w:p>
    <w:p>
      <w:pPr>
        <w:pStyle w:val="TOC8"/>
        <w:rPr>
          <w:rFonts w:asciiTheme="minorHAnsi" w:eastAsiaTheme="minorEastAsia" w:hAnsiTheme="minorHAnsi" w:cstheme="minorBidi"/>
          <w:szCs w:val="22"/>
        </w:rPr>
      </w:pPr>
      <w:r>
        <w:t>20G.</w:t>
      </w:r>
      <w:r>
        <w:tab/>
        <w:t>Certificate for dealer’s authorised premises, issue and display of</w:t>
      </w:r>
      <w:r>
        <w:tab/>
      </w:r>
      <w:r>
        <w:fldChar w:fldCharType="begin"/>
      </w:r>
      <w:r>
        <w:instrText xml:space="preserve"> PAGEREF _Toc106096830 \h </w:instrText>
      </w:r>
      <w:r>
        <w:fldChar w:fldCharType="separate"/>
      </w:r>
      <w:r>
        <w:t>24</w:t>
      </w:r>
      <w:r>
        <w:fldChar w:fldCharType="end"/>
      </w:r>
    </w:p>
    <w:p>
      <w:pPr>
        <w:pStyle w:val="TOC8"/>
        <w:rPr>
          <w:rFonts w:asciiTheme="minorHAnsi" w:eastAsiaTheme="minorEastAsia" w:hAnsiTheme="minorHAnsi" w:cstheme="minorBidi"/>
          <w:szCs w:val="22"/>
        </w:rPr>
      </w:pPr>
      <w:r>
        <w:t>20H.</w:t>
      </w:r>
      <w:r>
        <w:tab/>
        <w:t>Special occasions, permits for</w:t>
      </w:r>
      <w:r>
        <w:tab/>
      </w:r>
      <w:r>
        <w:fldChar w:fldCharType="begin"/>
      </w:r>
      <w:r>
        <w:instrText xml:space="preserve"> PAGEREF _Toc106096831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Dealer’s premises and advertisements to show name and number</w:t>
      </w:r>
      <w:r>
        <w:tab/>
      </w:r>
      <w:r>
        <w:fldChar w:fldCharType="begin"/>
      </w:r>
      <w:r>
        <w:instrText xml:space="preserve"> PAGEREF _Toc106096832 \h </w:instrText>
      </w:r>
      <w:r>
        <w:fldChar w:fldCharType="separate"/>
      </w:r>
      <w:r>
        <w:t>26</w:t>
      </w:r>
      <w:r>
        <w:fldChar w:fldCharType="end"/>
      </w:r>
    </w:p>
    <w:p>
      <w:pPr>
        <w:pStyle w:val="TOC8"/>
        <w:rPr>
          <w:rFonts w:asciiTheme="minorHAnsi" w:eastAsiaTheme="minorEastAsia" w:hAnsiTheme="minorHAnsi" w:cstheme="minorBidi"/>
          <w:szCs w:val="22"/>
        </w:rPr>
      </w:pPr>
      <w:r>
        <w:t>21A.</w:t>
      </w:r>
      <w:r>
        <w:tab/>
        <w:t>Car market operator registration, application for to specify premises etc.</w:t>
      </w:r>
      <w:r>
        <w:tab/>
      </w:r>
      <w:r>
        <w:fldChar w:fldCharType="begin"/>
      </w:r>
      <w:r>
        <w:instrText xml:space="preserve"> PAGEREF _Toc106096833 \h </w:instrText>
      </w:r>
      <w:r>
        <w:fldChar w:fldCharType="separate"/>
      </w:r>
      <w:r>
        <w:t>26</w:t>
      </w:r>
      <w:r>
        <w:fldChar w:fldCharType="end"/>
      </w:r>
    </w:p>
    <w:p>
      <w:pPr>
        <w:pStyle w:val="TOC8"/>
        <w:rPr>
          <w:rFonts w:asciiTheme="minorHAnsi" w:eastAsiaTheme="minorEastAsia" w:hAnsiTheme="minorHAnsi" w:cstheme="minorBidi"/>
          <w:szCs w:val="22"/>
        </w:rPr>
      </w:pPr>
      <w:r>
        <w:t>21BA.</w:t>
      </w:r>
      <w:r>
        <w:tab/>
        <w:t>Authorisation of premises does not affect planning laws</w:t>
      </w:r>
      <w:r>
        <w:tab/>
      </w:r>
      <w:r>
        <w:fldChar w:fldCharType="begin"/>
      </w:r>
      <w:r>
        <w:instrText xml:space="preserve"> PAGEREF _Toc106096834 \h </w:instrText>
      </w:r>
      <w:r>
        <w:fldChar w:fldCharType="separate"/>
      </w:r>
      <w:r>
        <w:t>27</w:t>
      </w:r>
      <w:r>
        <w:fldChar w:fldCharType="end"/>
      </w:r>
    </w:p>
    <w:p>
      <w:pPr>
        <w:pStyle w:val="TOC8"/>
        <w:rPr>
          <w:rFonts w:asciiTheme="minorHAnsi" w:eastAsiaTheme="minorEastAsia" w:hAnsiTheme="minorHAnsi" w:cstheme="minorBidi"/>
          <w:szCs w:val="22"/>
        </w:rPr>
      </w:pPr>
      <w:r>
        <w:t>21B.</w:t>
      </w:r>
      <w:r>
        <w:tab/>
        <w:t>Changes in authorised premises</w:t>
      </w:r>
      <w:r>
        <w:tab/>
      </w:r>
      <w:r>
        <w:fldChar w:fldCharType="begin"/>
      </w:r>
      <w:r>
        <w:instrText xml:space="preserve"> PAGEREF _Toc106096835 \h </w:instrText>
      </w:r>
      <w:r>
        <w:fldChar w:fldCharType="separate"/>
      </w:r>
      <w:r>
        <w:t>27</w:t>
      </w:r>
      <w:r>
        <w:fldChar w:fldCharType="end"/>
      </w:r>
    </w:p>
    <w:p>
      <w:pPr>
        <w:pStyle w:val="TOC8"/>
        <w:rPr>
          <w:rFonts w:asciiTheme="minorHAnsi" w:eastAsiaTheme="minorEastAsia" w:hAnsiTheme="minorHAnsi" w:cstheme="minorBidi"/>
          <w:szCs w:val="22"/>
        </w:rPr>
      </w:pPr>
      <w:r>
        <w:t>21C.</w:t>
      </w:r>
      <w:r>
        <w:tab/>
        <w:t>Certificate for car market operator’s premises, issue and display of</w:t>
      </w:r>
      <w:r>
        <w:tab/>
      </w:r>
      <w:r>
        <w:fldChar w:fldCharType="begin"/>
      </w:r>
      <w:r>
        <w:instrText xml:space="preserve"> PAGEREF _Toc106096836 \h </w:instrText>
      </w:r>
      <w:r>
        <w:fldChar w:fldCharType="separate"/>
      </w:r>
      <w:r>
        <w:t>27</w:t>
      </w:r>
      <w:r>
        <w:fldChar w:fldCharType="end"/>
      </w:r>
    </w:p>
    <w:p>
      <w:pPr>
        <w:pStyle w:val="TOC8"/>
        <w:rPr>
          <w:rFonts w:asciiTheme="minorHAnsi" w:eastAsiaTheme="minorEastAsia" w:hAnsiTheme="minorHAnsi" w:cstheme="minorBidi"/>
          <w:szCs w:val="22"/>
        </w:rPr>
      </w:pPr>
      <w:r>
        <w:t>21D</w:t>
      </w:r>
      <w:r>
        <w:rPr>
          <w:snapToGrid w:val="0"/>
        </w:rPr>
        <w:t>.</w:t>
      </w:r>
      <w:r>
        <w:rPr>
          <w:snapToGrid w:val="0"/>
        </w:rPr>
        <w:tab/>
        <w:t xml:space="preserve">Car market </w:t>
      </w:r>
      <w:r>
        <w:t>operator’s</w:t>
      </w:r>
      <w:r>
        <w:rPr>
          <w:snapToGrid w:val="0"/>
        </w:rPr>
        <w:t xml:space="preserve"> premises and advertisements to show name and number</w:t>
      </w:r>
      <w:r>
        <w:tab/>
      </w:r>
      <w:r>
        <w:fldChar w:fldCharType="begin"/>
      </w:r>
      <w:r>
        <w:instrText xml:space="preserve"> PAGEREF _Toc106096837 \h </w:instrText>
      </w:r>
      <w:r>
        <w:fldChar w:fldCharType="separate"/>
      </w:r>
      <w:r>
        <w:t>28</w:t>
      </w:r>
      <w:r>
        <w:fldChar w:fldCharType="end"/>
      </w:r>
    </w:p>
    <w:p>
      <w:pPr>
        <w:pStyle w:val="TOC8"/>
        <w:rPr>
          <w:rFonts w:asciiTheme="minorHAnsi" w:eastAsiaTheme="minorEastAsia" w:hAnsiTheme="minorHAnsi" w:cstheme="minorBidi"/>
          <w:szCs w:val="22"/>
        </w:rPr>
      </w:pPr>
      <w:r>
        <w:t>22.</w:t>
      </w:r>
      <w:r>
        <w:tab/>
        <w:t>Review of certain decisions by SAT, applying for</w:t>
      </w:r>
      <w:r>
        <w:tab/>
      </w:r>
      <w:r>
        <w:fldChar w:fldCharType="begin"/>
      </w:r>
      <w:r>
        <w:instrText xml:space="preserve"> PAGEREF _Toc106096838 \h </w:instrText>
      </w:r>
      <w:r>
        <w:fldChar w:fldCharType="separate"/>
      </w:r>
      <w:r>
        <w:t>28</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Licence or certificate of registration to be returned if cancelled etc.</w:t>
      </w:r>
      <w:r>
        <w:tab/>
      </w:r>
      <w:r>
        <w:fldChar w:fldCharType="begin"/>
      </w:r>
      <w:r>
        <w:instrText xml:space="preserve"> PAGEREF _Toc106096839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Changes to particulars on licence or registration, Commissioner to be notified etc.</w:t>
      </w:r>
      <w:r>
        <w:tab/>
      </w:r>
      <w:r>
        <w:fldChar w:fldCharType="begin"/>
      </w:r>
      <w:r>
        <w:instrText xml:space="preserve"> PAGEREF _Toc106096840 \h </w:instrText>
      </w:r>
      <w:r>
        <w:fldChar w:fldCharType="separate"/>
      </w:r>
      <w:r>
        <w:t>30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Register of authorisations etc.; evidentiary provisions</w:t>
      </w:r>
      <w:r>
        <w:tab/>
      </w:r>
      <w:r>
        <w:fldChar w:fldCharType="begin"/>
      </w:r>
      <w:r>
        <w:instrText xml:space="preserve"> PAGEREF _Toc106096841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Record</w:t>
      </w:r>
      <w:r>
        <w:noBreakHyphen/>
        <w:t>keeping and notification of authorities</w:t>
      </w:r>
    </w:p>
    <w:p>
      <w:pPr>
        <w:pStyle w:val="TOC8"/>
        <w:rPr>
          <w:rFonts w:asciiTheme="minorHAnsi" w:eastAsiaTheme="minorEastAsia" w:hAnsiTheme="minorHAnsi" w:cstheme="minorBidi"/>
          <w:szCs w:val="22"/>
        </w:rPr>
      </w:pPr>
      <w:r>
        <w:t>25</w:t>
      </w:r>
      <w:r>
        <w:rPr>
          <w:snapToGrid w:val="0"/>
        </w:rPr>
        <w:t>.</w:t>
      </w:r>
      <w:r>
        <w:rPr>
          <w:snapToGrid w:val="0"/>
        </w:rPr>
        <w:tab/>
        <w:t>Register to be kept by licence holders etc.</w:t>
      </w:r>
      <w:r>
        <w:tab/>
      </w:r>
      <w:r>
        <w:fldChar w:fldCharType="begin"/>
      </w:r>
      <w:r>
        <w:instrText xml:space="preserve"> PAGEREF _Toc106096843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Transactions in second</w:t>
      </w:r>
      <w:r>
        <w:rPr>
          <w:snapToGrid w:val="0"/>
        </w:rPr>
        <w:noBreakHyphen/>
        <w:t>hand vehicles, vehicle licensing authority to be notified of</w:t>
      </w:r>
      <w:r>
        <w:tab/>
      </w:r>
      <w:r>
        <w:fldChar w:fldCharType="begin"/>
      </w:r>
      <w:r>
        <w:instrText xml:space="preserve"> PAGEREF _Toc106096844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Powers to inspect vehicles and order remedial work</w:t>
      </w:r>
    </w:p>
    <w:p>
      <w:pPr>
        <w:pStyle w:val="TOC8"/>
        <w:rPr>
          <w:rFonts w:asciiTheme="minorHAnsi" w:eastAsiaTheme="minorEastAsia" w:hAnsiTheme="minorHAnsi" w:cstheme="minorBidi"/>
          <w:szCs w:val="22"/>
        </w:rPr>
      </w:pPr>
      <w:r>
        <w:t>27</w:t>
      </w:r>
      <w:r>
        <w:rPr>
          <w:snapToGrid w:val="0"/>
        </w:rPr>
        <w:t>.</w:t>
      </w:r>
      <w:r>
        <w:rPr>
          <w:snapToGrid w:val="0"/>
        </w:rPr>
        <w:tab/>
        <w:t>Second</w:t>
      </w:r>
      <w:r>
        <w:rPr>
          <w:snapToGrid w:val="0"/>
        </w:rPr>
        <w:noBreakHyphen/>
        <w:t>hand vehicles, powers of police etc. to inspect etc., where to be kept by dealers etc.</w:t>
      </w:r>
      <w:r>
        <w:tab/>
      </w:r>
      <w:r>
        <w:fldChar w:fldCharType="begin"/>
      </w:r>
      <w:r>
        <w:instrText xml:space="preserve"> PAGEREF _Toc106096846 \h </w:instrText>
      </w:r>
      <w:r>
        <w:fldChar w:fldCharType="separate"/>
      </w:r>
      <w:r>
        <w:t>35</w:t>
      </w:r>
      <w:r>
        <w:fldChar w:fldCharType="end"/>
      </w:r>
    </w:p>
    <w:p>
      <w:pPr>
        <w:pStyle w:val="TOC8"/>
        <w:rPr>
          <w:rFonts w:asciiTheme="minorHAnsi" w:eastAsiaTheme="minorEastAsia" w:hAnsiTheme="minorHAnsi" w:cstheme="minorBidi"/>
          <w:szCs w:val="22"/>
        </w:rPr>
      </w:pPr>
      <w:r>
        <w:lastRenderedPageBreak/>
        <w:t>28.</w:t>
      </w:r>
      <w:r>
        <w:tab/>
        <w:t>Defects in second</w:t>
      </w:r>
      <w:r>
        <w:noBreakHyphen/>
        <w:t>hand vehicle, powers of police etc. to order remediation of</w:t>
      </w:r>
      <w:r>
        <w:tab/>
      </w:r>
      <w:r>
        <w:fldChar w:fldCharType="begin"/>
      </w:r>
      <w:r>
        <w:instrText xml:space="preserve"> PAGEREF _Toc106096847 \h </w:instrText>
      </w:r>
      <w:r>
        <w:fldChar w:fldCharType="separate"/>
      </w:r>
      <w:r>
        <w:t>36</w:t>
      </w:r>
      <w:r>
        <w:fldChar w:fldCharType="end"/>
      </w:r>
    </w:p>
    <w:p>
      <w:pPr>
        <w:pStyle w:val="TOC8"/>
        <w:rPr>
          <w:rFonts w:asciiTheme="minorHAnsi" w:eastAsiaTheme="minorEastAsia" w:hAnsiTheme="minorHAnsi" w:cstheme="minorBidi"/>
          <w:szCs w:val="22"/>
        </w:rPr>
      </w:pPr>
      <w:r>
        <w:t>28A.</w:t>
      </w:r>
      <w:r>
        <w:tab/>
        <w:t>Number plates, how to be returned under s. 28(2)(b)(ii)</w:t>
      </w:r>
      <w:r>
        <w:tab/>
      </w:r>
      <w:r>
        <w:fldChar w:fldCharType="begin"/>
      </w:r>
      <w:r>
        <w:instrText xml:space="preserve"> PAGEREF _Toc106096848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Unroadworthy vehicles, restrictions on sale of</w:t>
      </w:r>
      <w:r>
        <w:tab/>
      </w:r>
      <w:r>
        <w:fldChar w:fldCharType="begin"/>
      </w:r>
      <w:r>
        <w:instrText xml:space="preserve"> PAGEREF _Toc106096849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5 — Offences: unlicensed dealing etc.</w:t>
      </w:r>
    </w:p>
    <w:p>
      <w:pPr>
        <w:pStyle w:val="TOC8"/>
        <w:rPr>
          <w:rFonts w:asciiTheme="minorHAnsi" w:eastAsiaTheme="minorEastAsia" w:hAnsiTheme="minorHAnsi" w:cstheme="minorBidi"/>
          <w:szCs w:val="22"/>
        </w:rPr>
      </w:pPr>
      <w:r>
        <w:t>30.</w:t>
      </w:r>
      <w:r>
        <w:tab/>
        <w:t>Unlicensed dealing etc., offences as to</w:t>
      </w:r>
      <w:r>
        <w:tab/>
      </w:r>
      <w:r>
        <w:fldChar w:fldCharType="begin"/>
      </w:r>
      <w:r>
        <w:instrText xml:space="preserve"> PAGEREF _Toc106096851 \h </w:instrText>
      </w:r>
      <w:r>
        <w:fldChar w:fldCharType="separate"/>
      </w:r>
      <w:r>
        <w:t>40</w:t>
      </w:r>
      <w:r>
        <w:fldChar w:fldCharType="end"/>
      </w:r>
    </w:p>
    <w:p>
      <w:pPr>
        <w:pStyle w:val="TOC8"/>
        <w:rPr>
          <w:rFonts w:asciiTheme="minorHAnsi" w:eastAsiaTheme="minorEastAsia" w:hAnsiTheme="minorHAnsi" w:cstheme="minorBidi"/>
          <w:szCs w:val="22"/>
        </w:rPr>
      </w:pPr>
      <w:r>
        <w:t>31.</w:t>
      </w:r>
      <w:r>
        <w:tab/>
        <w:t>Exemptions from this Act, powers to grant</w:t>
      </w:r>
      <w:r>
        <w:tab/>
      </w:r>
      <w:r>
        <w:fldChar w:fldCharType="begin"/>
      </w:r>
      <w:r>
        <w:instrText xml:space="preserve"> PAGEREF _Toc106096852 \h </w:instrText>
      </w:r>
      <w:r>
        <w:fldChar w:fldCharType="separate"/>
      </w:r>
      <w:r>
        <w:t>41</w:t>
      </w:r>
      <w:r>
        <w:fldChar w:fldCharType="end"/>
      </w:r>
    </w:p>
    <w:p>
      <w:pPr>
        <w:pStyle w:val="TOC8"/>
        <w:rPr>
          <w:rFonts w:asciiTheme="minorHAnsi" w:eastAsiaTheme="minorEastAsia" w:hAnsiTheme="minorHAnsi" w:cstheme="minorBidi"/>
          <w:szCs w:val="22"/>
        </w:rPr>
      </w:pPr>
      <w:r>
        <w:t>31A.</w:t>
      </w:r>
      <w:r>
        <w:tab/>
        <w:t>Yard managers must be licensed, offence</w:t>
      </w:r>
      <w:r>
        <w:tab/>
      </w:r>
      <w:r>
        <w:fldChar w:fldCharType="begin"/>
      </w:r>
      <w:r>
        <w:instrText xml:space="preserve"> PAGEREF _Toc106096853 \h </w:instrText>
      </w:r>
      <w:r>
        <w:fldChar w:fldCharType="separate"/>
      </w:r>
      <w:r>
        <w:t>42</w:t>
      </w:r>
      <w:r>
        <w:fldChar w:fldCharType="end"/>
      </w:r>
    </w:p>
    <w:p>
      <w:pPr>
        <w:pStyle w:val="TOC8"/>
        <w:rPr>
          <w:rFonts w:asciiTheme="minorHAnsi" w:eastAsiaTheme="minorEastAsia" w:hAnsiTheme="minorHAnsi" w:cstheme="minorBidi"/>
          <w:szCs w:val="22"/>
        </w:rPr>
      </w:pPr>
      <w:r>
        <w:t>31B.</w:t>
      </w:r>
      <w:r>
        <w:tab/>
        <w:t>Salespersons must be licensed, offence</w:t>
      </w:r>
      <w:r>
        <w:tab/>
      </w:r>
      <w:r>
        <w:fldChar w:fldCharType="begin"/>
      </w:r>
      <w:r>
        <w:instrText xml:space="preserve"> PAGEREF _Toc106096854 \h </w:instrText>
      </w:r>
      <w:r>
        <w:fldChar w:fldCharType="separate"/>
      </w:r>
      <w:r>
        <w:t>43</w:t>
      </w:r>
      <w:r>
        <w:fldChar w:fldCharType="end"/>
      </w:r>
    </w:p>
    <w:p>
      <w:pPr>
        <w:pStyle w:val="TOC8"/>
        <w:rPr>
          <w:rFonts w:asciiTheme="minorHAnsi" w:eastAsiaTheme="minorEastAsia" w:hAnsiTheme="minorHAnsi" w:cstheme="minorBidi"/>
          <w:szCs w:val="22"/>
        </w:rPr>
      </w:pPr>
      <w:r>
        <w:t>31C.</w:t>
      </w:r>
      <w:r>
        <w:tab/>
        <w:t>Unlicensed person not to be employed</w:t>
      </w:r>
      <w:r>
        <w:tab/>
      </w:r>
      <w:r>
        <w:fldChar w:fldCharType="begin"/>
      </w:r>
      <w:r>
        <w:instrText xml:space="preserve"> PAGEREF _Toc106096855 \h </w:instrText>
      </w:r>
      <w:r>
        <w:fldChar w:fldCharType="separate"/>
      </w:r>
      <w:r>
        <w:t>43</w:t>
      </w:r>
      <w:r>
        <w:fldChar w:fldCharType="end"/>
      </w:r>
    </w:p>
    <w:p>
      <w:pPr>
        <w:pStyle w:val="TOC8"/>
        <w:rPr>
          <w:rFonts w:asciiTheme="minorHAnsi" w:eastAsiaTheme="minorEastAsia" w:hAnsiTheme="minorHAnsi" w:cstheme="minorBidi"/>
          <w:szCs w:val="22"/>
        </w:rPr>
      </w:pPr>
      <w:r>
        <w:t>31D.</w:t>
      </w:r>
      <w:r>
        <w:tab/>
        <w:t>Car market operators must be registered and premises authorised, offence</w:t>
      </w:r>
      <w:r>
        <w:tab/>
      </w:r>
      <w:r>
        <w:fldChar w:fldCharType="begin"/>
      </w:r>
      <w:r>
        <w:instrText xml:space="preserve"> PAGEREF _Toc106096856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III — Dealings in second</w:t>
      </w:r>
      <w:r>
        <w:noBreakHyphen/>
        <w:t>hand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32</w:t>
      </w:r>
      <w:r>
        <w:rPr>
          <w:snapToGrid w:val="0"/>
        </w:rPr>
        <w:t>.</w:t>
      </w:r>
      <w:r>
        <w:rPr>
          <w:snapToGrid w:val="0"/>
        </w:rPr>
        <w:tab/>
        <w:t>Application of this Part</w:t>
      </w:r>
      <w:r>
        <w:tab/>
      </w:r>
      <w:r>
        <w:fldChar w:fldCharType="begin"/>
      </w:r>
      <w:r>
        <w:instrText xml:space="preserve"> PAGEREF _Toc106096859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Sales on consignment</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_Toc106096861 \h </w:instrText>
      </w:r>
      <w:r>
        <w:fldChar w:fldCharType="separate"/>
      </w:r>
      <w:r>
        <w:t>46</w:t>
      </w:r>
      <w:r>
        <w:fldChar w:fldCharType="end"/>
      </w:r>
    </w:p>
    <w:p>
      <w:pPr>
        <w:pStyle w:val="TOC8"/>
        <w:rPr>
          <w:rFonts w:asciiTheme="minorHAnsi" w:eastAsiaTheme="minorEastAsia" w:hAnsiTheme="minorHAnsi" w:cstheme="minorBidi"/>
          <w:szCs w:val="22"/>
        </w:rPr>
      </w:pPr>
      <w:r>
        <w:t>32B.</w:t>
      </w:r>
      <w:r>
        <w:tab/>
        <w:t>Consignment agreements, requirements for</w:t>
      </w:r>
      <w:r>
        <w:tab/>
      </w:r>
      <w:r>
        <w:fldChar w:fldCharType="begin"/>
      </w:r>
      <w:r>
        <w:instrText xml:space="preserve"> PAGEREF _Toc106096862 \h </w:instrText>
      </w:r>
      <w:r>
        <w:fldChar w:fldCharType="separate"/>
      </w:r>
      <w:r>
        <w:t>47</w:t>
      </w:r>
      <w:r>
        <w:fldChar w:fldCharType="end"/>
      </w:r>
    </w:p>
    <w:p>
      <w:pPr>
        <w:pStyle w:val="TOC8"/>
        <w:rPr>
          <w:rFonts w:asciiTheme="minorHAnsi" w:eastAsiaTheme="minorEastAsia" w:hAnsiTheme="minorHAnsi" w:cstheme="minorBidi"/>
          <w:szCs w:val="22"/>
        </w:rPr>
      </w:pPr>
      <w:r>
        <w:t>32C.</w:t>
      </w:r>
      <w:r>
        <w:tab/>
        <w:t>Dealer selling on consignment to have trust account</w:t>
      </w:r>
      <w:r>
        <w:tab/>
      </w:r>
      <w:r>
        <w:fldChar w:fldCharType="begin"/>
      </w:r>
      <w:r>
        <w:instrText xml:space="preserve"> PAGEREF _Toc106096863 \h </w:instrText>
      </w:r>
      <w:r>
        <w:fldChar w:fldCharType="separate"/>
      </w:r>
      <w:r>
        <w:t>47</w:t>
      </w:r>
      <w:r>
        <w:fldChar w:fldCharType="end"/>
      </w:r>
    </w:p>
    <w:p>
      <w:pPr>
        <w:pStyle w:val="TOC8"/>
        <w:rPr>
          <w:rFonts w:asciiTheme="minorHAnsi" w:eastAsiaTheme="minorEastAsia" w:hAnsiTheme="minorHAnsi" w:cstheme="minorBidi"/>
          <w:szCs w:val="22"/>
        </w:rPr>
      </w:pPr>
      <w:r>
        <w:t>32D.</w:t>
      </w:r>
      <w:r>
        <w:tab/>
        <w:t>Payments to trust account</w:t>
      </w:r>
      <w:r>
        <w:tab/>
      </w:r>
      <w:r>
        <w:fldChar w:fldCharType="begin"/>
      </w:r>
      <w:r>
        <w:instrText xml:space="preserve"> PAGEREF _Toc106096864 \h </w:instrText>
      </w:r>
      <w:r>
        <w:fldChar w:fldCharType="separate"/>
      </w:r>
      <w:r>
        <w:t>47</w:t>
      </w:r>
      <w:r>
        <w:fldChar w:fldCharType="end"/>
      </w:r>
    </w:p>
    <w:p>
      <w:pPr>
        <w:pStyle w:val="TOC8"/>
        <w:rPr>
          <w:rFonts w:asciiTheme="minorHAnsi" w:eastAsiaTheme="minorEastAsia" w:hAnsiTheme="minorHAnsi" w:cstheme="minorBidi"/>
          <w:szCs w:val="22"/>
        </w:rPr>
      </w:pPr>
      <w:r>
        <w:t>32E.</w:t>
      </w:r>
      <w:r>
        <w:tab/>
        <w:t>Withdrawals from trust account</w:t>
      </w:r>
      <w:r>
        <w:tab/>
      </w:r>
      <w:r>
        <w:fldChar w:fldCharType="begin"/>
      </w:r>
      <w:r>
        <w:instrText xml:space="preserve"> PAGEREF _Toc106096865 \h </w:instrText>
      </w:r>
      <w:r>
        <w:fldChar w:fldCharType="separate"/>
      </w:r>
      <w:r>
        <w:t>48</w:t>
      </w:r>
      <w:r>
        <w:fldChar w:fldCharType="end"/>
      </w:r>
    </w:p>
    <w:p>
      <w:pPr>
        <w:pStyle w:val="TOC8"/>
        <w:rPr>
          <w:rFonts w:asciiTheme="minorHAnsi" w:eastAsiaTheme="minorEastAsia" w:hAnsiTheme="minorHAnsi" w:cstheme="minorBidi"/>
          <w:szCs w:val="22"/>
        </w:rPr>
      </w:pPr>
      <w:r>
        <w:t>32F.</w:t>
      </w:r>
      <w:r>
        <w:tab/>
        <w:t>Financial institutions, liabilities and rights in relation to trust accounts</w:t>
      </w:r>
      <w:r>
        <w:tab/>
      </w:r>
      <w:r>
        <w:fldChar w:fldCharType="begin"/>
      </w:r>
      <w:r>
        <w:instrText xml:space="preserve"> PAGEREF _Toc106096866 \h </w:instrText>
      </w:r>
      <w:r>
        <w:fldChar w:fldCharType="separate"/>
      </w:r>
      <w:r>
        <w:t>49</w:t>
      </w:r>
      <w:r>
        <w:fldChar w:fldCharType="end"/>
      </w:r>
    </w:p>
    <w:p>
      <w:pPr>
        <w:pStyle w:val="TOC8"/>
        <w:rPr>
          <w:rFonts w:asciiTheme="minorHAnsi" w:eastAsiaTheme="minorEastAsia" w:hAnsiTheme="minorHAnsi" w:cstheme="minorBidi"/>
          <w:szCs w:val="22"/>
        </w:rPr>
      </w:pPr>
      <w:r>
        <w:t>32G.</w:t>
      </w:r>
      <w:r>
        <w:tab/>
        <w:t>Payment to consignor</w:t>
      </w:r>
      <w:r>
        <w:tab/>
      </w:r>
      <w:r>
        <w:fldChar w:fldCharType="begin"/>
      </w:r>
      <w:r>
        <w:instrText xml:space="preserve"> PAGEREF _Toc106096867 \h </w:instrText>
      </w:r>
      <w:r>
        <w:fldChar w:fldCharType="separate"/>
      </w:r>
      <w:r>
        <w:t>50</w:t>
      </w:r>
      <w:r>
        <w:fldChar w:fldCharType="end"/>
      </w:r>
    </w:p>
    <w:p>
      <w:pPr>
        <w:pStyle w:val="TOC8"/>
        <w:rPr>
          <w:rFonts w:asciiTheme="minorHAnsi" w:eastAsiaTheme="minorEastAsia" w:hAnsiTheme="minorHAnsi" w:cstheme="minorBidi"/>
          <w:szCs w:val="22"/>
        </w:rPr>
      </w:pPr>
      <w:r>
        <w:t>32H.</w:t>
      </w:r>
      <w:r>
        <w:tab/>
        <w:t>Dealers to keep accounts etc.</w:t>
      </w:r>
      <w:r>
        <w:tab/>
      </w:r>
      <w:r>
        <w:fldChar w:fldCharType="begin"/>
      </w:r>
      <w:r>
        <w:instrText xml:space="preserve"> PAGEREF _Toc106096868 \h </w:instrText>
      </w:r>
      <w:r>
        <w:fldChar w:fldCharType="separate"/>
      </w:r>
      <w:r>
        <w:t>50</w:t>
      </w:r>
      <w:r>
        <w:fldChar w:fldCharType="end"/>
      </w:r>
    </w:p>
    <w:p>
      <w:pPr>
        <w:pStyle w:val="TOC8"/>
        <w:rPr>
          <w:rFonts w:asciiTheme="minorHAnsi" w:eastAsiaTheme="minorEastAsia" w:hAnsiTheme="minorHAnsi" w:cstheme="minorBidi"/>
          <w:szCs w:val="22"/>
        </w:rPr>
      </w:pPr>
      <w:r>
        <w:t>32I.</w:t>
      </w:r>
      <w:r>
        <w:tab/>
        <w:t>Audit of trust accounts</w:t>
      </w:r>
      <w:r>
        <w:tab/>
      </w:r>
      <w:r>
        <w:fldChar w:fldCharType="begin"/>
      </w:r>
      <w:r>
        <w:instrText xml:space="preserve"> PAGEREF _Toc106096869 \h </w:instrText>
      </w:r>
      <w:r>
        <w:fldChar w:fldCharType="separate"/>
      </w:r>
      <w:r>
        <w:t>51</w:t>
      </w:r>
      <w:r>
        <w:fldChar w:fldCharType="end"/>
      </w:r>
    </w:p>
    <w:p>
      <w:pPr>
        <w:pStyle w:val="TOC8"/>
        <w:rPr>
          <w:rFonts w:asciiTheme="minorHAnsi" w:eastAsiaTheme="minorEastAsia" w:hAnsiTheme="minorHAnsi" w:cstheme="minorBidi"/>
          <w:szCs w:val="22"/>
        </w:rPr>
      </w:pPr>
      <w:r>
        <w:t>32J.</w:t>
      </w:r>
      <w:r>
        <w:tab/>
        <w:t>Special audit of trust account, Commissioner may order</w:t>
      </w:r>
      <w:r>
        <w:tab/>
      </w:r>
      <w:r>
        <w:fldChar w:fldCharType="begin"/>
      </w:r>
      <w:r>
        <w:instrText xml:space="preserve"> PAGEREF _Toc106096870 \h </w:instrText>
      </w:r>
      <w:r>
        <w:fldChar w:fldCharType="separate"/>
      </w:r>
      <w:r>
        <w:t>51</w:t>
      </w:r>
      <w:r>
        <w:fldChar w:fldCharType="end"/>
      </w:r>
    </w:p>
    <w:p>
      <w:pPr>
        <w:pStyle w:val="TOC8"/>
        <w:rPr>
          <w:rFonts w:asciiTheme="minorHAnsi" w:eastAsiaTheme="minorEastAsia" w:hAnsiTheme="minorHAnsi" w:cstheme="minorBidi"/>
          <w:szCs w:val="22"/>
        </w:rPr>
      </w:pPr>
      <w:r>
        <w:t>32K.</w:t>
      </w:r>
      <w:r>
        <w:tab/>
        <w:t>Restraining banks etc. from dealing with dealer’s account, SAT’s powers as to</w:t>
      </w:r>
      <w:r>
        <w:tab/>
      </w:r>
      <w:r>
        <w:fldChar w:fldCharType="begin"/>
      </w:r>
      <w:r>
        <w:instrText xml:space="preserve"> PAGEREF _Toc106096871 \h </w:instrText>
      </w:r>
      <w:r>
        <w:fldChar w:fldCharType="separate"/>
      </w:r>
      <w:r>
        <w:t>52</w:t>
      </w:r>
      <w:r>
        <w:fldChar w:fldCharType="end"/>
      </w:r>
    </w:p>
    <w:p>
      <w:pPr>
        <w:pStyle w:val="TOC8"/>
        <w:rPr>
          <w:rFonts w:asciiTheme="minorHAnsi" w:eastAsiaTheme="minorEastAsia" w:hAnsiTheme="minorHAnsi" w:cstheme="minorBidi"/>
          <w:szCs w:val="22"/>
        </w:rPr>
      </w:pPr>
      <w:r>
        <w:t>32L.</w:t>
      </w:r>
      <w:r>
        <w:tab/>
        <w:t>Deceased dealer, SAT may restrain use of trust account of etc.</w:t>
      </w:r>
      <w:r>
        <w:tab/>
      </w:r>
      <w:r>
        <w:fldChar w:fldCharType="begin"/>
      </w:r>
      <w:r>
        <w:instrText xml:space="preserve"> PAGEREF _Toc106096872 \h </w:instrText>
      </w:r>
      <w:r>
        <w:fldChar w:fldCharType="separate"/>
      </w:r>
      <w:r>
        <w:t>53</w:t>
      </w:r>
      <w:r>
        <w:fldChar w:fldCharType="end"/>
      </w:r>
    </w:p>
    <w:p>
      <w:pPr>
        <w:pStyle w:val="TOC8"/>
        <w:rPr>
          <w:rFonts w:asciiTheme="minorHAnsi" w:eastAsiaTheme="minorEastAsia" w:hAnsiTheme="minorHAnsi" w:cstheme="minorBidi"/>
          <w:szCs w:val="22"/>
        </w:rPr>
      </w:pPr>
      <w:r>
        <w:t>32M.</w:t>
      </w:r>
      <w:r>
        <w:tab/>
        <w:t>Discharging or varying orders under s. 32K or 32L</w:t>
      </w:r>
      <w:r>
        <w:tab/>
      </w:r>
      <w:r>
        <w:fldChar w:fldCharType="begin"/>
      </w:r>
      <w:r>
        <w:instrText xml:space="preserve"> PAGEREF _Toc106096873 \h </w:instrText>
      </w:r>
      <w:r>
        <w:fldChar w:fldCharType="separate"/>
      </w:r>
      <w:r>
        <w:t>54</w:t>
      </w:r>
      <w:r>
        <w:fldChar w:fldCharType="end"/>
      </w:r>
    </w:p>
    <w:p>
      <w:pPr>
        <w:pStyle w:val="TOC8"/>
        <w:rPr>
          <w:rFonts w:asciiTheme="minorHAnsi" w:eastAsiaTheme="minorEastAsia" w:hAnsiTheme="minorHAnsi" w:cstheme="minorBidi"/>
          <w:szCs w:val="22"/>
        </w:rPr>
      </w:pPr>
      <w:r>
        <w:t>32N.</w:t>
      </w:r>
      <w:r>
        <w:tab/>
        <w:t>SAT’s additional powers as to s. 32K, 32L and 32M orders; schemes for distributing funds</w:t>
      </w:r>
      <w:r>
        <w:tab/>
      </w:r>
      <w:r>
        <w:fldChar w:fldCharType="begin"/>
      </w:r>
      <w:r>
        <w:instrText xml:space="preserve"> PAGEREF _Toc106096874 \h </w:instrText>
      </w:r>
      <w:r>
        <w:fldChar w:fldCharType="separate"/>
      </w:r>
      <w:r>
        <w:t>54</w:t>
      </w:r>
      <w:r>
        <w:fldChar w:fldCharType="end"/>
      </w:r>
    </w:p>
    <w:p>
      <w:pPr>
        <w:pStyle w:val="TOC8"/>
        <w:rPr>
          <w:rFonts w:asciiTheme="minorHAnsi" w:eastAsiaTheme="minorEastAsia" w:hAnsiTheme="minorHAnsi" w:cstheme="minorBidi"/>
          <w:szCs w:val="22"/>
        </w:rPr>
      </w:pPr>
      <w:r>
        <w:lastRenderedPageBreak/>
        <w:t>32O.</w:t>
      </w:r>
      <w:r>
        <w:tab/>
        <w:t>Service of s. 32K, 32L, 32M or 32N orders</w:t>
      </w:r>
      <w:r>
        <w:tab/>
      </w:r>
      <w:r>
        <w:fldChar w:fldCharType="begin"/>
      </w:r>
      <w:r>
        <w:instrText xml:space="preserve"> PAGEREF _Toc106096875 \h </w:instrText>
      </w:r>
      <w:r>
        <w:fldChar w:fldCharType="separate"/>
      </w:r>
      <w:r>
        <w:t>55</w:t>
      </w:r>
      <w:r>
        <w:fldChar w:fldCharType="end"/>
      </w:r>
    </w:p>
    <w:p>
      <w:pPr>
        <w:pStyle w:val="TOC8"/>
        <w:rPr>
          <w:rFonts w:asciiTheme="minorHAnsi" w:eastAsiaTheme="minorEastAsia" w:hAnsiTheme="minorHAnsi" w:cstheme="minorBidi"/>
          <w:szCs w:val="22"/>
        </w:rPr>
      </w:pPr>
      <w:r>
        <w:t>32P.</w:t>
      </w:r>
      <w:r>
        <w:tab/>
        <w:t>Regulations about trust accounts</w:t>
      </w:r>
      <w:r>
        <w:tab/>
      </w:r>
      <w:r>
        <w:fldChar w:fldCharType="begin"/>
      </w:r>
      <w:r>
        <w:instrText xml:space="preserve"> PAGEREF _Toc106096876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Obligation to display particulars of vehicle</w:t>
      </w:r>
    </w:p>
    <w:p>
      <w:pPr>
        <w:pStyle w:val="TOC8"/>
        <w:rPr>
          <w:rFonts w:asciiTheme="minorHAnsi" w:eastAsiaTheme="minorEastAsia" w:hAnsiTheme="minorHAnsi" w:cstheme="minorBidi"/>
          <w:szCs w:val="22"/>
        </w:rPr>
      </w:pPr>
      <w:r>
        <w:t>33</w:t>
      </w:r>
      <w:r>
        <w:rPr>
          <w:snapToGrid w:val="0"/>
        </w:rPr>
        <w:t>.</w:t>
      </w:r>
      <w:r>
        <w:rPr>
          <w:snapToGrid w:val="0"/>
        </w:rPr>
        <w:tab/>
        <w:t>Particulars of second-hand vehicles, notice of to be displayed on etc.</w:t>
      </w:r>
      <w:r>
        <w:tab/>
      </w:r>
      <w:r>
        <w:fldChar w:fldCharType="begin"/>
      </w:r>
      <w:r>
        <w:instrText xml:space="preserve"> PAGEREF _Toc106096878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Obligation to repair certain defects</w:t>
      </w:r>
    </w:p>
    <w:p>
      <w:pPr>
        <w:pStyle w:val="TOC8"/>
        <w:rPr>
          <w:rFonts w:asciiTheme="minorHAnsi" w:eastAsiaTheme="minorEastAsia" w:hAnsiTheme="minorHAnsi" w:cstheme="minorBidi"/>
          <w:szCs w:val="22"/>
        </w:rPr>
      </w:pPr>
      <w:r>
        <w:t>34.</w:t>
      </w:r>
      <w:r>
        <w:tab/>
        <w:t>Dealer’s duty to repair certain defects in sold vehicles</w:t>
      </w:r>
      <w:r>
        <w:tab/>
      </w:r>
      <w:r>
        <w:fldChar w:fldCharType="begin"/>
      </w:r>
      <w:r>
        <w:instrText xml:space="preserve"> PAGEREF _Toc106096880 \h </w:instrText>
      </w:r>
      <w:r>
        <w:fldChar w:fldCharType="separate"/>
      </w:r>
      <w:r>
        <w:t>60</w:t>
      </w:r>
      <w:r>
        <w:fldChar w:fldCharType="end"/>
      </w:r>
    </w:p>
    <w:p>
      <w:pPr>
        <w:pStyle w:val="TOC8"/>
        <w:rPr>
          <w:rFonts w:asciiTheme="minorHAnsi" w:eastAsiaTheme="minorEastAsia" w:hAnsiTheme="minorHAnsi" w:cstheme="minorBidi"/>
          <w:szCs w:val="22"/>
        </w:rPr>
      </w:pPr>
      <w:r>
        <w:t>34A.</w:t>
      </w:r>
      <w:r>
        <w:tab/>
        <w:t>Vehicles covered by obligation to repair</w:t>
      </w:r>
      <w:r>
        <w:tab/>
      </w:r>
      <w:r>
        <w:fldChar w:fldCharType="begin"/>
      </w:r>
      <w:r>
        <w:instrText xml:space="preserve"> PAGEREF _Toc106096881 \h </w:instrText>
      </w:r>
      <w:r>
        <w:fldChar w:fldCharType="separate"/>
      </w:r>
      <w:r>
        <w:t>60</w:t>
      </w:r>
      <w:r>
        <w:fldChar w:fldCharType="end"/>
      </w:r>
    </w:p>
    <w:p>
      <w:pPr>
        <w:pStyle w:val="TOC8"/>
        <w:rPr>
          <w:rFonts w:asciiTheme="minorHAnsi" w:eastAsiaTheme="minorEastAsia" w:hAnsiTheme="minorHAnsi" w:cstheme="minorBidi"/>
          <w:szCs w:val="22"/>
        </w:rPr>
      </w:pPr>
      <w:r>
        <w:t>34B.</w:t>
      </w:r>
      <w:r>
        <w:tab/>
        <w:t>Defects for which dealer responsible</w:t>
      </w:r>
      <w:r>
        <w:tab/>
      </w:r>
      <w:r>
        <w:fldChar w:fldCharType="begin"/>
      </w:r>
      <w:r>
        <w:instrText xml:space="preserve"> PAGEREF _Toc106096882 \h </w:instrText>
      </w:r>
      <w:r>
        <w:fldChar w:fldCharType="separate"/>
      </w:r>
      <w:r>
        <w:t>61</w:t>
      </w:r>
      <w:r>
        <w:fldChar w:fldCharType="end"/>
      </w:r>
    </w:p>
    <w:p>
      <w:pPr>
        <w:pStyle w:val="TOC8"/>
        <w:rPr>
          <w:rFonts w:asciiTheme="minorHAnsi" w:eastAsiaTheme="minorEastAsia" w:hAnsiTheme="minorHAnsi" w:cstheme="minorBidi"/>
          <w:szCs w:val="22"/>
        </w:rPr>
      </w:pPr>
      <w:r>
        <w:t>34C.</w:t>
      </w:r>
      <w:r>
        <w:tab/>
        <w:t>Period after sale during which dealer responsible for defects in vehicles other than motor cycles</w:t>
      </w:r>
      <w:r>
        <w:tab/>
      </w:r>
      <w:r>
        <w:fldChar w:fldCharType="begin"/>
      </w:r>
      <w:r>
        <w:instrText xml:space="preserve"> PAGEREF _Toc106096883 \h </w:instrText>
      </w:r>
      <w:r>
        <w:fldChar w:fldCharType="separate"/>
      </w:r>
      <w:r>
        <w:t>62</w:t>
      </w:r>
      <w:r>
        <w:fldChar w:fldCharType="end"/>
      </w:r>
    </w:p>
    <w:p>
      <w:pPr>
        <w:pStyle w:val="TOC8"/>
        <w:rPr>
          <w:rFonts w:asciiTheme="minorHAnsi" w:eastAsiaTheme="minorEastAsia" w:hAnsiTheme="minorHAnsi" w:cstheme="minorBidi"/>
          <w:szCs w:val="22"/>
        </w:rPr>
      </w:pPr>
      <w:r>
        <w:t>34D.</w:t>
      </w:r>
      <w:r>
        <w:tab/>
        <w:t>Period after sale during which dealer responsible for defects in motor cycles</w:t>
      </w:r>
      <w:r>
        <w:tab/>
      </w:r>
      <w:r>
        <w:fldChar w:fldCharType="begin"/>
      </w:r>
      <w:r>
        <w:instrText xml:space="preserve"> PAGEREF _Toc106096884 \h </w:instrText>
      </w:r>
      <w:r>
        <w:fldChar w:fldCharType="separate"/>
      </w:r>
      <w:r>
        <w:t>63</w:t>
      </w:r>
      <w:r>
        <w:fldChar w:fldCharType="end"/>
      </w:r>
    </w:p>
    <w:p>
      <w:pPr>
        <w:pStyle w:val="TOC8"/>
        <w:rPr>
          <w:rFonts w:asciiTheme="minorHAnsi" w:eastAsiaTheme="minorEastAsia" w:hAnsiTheme="minorHAnsi" w:cstheme="minorBidi"/>
          <w:szCs w:val="22"/>
        </w:rPr>
      </w:pPr>
      <w:r>
        <w:t>34E.</w:t>
      </w:r>
      <w:r>
        <w:tab/>
        <w:t>Certain periods excluded for s. 34C and 34D</w:t>
      </w:r>
      <w:r>
        <w:tab/>
      </w:r>
      <w:r>
        <w:fldChar w:fldCharType="begin"/>
      </w:r>
      <w:r>
        <w:instrText xml:space="preserve"> PAGEREF _Toc106096885 \h </w:instrText>
      </w:r>
      <w:r>
        <w:fldChar w:fldCharType="separate"/>
      </w:r>
      <w:r>
        <w:t>63</w:t>
      </w:r>
      <w:r>
        <w:fldChar w:fldCharType="end"/>
      </w:r>
    </w:p>
    <w:p>
      <w:pPr>
        <w:pStyle w:val="TOC8"/>
        <w:rPr>
          <w:rFonts w:asciiTheme="minorHAnsi" w:eastAsiaTheme="minorEastAsia" w:hAnsiTheme="minorHAnsi" w:cstheme="minorBidi"/>
          <w:szCs w:val="22"/>
        </w:rPr>
      </w:pPr>
      <w:r>
        <w:t>34F.</w:t>
      </w:r>
      <w:r>
        <w:tab/>
        <w:t>Age of vehicle, how reckoned for s. 34A and 34C</w:t>
      </w:r>
      <w:r>
        <w:tab/>
      </w:r>
      <w:r>
        <w:fldChar w:fldCharType="begin"/>
      </w:r>
      <w:r>
        <w:instrText xml:space="preserve"> PAGEREF _Toc106096886 \h </w:instrText>
      </w:r>
      <w:r>
        <w:fldChar w:fldCharType="separate"/>
      </w:r>
      <w:r>
        <w:t>64</w:t>
      </w:r>
      <w:r>
        <w:fldChar w:fldCharType="end"/>
      </w:r>
    </w:p>
    <w:p>
      <w:pPr>
        <w:pStyle w:val="TOC8"/>
        <w:rPr>
          <w:rFonts w:asciiTheme="minorHAnsi" w:eastAsiaTheme="minorEastAsia" w:hAnsiTheme="minorHAnsi" w:cstheme="minorBidi"/>
          <w:szCs w:val="22"/>
        </w:rPr>
      </w:pPr>
      <w:r>
        <w:t>34G.</w:t>
      </w:r>
      <w:r>
        <w:tab/>
        <w:t>Excluding vehicles from this Division, Minister’s powers for</w:t>
      </w:r>
      <w:r>
        <w:tab/>
      </w:r>
      <w:r>
        <w:fldChar w:fldCharType="begin"/>
      </w:r>
      <w:r>
        <w:instrText xml:space="preserve"> PAGEREF _Toc106096887 \h </w:instrText>
      </w:r>
      <w:r>
        <w:fldChar w:fldCharType="separate"/>
      </w:r>
      <w:r>
        <w:t>65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Excluded defects</w:t>
      </w:r>
      <w:r>
        <w:tab/>
      </w:r>
      <w:r>
        <w:fldChar w:fldCharType="begin"/>
      </w:r>
      <w:r>
        <w:instrText xml:space="preserve"> PAGEREF _Toc106096888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5 — Disputes</w:t>
      </w:r>
    </w:p>
    <w:p>
      <w:pPr>
        <w:pStyle w:val="TOC8"/>
        <w:rPr>
          <w:rFonts w:asciiTheme="minorHAnsi" w:eastAsiaTheme="minorEastAsia" w:hAnsiTheme="minorHAnsi" w:cstheme="minorBidi"/>
          <w:szCs w:val="22"/>
        </w:rPr>
      </w:pPr>
      <w:r>
        <w:t>36</w:t>
      </w:r>
      <w:r>
        <w:rPr>
          <w:snapToGrid w:val="0"/>
        </w:rPr>
        <w:t>.</w:t>
      </w:r>
      <w:r>
        <w:rPr>
          <w:snapToGrid w:val="0"/>
        </w:rPr>
        <w:tab/>
        <w:t>Certain disputes between purchasers and dealers, Commissioner may intervene in</w:t>
      </w:r>
      <w:r>
        <w:tab/>
      </w:r>
      <w:r>
        <w:fldChar w:fldCharType="begin"/>
      </w:r>
      <w:r>
        <w:instrText xml:space="preserve"> PAGEREF _Toc106096890 \h </w:instrText>
      </w:r>
      <w:r>
        <w:fldChar w:fldCharType="separate"/>
      </w:r>
      <w:r>
        <w:t>66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Disputes, Commissioner’s powers to determine etc.</w:t>
      </w:r>
      <w:r>
        <w:tab/>
      </w:r>
      <w:r>
        <w:fldChar w:fldCharType="begin"/>
      </w:r>
      <w:r>
        <w:instrText xml:space="preserve"> PAGEREF _Toc106096891 \h </w:instrText>
      </w:r>
      <w:r>
        <w:fldChar w:fldCharType="separate"/>
      </w:r>
      <w:r>
        <w:t>66</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Enforcing s. 37 orders</w:t>
      </w:r>
      <w:r>
        <w:tab/>
      </w:r>
      <w:r>
        <w:fldChar w:fldCharType="begin"/>
      </w:r>
      <w:r>
        <w:instrText xml:space="preserve"> PAGEREF _Toc106096892 \h </w:instrText>
      </w:r>
      <w:r>
        <w:fldChar w:fldCharType="separate"/>
      </w:r>
      <w:r>
        <w:t>68</w:t>
      </w:r>
      <w:r>
        <w:fldChar w:fldCharType="end"/>
      </w:r>
    </w:p>
    <w:p>
      <w:pPr>
        <w:pStyle w:val="TOC8"/>
        <w:rPr>
          <w:rFonts w:asciiTheme="minorHAnsi" w:eastAsiaTheme="minorEastAsia" w:hAnsiTheme="minorHAnsi" w:cstheme="minorBidi"/>
          <w:szCs w:val="22"/>
        </w:rPr>
      </w:pPr>
      <w:r>
        <w:t>37B</w:t>
      </w:r>
      <w:r>
        <w:rPr>
          <w:snapToGrid w:val="0"/>
        </w:rPr>
        <w:t>.</w:t>
      </w:r>
      <w:r>
        <w:rPr>
          <w:snapToGrid w:val="0"/>
        </w:rPr>
        <w:tab/>
        <w:t>Determinations under s. 37, effect and review of</w:t>
      </w:r>
      <w:r>
        <w:tab/>
      </w:r>
      <w:r>
        <w:fldChar w:fldCharType="begin"/>
      </w:r>
      <w:r>
        <w:instrText xml:space="preserve"> PAGEREF _Toc106096893 \h </w:instrText>
      </w:r>
      <w:r>
        <w:fldChar w:fldCharType="separate"/>
      </w:r>
      <w:r>
        <w:t>69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Dispute may be dealt with by Magistrates Court</w:t>
      </w:r>
      <w:r>
        <w:tab/>
      </w:r>
      <w:r>
        <w:fldChar w:fldCharType="begin"/>
      </w:r>
      <w:r>
        <w:instrText xml:space="preserve"> PAGEREF _Toc106096894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IIIA — Obligations of car market operators</w:t>
      </w:r>
    </w:p>
    <w:p>
      <w:pPr>
        <w:pStyle w:val="TOC8"/>
        <w:rPr>
          <w:rFonts w:asciiTheme="minorHAnsi" w:eastAsiaTheme="minorEastAsia" w:hAnsiTheme="minorHAnsi" w:cstheme="minorBidi"/>
          <w:szCs w:val="22"/>
        </w:rPr>
      </w:pPr>
      <w:r>
        <w:t>40A</w:t>
      </w:r>
      <w:r>
        <w:rPr>
          <w:snapToGrid w:val="0"/>
        </w:rPr>
        <w:t>.</w:t>
      </w:r>
      <w:r>
        <w:rPr>
          <w:snapToGrid w:val="0"/>
        </w:rPr>
        <w:tab/>
        <w:t>Car market operator liable for certain losses</w:t>
      </w:r>
      <w:r>
        <w:tab/>
      </w:r>
      <w:r>
        <w:fldChar w:fldCharType="begin"/>
      </w:r>
      <w:r>
        <w:instrText xml:space="preserve"> PAGEREF _Toc106096896 \h </w:instrText>
      </w:r>
      <w:r>
        <w:fldChar w:fldCharType="separate"/>
      </w:r>
      <w:r>
        <w:t>72</w:t>
      </w:r>
      <w:r>
        <w:fldChar w:fldCharType="end"/>
      </w:r>
    </w:p>
    <w:p>
      <w:pPr>
        <w:pStyle w:val="TOC8"/>
        <w:rPr>
          <w:rFonts w:asciiTheme="minorHAnsi" w:eastAsiaTheme="minorEastAsia" w:hAnsiTheme="minorHAnsi" w:cstheme="minorBidi"/>
          <w:szCs w:val="22"/>
        </w:rPr>
      </w:pPr>
      <w:r>
        <w:t>40B</w:t>
      </w:r>
      <w:r>
        <w:rPr>
          <w:snapToGrid w:val="0"/>
        </w:rPr>
        <w:t>.</w:t>
      </w:r>
      <w:r>
        <w:rPr>
          <w:snapToGrid w:val="0"/>
        </w:rPr>
        <w:tab/>
        <w:t>Title of and defects in second-hand vehicle, notice about to be displayed on</w:t>
      </w:r>
      <w:r>
        <w:tab/>
      </w:r>
      <w:r>
        <w:fldChar w:fldCharType="begin"/>
      </w:r>
      <w:r>
        <w:instrText xml:space="preserve"> PAGEREF _Toc106096897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41</w:t>
      </w:r>
      <w:r>
        <w:rPr>
          <w:snapToGrid w:val="0"/>
        </w:rPr>
        <w:t>.</w:t>
      </w:r>
      <w:r>
        <w:rPr>
          <w:snapToGrid w:val="0"/>
        </w:rPr>
        <w:tab/>
        <w:t>Undesirable practices, offence to carry out</w:t>
      </w:r>
      <w:r>
        <w:tab/>
      </w:r>
      <w:r>
        <w:fldChar w:fldCharType="begin"/>
      </w:r>
      <w:r>
        <w:instrText xml:space="preserve"> PAGEREF _Toc106096899 \h </w:instrText>
      </w:r>
      <w:r>
        <w:fldChar w:fldCharType="separate"/>
      </w:r>
      <w:r>
        <w:t>75</w:t>
      </w:r>
      <w:r>
        <w:fldChar w:fldCharType="end"/>
      </w:r>
    </w:p>
    <w:p>
      <w:pPr>
        <w:pStyle w:val="TOC8"/>
        <w:rPr>
          <w:rFonts w:asciiTheme="minorHAnsi" w:eastAsiaTheme="minorEastAsia" w:hAnsiTheme="minorHAnsi" w:cstheme="minorBidi"/>
          <w:szCs w:val="22"/>
        </w:rPr>
      </w:pPr>
      <w:r>
        <w:lastRenderedPageBreak/>
        <w:t>41A</w:t>
      </w:r>
      <w:r>
        <w:rPr>
          <w:snapToGrid w:val="0"/>
        </w:rPr>
        <w:t xml:space="preserve">. </w:t>
      </w:r>
      <w:r>
        <w:rPr>
          <w:snapToGrid w:val="0"/>
        </w:rPr>
        <w:tab/>
        <w:t>Rescission of sale, Magistrates Court may order on Commissioner’s application</w:t>
      </w:r>
      <w:r>
        <w:tab/>
      </w:r>
      <w:r>
        <w:fldChar w:fldCharType="begin"/>
      </w:r>
      <w:r>
        <w:instrText xml:space="preserve"> PAGEREF _Toc106096900 \h </w:instrText>
      </w:r>
      <w:r>
        <w:fldChar w:fldCharType="separate"/>
      </w:r>
      <w:r>
        <w:t>75</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Demonstration vehicles, application of Act’s obligations to</w:t>
      </w:r>
      <w:r>
        <w:tab/>
      </w:r>
      <w:r>
        <w:fldChar w:fldCharType="begin"/>
      </w:r>
      <w:r>
        <w:instrText xml:space="preserve"> PAGEREF _Toc106096901 \h </w:instrText>
      </w:r>
      <w:r>
        <w:fldChar w:fldCharType="separate"/>
      </w:r>
      <w:r>
        <w:t>77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Representation by employee of dealer, effect of</w:t>
      </w:r>
      <w:r>
        <w:tab/>
      </w:r>
      <w:r>
        <w:fldChar w:fldCharType="begin"/>
      </w:r>
      <w:r>
        <w:instrText xml:space="preserve"> PAGEREF _Toc106096902 \h </w:instrText>
      </w:r>
      <w:r>
        <w:fldChar w:fldCharType="separate"/>
      </w:r>
      <w:r>
        <w:t>78</w:t>
      </w:r>
      <w:r>
        <w:fldChar w:fldCharType="end"/>
      </w:r>
    </w:p>
    <w:p>
      <w:pPr>
        <w:pStyle w:val="TOC8"/>
        <w:rPr>
          <w:rFonts w:asciiTheme="minorHAnsi" w:eastAsiaTheme="minorEastAsia" w:hAnsiTheme="minorHAnsi" w:cstheme="minorBidi"/>
          <w:szCs w:val="22"/>
        </w:rPr>
      </w:pPr>
      <w:r>
        <w:t>42A.</w:t>
      </w:r>
      <w:r>
        <w:tab/>
        <w:t>Contracts etc. for sale of vehicles by dealer, form and content of</w:t>
      </w:r>
      <w:r>
        <w:tab/>
      </w:r>
      <w:r>
        <w:fldChar w:fldCharType="begin"/>
      </w:r>
      <w:r>
        <w:instrText xml:space="preserve"> PAGEREF _Toc106096903 \h </w:instrText>
      </w:r>
      <w:r>
        <w:fldChar w:fldCharType="separate"/>
      </w:r>
      <w:r>
        <w:t>78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Value of vehicle or thing traded in</w:t>
      </w:r>
      <w:r>
        <w:tab/>
      </w:r>
      <w:r>
        <w:fldChar w:fldCharType="begin"/>
      </w:r>
      <w:r>
        <w:instrText xml:space="preserve"> PAGEREF _Toc106096904 \h </w:instrText>
      </w:r>
      <w:r>
        <w:fldChar w:fldCharType="separate"/>
      </w:r>
      <w:r>
        <w:t>79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Documents tendered for signature to be complete</w:t>
      </w:r>
      <w:r>
        <w:tab/>
      </w:r>
      <w:r>
        <w:fldChar w:fldCharType="begin"/>
      </w:r>
      <w:r>
        <w:instrText xml:space="preserve"> PAGEREF _Toc106096905 \h </w:instrText>
      </w:r>
      <w:r>
        <w:fldChar w:fldCharType="separate"/>
      </w:r>
      <w:r>
        <w:t>79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with intent to deceive, offences as to</w:t>
      </w:r>
      <w:r>
        <w:tab/>
      </w:r>
      <w:r>
        <w:fldChar w:fldCharType="begin"/>
      </w:r>
      <w:r>
        <w:instrText xml:space="preserve"> PAGEREF _Toc106096906 \h </w:instrText>
      </w:r>
      <w:r>
        <w:fldChar w:fldCharType="separate"/>
      </w:r>
      <w:r>
        <w:t>80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Implied conditions in some contracts etc. for sale</w:t>
      </w:r>
      <w:r>
        <w:tab/>
      </w:r>
      <w:r>
        <w:fldChar w:fldCharType="begin"/>
      </w:r>
      <w:r>
        <w:instrText xml:space="preserve"> PAGEREF _Toc106096907 \h </w:instrText>
      </w:r>
      <w:r>
        <w:fldChar w:fldCharType="separate"/>
      </w:r>
      <w:r>
        <w:t>82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Other rights or remedies not affected by this Act</w:t>
      </w:r>
      <w:r>
        <w:tab/>
      </w:r>
      <w:r>
        <w:fldChar w:fldCharType="begin"/>
      </w:r>
      <w:r>
        <w:instrText xml:space="preserve"> PAGEREF _Toc106096908 \h </w:instrText>
      </w:r>
      <w:r>
        <w:fldChar w:fldCharType="separate"/>
      </w:r>
      <w:r>
        <w:t>83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conferred by this Act cannot be waived without official consent</w:t>
      </w:r>
      <w:r>
        <w:tab/>
      </w:r>
      <w:r>
        <w:fldChar w:fldCharType="begin"/>
      </w:r>
      <w:r>
        <w:instrText xml:space="preserve"> PAGEREF _Toc106096909 \h </w:instrText>
      </w:r>
      <w:r>
        <w:fldChar w:fldCharType="separate"/>
      </w:r>
      <w:r>
        <w:t>83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No indemnity for dealer</w:t>
      </w:r>
      <w:r>
        <w:tab/>
      </w:r>
      <w:r>
        <w:fldChar w:fldCharType="begin"/>
      </w:r>
      <w:r>
        <w:instrText xml:space="preserve"> PAGEREF _Toc106096910 \h </w:instrText>
      </w:r>
      <w:r>
        <w:fldChar w:fldCharType="separate"/>
      </w:r>
      <w:r>
        <w:t>83</w:t>
      </w:r>
      <w:r>
        <w:fldChar w:fldCharType="end"/>
      </w:r>
    </w:p>
    <w:p>
      <w:pPr>
        <w:pStyle w:val="TOC8"/>
        <w:rPr>
          <w:rFonts w:asciiTheme="minorHAnsi" w:eastAsiaTheme="minorEastAsia" w:hAnsiTheme="minorHAnsi" w:cstheme="minorBidi"/>
          <w:szCs w:val="22"/>
        </w:rPr>
      </w:pPr>
      <w:r>
        <w:t>49A</w:t>
      </w:r>
      <w:r>
        <w:rPr>
          <w:snapToGrid w:val="0"/>
        </w:rPr>
        <w:t xml:space="preserve">. </w:t>
      </w:r>
      <w:r>
        <w:rPr>
          <w:snapToGrid w:val="0"/>
        </w:rPr>
        <w:tab/>
        <w:t>No indemnity for car market operator</w:t>
      </w:r>
      <w:r>
        <w:tab/>
      </w:r>
      <w:r>
        <w:fldChar w:fldCharType="begin"/>
      </w:r>
      <w:r>
        <w:instrText xml:space="preserve"> PAGEREF _Toc106096911 \h </w:instrText>
      </w:r>
      <w:r>
        <w:fldChar w:fldCharType="separate"/>
      </w:r>
      <w:r>
        <w:t>84</w:t>
      </w:r>
      <w:r>
        <w:fldChar w:fldCharType="end"/>
      </w:r>
    </w:p>
    <w:p>
      <w:pPr>
        <w:pStyle w:val="TOC8"/>
        <w:rPr>
          <w:rFonts w:asciiTheme="minorHAnsi" w:eastAsiaTheme="minorEastAsia" w:hAnsiTheme="minorHAnsi" w:cstheme="minorBidi"/>
          <w:szCs w:val="22"/>
        </w:rPr>
      </w:pPr>
      <w:r>
        <w:t>50.</w:t>
      </w:r>
      <w:r>
        <w:tab/>
        <w:t>Confidentiality of information officially obtained</w:t>
      </w:r>
      <w:r>
        <w:tab/>
      </w:r>
      <w:r>
        <w:fldChar w:fldCharType="begin"/>
      </w:r>
      <w:r>
        <w:instrText xml:space="preserve"> PAGEREF _Toc106096912 \h </w:instrText>
      </w:r>
      <w:r>
        <w:fldChar w:fldCharType="separate"/>
      </w:r>
      <w:r>
        <w:t>84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Annual reports of Department, content of</w:t>
      </w:r>
      <w:r>
        <w:tab/>
      </w:r>
      <w:r>
        <w:fldChar w:fldCharType="begin"/>
      </w:r>
      <w:r>
        <w:instrText xml:space="preserve"> PAGEREF _Toc106096913 \h </w:instrText>
      </w:r>
      <w:r>
        <w:fldChar w:fldCharType="separate"/>
      </w:r>
      <w:r>
        <w:t>84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limitation period for and court’s powers as to</w:t>
      </w:r>
      <w:r>
        <w:tab/>
      </w:r>
      <w:r>
        <w:fldChar w:fldCharType="begin"/>
      </w:r>
      <w:r>
        <w:instrText xml:space="preserve"> PAGEREF _Toc106096914 \h </w:instrText>
      </w:r>
      <w:r>
        <w:fldChar w:fldCharType="separate"/>
      </w:r>
      <w:r>
        <w:t>85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Yard manager’s liability for offences under s. 28 and 31B by others</w:t>
      </w:r>
      <w:r>
        <w:tab/>
      </w:r>
      <w:r>
        <w:fldChar w:fldCharType="begin"/>
      </w:r>
      <w:r>
        <w:instrText xml:space="preserve"> PAGEREF _Toc106096915 \h </w:instrText>
      </w:r>
      <w:r>
        <w:fldChar w:fldCharType="separate"/>
      </w:r>
      <w:r>
        <w:t>85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Dealer’s liability for offences by employees etc.</w:t>
      </w:r>
      <w:r>
        <w:tab/>
      </w:r>
      <w:r>
        <w:fldChar w:fldCharType="begin"/>
      </w:r>
      <w:r>
        <w:instrText xml:space="preserve"> PAGEREF _Toc106096916 \h </w:instrText>
      </w:r>
      <w:r>
        <w:fldChar w:fldCharType="separate"/>
      </w:r>
      <w:r>
        <w:t>86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Offences by corporations</w:t>
      </w:r>
      <w:r>
        <w:tab/>
      </w:r>
      <w:r>
        <w:fldChar w:fldCharType="begin"/>
      </w:r>
      <w:r>
        <w:instrText xml:space="preserve"> PAGEREF _Toc106096917 \h </w:instrText>
      </w:r>
      <w:r>
        <w:fldChar w:fldCharType="separate"/>
      </w:r>
      <w:r>
        <w:t>87</w:t>
      </w:r>
      <w:r>
        <w:fldChar w:fldCharType="end"/>
      </w:r>
    </w:p>
    <w:p>
      <w:pPr>
        <w:pStyle w:val="TOC8"/>
        <w:rPr>
          <w:rFonts w:asciiTheme="minorHAnsi" w:eastAsiaTheme="minorEastAsia" w:hAnsiTheme="minorHAnsi" w:cstheme="minorBidi"/>
          <w:szCs w:val="22"/>
        </w:rPr>
      </w:pPr>
      <w:r>
        <w:t>55A.</w:t>
      </w:r>
      <w:r>
        <w:tab/>
        <w:t>Infringement notices</w:t>
      </w:r>
      <w:r>
        <w:tab/>
      </w:r>
      <w:r>
        <w:fldChar w:fldCharType="begin"/>
      </w:r>
      <w:r>
        <w:instrText xml:space="preserve"> PAGEREF _Toc106096918 \h </w:instrText>
      </w:r>
      <w:r>
        <w:fldChar w:fldCharType="separate"/>
      </w:r>
      <w:r>
        <w:t>87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Regulations</w:t>
      </w:r>
      <w:r>
        <w:tab/>
      </w:r>
      <w:r>
        <w:fldChar w:fldCharType="begin"/>
      </w:r>
      <w:r>
        <w:instrText xml:space="preserve"> PAGEREF _Toc106096919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V</w:t>
      </w:r>
      <w:r>
        <w:rPr>
          <w:b w:val="0"/>
        </w:rPr>
        <w:t> </w:t>
      </w:r>
      <w:r>
        <w:t>—</w:t>
      </w:r>
      <w:r>
        <w:rPr>
          <w:b w:val="0"/>
        </w:rPr>
        <w:t> </w:t>
      </w:r>
      <w:r>
        <w:t>Miscellaneous transitional matters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_Toc106096921 \h </w:instrText>
      </w:r>
      <w:r>
        <w:fldChar w:fldCharType="separate"/>
      </w:r>
      <w:r>
        <w:t>91</w:t>
      </w:r>
      <w:r>
        <w:fldChar w:fldCharType="end"/>
      </w:r>
    </w:p>
    <w:p>
      <w:pPr>
        <w:pStyle w:val="TOC8"/>
        <w:rPr>
          <w:rFonts w:asciiTheme="minorHAnsi" w:eastAsiaTheme="minorEastAsia" w:hAnsiTheme="minorHAnsi" w:cstheme="minorBidi"/>
          <w:szCs w:val="22"/>
        </w:rPr>
      </w:pPr>
      <w:r>
        <w:t>58.</w:t>
      </w:r>
      <w:r>
        <w:tab/>
        <w:t>Former Board abolished</w:t>
      </w:r>
      <w:r>
        <w:tab/>
      </w:r>
      <w:r>
        <w:fldChar w:fldCharType="begin"/>
      </w:r>
      <w:r>
        <w:instrText xml:space="preserve"> PAGEREF _Toc106096922 \h </w:instrText>
      </w:r>
      <w:r>
        <w:fldChar w:fldCharType="separate"/>
      </w:r>
      <w:r>
        <w:t>91</w:t>
      </w:r>
      <w:r>
        <w:fldChar w:fldCharType="end"/>
      </w:r>
    </w:p>
    <w:p>
      <w:pPr>
        <w:pStyle w:val="TOC8"/>
        <w:rPr>
          <w:rFonts w:asciiTheme="minorHAnsi" w:eastAsiaTheme="minorEastAsia" w:hAnsiTheme="minorHAnsi" w:cstheme="minorBidi"/>
          <w:szCs w:val="22"/>
        </w:rPr>
      </w:pPr>
      <w:r>
        <w:t>59.</w:t>
      </w:r>
      <w:r>
        <w:tab/>
        <w:t>References to former Board</w:t>
      </w:r>
      <w:r>
        <w:tab/>
      </w:r>
      <w:r>
        <w:fldChar w:fldCharType="begin"/>
      </w:r>
      <w:r>
        <w:instrText xml:space="preserve"> PAGEREF _Toc106096923 \h </w:instrText>
      </w:r>
      <w:r>
        <w:fldChar w:fldCharType="separate"/>
      </w:r>
      <w:r>
        <w:t>91</w:t>
      </w:r>
      <w:r>
        <w:fldChar w:fldCharType="end"/>
      </w:r>
    </w:p>
    <w:p>
      <w:pPr>
        <w:pStyle w:val="TOC8"/>
        <w:rPr>
          <w:rFonts w:asciiTheme="minorHAnsi" w:eastAsiaTheme="minorEastAsia" w:hAnsiTheme="minorHAnsi" w:cstheme="minorBidi"/>
          <w:szCs w:val="22"/>
        </w:rPr>
      </w:pPr>
      <w:r>
        <w:t>60.</w:t>
      </w:r>
      <w:r>
        <w:tab/>
        <w:t>Immunity continues</w:t>
      </w:r>
      <w:r>
        <w:tab/>
      </w:r>
      <w:r>
        <w:fldChar w:fldCharType="begin"/>
      </w:r>
      <w:r>
        <w:instrText xml:space="preserve"> PAGEREF _Toc106096924 \h </w:instrText>
      </w:r>
      <w:r>
        <w:fldChar w:fldCharType="separate"/>
      </w:r>
      <w:r>
        <w:t>92</w:t>
      </w:r>
      <w:r>
        <w:fldChar w:fldCharType="end"/>
      </w:r>
    </w:p>
    <w:p>
      <w:pPr>
        <w:pStyle w:val="TOC8"/>
        <w:rPr>
          <w:rFonts w:asciiTheme="minorHAnsi" w:eastAsiaTheme="minorEastAsia" w:hAnsiTheme="minorHAnsi" w:cstheme="minorBidi"/>
          <w:szCs w:val="22"/>
        </w:rPr>
      </w:pPr>
      <w:r>
        <w:t>61.</w:t>
      </w:r>
      <w:r>
        <w:tab/>
        <w:t>Unfinished investigations by former Board</w:t>
      </w:r>
      <w:r>
        <w:tab/>
      </w:r>
      <w:r>
        <w:fldChar w:fldCharType="begin"/>
      </w:r>
      <w:r>
        <w:instrText xml:space="preserve"> PAGEREF _Toc106096925 \h </w:instrText>
      </w:r>
      <w:r>
        <w:fldChar w:fldCharType="separate"/>
      </w:r>
      <w:r>
        <w:t>92</w:t>
      </w:r>
      <w:r>
        <w:fldChar w:fldCharType="end"/>
      </w:r>
    </w:p>
    <w:p>
      <w:pPr>
        <w:pStyle w:val="TOC8"/>
        <w:rPr>
          <w:rFonts w:asciiTheme="minorHAnsi" w:eastAsiaTheme="minorEastAsia" w:hAnsiTheme="minorHAnsi" w:cstheme="minorBidi"/>
          <w:szCs w:val="22"/>
        </w:rPr>
      </w:pPr>
      <w:r>
        <w:t>62.</w:t>
      </w:r>
      <w:r>
        <w:tab/>
        <w:t>Unfinished proceedings by former Board</w:t>
      </w:r>
      <w:r>
        <w:tab/>
      </w:r>
      <w:r>
        <w:fldChar w:fldCharType="begin"/>
      </w:r>
      <w:r>
        <w:instrText xml:space="preserve"> PAGEREF _Toc106096926 \h </w:instrText>
      </w:r>
      <w:r>
        <w:fldChar w:fldCharType="separate"/>
      </w:r>
      <w:r>
        <w:t>92</w:t>
      </w:r>
      <w:r>
        <w:fldChar w:fldCharType="end"/>
      </w:r>
    </w:p>
    <w:p>
      <w:pPr>
        <w:pStyle w:val="TOC8"/>
        <w:rPr>
          <w:rFonts w:asciiTheme="minorHAnsi" w:eastAsiaTheme="minorEastAsia" w:hAnsiTheme="minorHAnsi" w:cstheme="minorBidi"/>
          <w:szCs w:val="22"/>
        </w:rPr>
      </w:pPr>
      <w:r>
        <w:t>63.</w:t>
      </w:r>
      <w:r>
        <w:tab/>
        <w:t>Winding</w:t>
      </w:r>
      <w:r>
        <w:noBreakHyphen/>
        <w:t>up by former Board</w:t>
      </w:r>
      <w:r>
        <w:tab/>
      </w:r>
      <w:r>
        <w:fldChar w:fldCharType="begin"/>
      </w:r>
      <w:r>
        <w:instrText xml:space="preserve"> PAGEREF _Toc106096927 \h </w:instrText>
      </w:r>
      <w:r>
        <w:fldChar w:fldCharType="separate"/>
      </w:r>
      <w:r>
        <w:t>93</w:t>
      </w:r>
      <w:r>
        <w:fldChar w:fldCharType="end"/>
      </w:r>
    </w:p>
    <w:p>
      <w:pPr>
        <w:pStyle w:val="TOC8"/>
        <w:rPr>
          <w:rFonts w:asciiTheme="minorHAnsi" w:eastAsiaTheme="minorEastAsia" w:hAnsiTheme="minorHAnsi" w:cstheme="minorBidi"/>
          <w:szCs w:val="22"/>
        </w:rPr>
      </w:pPr>
      <w:r>
        <w:t>64.</w:t>
      </w:r>
      <w:r>
        <w:tab/>
        <w:t>Final report by former Board</w:t>
      </w:r>
      <w:r>
        <w:tab/>
      </w:r>
      <w:r>
        <w:fldChar w:fldCharType="begin"/>
      </w:r>
      <w:r>
        <w:instrText xml:space="preserve"> PAGEREF _Toc106096928 \h </w:instrText>
      </w:r>
      <w:r>
        <w:fldChar w:fldCharType="separate"/>
      </w:r>
      <w:r>
        <w:t>93</w:t>
      </w:r>
      <w:r>
        <w:fldChar w:fldCharType="end"/>
      </w:r>
    </w:p>
    <w:p>
      <w:pPr>
        <w:pStyle w:val="TOC8"/>
        <w:rPr>
          <w:rFonts w:asciiTheme="minorHAnsi" w:eastAsiaTheme="minorEastAsia" w:hAnsiTheme="minorHAnsi" w:cstheme="minorBidi"/>
          <w:szCs w:val="22"/>
        </w:rPr>
      </w:pPr>
      <w:r>
        <w:t>65.</w:t>
      </w:r>
      <w:r>
        <w:tab/>
        <w:t>Regulations about transitional matters</w:t>
      </w:r>
      <w:r>
        <w:tab/>
      </w:r>
      <w:r>
        <w:fldChar w:fldCharType="begin"/>
      </w:r>
      <w:r>
        <w:instrText xml:space="preserve"> PAGEREF _Toc106096929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_Toc106096931 \h </w:instrText>
      </w:r>
      <w:r>
        <w:fldChar w:fldCharType="separate"/>
      </w:r>
      <w:r>
        <w:t>96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_Toc106096932 \h </w:instrText>
      </w:r>
      <w:r>
        <w:fldChar w:fldCharType="separate"/>
      </w:r>
      <w:r>
        <w:t>100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_Toc106096933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Motor Vehicle Dealers Act 1973</w:t>
      </w:r>
    </w:p>
    <w:p>
      <w:pPr>
        <w:pStyle w:val="LongTitle"/>
        <w:outlineLvl w:val="0"/>
      </w:pPr>
      <w:r>
        <w:t>An Act —</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No. 73 of 2003 s. 4; No. 58 of 2010 s. 33.]</w:t>
      </w:r>
    </w:p>
    <w:p>
      <w:pPr>
        <w:pStyle w:val="Heading2"/>
      </w:pPr>
      <w:bookmarkStart w:id="3" w:name="_Toc106010351"/>
      <w:bookmarkStart w:id="4" w:name="_Toc106010484"/>
      <w:bookmarkStart w:id="5" w:name="_Toc106096802"/>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6096803"/>
      <w:r>
        <w:rPr>
          <w:rStyle w:val="CharSectno"/>
        </w:rPr>
        <w:t>1</w:t>
      </w:r>
      <w:r>
        <w:rPr>
          <w:snapToGrid w:val="0"/>
        </w:rPr>
        <w:t>.</w:t>
      </w:r>
      <w:r>
        <w:rPr>
          <w:snapToGrid w:val="0"/>
        </w:rPr>
        <w:tab/>
        <w:t>Short title</w:t>
      </w:r>
      <w:bookmarkEnd w:id="6"/>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w:t>
      </w:r>
    </w:p>
    <w:p>
      <w:pPr>
        <w:pStyle w:val="Heading5"/>
        <w:rPr>
          <w:snapToGrid w:val="0"/>
        </w:rPr>
      </w:pPr>
      <w:bookmarkStart w:id="7" w:name="_Toc106096804"/>
      <w:r>
        <w:rPr>
          <w:rStyle w:val="CharSectno"/>
        </w:rPr>
        <w:t>2</w:t>
      </w:r>
      <w:r>
        <w:rPr>
          <w:snapToGrid w:val="0"/>
        </w:rPr>
        <w:t>.</w:t>
      </w:r>
      <w:r>
        <w:rPr>
          <w:snapToGrid w:val="0"/>
        </w:rPr>
        <w:tab/>
        <w:t>Commencement</w:t>
      </w:r>
      <w:bookmarkEnd w:id="7"/>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p>
    <w:p>
      <w:pPr>
        <w:pStyle w:val="Ednotesection"/>
        <w:spacing w:before="180"/>
        <w:ind w:left="890" w:hanging="890"/>
      </w:pPr>
      <w:r>
        <w:t>[</w:t>
      </w:r>
      <w:r>
        <w:rPr>
          <w:b/>
        </w:rPr>
        <w:t>3.</w:t>
      </w:r>
      <w:r>
        <w:tab/>
        <w:t>Deleted: No. 87 of 1981 s. 3.]</w:t>
      </w:r>
    </w:p>
    <w:p>
      <w:pPr>
        <w:pStyle w:val="Ednotesection"/>
        <w:spacing w:before="180"/>
        <w:ind w:left="890" w:hanging="890"/>
      </w:pPr>
      <w:r>
        <w:t>[</w:t>
      </w:r>
      <w:r>
        <w:rPr>
          <w:b/>
        </w:rPr>
        <w:t>4.</w:t>
      </w:r>
      <w:r>
        <w:tab/>
        <w:t>Omitted under the Reprints Act 1984 s. 7(4)(f).]</w:t>
      </w:r>
    </w:p>
    <w:p>
      <w:pPr>
        <w:pStyle w:val="Heading5"/>
        <w:rPr>
          <w:snapToGrid w:val="0"/>
        </w:rPr>
      </w:pPr>
      <w:bookmarkStart w:id="8" w:name="_Toc106096805"/>
      <w:r>
        <w:rPr>
          <w:rStyle w:val="CharSectno"/>
        </w:rPr>
        <w:t>5</w:t>
      </w:r>
      <w:r>
        <w:rPr>
          <w:snapToGrid w:val="0"/>
        </w:rPr>
        <w:t>.</w:t>
      </w:r>
      <w:r>
        <w:rPr>
          <w:snapToGrid w:val="0"/>
        </w:rPr>
        <w:tab/>
        <w:t>Terms used</w:t>
      </w:r>
      <w:bookmarkEnd w:id="8"/>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Commissioner;</w:t>
      </w:r>
    </w:p>
    <w:p>
      <w:pPr>
        <w:pStyle w:val="Defstart"/>
      </w:pPr>
      <w:r>
        <w:tab/>
      </w:r>
      <w:r>
        <w:rPr>
          <w:rStyle w:val="CharDefText"/>
        </w:rPr>
        <w:t>authorisation</w:t>
      </w:r>
      <w:r>
        <w:t xml:space="preserve"> means —</w:t>
      </w:r>
    </w:p>
    <w:p>
      <w:pPr>
        <w:pStyle w:val="Defpara"/>
        <w:spacing w:before="60"/>
      </w:pPr>
      <w:r>
        <w:tab/>
        <w:t>(a)</w:t>
      </w:r>
      <w:r>
        <w:tab/>
        <w:t>a dealer’s licence; or</w:t>
      </w:r>
    </w:p>
    <w:p>
      <w:pPr>
        <w:pStyle w:val="Defpara"/>
        <w:spacing w:before="60"/>
      </w:pPr>
      <w:r>
        <w:tab/>
        <w:t>(b)</w:t>
      </w:r>
      <w:r>
        <w:tab/>
        <w:t>a yard manager’s licence; or</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an authorised person as defined in the </w:t>
      </w:r>
      <w:r>
        <w:rPr>
          <w:i/>
        </w:rPr>
        <w:t>Fair Trading Act 2010</w:t>
      </w:r>
      <w:r>
        <w:t xml:space="preserve"> section 63;</w:t>
      </w:r>
    </w:p>
    <w:p>
      <w:pPr>
        <w:pStyle w:val="Defstart"/>
      </w:pPr>
      <w:r>
        <w:rPr>
          <w:b/>
        </w:rPr>
        <w:tab/>
      </w:r>
      <w:r>
        <w:rPr>
          <w:rStyle w:val="CharDefText"/>
        </w:rPr>
        <w:t>authorised premises</w:t>
      </w:r>
      <w:r>
        <w:t> —</w:t>
      </w:r>
    </w:p>
    <w:p>
      <w:pPr>
        <w:pStyle w:val="Defpara"/>
      </w:pPr>
      <w:r>
        <w:tab/>
        <w:t>(a)</w:t>
      </w:r>
      <w:r>
        <w:tab/>
        <w:t>in relation to a dealer, means premises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lastRenderedPageBreak/>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dealer</w:t>
      </w:r>
      <w:r>
        <w:t xml:space="preserve"> means —</w:t>
      </w:r>
    </w:p>
    <w:p>
      <w:pPr>
        <w:pStyle w:val="Defpara"/>
      </w:pPr>
      <w:r>
        <w:tab/>
        <w:t>(a)</w:t>
      </w:r>
      <w:r>
        <w:tab/>
        <w:t>a person who carries on any class or description of business of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(including a business of selling vehicles by auction) that is prescribed by regulations referred to in section 5A; or</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lastRenderedPageBreak/>
        <w:tab/>
      </w:r>
      <w:r>
        <w:rPr>
          <w:rStyle w:val="CharDefText"/>
        </w:rPr>
        <w:t>demonstration vehicle</w:t>
      </w:r>
      <w:r>
        <w:t xml:space="preserve"> means a vehicle —</w:t>
      </w:r>
    </w:p>
    <w:p>
      <w:pPr>
        <w:pStyle w:val="Defpara"/>
      </w:pPr>
      <w:r>
        <w:tab/>
        <w:t>(a)</w:t>
      </w:r>
      <w:r>
        <w:tab/>
        <w:t xml:space="preserve">in respect of which a licence has been granted under the </w:t>
      </w:r>
      <w:r>
        <w:rPr>
          <w:i/>
          <w:iCs/>
        </w:rPr>
        <w:t>Road Traffic (Vehicles) Act 2012</w:t>
      </w:r>
      <w:r>
        <w:t xml:space="preserve"> to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w:t>
      </w:r>
    </w:p>
    <w:p>
      <w:pPr>
        <w:pStyle w:val="Defpara"/>
      </w:pPr>
      <w:r>
        <w:tab/>
        <w:t>(a)</w:t>
      </w:r>
      <w:r>
        <w:tab/>
        <w:t>for the purpose of the hiring, under a hire</w:t>
      </w:r>
      <w:r>
        <w:noBreakHyphen/>
        <w:t>purchase agreement, of the vehicle bought or sold; or</w:t>
      </w:r>
    </w:p>
    <w:p>
      <w:pPr>
        <w:pStyle w:val="Defpara"/>
      </w:pPr>
      <w:r>
        <w:tab/>
        <w:t>(b)</w:t>
      </w:r>
      <w:r>
        <w:tab/>
        <w:t>for the purpose of effectuating a security over the vehicle bought or sold; or</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in relation to an authorisation, means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w:t>
      </w:r>
      <w:r>
        <w:lastRenderedPageBreak/>
        <w:t xml:space="preserve">given to that term from time to time by the </w:t>
      </w:r>
      <w:r>
        <w:rPr>
          <w:i/>
        </w:rPr>
        <w:t>Hire</w:t>
      </w:r>
      <w:r>
        <w:rPr>
          <w:i/>
        </w:rPr>
        <w:noBreakHyphen/>
        <w:t>Purchase Act 1959</w:t>
      </w:r>
      <w:r>
        <w:t xml:space="preserve">, and where used in paragraph (a) of the interpretation </w:t>
      </w:r>
      <w:r>
        <w:rPr>
          <w:b/>
          <w:bCs/>
          <w:i/>
        </w:rPr>
        <w:t>financier</w:t>
      </w:r>
      <w:r>
        <w:rPr>
          <w:bCs/>
        </w:rPr>
        <w:t>,</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spacing w:before="60"/>
      </w:pPr>
      <w:r>
        <w:tab/>
      </w:r>
      <w:r>
        <w:rPr>
          <w:rStyle w:val="CharDefText"/>
        </w:rPr>
        <w:t>hold</w:t>
      </w:r>
      <w:r>
        <w:t>,</w:t>
      </w:r>
      <w:r>
        <w:rPr>
          <w:b/>
        </w:rPr>
        <w:t xml:space="preserve"> </w:t>
      </w:r>
      <w:r>
        <w:t>in relation to an authorisation, means —</w:t>
      </w:r>
    </w:p>
    <w:p>
      <w:pPr>
        <w:pStyle w:val="Defpara"/>
        <w:spacing w:before="40"/>
      </w:pPr>
      <w:r>
        <w:tab/>
        <w:t>(a)</w:t>
      </w:r>
      <w:r>
        <w:tab/>
        <w:t>to hold a licence; or</w:t>
      </w:r>
    </w:p>
    <w:p>
      <w:pPr>
        <w:pStyle w:val="Defpara"/>
        <w:spacing w:before="40"/>
      </w:pPr>
      <w:r>
        <w:tab/>
        <w:t>(b)</w:t>
      </w:r>
      <w:r>
        <w:tab/>
        <w:t>to be registered under section 17B;</w:t>
      </w:r>
    </w:p>
    <w:p>
      <w:pPr>
        <w:pStyle w:val="Defstart"/>
        <w:spacing w:before="56"/>
      </w:pPr>
      <w:r>
        <w:rPr>
          <w:b/>
        </w:rPr>
        <w:tab/>
      </w:r>
      <w:r>
        <w:rPr>
          <w:rStyle w:val="CharDefText"/>
        </w:rPr>
        <w:t>licence</w:t>
      </w:r>
      <w:r>
        <w:t xml:space="preserve"> means a licence granted under this Act;</w:t>
      </w:r>
    </w:p>
    <w:p>
      <w:pPr>
        <w:pStyle w:val="Defstart"/>
        <w:spacing w:before="56"/>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spacing w:before="56"/>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spacing w:before="56"/>
      </w:pPr>
      <w:r>
        <w:tab/>
      </w:r>
      <w:r>
        <w:rPr>
          <w:rStyle w:val="CharDefText"/>
        </w:rPr>
        <w:t>salesperson’s licence</w:t>
      </w:r>
      <w:r>
        <w:t xml:space="preserve"> means a salesperson’s licence granted under section 17;</w:t>
      </w:r>
    </w:p>
    <w:p>
      <w:pPr>
        <w:pStyle w:val="Defstart"/>
        <w:spacing w:before="56"/>
      </w:pPr>
      <w:r>
        <w:rPr>
          <w:b/>
        </w:rPr>
        <w:tab/>
      </w:r>
      <w:r>
        <w:rPr>
          <w:rStyle w:val="CharDefText"/>
        </w:rPr>
        <w:t>section</w:t>
      </w:r>
      <w:r>
        <w:t xml:space="preserve"> means section of this Act;</w:t>
      </w:r>
    </w:p>
    <w:p>
      <w:pPr>
        <w:pStyle w:val="Defstart"/>
        <w:spacing w:before="56"/>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spacing w:before="56"/>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spacing w:before="56"/>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spacing w:before="56"/>
      </w:pPr>
      <w:r>
        <w:rPr>
          <w:b/>
        </w:rPr>
        <w:tab/>
      </w:r>
      <w:r>
        <w:rPr>
          <w:rStyle w:val="CharDefText"/>
        </w:rPr>
        <w:t>yard manager’s licence</w:t>
      </w:r>
      <w:r>
        <w:t xml:space="preserve"> means a yard manager’s licence granted under section 16;</w:t>
      </w:r>
    </w:p>
    <w:p>
      <w:pPr>
        <w:pStyle w:val="Defstart"/>
        <w:spacing w:before="56"/>
      </w:pPr>
      <w:r>
        <w:rPr>
          <w:b/>
        </w:rPr>
        <w:lastRenderedPageBreak/>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w:t>
      </w:r>
    </w:p>
    <w:p>
      <w:pPr>
        <w:pStyle w:val="Indenta"/>
        <w:rPr>
          <w:snapToGrid w:val="0"/>
        </w:rPr>
      </w:pPr>
      <w:r>
        <w:rPr>
          <w:snapToGrid w:val="0"/>
        </w:rPr>
        <w:tab/>
        <w:t>(a)</w:t>
      </w:r>
      <w:r>
        <w:rPr>
          <w:snapToGrid w:val="0"/>
        </w:rPr>
        <w:tab/>
        <w:t xml:space="preserve">a motor vehicle </w:t>
      </w:r>
      <w:r>
        <w:t xml:space="preserve">as defined in the </w:t>
      </w:r>
      <w:r>
        <w:rPr>
          <w:i/>
          <w:iCs/>
        </w:rPr>
        <w:t>Road Traffic (Administration) Act 2008</w:t>
      </w:r>
      <w:r>
        <w:t xml:space="preserve"> section 4;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w:t>
      </w:r>
    </w:p>
    <w:p>
      <w:pPr>
        <w:pStyle w:val="Indenta"/>
        <w:rPr>
          <w:snapToGrid w:val="0"/>
        </w:rPr>
      </w:pPr>
      <w:r>
        <w:rPr>
          <w:snapToGrid w:val="0"/>
        </w:rPr>
        <w:tab/>
        <w:t>(a)</w:t>
      </w:r>
      <w:r>
        <w:rPr>
          <w:snapToGrid w:val="0"/>
        </w:rPr>
        <w:tab/>
        <w:t>a passenger car; or</w:t>
      </w:r>
    </w:p>
    <w:p>
      <w:pPr>
        <w:pStyle w:val="Indenta"/>
        <w:rPr>
          <w:snapToGrid w:val="0"/>
        </w:rPr>
      </w:pPr>
      <w:r>
        <w:rPr>
          <w:snapToGrid w:val="0"/>
        </w:rPr>
        <w:tab/>
        <w:t>(b)</w:t>
      </w:r>
      <w:r>
        <w:rPr>
          <w:snapToGrid w:val="0"/>
        </w:rPr>
        <w:tab/>
        <w:t>a passenger car derivative; or</w:t>
      </w:r>
    </w:p>
    <w:p>
      <w:pPr>
        <w:pStyle w:val="Indenta"/>
        <w:rPr>
          <w:snapToGrid w:val="0"/>
        </w:rPr>
      </w:pPr>
      <w:r>
        <w:rPr>
          <w:snapToGrid w:val="0"/>
        </w:rPr>
        <w:tab/>
        <w:t>(c)</w:t>
      </w:r>
      <w:r>
        <w:rPr>
          <w:snapToGrid w:val="0"/>
        </w:rPr>
        <w:tab/>
        <w:t>a motor cycle; or</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lastRenderedPageBreak/>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Where —</w:t>
      </w:r>
    </w:p>
    <w:p>
      <w:pPr>
        <w:pStyle w:val="Indenta"/>
      </w:pPr>
      <w:r>
        <w:tab/>
        <w:t>(a)</w:t>
      </w:r>
      <w:r>
        <w:tab/>
        <w:t>a licence is granted to 2 or more persons under section 15(2); or</w:t>
      </w:r>
    </w:p>
    <w:p>
      <w:pPr>
        <w:pStyle w:val="Indenta"/>
      </w:pPr>
      <w:r>
        <w:tab/>
        <w:t>(b)</w:t>
      </w:r>
      <w:r>
        <w:tab/>
        <w:t>2 or more persons are registered under section 17B(2),</w:t>
      </w:r>
    </w:p>
    <w:p>
      <w:pPr>
        <w:pStyle w:val="Subsection"/>
        <w:spacing w:before="120"/>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keepLines w:val="0"/>
        <w:ind w:left="890" w:hanging="890"/>
      </w:pPr>
      <w:r>
        <w:tab/>
        <w:t>[Section 5 amended: No. 74 of 1975 s. 3; No. 66 of 1976 s. 2; No. 49 of 1979 s. 3; No. 87 of 1981 s. 4; No. 6 of 1982 s. 3; No. 1 of 1985 s. 25; No. 73 of 1994 s. 4; No. 57 of 1997 s. 39(10); No. 4 of 2002 s. 4, 31(2)</w:t>
      </w:r>
      <w:r>
        <w:noBreakHyphen/>
        <w:t xml:space="preserve">(3) and 54; No. 73 of 2003 </w:t>
      </w:r>
      <w:r>
        <w:lastRenderedPageBreak/>
        <w:t>s. 5 and 23(1) and (2); No. 28 of 2006 s. 107; No. 58 of 2010 s. 34 and 50; No. 8 of 2012 s. 143; No. 23 of 2014 s. 26.]</w:t>
      </w:r>
    </w:p>
    <w:p>
      <w:pPr>
        <w:pStyle w:val="Heading5"/>
      </w:pPr>
      <w:bookmarkStart w:id="9" w:name="_Toc106096806"/>
      <w:r>
        <w:rPr>
          <w:rStyle w:val="CharSectno"/>
        </w:rPr>
        <w:t>5A</w:t>
      </w:r>
      <w:r>
        <w:t>.</w:t>
      </w:r>
      <w:r>
        <w:tab/>
        <w:t>Classes of business and categories of licence</w:t>
      </w:r>
      <w:bookmarkEnd w:id="9"/>
    </w:p>
    <w:p>
      <w:pPr>
        <w:pStyle w:val="Subsection"/>
      </w:pPr>
      <w:r>
        <w:tab/>
      </w:r>
      <w:r>
        <w:tab/>
        <w:t>Regulations may be made under section 56 prescribing —</w:t>
      </w:r>
    </w:p>
    <w:p>
      <w:pPr>
        <w:pStyle w:val="Indenta"/>
      </w:pPr>
      <w:r>
        <w:tab/>
        <w:t>(a)</w:t>
      </w:r>
      <w:r>
        <w:tab/>
        <w:t xml:space="preserve">different classes or descriptions of business for the purposes of the definition of </w:t>
      </w:r>
      <w:r>
        <w:rPr>
          <w:b/>
          <w:i/>
        </w:rPr>
        <w:t>dealer</w:t>
      </w:r>
      <w:r>
        <w:t xml:space="preserve"> in section 5(1) including a business that consists of or includes —</w:t>
      </w:r>
    </w:p>
    <w:p>
      <w:pPr>
        <w:pStyle w:val="Indenti"/>
      </w:pPr>
      <w:r>
        <w:tab/>
        <w:t>(i)</w:t>
      </w:r>
      <w:r>
        <w:tab/>
        <w:t>the buying of vehicles for wrecking; or</w:t>
      </w:r>
    </w:p>
    <w:p>
      <w:pPr>
        <w:pStyle w:val="Indenti"/>
      </w:pPr>
      <w:r>
        <w:tab/>
        <w:t>(ii)</w:t>
      </w:r>
      <w:r>
        <w:tab/>
        <w:t>the selling of vehicles by auction;</w:t>
      </w:r>
    </w:p>
    <w:p>
      <w:pPr>
        <w:pStyle w:val="Indenta"/>
      </w:pPr>
      <w:r>
        <w:tab/>
      </w:r>
      <w:r>
        <w:tab/>
        <w:t>and</w:t>
      </w:r>
    </w:p>
    <w:p>
      <w:pPr>
        <w:pStyle w:val="Indenta"/>
      </w:pPr>
      <w:r>
        <w:tab/>
        <w:t>(b)</w:t>
      </w:r>
      <w:r>
        <w:tab/>
        <w:t>a different category of dealer’s licence —</w:t>
      </w:r>
    </w:p>
    <w:p>
      <w:pPr>
        <w:pStyle w:val="Indenti"/>
      </w:pPr>
      <w:r>
        <w:tab/>
        <w:t>(i)</w:t>
      </w:r>
      <w:r>
        <w:tab/>
        <w:t>for each prescribed class or description of business; or</w:t>
      </w:r>
    </w:p>
    <w:p>
      <w:pPr>
        <w:pStyle w:val="Indenti"/>
      </w:pPr>
      <w:r>
        <w:tab/>
        <w:t>(ii)</w:t>
      </w:r>
      <w:r>
        <w:tab/>
        <w:t>for any combination of them;</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No. 4 of 2002 s. 5.]</w:t>
      </w:r>
    </w:p>
    <w:p>
      <w:pPr>
        <w:pStyle w:val="Heading5"/>
      </w:pPr>
      <w:bookmarkStart w:id="10" w:name="_Toc106096807"/>
      <w:r>
        <w:rPr>
          <w:rStyle w:val="CharSectno"/>
        </w:rPr>
        <w:t>5B</w:t>
      </w:r>
      <w:r>
        <w:t>.</w:t>
      </w:r>
      <w:r>
        <w:tab/>
        <w:t>Some persons taken to be dealers</w:t>
      </w:r>
      <w:bookmarkEnd w:id="10"/>
    </w:p>
    <w:p>
      <w:pPr>
        <w:pStyle w:val="Subsection"/>
      </w:pPr>
      <w:r>
        <w:tab/>
        <w:t>(1)</w:t>
      </w:r>
      <w:r>
        <w:tab/>
        <w:t>A person who —</w:t>
      </w:r>
    </w:p>
    <w:p>
      <w:pPr>
        <w:pStyle w:val="Indenta"/>
      </w:pPr>
      <w:r>
        <w:tab/>
        <w:t>(a)</w:t>
      </w:r>
      <w:r>
        <w:tab/>
        <w:t>holds himself or herself out as a person carrying on the business of buying or selling vehicles; or</w:t>
      </w:r>
    </w:p>
    <w:p>
      <w:pPr>
        <w:pStyle w:val="Indenta"/>
      </w:pPr>
      <w:r>
        <w:tab/>
        <w:t>(b)</w:t>
      </w:r>
      <w:r>
        <w:tab/>
        <w:t>sells or exchanges 4 or more vehicles in any 12 month period to or with persons who are not dealers,</w:t>
      </w:r>
    </w:p>
    <w:p>
      <w:pPr>
        <w:pStyle w:val="Subsection"/>
      </w:pPr>
      <w:r>
        <w:tab/>
      </w:r>
      <w:r>
        <w:tab/>
        <w:t xml:space="preserve">is taken to be carrying on the business of selling vehicles for the purposes of the definition of </w:t>
      </w:r>
      <w:r>
        <w:rPr>
          <w:b/>
          <w:bCs/>
          <w:i/>
          <w:iCs/>
        </w:rPr>
        <w:t>dealer</w:t>
      </w:r>
      <w:r>
        <w:t>.</w:t>
      </w:r>
    </w:p>
    <w:p>
      <w:pPr>
        <w:pStyle w:val="Subsection"/>
        <w:keepNext/>
      </w:pPr>
      <w:r>
        <w:lastRenderedPageBreak/>
        <w:tab/>
        <w:t>(2)</w:t>
      </w:r>
      <w:r>
        <w:tab/>
        <w:t>For the purposes of subsection (1)(a), a person holds himself or herself out as a person carrying on the business of buying or selling vehicles if that person —</w:t>
      </w:r>
    </w:p>
    <w:p>
      <w:pPr>
        <w:pStyle w:val="Indenta"/>
      </w:pPr>
      <w:r>
        <w:tab/>
        <w:t>(a)</w:t>
      </w:r>
      <w:r>
        <w:tab/>
        <w:t>advertises or notifies or states that the person carries on the business of buying or selling vehicles; or</w:t>
      </w:r>
    </w:p>
    <w:p>
      <w:pPr>
        <w:pStyle w:val="Indenta"/>
      </w:pPr>
      <w:r>
        <w:tab/>
        <w:t>(b)</w:t>
      </w:r>
      <w:r>
        <w:tab/>
        <w:t>in any way represents that the person is ready to carry on, or is carrying on, the business of buying or selling vehicles.</w:t>
      </w:r>
    </w:p>
    <w:p>
      <w:pPr>
        <w:pStyle w:val="Subsection"/>
      </w:pPr>
      <w:r>
        <w:tab/>
        <w:t>(3)</w:t>
      </w:r>
      <w:r>
        <w:tab/>
        <w:t>Despite subsection (1), a person who sells or exchanges 4 or more vehicles in any 12 month period to or with persons who are not dealers is not taken to be a dealer if the person can prove that —</w:t>
      </w:r>
    </w:p>
    <w:p>
      <w:pPr>
        <w:pStyle w:val="Indenta"/>
      </w:pPr>
      <w:r>
        <w:tab/>
        <w:t>(a)</w:t>
      </w:r>
      <w:r>
        <w:tab/>
        <w:t>he or she was not carrying on the business of buying or selling vehicles; and</w:t>
      </w:r>
    </w:p>
    <w:p>
      <w:pPr>
        <w:pStyle w:val="Indenta"/>
      </w:pPr>
      <w:r>
        <w:tab/>
        <w:t>(b)</w:t>
      </w:r>
      <w:r>
        <w:tab/>
        <w:t>the person did not hold himself or herself out as a person carrying on the business of buying or selling vehicles.</w:t>
      </w:r>
    </w:p>
    <w:p>
      <w:pPr>
        <w:pStyle w:val="Subsection"/>
      </w:pPr>
      <w:r>
        <w:tab/>
        <w:t>(4)</w:t>
      </w:r>
      <w:r>
        <w:tab/>
        <w:t>When counting the number of vehicles sold or exchanged for the purposes of this section, a sale or exchange of a type prescribed to be an exempt sale or an exempt exchange for the purposes of this subsection is not to be counted.</w:t>
      </w:r>
    </w:p>
    <w:p>
      <w:pPr>
        <w:pStyle w:val="Subsection"/>
      </w:pPr>
      <w:r>
        <w:tab/>
        <w:t>(5)</w:t>
      </w:r>
      <w:r>
        <w:tab/>
        <w:t>Nothing in subsection (1) prevents a person who sells or exchanges fewer than 4 vehicles in any 12 month period to or with persons who are not dealers from being a dealer carrying on the business of buying or selling vehicles under this Act.</w:t>
      </w:r>
    </w:p>
    <w:p>
      <w:pPr>
        <w:pStyle w:val="Footnotesection"/>
      </w:pPr>
      <w:r>
        <w:tab/>
        <w:t>[Section 5B inserted: No. 58 of 2010 s. 35.]</w:t>
      </w:r>
    </w:p>
    <w:p>
      <w:pPr>
        <w:pStyle w:val="Ednotesection"/>
      </w:pPr>
      <w:r>
        <w:t>[</w:t>
      </w:r>
      <w:r>
        <w:rPr>
          <w:b/>
        </w:rPr>
        <w:t>5AA.</w:t>
      </w:r>
      <w:r>
        <w:rPr>
          <w:b/>
        </w:rPr>
        <w:tab/>
      </w:r>
      <w:r>
        <w:t>Deleted: No. 58 of 2010 s. 36.]</w:t>
      </w:r>
    </w:p>
    <w:p>
      <w:pPr>
        <w:pStyle w:val="Heading5"/>
      </w:pPr>
      <w:bookmarkStart w:id="11" w:name="_Toc106096808"/>
      <w:r>
        <w:rPr>
          <w:rStyle w:val="CharSectno"/>
        </w:rPr>
        <w:t>6</w:t>
      </w:r>
      <w:r>
        <w:t>.</w:t>
      </w:r>
      <w:r>
        <w:tab/>
        <w:t>Investigation powers</w:t>
      </w:r>
      <w:bookmarkEnd w:id="11"/>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6 inserted: No. 58 of 2010 s. 37.]</w:t>
      </w:r>
    </w:p>
    <w:p>
      <w:pPr>
        <w:pStyle w:val="Heading2"/>
      </w:pPr>
      <w:bookmarkStart w:id="12" w:name="_Toc106010358"/>
      <w:bookmarkStart w:id="13" w:name="_Toc106010491"/>
      <w:bookmarkStart w:id="14" w:name="_Toc106096809"/>
      <w:r>
        <w:rPr>
          <w:rStyle w:val="CharPartNo"/>
        </w:rPr>
        <w:lastRenderedPageBreak/>
        <w:t>Part II</w:t>
      </w:r>
      <w:r>
        <w:t> — </w:t>
      </w:r>
      <w:r>
        <w:rPr>
          <w:rStyle w:val="CharPartText"/>
        </w:rPr>
        <w:t>Licensing, registration, powers and offences</w:t>
      </w:r>
      <w:bookmarkEnd w:id="12"/>
      <w:bookmarkEnd w:id="13"/>
      <w:bookmarkEnd w:id="14"/>
    </w:p>
    <w:p>
      <w:pPr>
        <w:pStyle w:val="Footnoteheading"/>
        <w:tabs>
          <w:tab w:val="left" w:pos="851"/>
        </w:tabs>
      </w:pPr>
      <w:r>
        <w:tab/>
        <w:t>[Heading amended: No. 73 of 2003 s. 7; No. 58 of 2010 s. 38.]</w:t>
      </w:r>
    </w:p>
    <w:p>
      <w:pPr>
        <w:pStyle w:val="Ednotedivision"/>
      </w:pPr>
      <w:r>
        <w:t>[Division 1 (s. 7-14A) deleted: No. 58 of 2010 s. 39.]</w:t>
      </w:r>
    </w:p>
    <w:p>
      <w:pPr>
        <w:pStyle w:val="Heading3"/>
      </w:pPr>
      <w:bookmarkStart w:id="15" w:name="_Toc106010359"/>
      <w:bookmarkStart w:id="16" w:name="_Toc106010492"/>
      <w:bookmarkStart w:id="17" w:name="_Toc106096810"/>
      <w:r>
        <w:rPr>
          <w:rStyle w:val="CharDivNo"/>
        </w:rPr>
        <w:t>Division 2</w:t>
      </w:r>
      <w:r>
        <w:t> — </w:t>
      </w:r>
      <w:r>
        <w:rPr>
          <w:rStyle w:val="CharDivText"/>
        </w:rPr>
        <w:t>Licensing and registration</w:t>
      </w:r>
      <w:bookmarkEnd w:id="15"/>
      <w:bookmarkEnd w:id="16"/>
      <w:bookmarkEnd w:id="17"/>
    </w:p>
    <w:p>
      <w:pPr>
        <w:pStyle w:val="Footnoteheading"/>
        <w:tabs>
          <w:tab w:val="left" w:pos="851"/>
        </w:tabs>
      </w:pPr>
      <w:r>
        <w:tab/>
        <w:t>[Heading inserted: No. 73 of 2003 s. 14.]</w:t>
      </w:r>
    </w:p>
    <w:p>
      <w:pPr>
        <w:pStyle w:val="Heading5"/>
        <w:rPr>
          <w:snapToGrid w:val="0"/>
        </w:rPr>
      </w:pPr>
      <w:bookmarkStart w:id="18" w:name="_Toc106096811"/>
      <w:r>
        <w:rPr>
          <w:rStyle w:val="CharSectno"/>
        </w:rPr>
        <w:t>15</w:t>
      </w:r>
      <w:r>
        <w:rPr>
          <w:snapToGrid w:val="0"/>
        </w:rPr>
        <w:t>.</w:t>
      </w:r>
      <w:r>
        <w:rPr>
          <w:snapToGrid w:val="0"/>
        </w:rPr>
        <w:tab/>
        <w:t>Vehicle dealer’s licence, application for and grant of</w:t>
      </w:r>
      <w:bookmarkEnd w:id="18"/>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that he has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for a vehicle dealer’s licence </w:t>
      </w:r>
      <w:r>
        <w:t>of a particular category</w:t>
      </w:r>
      <w:r>
        <w:rPr>
          <w:snapToGrid w:val="0"/>
        </w:rPr>
        <w:t xml:space="preserve"> and pay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 and</w:t>
      </w:r>
    </w:p>
    <w:p>
      <w:pPr>
        <w:pStyle w:val="Indenta"/>
      </w:pPr>
      <w:r>
        <w:lastRenderedPageBreak/>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If there is a corporate member of a firm to which a licence is granted under subsection (2), the licence ceases to have effect if —</w:t>
      </w:r>
    </w:p>
    <w:p>
      <w:pPr>
        <w:pStyle w:val="Indenta"/>
      </w:pPr>
      <w:r>
        <w:tab/>
        <w:t>(a)</w:t>
      </w:r>
      <w:r>
        <w:tab/>
        <w:t>a change occurs in the person or persons concerned in the management or conduct of the corporate member; and</w:t>
      </w:r>
    </w:p>
    <w:p>
      <w:pPr>
        <w:pStyle w:val="Indenta"/>
      </w:pPr>
      <w:r>
        <w:tab/>
        <w:t>(b)</w:t>
      </w:r>
      <w:r>
        <w:tab/>
        <w:t>the Commissioner refuses to approve of the change under section 23(3); and</w:t>
      </w:r>
    </w:p>
    <w:p>
      <w:pPr>
        <w:pStyle w:val="Indenta"/>
      </w:pPr>
      <w:r>
        <w:tab/>
        <w:t>(c)</w:t>
      </w:r>
      <w:r>
        <w:tab/>
        <w:t>the Commissioner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 and</w:t>
      </w:r>
    </w:p>
    <w:p>
      <w:pPr>
        <w:pStyle w:val="Indenta"/>
      </w:pPr>
      <w:r>
        <w:tab/>
        <w:t>(b)</w:t>
      </w:r>
      <w:r>
        <w:tab/>
        <w:t>that it has sufficient resources; and</w:t>
      </w:r>
    </w:p>
    <w:p>
      <w:pPr>
        <w:pStyle w:val="Indenta"/>
      </w:pPr>
      <w:r>
        <w:lastRenderedPageBreak/>
        <w:tab/>
        <w:t>(c)</w:t>
      </w:r>
      <w:r>
        <w:tab/>
        <w:t>that at least one of the natural persons referred to in paragraph (a) has sufficient knowledge of this Act.</w:t>
      </w:r>
    </w:p>
    <w:p>
      <w:pPr>
        <w:pStyle w:val="Subsection"/>
      </w:pPr>
      <w:r>
        <w:tab/>
        <w:t>(4)</w:t>
      </w:r>
      <w:r>
        <w:tab/>
        <w:t>A licence granted under subsection (3) ceases to have effect if —</w:t>
      </w:r>
    </w:p>
    <w:p>
      <w:pPr>
        <w:pStyle w:val="Indenta"/>
      </w:pPr>
      <w:r>
        <w:tab/>
        <w:t>(a)</w:t>
      </w:r>
      <w:r>
        <w:tab/>
        <w:t>a change occurs in the persons concerned in the management or conduct of the body corporate that holds the licence; and</w:t>
      </w:r>
    </w:p>
    <w:p>
      <w:pPr>
        <w:pStyle w:val="Indenta"/>
      </w:pPr>
      <w:r>
        <w:tab/>
        <w:t>(b)</w:t>
      </w:r>
      <w:r>
        <w:tab/>
        <w:t>the Commissioner has refused to approve of the change under section 23(3); and</w:t>
      </w:r>
    </w:p>
    <w:p>
      <w:pPr>
        <w:pStyle w:val="Indenta"/>
      </w:pPr>
      <w:r>
        <w:tab/>
        <w:t>(c)</w:t>
      </w:r>
      <w:r>
        <w:tab/>
        <w:t>the Commissioner does not approve of a further change under subsection (5).</w:t>
      </w:r>
    </w:p>
    <w:p>
      <w:pPr>
        <w:pStyle w:val="Subsection"/>
      </w:pPr>
      <w:r>
        <w:tab/>
        <w:t>(5)</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pPr>
      <w:r>
        <w:tab/>
        <w:t>(6)</w:t>
      </w:r>
      <w:r>
        <w:tab/>
        <w:t>In this section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Commissioner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Commissioner considers that those requirements are relevant to the category of licence applied for.</w:t>
      </w:r>
    </w:p>
    <w:p>
      <w:pPr>
        <w:pStyle w:val="Footnotesection"/>
        <w:ind w:left="890" w:hanging="890"/>
      </w:pPr>
      <w:r>
        <w:tab/>
        <w:t>[Section 15 amended: No. 56 of 1995 s. 37; No. 4 of 2002 s. 6; No. 58 of 2010 s. 50.]</w:t>
      </w:r>
    </w:p>
    <w:p>
      <w:pPr>
        <w:pStyle w:val="Heading5"/>
        <w:rPr>
          <w:snapToGrid w:val="0"/>
        </w:rPr>
      </w:pPr>
      <w:bookmarkStart w:id="19" w:name="_Toc106096812"/>
      <w:r>
        <w:rPr>
          <w:rStyle w:val="CharSectno"/>
        </w:rPr>
        <w:lastRenderedPageBreak/>
        <w:t>16</w:t>
      </w:r>
      <w:r>
        <w:rPr>
          <w:snapToGrid w:val="0"/>
        </w:rPr>
        <w:t>.</w:t>
      </w:r>
      <w:r>
        <w:rPr>
          <w:snapToGrid w:val="0"/>
        </w:rPr>
        <w:tab/>
        <w:t>Yard manager’s licence, application for and grant of</w:t>
      </w:r>
      <w:bookmarkEnd w:id="19"/>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yard manager’s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spacing w:before="60"/>
        <w:rPr>
          <w:snapToGrid w:val="0"/>
        </w:rPr>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Ednotesubsection"/>
      </w:pPr>
      <w:r>
        <w:tab/>
        <w:t>[(2)</w:t>
      </w:r>
      <w:r>
        <w:tab/>
        <w:t>deleted]</w:t>
      </w:r>
    </w:p>
    <w:p>
      <w:pPr>
        <w:pStyle w:val="Footnotesection"/>
      </w:pPr>
      <w:r>
        <w:tab/>
        <w:t>[Section 16 amended: No. 74 of 1975 s. 4; No. 4 of 2002 s. 7 and 31(4); No. 73 of 2003 s. 23(3); No. 58 of 2010 s. 40 and 50.]</w:t>
      </w:r>
    </w:p>
    <w:p>
      <w:pPr>
        <w:pStyle w:val="Heading5"/>
        <w:rPr>
          <w:snapToGrid w:val="0"/>
        </w:rPr>
      </w:pPr>
      <w:bookmarkStart w:id="20" w:name="_Toc106096813"/>
      <w:r>
        <w:rPr>
          <w:rStyle w:val="CharSectno"/>
        </w:rPr>
        <w:t>17</w:t>
      </w:r>
      <w:r>
        <w:rPr>
          <w:snapToGrid w:val="0"/>
        </w:rPr>
        <w:t>.</w:t>
      </w:r>
      <w:r>
        <w:rPr>
          <w:snapToGrid w:val="0"/>
        </w:rPr>
        <w:tab/>
        <w:t>Salesperson’s licence, application for and grant of</w:t>
      </w:r>
      <w:bookmarkEnd w:id="20"/>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w:t>
      </w:r>
      <w:r>
        <w:t>salesperson’s</w:t>
      </w:r>
      <w:r>
        <w:rPr>
          <w:snapToGrid w:val="0"/>
        </w:rPr>
        <w:t xml:space="preserve">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lastRenderedPageBreak/>
        <w:tab/>
        <w:t>(d)</w:t>
      </w:r>
      <w:r>
        <w:rPr>
          <w:snapToGrid w:val="0"/>
        </w:rPr>
        <w:tab/>
        <w:t>that he is employed by a dealer who is licensed under this Act or that such a dealer is prepared to employ him as a</w:t>
      </w:r>
      <w:r>
        <w:t xml:space="preserve"> salesperson</w:t>
      </w:r>
      <w:r>
        <w:rPr>
          <w:snapToGrid w:val="0"/>
        </w:rPr>
        <w:t>.</w:t>
      </w:r>
    </w:p>
    <w:p>
      <w:pPr>
        <w:pStyle w:val="Ednotesubsection"/>
      </w:pPr>
      <w:r>
        <w:tab/>
        <w:t>[(2)</w:t>
      </w:r>
      <w:r>
        <w:tab/>
        <w:t>deleted]</w:t>
      </w:r>
    </w:p>
    <w:p>
      <w:pPr>
        <w:pStyle w:val="Footnotesection"/>
      </w:pPr>
      <w:r>
        <w:tab/>
        <w:t>[Section 17 amended: No. 74 of 1975 s. 5; No. 4 of 2002 s. 8 and 31(1) and (5); No. 73 of 2003 s. 23(3); No. 58 of 2010 s. 41 and 50.]</w:t>
      </w:r>
    </w:p>
    <w:p>
      <w:pPr>
        <w:pStyle w:val="Ednotesection"/>
      </w:pPr>
      <w:r>
        <w:t>[</w:t>
      </w:r>
      <w:r>
        <w:rPr>
          <w:b/>
        </w:rPr>
        <w:t>17A.</w:t>
      </w:r>
      <w:r>
        <w:tab/>
        <w:t>Deleted: No. 73 of 2003 s. 15.]</w:t>
      </w:r>
    </w:p>
    <w:p>
      <w:pPr>
        <w:pStyle w:val="Heading5"/>
        <w:rPr>
          <w:snapToGrid w:val="0"/>
        </w:rPr>
      </w:pPr>
      <w:bookmarkStart w:id="21" w:name="_Toc106096814"/>
      <w:r>
        <w:rPr>
          <w:rStyle w:val="CharSectno"/>
        </w:rPr>
        <w:t>17B</w:t>
      </w:r>
      <w:r>
        <w:rPr>
          <w:snapToGrid w:val="0"/>
        </w:rPr>
        <w:t>.</w:t>
      </w:r>
      <w:r>
        <w:rPr>
          <w:snapToGrid w:val="0"/>
        </w:rPr>
        <w:tab/>
        <w:t>Car market operator, registration as</w:t>
      </w:r>
      <w:bookmarkEnd w:id="21"/>
    </w:p>
    <w:p>
      <w:pPr>
        <w:pStyle w:val="Subsection"/>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his identity; and</w:t>
      </w:r>
    </w:p>
    <w:p>
      <w:pPr>
        <w:pStyle w:val="Indenta"/>
        <w:rPr>
          <w:snapToGrid w:val="0"/>
        </w:rPr>
      </w:pPr>
      <w:r>
        <w:tab/>
        <w:t>(b)</w:t>
      </w:r>
      <w:r>
        <w:tab/>
        <w:t>that he is of or over the age of 18 years.</w:t>
      </w:r>
    </w:p>
    <w:p>
      <w:pPr>
        <w:pStyle w:val="Subsection"/>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w:t>
      </w:r>
      <w:r>
        <w:t>to be registered as a car market operator</w:t>
      </w:r>
      <w:r>
        <w:rPr>
          <w:snapToGrid w:val="0"/>
        </w:rPr>
        <w:t xml:space="preserve"> and pay to the </w:t>
      </w:r>
      <w:r>
        <w:t>Commissioner</w:t>
      </w:r>
      <w:r>
        <w:rPr>
          <w:snapToGrid w:val="0"/>
        </w:rPr>
        <w:t xml:space="preserve"> the prescribed fee therefor shall </w:t>
      </w:r>
      <w:r>
        <w:t>be so registered upon satisfying the Commissioner —</w:t>
      </w:r>
    </w:p>
    <w:p>
      <w:pPr>
        <w:pStyle w:val="Indenta"/>
      </w:pPr>
      <w:r>
        <w:tab/>
        <w:t>(a)</w:t>
      </w:r>
      <w:r>
        <w:tab/>
        <w:t>of their identity; and</w:t>
      </w:r>
    </w:p>
    <w:p>
      <w:pPr>
        <w:pStyle w:val="Indenta"/>
        <w:rPr>
          <w:snapToGrid w:val="0"/>
        </w:rPr>
      </w:pPr>
      <w:r>
        <w:tab/>
        <w:t>(b)</w:t>
      </w:r>
      <w:r>
        <w:tab/>
        <w:t>that each of them is of or over the age of 18 years.</w:t>
      </w:r>
    </w:p>
    <w:p>
      <w:pPr>
        <w:pStyle w:val="Subsection"/>
      </w:pPr>
      <w:r>
        <w:rPr>
          <w:snapToGrid w:val="0"/>
        </w:rPr>
        <w:tab/>
        <w:t>(3)</w:t>
      </w:r>
      <w:r>
        <w:rPr>
          <w:snapToGrid w:val="0"/>
        </w:rPr>
        <w:tab/>
        <w:t xml:space="preserve">Subject to this Act, a body corporate which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the identity of each of the persons concerned in the management or conduct of the body corporate; and</w:t>
      </w:r>
    </w:p>
    <w:p>
      <w:pPr>
        <w:pStyle w:val="Indenta"/>
        <w:rPr>
          <w:snapToGrid w:val="0"/>
        </w:rPr>
      </w:pPr>
      <w:r>
        <w:lastRenderedPageBreak/>
        <w:tab/>
        <w:t>(b)</w:t>
      </w:r>
      <w:r>
        <w:tab/>
        <w:t>that each of those persons is of or over the age of 18 years.</w:t>
      </w:r>
    </w:p>
    <w:p>
      <w:pPr>
        <w:pStyle w:val="Subsection"/>
      </w:pPr>
      <w:r>
        <w:tab/>
        <w:t>(4)</w:t>
      </w:r>
      <w:r>
        <w:tab/>
        <w:t>The Commissioner shall give a certificate of registration to —</w:t>
      </w:r>
    </w:p>
    <w:p>
      <w:pPr>
        <w:pStyle w:val="Indenta"/>
      </w:pPr>
      <w:r>
        <w:tab/>
        <w:t>(a)</w:t>
      </w:r>
      <w:r>
        <w:tab/>
        <w:t>a person; or</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[Section 17B inserted as section 17A: No. 87 of 1981 s. 5; amended: No. 56 of 1995 s. 37; renumbered as section 17B and amended: No. 4 of 2002 s. 10; No. 58 of 2010 s. 50.]</w:t>
      </w:r>
    </w:p>
    <w:p>
      <w:pPr>
        <w:pStyle w:val="Heading5"/>
      </w:pPr>
      <w:bookmarkStart w:id="22" w:name="_Toc106096815"/>
      <w:r>
        <w:rPr>
          <w:rStyle w:val="CharSectno"/>
        </w:rPr>
        <w:t>17C</w:t>
      </w:r>
      <w:r>
        <w:t>.</w:t>
      </w:r>
      <w:r>
        <w:tab/>
        <w:t>Power to refuse registration under s. 17B or renewal of registration</w:t>
      </w:r>
      <w:bookmarkEnd w:id="22"/>
    </w:p>
    <w:p>
      <w:pPr>
        <w:pStyle w:val="Subsection"/>
      </w:pPr>
      <w:r>
        <w:tab/>
        <w:t>(1)</w:t>
      </w:r>
      <w:r>
        <w:tab/>
        <w:t>Despite anything in section 17B, the Commissioner may refuse to register an applicant under that section if the Commissioner is satisfied that a relevant person has done or omitted to do any thing or engaged in any conduct that renders the applicant unfit to be registered.</w:t>
      </w:r>
    </w:p>
    <w:p>
      <w:pPr>
        <w:pStyle w:val="Subsection"/>
      </w:pPr>
      <w:r>
        <w:tab/>
        <w:t>(2)</w:t>
      </w:r>
      <w:r>
        <w:tab/>
        <w:t>Despite anything in section 19(3), the Commissioner may refuse to renew the registration of a car market operator if the Commissioner is satisfied as mentioned in subsection (1).</w:t>
      </w:r>
    </w:p>
    <w:p>
      <w:pPr>
        <w:pStyle w:val="Subsection"/>
      </w:pPr>
      <w:r>
        <w:tab/>
        <w:t>(3)</w:t>
      </w:r>
      <w:r>
        <w:tab/>
        <w:t>Subsections (1) and (2) are permissive only and do not impose a duty on the Commissioner to make enquiries concerning a relevant person.</w:t>
      </w:r>
    </w:p>
    <w:p>
      <w:pPr>
        <w:pStyle w:val="Subsection"/>
      </w:pPr>
      <w:r>
        <w:tab/>
        <w:t>(4)</w:t>
      </w:r>
      <w:r>
        <w:tab/>
        <w:t>In this section —</w:t>
      </w:r>
    </w:p>
    <w:p>
      <w:pPr>
        <w:pStyle w:val="Defstart"/>
      </w:pPr>
      <w:r>
        <w:tab/>
      </w:r>
      <w:r>
        <w:rPr>
          <w:rStyle w:val="CharDefText"/>
        </w:rPr>
        <w:t>relevant person</w:t>
      </w:r>
      <w:r>
        <w:t> —</w:t>
      </w:r>
    </w:p>
    <w:p>
      <w:pPr>
        <w:pStyle w:val="Defpara"/>
      </w:pPr>
      <w:r>
        <w:tab/>
        <w:t>(a)</w:t>
      </w:r>
      <w:r>
        <w:tab/>
        <w:t>means the applicant, where a person, not being a body corporate, has applied under section 17B(1) or 19(3), as the case may be; and</w:t>
      </w:r>
    </w:p>
    <w:p>
      <w:pPr>
        <w:pStyle w:val="Defpara"/>
      </w:pPr>
      <w:r>
        <w:tab/>
        <w:t>(b)</w:t>
      </w:r>
      <w:r>
        <w:tab/>
        <w:t>means any person —</w:t>
      </w:r>
    </w:p>
    <w:p>
      <w:pPr>
        <w:pStyle w:val="Defsubpara"/>
      </w:pPr>
      <w:r>
        <w:tab/>
        <w:t>(i)</w:t>
      </w:r>
      <w:r>
        <w:tab/>
        <w:t>by which the firm is constituted; or</w:t>
      </w:r>
    </w:p>
    <w:p>
      <w:pPr>
        <w:pStyle w:val="Defsubpara"/>
        <w:keepNext/>
      </w:pPr>
      <w:r>
        <w:lastRenderedPageBreak/>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No. 4 of 2002 s. 11; amended: No. 58 of 2010 s. 50.]</w:t>
      </w:r>
    </w:p>
    <w:p>
      <w:pPr>
        <w:pStyle w:val="Heading5"/>
      </w:pPr>
      <w:bookmarkStart w:id="23" w:name="_Toc106096816"/>
      <w:r>
        <w:rPr>
          <w:rStyle w:val="CharSectno"/>
        </w:rPr>
        <w:t>17D</w:t>
      </w:r>
      <w:r>
        <w:t>.</w:t>
      </w:r>
      <w:r>
        <w:tab/>
        <w:t>Person cannot be both registered car market operator and licensee</w:t>
      </w:r>
      <w:bookmarkEnd w:id="23"/>
    </w:p>
    <w:p>
      <w:pPr>
        <w:pStyle w:val="Subsection"/>
      </w:pPr>
      <w:r>
        <w:tab/>
        <w:t>(1)</w:t>
      </w:r>
      <w:r>
        <w:tab/>
        <w:t>Registration of a person as a car market operator automatically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No. 4 of 2002 s. 11.]</w:t>
      </w:r>
    </w:p>
    <w:p>
      <w:pPr>
        <w:pStyle w:val="Heading5"/>
      </w:pPr>
      <w:bookmarkStart w:id="24" w:name="_Toc106096817"/>
      <w:r>
        <w:rPr>
          <w:rStyle w:val="CharSectno"/>
        </w:rPr>
        <w:t>18</w:t>
      </w:r>
      <w:r>
        <w:rPr>
          <w:snapToGrid w:val="0"/>
        </w:rPr>
        <w:t>.</w:t>
      </w:r>
      <w:r>
        <w:rPr>
          <w:snapToGrid w:val="0"/>
        </w:rPr>
        <w:tab/>
      </w:r>
      <w:r>
        <w:t>Grounds for refusing to grant or renew authorisation</w:t>
      </w:r>
      <w:bookmarkEnd w:id="24"/>
    </w:p>
    <w:p>
      <w:pPr>
        <w:pStyle w:val="Subsection"/>
      </w:pPr>
      <w:r>
        <w:tab/>
        <w:t>(1)</w:t>
      </w:r>
      <w:r>
        <w:tab/>
        <w:t>The Commissioner may refuse an application by a person, or persons constituting a firm, for the grant or renewal of an authorisation, if, in the opinion of the Commissioner, there is any ground on which an allegation could be made under section 20(1) —</w:t>
      </w:r>
    </w:p>
    <w:p>
      <w:pPr>
        <w:pStyle w:val="Indenta"/>
      </w:pPr>
      <w:r>
        <w:tab/>
        <w:t>(a)</w:t>
      </w:r>
      <w:r>
        <w:tab/>
        <w:t>in respect of the person or persons; or</w:t>
      </w:r>
    </w:p>
    <w:p>
      <w:pPr>
        <w:pStyle w:val="Indenta"/>
      </w:pPr>
      <w:r>
        <w:lastRenderedPageBreak/>
        <w:tab/>
        <w:t>(b)</w:t>
      </w:r>
      <w:r>
        <w:tab/>
        <w:t>in respect of a person concerned in the management or conduct of a body corporate that is the applicant or one of the applicants.</w:t>
      </w:r>
    </w:p>
    <w:p>
      <w:pPr>
        <w:pStyle w:val="Subsection"/>
      </w:pPr>
      <w:r>
        <w:tab/>
        <w:t>(1A)</w:t>
      </w:r>
      <w:r>
        <w:tab/>
        <w:t>If the Commissioner is considering making an adverse decision in relation to the application, the Commissioner must give the applicant the opportunity to give additional information in relation to that application.</w:t>
      </w:r>
    </w:p>
    <w:p>
      <w:pPr>
        <w:pStyle w:val="Ednotesubsection"/>
      </w:pPr>
      <w:r>
        <w:t xml:space="preserve"> [(1a), (1b)</w:t>
      </w:r>
      <w:r>
        <w:tab/>
        <w:t>deleted]</w:t>
      </w:r>
    </w:p>
    <w:p>
      <w:pPr>
        <w:pStyle w:val="Subsection"/>
      </w:pPr>
      <w:r>
        <w:tab/>
        <w:t>(1c)</w:t>
      </w:r>
      <w:r>
        <w:tab/>
        <w:t>Subsection (1) is in addition to the other powers that the Commissioner has to refuse an application.</w:t>
      </w:r>
    </w:p>
    <w:p>
      <w:pPr>
        <w:pStyle w:val="Ednotesubsection"/>
        <w:spacing w:before="120"/>
      </w:pPr>
      <w:r>
        <w:tab/>
        <w:t>[(2)</w:t>
      </w:r>
      <w:r>
        <w:tab/>
        <w:t>deleted]</w:t>
      </w:r>
    </w:p>
    <w:p>
      <w:pPr>
        <w:pStyle w:val="Footnotesection"/>
      </w:pPr>
      <w:r>
        <w:tab/>
        <w:t>[Section 18 amended: No. 49 of 1979 s. 7; No. 87 of 1981 s. 6; No. 4 of 2002 s. 12; No. 55 of 2004 s. 767; No. 58 of 2010 s. 42 and 50.]</w:t>
      </w:r>
    </w:p>
    <w:p>
      <w:pPr>
        <w:pStyle w:val="Heading5"/>
      </w:pPr>
      <w:bookmarkStart w:id="25" w:name="_Toc106096818"/>
      <w:r>
        <w:rPr>
          <w:rStyle w:val="CharSectno"/>
        </w:rPr>
        <w:t>18A</w:t>
      </w:r>
      <w:r>
        <w:t>.</w:t>
      </w:r>
      <w:r>
        <w:tab/>
        <w:t>Conditions etc. on licences</w:t>
      </w:r>
      <w:bookmarkEnd w:id="25"/>
    </w:p>
    <w:p>
      <w:pPr>
        <w:pStyle w:val="Subsection"/>
      </w:pPr>
      <w:r>
        <w:tab/>
        <w:t>(1)</w:t>
      </w:r>
      <w:r>
        <w:tab/>
        <w:t>The Commissioner may, when granting a licence, attach any condition or restriction to the licence.</w:t>
      </w:r>
    </w:p>
    <w:p>
      <w:pPr>
        <w:pStyle w:val="Subsection"/>
      </w:pPr>
      <w:r>
        <w:tab/>
        <w:t>(2)</w:t>
      </w:r>
      <w:r>
        <w:tab/>
        <w:t>The Commissioner may at any time decide that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Commissioner.</w:t>
      </w:r>
    </w:p>
    <w:p>
      <w:pPr>
        <w:pStyle w:val="Subsection"/>
      </w:pPr>
      <w:r>
        <w:tab/>
        <w:t>(4)</w:t>
      </w:r>
      <w:r>
        <w:tab/>
        <w:t>The day so determined cannot be before the Commissioner has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lastRenderedPageBreak/>
        <w:tab/>
        <w:t>(5)</w:t>
      </w:r>
      <w:r>
        <w:tab/>
        <w:t>The Commissioner may determine that subsection (4) does not apply in the case of a decision to remove a condition or restriction.</w:t>
      </w:r>
    </w:p>
    <w:p>
      <w:pPr>
        <w:pStyle w:val="Footnotesection"/>
      </w:pPr>
      <w:r>
        <w:tab/>
        <w:t>[Section 18A inserted: No. 4 of 2002 s. 13; amended: No. 55 of 2004 s. 768; No. 58 of 2010 s. 50.]</w:t>
      </w:r>
    </w:p>
    <w:p>
      <w:pPr>
        <w:pStyle w:val="Heading5"/>
        <w:rPr>
          <w:snapToGrid w:val="0"/>
        </w:rPr>
      </w:pPr>
      <w:bookmarkStart w:id="26" w:name="_Toc106096819"/>
      <w:r>
        <w:rPr>
          <w:rStyle w:val="CharSectno"/>
        </w:rPr>
        <w:t>19</w:t>
      </w:r>
      <w:r>
        <w:rPr>
          <w:snapToGrid w:val="0"/>
        </w:rPr>
        <w:t>.</w:t>
      </w:r>
      <w:r>
        <w:rPr>
          <w:snapToGrid w:val="0"/>
        </w:rPr>
        <w:tab/>
        <w:t>Duration and renewal of authorisations</w:t>
      </w:r>
      <w:bookmarkEnd w:id="26"/>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 xml:space="preserve">When the </w:t>
      </w:r>
      <w:r>
        <w:t>Commissioner</w:t>
      </w:r>
      <w:r>
        <w:rPr>
          <w:snapToGrid w:val="0"/>
        </w:rPr>
        <w:t xml:space="preserve">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w:t>
      </w:r>
      <w:r>
        <w:t>Commissioner</w:t>
      </w:r>
      <w:r>
        <w:rPr>
          <w:snapToGrid w:val="0"/>
        </w:rPr>
        <w:t xml:space="preserve">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w:t>
      </w:r>
      <w:r>
        <w:t>Commissioner</w:t>
      </w:r>
      <w:r>
        <w:rPr>
          <w:snapToGrid w:val="0"/>
        </w:rPr>
        <w:t xml:space="preserve"> for the renewal of that authorisation, pays the appropriate prescribed fee and, in the case of an expired authorisation, pays any amount prescribed by way of penalty for a late application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 xml:space="preserve">the </w:t>
      </w:r>
      <w:r>
        <w:t>Commissioner</w:t>
      </w:r>
      <w:r>
        <w:rPr>
          <w:snapToGrid w:val="0"/>
        </w:rPr>
        <w:t xml:space="preserve">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w:t>
      </w:r>
      <w:r>
        <w:t>Commissioner</w:t>
      </w:r>
      <w:r>
        <w:rPr>
          <w:snapToGrid w:val="0"/>
        </w:rPr>
        <w:t xml:space="preserve"> shall not renew </w:t>
      </w:r>
      <w:r>
        <w:t xml:space="preserve">an </w:t>
      </w:r>
      <w:r>
        <w:lastRenderedPageBreak/>
        <w:t>authorisation</w:t>
      </w:r>
      <w:r>
        <w:rPr>
          <w:snapToGrid w:val="0"/>
        </w:rPr>
        <w:t xml:space="preserve"> unless the applicant satisfies the requirements of section 15, 16, 17 or 17B, as the case requires.</w:t>
      </w:r>
    </w:p>
    <w:p>
      <w:pPr>
        <w:pStyle w:val="Subsection"/>
        <w:spacing w:before="140"/>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w:t>
      </w:r>
    </w:p>
    <w:p>
      <w:pPr>
        <w:pStyle w:val="Indenta"/>
        <w:spacing w:before="60"/>
        <w:rPr>
          <w:snapToGrid w:val="0"/>
        </w:rPr>
      </w:pPr>
      <w:r>
        <w:rPr>
          <w:snapToGrid w:val="0"/>
        </w:rPr>
        <w:tab/>
        <w:t>(a)</w:t>
      </w:r>
      <w:r>
        <w:rPr>
          <w:snapToGrid w:val="0"/>
        </w:rPr>
        <w:tab/>
        <w:t>upon the expiration thereof or, if it has been renewed, upon the expiration of the period for which it has been renewed; and</w:t>
      </w:r>
    </w:p>
    <w:p>
      <w:pPr>
        <w:pStyle w:val="Indenta"/>
        <w:spacing w:before="60"/>
        <w:rPr>
          <w:snapToGrid w:val="0"/>
        </w:rPr>
      </w:pPr>
      <w:r>
        <w:rPr>
          <w:snapToGrid w:val="0"/>
        </w:rPr>
        <w:tab/>
        <w:t>(aa)</w:t>
      </w:r>
      <w:r>
        <w:rPr>
          <w:snapToGrid w:val="0"/>
        </w:rPr>
        <w:tab/>
        <w:t>if it is surrendered under section 19A; and</w:t>
      </w:r>
    </w:p>
    <w:p>
      <w:pPr>
        <w:pStyle w:val="Indenta"/>
        <w:spacing w:before="60"/>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spacing w:before="140"/>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spacing w:before="100"/>
        <w:ind w:left="890" w:hanging="890"/>
      </w:pPr>
      <w:r>
        <w:tab/>
        <w:t>[Section 19 amended: No. 74 of 1975 s. 6; No. 87 of 1981 s. 7; No. 56 of 1995 s. 34; No. 10 of 1998 s. 53(1); No. 4 of 2002 s. 14; No. 8 of 2009 s. 94(2); No. 58 of 2010 s. 50.]</w:t>
      </w:r>
    </w:p>
    <w:p>
      <w:pPr>
        <w:pStyle w:val="Heading5"/>
        <w:spacing w:before="200"/>
      </w:pPr>
      <w:bookmarkStart w:id="27" w:name="_Toc106096820"/>
      <w:r>
        <w:rPr>
          <w:rStyle w:val="CharSectno"/>
        </w:rPr>
        <w:t>19A</w:t>
      </w:r>
      <w:r>
        <w:t>.</w:t>
      </w:r>
      <w:r>
        <w:tab/>
        <w:t>Surrender of authorisation</w:t>
      </w:r>
      <w:bookmarkEnd w:id="27"/>
    </w:p>
    <w:p>
      <w:pPr>
        <w:pStyle w:val="Subsection"/>
        <w:spacing w:before="130"/>
      </w:pPr>
      <w:r>
        <w:tab/>
        <w:t>(1)</w:t>
      </w:r>
      <w:r>
        <w:tab/>
        <w:t>The holder of an authorisation may, by notice in writing given to the Commissioner and accompanied by the relevant authorisation, surrender that authorisation.</w:t>
      </w:r>
    </w:p>
    <w:p>
      <w:pPr>
        <w:pStyle w:val="Subsection"/>
        <w:spacing w:before="130"/>
      </w:pPr>
      <w:r>
        <w:tab/>
        <w:t>(2)</w:t>
      </w:r>
      <w:r>
        <w:tab/>
        <w:t>If an authorisation is surrendered, the Commissioner shall refund to the former holder of the authorisation so much of the fee last paid for the authorisation as the Commissioner, on application by the former holder of the authorisation, specifies as appropriate to be refunded.</w:t>
      </w:r>
    </w:p>
    <w:p>
      <w:pPr>
        <w:pStyle w:val="Subsection"/>
        <w:spacing w:before="130"/>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spacing w:before="100"/>
        <w:ind w:left="890" w:hanging="890"/>
      </w:pPr>
      <w:r>
        <w:tab/>
        <w:t>[Section 19A inserted: No. 10 of 1998 s. 53(2); amended: No. 4 of 2002 s. 15; No. 55 of 2004 s. 769; No. 58 of 2010 s. 50.]</w:t>
      </w:r>
    </w:p>
    <w:p>
      <w:pPr>
        <w:pStyle w:val="Heading5"/>
      </w:pPr>
      <w:bookmarkStart w:id="28" w:name="_Toc106096821"/>
      <w:r>
        <w:rPr>
          <w:rStyle w:val="CharSectno"/>
        </w:rPr>
        <w:lastRenderedPageBreak/>
        <w:t>20</w:t>
      </w:r>
      <w:r>
        <w:t>.</w:t>
      </w:r>
      <w:r>
        <w:tab/>
        <w:t>Allegations Commissioner may make to SAT</w:t>
      </w:r>
      <w:bookmarkEnd w:id="28"/>
    </w:p>
    <w:p>
      <w:pPr>
        <w:pStyle w:val="Subsection"/>
      </w:pPr>
      <w:r>
        <w:tab/>
        <w:t>(1)</w:t>
      </w:r>
      <w:r>
        <w:tab/>
        <w:t>The Commissioner may allege to the State Administrative Tribunal that a person —</w:t>
      </w:r>
    </w:p>
    <w:p>
      <w:pPr>
        <w:pStyle w:val="Indenta"/>
      </w:pPr>
      <w:r>
        <w:tab/>
        <w:t>(a)</w:t>
      </w:r>
      <w:r>
        <w:tab/>
        <w:t>has contravened or failed to comply with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has done or omitted to do any thing, or engaged in any conduct, that renders the person unfit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The Commissioner may allege to the State Administrative Tribunal that a person, or the persons constituting a firm, should be disqualified from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on the grounds that the person or persons has or have —</w:t>
      </w:r>
    </w:p>
    <w:p>
      <w:pPr>
        <w:pStyle w:val="Indenta"/>
      </w:pPr>
      <w:r>
        <w:tab/>
        <w:t>(c)</w:t>
      </w:r>
      <w:r>
        <w:tab/>
        <w:t>insufficient material and financial resources to enable the person or the firm, as the case may be, to comply with the requirements of this Act so far as those requirements are relevant to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lastRenderedPageBreak/>
        <w:tab/>
        <w:t>(3)</w:t>
      </w:r>
      <w:r>
        <w:tab/>
        <w:t>The Commissioner may allege to the State Administrative Tribunal that an authorisation of premises under section 20E or 21A should be revoked on the grounds that the premises do not comply with all relevant requirements of written laws relating to planning that apply in respect of the premises.</w:t>
      </w:r>
    </w:p>
    <w:p>
      <w:pPr>
        <w:pStyle w:val="Footnotesection"/>
      </w:pPr>
      <w:r>
        <w:tab/>
        <w:t>[Section 20 inserted: No. 4 of 2002 s. 16; amended: No. 55 of 2004 s. 770; No. 58 of 2010 s. 50; No. 23 of 2014 s. 27.]</w:t>
      </w:r>
    </w:p>
    <w:p>
      <w:pPr>
        <w:pStyle w:val="Heading5"/>
      </w:pPr>
      <w:bookmarkStart w:id="29" w:name="_Toc106096822"/>
      <w:r>
        <w:rPr>
          <w:rStyle w:val="CharSectno"/>
        </w:rPr>
        <w:t>20A</w:t>
      </w:r>
      <w:r>
        <w:t>.</w:t>
      </w:r>
      <w:r>
        <w:tab/>
        <w:t>Orders SAT may make on s. 20(1) allegation</w:t>
      </w:r>
      <w:bookmarkEnd w:id="29"/>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Subject to section 20B, an order may be made that a person pay a penalty not exceeding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An order may be made —</w:t>
      </w:r>
    </w:p>
    <w:p>
      <w:pPr>
        <w:pStyle w:val="Indenta"/>
      </w:pPr>
      <w:r>
        <w:tab/>
        <w:t>(a)</w:t>
      </w:r>
      <w:r>
        <w:tab/>
        <w:t>attaching conditions or restrictions to an authorisation; or</w:t>
      </w:r>
    </w:p>
    <w:p>
      <w:pPr>
        <w:pStyle w:val="Indenta"/>
      </w:pPr>
      <w:r>
        <w:lastRenderedPageBreak/>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An order under subsection (2) or (3) may be made to have effect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No. 4 of 2002 s. 16; amended: No. 55 of 2004 s. 771.]</w:t>
      </w:r>
    </w:p>
    <w:p>
      <w:pPr>
        <w:pStyle w:val="Heading5"/>
      </w:pPr>
      <w:bookmarkStart w:id="30" w:name="_Toc106096823"/>
      <w:r>
        <w:rPr>
          <w:rStyle w:val="CharSectno"/>
        </w:rPr>
        <w:t>20B</w:t>
      </w:r>
      <w:r>
        <w:t>.</w:t>
      </w:r>
      <w:r>
        <w:tab/>
        <w:t>Limitations on s. 20A(4) powers</w:t>
      </w:r>
      <w:bookmarkEnd w:id="30"/>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In subsection (2)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No. 4 of 2002 s. 16.]</w:t>
      </w:r>
    </w:p>
    <w:p>
      <w:pPr>
        <w:pStyle w:val="Heading5"/>
        <w:spacing w:before="180"/>
      </w:pPr>
      <w:bookmarkStart w:id="31" w:name="_Toc106096824"/>
      <w:r>
        <w:rPr>
          <w:rStyle w:val="CharSectno"/>
        </w:rPr>
        <w:t>20BA</w:t>
      </w:r>
      <w:r>
        <w:t>.</w:t>
      </w:r>
      <w:r>
        <w:tab/>
        <w:t>Orders SAT may make on s. 20(2) or (3) allegation</w:t>
      </w:r>
      <w:bookmarkEnd w:id="31"/>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No. 55 of 2004 s. 772.]</w:t>
      </w:r>
    </w:p>
    <w:p>
      <w:pPr>
        <w:pStyle w:val="Heading5"/>
      </w:pPr>
      <w:bookmarkStart w:id="32" w:name="_Toc106096825"/>
      <w:r>
        <w:rPr>
          <w:rStyle w:val="CharSectno"/>
        </w:rPr>
        <w:lastRenderedPageBreak/>
        <w:t>20C</w:t>
      </w:r>
      <w:r>
        <w:t>.</w:t>
      </w:r>
      <w:r>
        <w:tab/>
        <w:t>SAT may suspend authorisation in some cases</w:t>
      </w:r>
      <w:bookmarkEnd w:id="32"/>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No. 55 of 2004 s. 772.]</w:t>
      </w:r>
    </w:p>
    <w:p>
      <w:pPr>
        <w:pStyle w:val="Heading5"/>
      </w:pPr>
      <w:bookmarkStart w:id="33" w:name="_Toc106096826"/>
      <w:r>
        <w:rPr>
          <w:rStyle w:val="CharSectno"/>
        </w:rPr>
        <w:t>20D</w:t>
      </w:r>
      <w:r>
        <w:t>.</w:t>
      </w:r>
      <w:r>
        <w:tab/>
        <w:t>Disqualified persons, offences as to</w:t>
      </w:r>
      <w:bookmarkEnd w:id="33"/>
    </w:p>
    <w:p>
      <w:pPr>
        <w:pStyle w:val="Ednotesubsection"/>
      </w:pPr>
      <w:r>
        <w:tab/>
        <w:t>[(1)</w:t>
      </w:r>
      <w:r>
        <w:tab/>
        <w:t>deleted]</w:t>
      </w:r>
    </w:p>
    <w:p>
      <w:pPr>
        <w:pStyle w:val="Subsection"/>
      </w:pPr>
      <w:r>
        <w:tab/>
        <w:t>(2)</w:t>
      </w:r>
      <w:r>
        <w:tab/>
        <w:t>A dealer or a car market operator shall not, during the period when a person is disqualified under an order described in section 20A(2) or (3)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Commissioner.</w:t>
      </w:r>
    </w:p>
    <w:p>
      <w:pPr>
        <w:pStyle w:val="Penstart"/>
      </w:pPr>
      <w:r>
        <w:tab/>
        <w:t>Penalty: $5 000.</w:t>
      </w:r>
    </w:p>
    <w:p>
      <w:pPr>
        <w:pStyle w:val="Footnotesection"/>
        <w:spacing w:before="60"/>
        <w:ind w:left="890" w:hanging="890"/>
      </w:pPr>
      <w:r>
        <w:tab/>
        <w:t>[Section 20D inserted: No. 4 of 2002 s. 16; amended: No. 55 of 2004 s. 773; No. 58 of 2010 s. 50.]</w:t>
      </w:r>
    </w:p>
    <w:p>
      <w:pPr>
        <w:pStyle w:val="Heading5"/>
      </w:pPr>
      <w:bookmarkStart w:id="34" w:name="_Toc106096827"/>
      <w:r>
        <w:rPr>
          <w:rStyle w:val="CharSectno"/>
        </w:rPr>
        <w:t>20E</w:t>
      </w:r>
      <w:r>
        <w:t>.</w:t>
      </w:r>
      <w:r>
        <w:tab/>
        <w:t>Dealer’s licence, applications for to specify premises etc.</w:t>
      </w:r>
      <w:bookmarkEnd w:id="34"/>
    </w:p>
    <w:p>
      <w:pPr>
        <w:pStyle w:val="Subsection"/>
      </w:pPr>
      <w:r>
        <w:tab/>
        <w:t>(1)</w:t>
      </w:r>
      <w:r>
        <w:tab/>
        <w:t>An application for a dealer’s licence must specify each of the premises at which the applicant proposes to carry on business under the authority of the licence.</w:t>
      </w:r>
    </w:p>
    <w:p>
      <w:pPr>
        <w:pStyle w:val="Ednotesubsection"/>
      </w:pPr>
      <w:r>
        <w:tab/>
        <w:t>[(2)</w:t>
      </w:r>
      <w:r>
        <w:tab/>
        <w:t>deleted]</w:t>
      </w:r>
    </w:p>
    <w:p>
      <w:pPr>
        <w:pStyle w:val="Subsection"/>
      </w:pPr>
      <w:r>
        <w:lastRenderedPageBreak/>
        <w:tab/>
        <w:t>(3)</w:t>
      </w:r>
      <w:r>
        <w:tab/>
        <w:t>If an application complies with subsection (1) in relation to any premises, the Commissioner, if the Commissioner grants the application, shall authorise the holder of the licence to carry on business at the premises under the authority of the licence.</w:t>
      </w:r>
    </w:p>
    <w:p>
      <w:pPr>
        <w:pStyle w:val="Ednotesubsection"/>
      </w:pPr>
      <w:r>
        <w:tab/>
        <w:t>[(4)</w:t>
      </w:r>
      <w:r>
        <w:tab/>
        <w:t>deleted]</w:t>
      </w:r>
    </w:p>
    <w:p>
      <w:pPr>
        <w:pStyle w:val="Subsection"/>
      </w:pPr>
      <w:r>
        <w:tab/>
        <w:t>(5)</w:t>
      </w:r>
      <w:r>
        <w:tab/>
        <w:t>A dealer’s licence shall include particulars of all premises authorised under this section.</w:t>
      </w:r>
    </w:p>
    <w:p>
      <w:pPr>
        <w:pStyle w:val="Footnotesection"/>
      </w:pPr>
      <w:r>
        <w:tab/>
        <w:t>[Section 20E inserted: No. 4 of 2002 s. 16; amended: No. 38 of 2005 s. 15; No. 58 of 2010 s. 50; No. 23 of 2014 s. 28.]</w:t>
      </w:r>
    </w:p>
    <w:p>
      <w:pPr>
        <w:pStyle w:val="Heading5"/>
      </w:pPr>
      <w:bookmarkStart w:id="35" w:name="_Toc106096828"/>
      <w:r>
        <w:rPr>
          <w:rStyle w:val="CharSectno"/>
        </w:rPr>
        <w:t>20FA</w:t>
      </w:r>
      <w:r>
        <w:t>.</w:t>
      </w:r>
      <w:r>
        <w:tab/>
        <w:t>Authorisation of premises does not affect planning laws</w:t>
      </w:r>
      <w:bookmarkEnd w:id="35"/>
    </w:p>
    <w:p>
      <w:pPr>
        <w:pStyle w:val="Subsection"/>
      </w:pPr>
      <w:r>
        <w:tab/>
      </w:r>
      <w:r>
        <w:tab/>
        <w:t>An authorisation given by the Commissioner under section 20E in respect of any premises does not affect any relevant requirements of written laws relating to planning that apply to those premises.</w:t>
      </w:r>
    </w:p>
    <w:p>
      <w:pPr>
        <w:pStyle w:val="Footnotesection"/>
      </w:pPr>
      <w:r>
        <w:tab/>
        <w:t>[Section 20FA inserted: No. 23 of 2014 s. 29.]</w:t>
      </w:r>
    </w:p>
    <w:p>
      <w:pPr>
        <w:pStyle w:val="Heading5"/>
      </w:pPr>
      <w:bookmarkStart w:id="36" w:name="_Toc106096829"/>
      <w:r>
        <w:rPr>
          <w:rStyle w:val="CharSectno"/>
        </w:rPr>
        <w:t>20F</w:t>
      </w:r>
      <w:r>
        <w:t>.</w:t>
      </w:r>
      <w:r>
        <w:tab/>
        <w:t>Changes in authorised premises</w:t>
      </w:r>
      <w:bookmarkEnd w:id="36"/>
    </w:p>
    <w:p>
      <w:pPr>
        <w:pStyle w:val="Subsection"/>
      </w:pPr>
      <w:r>
        <w:tab/>
      </w:r>
      <w:r>
        <w:tab/>
        <w:t xml:space="preserve">The Commissioner may at any time approve an alteration or addition to the particulars referred to in section 20E(5) on — </w:t>
      </w:r>
    </w:p>
    <w:p>
      <w:pPr>
        <w:pStyle w:val="Indenta"/>
      </w:pPr>
      <w:r>
        <w:tab/>
        <w:t>(a)</w:t>
      </w:r>
      <w:r>
        <w:tab/>
        <w:t>the application of the holder of a licence; and</w:t>
      </w:r>
    </w:p>
    <w:p>
      <w:pPr>
        <w:pStyle w:val="Indenta"/>
      </w:pPr>
      <w:r>
        <w:tab/>
        <w:t>(b)</w:t>
      </w:r>
      <w:r>
        <w:tab/>
        <w:t>payment of the prescribed fee.</w:t>
      </w:r>
    </w:p>
    <w:p>
      <w:pPr>
        <w:pStyle w:val="Footnotesection"/>
      </w:pPr>
      <w:r>
        <w:tab/>
        <w:t>[Section 20F inserted: No. 23 of 2014 s. 30.]</w:t>
      </w:r>
    </w:p>
    <w:p>
      <w:pPr>
        <w:pStyle w:val="Heading5"/>
      </w:pPr>
      <w:bookmarkStart w:id="37" w:name="_Toc106096830"/>
      <w:r>
        <w:rPr>
          <w:rStyle w:val="CharSectno"/>
        </w:rPr>
        <w:t>20G</w:t>
      </w:r>
      <w:r>
        <w:t>.</w:t>
      </w:r>
      <w:r>
        <w:tab/>
        <w:t>Certificate for dealer’s authorised premises, issue and display of</w:t>
      </w:r>
      <w:bookmarkEnd w:id="37"/>
    </w:p>
    <w:p>
      <w:pPr>
        <w:pStyle w:val="Subsection"/>
      </w:pPr>
      <w:r>
        <w:tab/>
        <w:t>(1)</w:t>
      </w:r>
      <w:r>
        <w:tab/>
        <w:t>The Commissioner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lastRenderedPageBreak/>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No. 4 of 2002 s. 16; amended: No. 58 of 2010 s. 50.]</w:t>
      </w:r>
    </w:p>
    <w:p>
      <w:pPr>
        <w:pStyle w:val="Heading5"/>
      </w:pPr>
      <w:bookmarkStart w:id="38" w:name="_Toc106096831"/>
      <w:r>
        <w:rPr>
          <w:rStyle w:val="CharSectno"/>
        </w:rPr>
        <w:t>20H</w:t>
      </w:r>
      <w:r>
        <w:t>.</w:t>
      </w:r>
      <w:r>
        <w:tab/>
        <w:t>Special occasions, permits for</w:t>
      </w:r>
      <w:bookmarkEnd w:id="38"/>
    </w:p>
    <w:p>
      <w:pPr>
        <w:pStyle w:val="Subsection"/>
      </w:pPr>
      <w:r>
        <w:tab/>
        <w:t>(1)</w:t>
      </w:r>
      <w:r>
        <w:tab/>
        <w:t>This section applies where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Commissioner in writing for a temporary permit to carry on business as mentioned in subsection (1)(b).</w:t>
      </w:r>
    </w:p>
    <w:p>
      <w:pPr>
        <w:pStyle w:val="Subsection"/>
        <w:spacing w:before="200"/>
      </w:pPr>
      <w:r>
        <w:tab/>
        <w:t>(3)</w:t>
      </w:r>
      <w:r>
        <w:tab/>
        <w:t>If such an application is made, and the prescribed fee is paid, the Commissioner may grant to the dealer a temporary permit to carry on business —</w:t>
      </w:r>
    </w:p>
    <w:p>
      <w:pPr>
        <w:pStyle w:val="Indenta"/>
      </w:pPr>
      <w:r>
        <w:tab/>
        <w:t>(a)</w:t>
      </w:r>
      <w:r>
        <w:tab/>
        <w:t>at the premises; and</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Commissioner may, by notice in writing to the holder of a temporary permit, revoke the permit if the Commissioner considers that there is justification for doing so.</w:t>
      </w:r>
    </w:p>
    <w:p>
      <w:pPr>
        <w:pStyle w:val="Subsection"/>
        <w:spacing w:before="200"/>
      </w:pPr>
      <w:r>
        <w:tab/>
        <w:t>(5)</w:t>
      </w:r>
      <w:r>
        <w:tab/>
        <w:t>The Commissioner shall retain a copy of each temporary permit issued and the copy is taken to form part of the register.</w:t>
      </w:r>
    </w:p>
    <w:p>
      <w:pPr>
        <w:pStyle w:val="Footnotesection"/>
      </w:pPr>
      <w:r>
        <w:tab/>
        <w:t>[Section 20H inserted: No. 4 of 2002 s. 16; amended: No. 58 of 2010 s. 50.]</w:t>
      </w:r>
    </w:p>
    <w:p>
      <w:pPr>
        <w:pStyle w:val="Ednotesection"/>
      </w:pPr>
      <w:r>
        <w:lastRenderedPageBreak/>
        <w:t>[</w:t>
      </w:r>
      <w:r>
        <w:rPr>
          <w:b/>
        </w:rPr>
        <w:t>21.</w:t>
      </w:r>
      <w:r>
        <w:tab/>
        <w:t>Former section 21 deleted: No. 4 of 2002 s. 16.]</w:t>
      </w:r>
    </w:p>
    <w:p>
      <w:pPr>
        <w:pStyle w:val="Heading5"/>
        <w:rPr>
          <w:snapToGrid w:val="0"/>
        </w:rPr>
      </w:pPr>
      <w:bookmarkStart w:id="39" w:name="_Toc106096832"/>
      <w:r>
        <w:rPr>
          <w:rStyle w:val="CharSectno"/>
        </w:rPr>
        <w:t>21</w:t>
      </w:r>
      <w:r>
        <w:rPr>
          <w:snapToGrid w:val="0"/>
        </w:rPr>
        <w:t>.</w:t>
      </w:r>
      <w:r>
        <w:rPr>
          <w:snapToGrid w:val="0"/>
        </w:rPr>
        <w:tab/>
        <w:t>Dealer’s premises and advertisements to show name and number</w:t>
      </w:r>
      <w:bookmarkEnd w:id="39"/>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[Section 21 inserted as section 21A: No. 74 of 1975 s. 9; renumbered as section 21: No. 4 of 2002 s. 17 and amended: No. 4 of 2002 s. 34.]</w:t>
      </w:r>
    </w:p>
    <w:p>
      <w:pPr>
        <w:pStyle w:val="Heading5"/>
      </w:pPr>
      <w:bookmarkStart w:id="40" w:name="_Toc106096833"/>
      <w:r>
        <w:rPr>
          <w:rStyle w:val="CharSectno"/>
        </w:rPr>
        <w:t>21A</w:t>
      </w:r>
      <w:r>
        <w:t>.</w:t>
      </w:r>
      <w:r>
        <w:tab/>
        <w:t>Car market operator registration, application for to specify premises etc.</w:t>
      </w:r>
      <w:bookmarkEnd w:id="40"/>
    </w:p>
    <w:p>
      <w:pPr>
        <w:pStyle w:val="Subsection"/>
      </w:pPr>
      <w:r>
        <w:tab/>
        <w:t>(1)</w:t>
      </w:r>
      <w:r>
        <w:tab/>
        <w:t>An application for registration under section 17B as a car market operator must specify each of the premises the applicant proposes to provide for a car market under the authority of the registration.</w:t>
      </w:r>
    </w:p>
    <w:p>
      <w:pPr>
        <w:pStyle w:val="Ednotesubsection"/>
      </w:pPr>
      <w:r>
        <w:tab/>
        <w:t>[(2)</w:t>
      </w:r>
      <w:r>
        <w:tab/>
        <w:t>deleted]</w:t>
      </w:r>
    </w:p>
    <w:p>
      <w:pPr>
        <w:pStyle w:val="Subsection"/>
      </w:pPr>
      <w:r>
        <w:tab/>
        <w:t>(3)</w:t>
      </w:r>
      <w:r>
        <w:tab/>
        <w:t>If an application complies with subsection (1) in relation to any premises, the Commissioner, if the Commissioner grants the application, shall authorise the car market operator to provide the premises for a car market under the authority of the registration.</w:t>
      </w:r>
    </w:p>
    <w:p>
      <w:pPr>
        <w:pStyle w:val="Ednotesubsection"/>
      </w:pPr>
      <w:r>
        <w:tab/>
        <w:t>[(4)</w:t>
      </w:r>
      <w:r>
        <w:tab/>
        <w:t>deleted]</w:t>
      </w:r>
    </w:p>
    <w:p>
      <w:pPr>
        <w:pStyle w:val="Subsection"/>
      </w:pPr>
      <w:r>
        <w:tab/>
        <w:t>(5)</w:t>
      </w:r>
      <w:r>
        <w:tab/>
        <w:t>The registration of a person as a car market operator shall include particulars of all premises for which an authorisation is in force under this section.</w:t>
      </w:r>
    </w:p>
    <w:p>
      <w:pPr>
        <w:pStyle w:val="Footnotesection"/>
      </w:pPr>
      <w:r>
        <w:lastRenderedPageBreak/>
        <w:tab/>
        <w:t>[Section 21A inserted: No. 4 of 2002 s. 18; amended: No. 38 of 2005 s. 15; No. 58 of 2010 s. 50; No. 23 of 2014 s. 31.]</w:t>
      </w:r>
    </w:p>
    <w:p>
      <w:pPr>
        <w:pStyle w:val="Heading5"/>
      </w:pPr>
      <w:bookmarkStart w:id="41" w:name="_Toc106096834"/>
      <w:r>
        <w:rPr>
          <w:rStyle w:val="CharSectno"/>
        </w:rPr>
        <w:t>21BA</w:t>
      </w:r>
      <w:r>
        <w:t>.</w:t>
      </w:r>
      <w:r>
        <w:tab/>
        <w:t>Authorisation of premises does not affect planning laws</w:t>
      </w:r>
      <w:bookmarkEnd w:id="41"/>
    </w:p>
    <w:p>
      <w:pPr>
        <w:pStyle w:val="Subsection"/>
      </w:pPr>
      <w:r>
        <w:tab/>
      </w:r>
      <w:r>
        <w:tab/>
        <w:t>An authorisation given by the Commissioner under section 21A in respect of any premises does not affect any relevant requirements of written laws relating to planning that apply to those premises.</w:t>
      </w:r>
    </w:p>
    <w:p>
      <w:pPr>
        <w:pStyle w:val="Footnotesection"/>
      </w:pPr>
      <w:r>
        <w:tab/>
        <w:t>[Section 21BA inserted: No. 23 of 2014 s. 32.]</w:t>
      </w:r>
    </w:p>
    <w:p>
      <w:pPr>
        <w:pStyle w:val="Heading5"/>
      </w:pPr>
      <w:bookmarkStart w:id="42" w:name="_Toc106096835"/>
      <w:r>
        <w:rPr>
          <w:rStyle w:val="CharSectno"/>
        </w:rPr>
        <w:t>21B</w:t>
      </w:r>
      <w:r>
        <w:t>.</w:t>
      </w:r>
      <w:r>
        <w:tab/>
        <w:t>Changes in authorised premises</w:t>
      </w:r>
      <w:bookmarkEnd w:id="42"/>
    </w:p>
    <w:p>
      <w:pPr>
        <w:pStyle w:val="Subsection"/>
      </w:pPr>
      <w:r>
        <w:tab/>
      </w:r>
      <w:r>
        <w:tab/>
        <w:t xml:space="preserve">The Commissioner may at any time approve an alteration or addition to the particulars referred to in section 21A(5) on — </w:t>
      </w:r>
    </w:p>
    <w:p>
      <w:pPr>
        <w:pStyle w:val="Indenta"/>
      </w:pPr>
      <w:r>
        <w:tab/>
        <w:t>(a)</w:t>
      </w:r>
      <w:r>
        <w:tab/>
        <w:t>the application of the registered person; and</w:t>
      </w:r>
    </w:p>
    <w:p>
      <w:pPr>
        <w:pStyle w:val="Indenta"/>
      </w:pPr>
      <w:r>
        <w:tab/>
        <w:t>(b)</w:t>
      </w:r>
      <w:r>
        <w:tab/>
        <w:t>payment of the prescribed fee.</w:t>
      </w:r>
    </w:p>
    <w:p>
      <w:pPr>
        <w:pStyle w:val="Footnotesection"/>
      </w:pPr>
      <w:r>
        <w:tab/>
        <w:t>[Section 21B inserted: No. 23 of 2014 s. 33.]</w:t>
      </w:r>
    </w:p>
    <w:p>
      <w:pPr>
        <w:pStyle w:val="Heading5"/>
        <w:spacing w:before="240"/>
      </w:pPr>
      <w:bookmarkStart w:id="43" w:name="_Toc106096836"/>
      <w:r>
        <w:rPr>
          <w:rStyle w:val="CharSectno"/>
        </w:rPr>
        <w:t>21C</w:t>
      </w:r>
      <w:r>
        <w:t>.</w:t>
      </w:r>
      <w:r>
        <w:tab/>
        <w:t>Certificate for car market operator’s premises, issue and display of</w:t>
      </w:r>
      <w:bookmarkEnd w:id="43"/>
    </w:p>
    <w:p>
      <w:pPr>
        <w:pStyle w:val="Subsection"/>
      </w:pPr>
      <w:r>
        <w:tab/>
        <w:t>(1)</w:t>
      </w:r>
      <w:r>
        <w:tab/>
        <w:t>The Commissioner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No. 4 of 2002 s. 18; amended: No. 58 of 2010 s. 50.]</w:t>
      </w:r>
    </w:p>
    <w:p>
      <w:pPr>
        <w:pStyle w:val="Heading5"/>
        <w:rPr>
          <w:snapToGrid w:val="0"/>
        </w:rPr>
      </w:pPr>
      <w:bookmarkStart w:id="44" w:name="_Toc106096837"/>
      <w:r>
        <w:rPr>
          <w:rStyle w:val="CharSectno"/>
        </w:rPr>
        <w:lastRenderedPageBreak/>
        <w:t>21D</w:t>
      </w:r>
      <w:r>
        <w:rPr>
          <w:snapToGrid w:val="0"/>
        </w:rPr>
        <w:t>.</w:t>
      </w:r>
      <w:r>
        <w:rPr>
          <w:snapToGrid w:val="0"/>
        </w:rPr>
        <w:tab/>
        <w:t xml:space="preserve">Car market </w:t>
      </w:r>
      <w:r>
        <w:t>operator’s</w:t>
      </w:r>
      <w:r>
        <w:rPr>
          <w:snapToGrid w:val="0"/>
        </w:rPr>
        <w:t xml:space="preserve"> premises and advertisements to show name and number</w:t>
      </w:r>
      <w:bookmarkEnd w:id="44"/>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[Section 21D inserted as section 21C: No. 87 of 1981 s. 9; renumbered as section 21D and amended: No. 4 of 2002 s. 19 and 35.]</w:t>
      </w:r>
    </w:p>
    <w:p>
      <w:pPr>
        <w:pStyle w:val="Heading5"/>
      </w:pPr>
      <w:bookmarkStart w:id="45" w:name="_Toc106096838"/>
      <w:r>
        <w:rPr>
          <w:rStyle w:val="CharSectno"/>
        </w:rPr>
        <w:t>22</w:t>
      </w:r>
      <w:r>
        <w:t>.</w:t>
      </w:r>
      <w:r>
        <w:tab/>
        <w:t>Review of certain decisions by SAT, applying for</w:t>
      </w:r>
      <w:bookmarkEnd w:id="45"/>
    </w:p>
    <w:p>
      <w:pPr>
        <w:pStyle w:val="Subsection"/>
      </w:pPr>
      <w:r>
        <w:tab/>
        <w:t>(1)</w:t>
      </w:r>
      <w:r>
        <w:tab/>
        <w:t>Any person aggrieved by a reviewable decision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w:t>
      </w:r>
    </w:p>
    <w:p>
      <w:pPr>
        <w:pStyle w:val="Defpara"/>
        <w:spacing w:before="60"/>
      </w:pPr>
      <w:r>
        <w:tab/>
        <w:t>(a)</w:t>
      </w:r>
      <w:r>
        <w:tab/>
        <w:t>a person who applies for the grant, or renewal of an authorisation; or</w:t>
      </w:r>
    </w:p>
    <w:p>
      <w:pPr>
        <w:pStyle w:val="Defpara"/>
        <w:spacing w:before="60"/>
      </w:pPr>
      <w:r>
        <w:tab/>
        <w:t>(b)</w:t>
      </w:r>
      <w:r>
        <w:tab/>
        <w:t>a person who applies for —</w:t>
      </w:r>
    </w:p>
    <w:p>
      <w:pPr>
        <w:pStyle w:val="Defsubpara"/>
        <w:spacing w:before="60"/>
      </w:pPr>
      <w:r>
        <w:tab/>
        <w:t>(i)</w:t>
      </w:r>
      <w:r>
        <w:tab/>
        <w:t>the authorisation of premises under section 20E or 21A; or</w:t>
      </w:r>
    </w:p>
    <w:p>
      <w:pPr>
        <w:pStyle w:val="Defsubpara"/>
        <w:spacing w:before="60"/>
      </w:pPr>
      <w:r>
        <w:tab/>
        <w:t>(ii)</w:t>
      </w:r>
      <w:r>
        <w:tab/>
        <w:t>the grant of an approval under section 20F or 21B; or</w:t>
      </w:r>
    </w:p>
    <w:p>
      <w:pPr>
        <w:pStyle w:val="Defsubpara"/>
        <w:spacing w:before="60"/>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lastRenderedPageBreak/>
        <w:tab/>
      </w:r>
      <w:r>
        <w:rPr>
          <w:rStyle w:val="CharDefText"/>
        </w:rPr>
        <w:t>reviewable decision</w:t>
      </w:r>
      <w:r>
        <w:t xml:space="preserve"> means a decision of the Commissioner —</w:t>
      </w:r>
    </w:p>
    <w:p>
      <w:pPr>
        <w:pStyle w:val="Defpara"/>
        <w:spacing w:before="60"/>
      </w:pPr>
      <w:r>
        <w:tab/>
        <w:t>(a)</w:t>
      </w:r>
      <w:r>
        <w:tab/>
        <w:t>refusing an application for —</w:t>
      </w:r>
    </w:p>
    <w:p>
      <w:pPr>
        <w:pStyle w:val="Defsubpara"/>
        <w:spacing w:before="60"/>
      </w:pPr>
      <w:r>
        <w:tab/>
        <w:t>(i)</w:t>
      </w:r>
      <w:r>
        <w:tab/>
        <w:t>an authorisation; or</w:t>
      </w:r>
    </w:p>
    <w:p>
      <w:pPr>
        <w:pStyle w:val="Defsubpara"/>
        <w:spacing w:before="60"/>
      </w:pPr>
      <w:r>
        <w:tab/>
        <w:t>(ii)</w:t>
      </w:r>
      <w:r>
        <w:tab/>
        <w:t>the renewal of an authorisation;</w:t>
      </w:r>
    </w:p>
    <w:p>
      <w:pPr>
        <w:pStyle w:val="Defpara"/>
        <w:spacing w:before="60"/>
      </w:pPr>
      <w:r>
        <w:tab/>
      </w:r>
      <w:r>
        <w:tab/>
        <w:t>or</w:t>
      </w:r>
    </w:p>
    <w:p>
      <w:pPr>
        <w:pStyle w:val="Defpara"/>
        <w:spacing w:before="60"/>
      </w:pPr>
      <w:r>
        <w:tab/>
        <w:t>(b)</w:t>
      </w:r>
      <w:r>
        <w:tab/>
        <w:t>refusing —</w:t>
      </w:r>
    </w:p>
    <w:p>
      <w:pPr>
        <w:pStyle w:val="Defsubpara"/>
        <w:spacing w:before="60"/>
      </w:pPr>
      <w:r>
        <w:tab/>
        <w:t>(i)</w:t>
      </w:r>
      <w:r>
        <w:tab/>
        <w:t>to authorise premises under section 20E or 21A; or</w:t>
      </w:r>
    </w:p>
    <w:p>
      <w:pPr>
        <w:pStyle w:val="Defsubpara"/>
        <w:spacing w:before="60"/>
      </w:pPr>
      <w:r>
        <w:tab/>
        <w:t>(ii)</w:t>
      </w:r>
      <w:r>
        <w:tab/>
        <w:t>to grant an approval under section 20F or 21B; or</w:t>
      </w:r>
    </w:p>
    <w:p>
      <w:pPr>
        <w:pStyle w:val="Defsubpara"/>
        <w:spacing w:before="60"/>
      </w:pPr>
      <w:r>
        <w:tab/>
        <w:t>(iii)</w:t>
      </w:r>
      <w:r>
        <w:tab/>
        <w:t>to grant a temporary permit under section 20H;</w:t>
      </w:r>
    </w:p>
    <w:p>
      <w:pPr>
        <w:pStyle w:val="Defpara"/>
        <w:spacing w:before="60"/>
      </w:pPr>
      <w:r>
        <w:tab/>
      </w:r>
      <w:r>
        <w:tab/>
        <w:t>or</w:t>
      </w:r>
    </w:p>
    <w:p>
      <w:pPr>
        <w:pStyle w:val="Defpara"/>
        <w:spacing w:before="60"/>
      </w:pPr>
      <w:r>
        <w:tab/>
        <w:t>(c)</w:t>
      </w:r>
      <w:r>
        <w:tab/>
        <w:t>in exercise of the Commissioner’s powers in relation to conditions and restrictions under section 18A or 20H; or</w:t>
      </w:r>
    </w:p>
    <w:p>
      <w:pPr>
        <w:pStyle w:val="Defpara"/>
        <w:spacing w:before="60"/>
      </w:pPr>
      <w:r>
        <w:tab/>
        <w:t>(d)</w:t>
      </w:r>
      <w:r>
        <w:tab/>
        <w:t>revoking a temporary permit under section 20H(4); or</w:t>
      </w:r>
    </w:p>
    <w:p>
      <w:pPr>
        <w:pStyle w:val="Defpara"/>
        <w:spacing w:before="60"/>
      </w:pPr>
      <w:r>
        <w:tab/>
        <w:t>(e)</w:t>
      </w:r>
      <w:r>
        <w:tab/>
        <w:t>refusing to approve of a change submitted to the Commissioner under section 23.</w:t>
      </w:r>
    </w:p>
    <w:p>
      <w:pPr>
        <w:pStyle w:val="Footnotesection"/>
        <w:spacing w:before="100"/>
        <w:ind w:left="890" w:hanging="890"/>
      </w:pPr>
      <w:r>
        <w:tab/>
        <w:t>[Section 22 inserted: No. 55 of 2004 s. 774; amended: No. 58 of 2010 s. 43 and 50.]</w:t>
      </w:r>
    </w:p>
    <w:p>
      <w:pPr>
        <w:pStyle w:val="Heading5"/>
        <w:rPr>
          <w:snapToGrid w:val="0"/>
        </w:rPr>
      </w:pPr>
      <w:bookmarkStart w:id="46" w:name="_Toc106096839"/>
      <w:r>
        <w:rPr>
          <w:rStyle w:val="CharSectno"/>
        </w:rPr>
        <w:t>22A</w:t>
      </w:r>
      <w:r>
        <w:rPr>
          <w:snapToGrid w:val="0"/>
        </w:rPr>
        <w:t>.</w:t>
      </w:r>
      <w:r>
        <w:rPr>
          <w:snapToGrid w:val="0"/>
        </w:rPr>
        <w:tab/>
        <w:t>Licence or certificate of registration to be returned if cancelled etc.</w:t>
      </w:r>
      <w:bookmarkEnd w:id="46"/>
    </w:p>
    <w:p>
      <w:pPr>
        <w:pStyle w:val="Subsection"/>
        <w:spacing w:before="140"/>
        <w:rPr>
          <w:snapToGrid w:val="0"/>
        </w:rPr>
      </w:pPr>
      <w:r>
        <w:rPr>
          <w:snapToGrid w:val="0"/>
        </w:rPr>
        <w:tab/>
        <w:t>(1)</w:t>
      </w:r>
      <w:r>
        <w:rPr>
          <w:snapToGrid w:val="0"/>
        </w:rPr>
        <w:tab/>
        <w:t xml:space="preserve">A person who has been issued with a licence </w:t>
      </w:r>
      <w:r>
        <w:t>or certificate of registration and who</w:t>
      </w:r>
      <w:r>
        <w:rPr>
          <w:snapToGrid w:val="0"/>
        </w:rPr>
        <w:t> —</w:t>
      </w:r>
    </w:p>
    <w:p>
      <w:pPr>
        <w:pStyle w:val="Indenta"/>
        <w:spacing w:before="60"/>
        <w:rPr>
          <w:snapToGrid w:val="0"/>
        </w:rPr>
      </w:pPr>
      <w:r>
        <w:rPr>
          <w:snapToGrid w:val="0"/>
        </w:rPr>
        <w:tab/>
        <w:t>(a)</w:t>
      </w:r>
      <w:r>
        <w:rPr>
          <w:snapToGrid w:val="0"/>
        </w:rPr>
        <w:tab/>
        <w:t>has been refused an application for the renewal thereof; or</w:t>
      </w:r>
    </w:p>
    <w:p>
      <w:pPr>
        <w:pStyle w:val="Indenta"/>
        <w:spacing w:before="60"/>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spacing w:before="120"/>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w:t>
      </w:r>
      <w:r>
        <w:t>Commissioner</w:t>
      </w:r>
      <w:r>
        <w:rPr>
          <w:snapToGrid w:val="0"/>
        </w:rPr>
        <w:t xml:space="preserve"> unless the State Administrative Tribunal otherwise orders pursuant to section 22.</w:t>
      </w:r>
    </w:p>
    <w:p>
      <w:pPr>
        <w:pStyle w:val="Subsection"/>
        <w:spacing w:before="140"/>
        <w:rPr>
          <w:snapToGrid w:val="0"/>
        </w:rPr>
      </w:pPr>
      <w:r>
        <w:rPr>
          <w:snapToGrid w:val="0"/>
        </w:rPr>
        <w:lastRenderedPageBreak/>
        <w:tab/>
        <w:t>(2)</w:t>
      </w:r>
      <w:r>
        <w:rPr>
          <w:snapToGrid w:val="0"/>
        </w:rPr>
        <w:tab/>
        <w:t xml:space="preserve">A person who ceases to carry on business as a dealer or car market operator shall thereupon return to the </w:t>
      </w:r>
      <w:r>
        <w:t>Commissioner</w:t>
      </w:r>
      <w:r>
        <w:rPr>
          <w:snapToGrid w:val="0"/>
        </w:rPr>
        <w:t xml:space="preserve"> any licence or certificate issued to him relevant to that business.</w:t>
      </w:r>
    </w:p>
    <w:p>
      <w:pPr>
        <w:pStyle w:val="Subsection"/>
        <w:spacing w:before="140"/>
      </w:pPr>
      <w:r>
        <w:tab/>
        <w:t>(3)</w:t>
      </w:r>
      <w:r>
        <w:tab/>
        <w:t>Where an authorisation —</w:t>
      </w:r>
    </w:p>
    <w:p>
      <w:pPr>
        <w:pStyle w:val="Indenta"/>
        <w:spacing w:before="60"/>
      </w:pPr>
      <w:r>
        <w:tab/>
        <w:t>(a)</w:t>
      </w:r>
      <w:r>
        <w:tab/>
        <w:t>is cancelled; or</w:t>
      </w:r>
    </w:p>
    <w:p>
      <w:pPr>
        <w:pStyle w:val="Indenta"/>
        <w:spacing w:before="60"/>
      </w:pPr>
      <w:r>
        <w:tab/>
        <w:t>(b)</w:t>
      </w:r>
      <w:r>
        <w:tab/>
        <w:t>ceases to have effect under section 17D,</w:t>
      </w:r>
    </w:p>
    <w:p>
      <w:pPr>
        <w:pStyle w:val="Subsection"/>
        <w:spacing w:before="120"/>
      </w:pPr>
      <w:r>
        <w:tab/>
      </w:r>
      <w:r>
        <w:tab/>
        <w:t>the person who was the holder of the authorisation shall return to the Commissioner any relevant licence or certificate of registration.</w:t>
      </w:r>
    </w:p>
    <w:p>
      <w:pPr>
        <w:pStyle w:val="Penstart"/>
      </w:pPr>
      <w:r>
        <w:tab/>
        <w:t>Penalty: $1 500.</w:t>
      </w:r>
    </w:p>
    <w:p>
      <w:pPr>
        <w:pStyle w:val="Footnotesection"/>
      </w:pPr>
      <w:r>
        <w:tab/>
        <w:t>[Section 22A inserted: No. 74 of 1975 s. 11; amended: No. 87 of 1981 s. 11; No. 4 of 2002 s. 21 and 36; No. 55 of 2004 s. 775; No. 58 of 2010 s. 50.]</w:t>
      </w:r>
    </w:p>
    <w:p>
      <w:pPr>
        <w:pStyle w:val="Heading5"/>
        <w:rPr>
          <w:snapToGrid w:val="0"/>
        </w:rPr>
      </w:pPr>
      <w:bookmarkStart w:id="47" w:name="_Toc106096840"/>
      <w:r>
        <w:rPr>
          <w:rStyle w:val="CharSectno"/>
        </w:rPr>
        <w:t>23</w:t>
      </w:r>
      <w:r>
        <w:rPr>
          <w:snapToGrid w:val="0"/>
        </w:rPr>
        <w:t>.</w:t>
      </w:r>
      <w:r>
        <w:rPr>
          <w:snapToGrid w:val="0"/>
        </w:rPr>
        <w:tab/>
        <w:t>Changes to particulars on licence or registration, Commissioner to be notified etc.</w:t>
      </w:r>
      <w:bookmarkEnd w:id="47"/>
    </w:p>
    <w:p>
      <w:pPr>
        <w:pStyle w:val="Subsection"/>
        <w:spacing w:before="140"/>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spacing w:before="60"/>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 xml:space="preserve">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xml:space="preserve">, 14 days before any change occurs in the persons concerned in the management and conduct of the body corporate, 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lastRenderedPageBreak/>
        <w:tab/>
        <w:t>(3)</w:t>
      </w:r>
      <w:r>
        <w:rPr>
          <w:snapToGrid w:val="0"/>
        </w:rPr>
        <w:tab/>
        <w:t xml:space="preserve">Upon receipt of the particulars of a change of the kind referred to in subsection (1) or (2), the Commissioner may approve of or, if the </w:t>
      </w:r>
      <w:r>
        <w:t>Commissioner</w:t>
      </w:r>
      <w:r>
        <w:rPr>
          <w:snapToGrid w:val="0"/>
        </w:rPr>
        <w:t xml:space="preserve">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 xml:space="preserve">Where the </w:t>
      </w:r>
      <w:r>
        <w:t>Commissioner refuses to approve of the changes submitted pursuant to subsection (3) the Commissioner</w:t>
      </w:r>
      <w:r>
        <w:rPr>
          <w:snapToGrid w:val="0"/>
        </w:rPr>
        <w:t xml:space="preserve"> shall notify the dealer or</w:t>
      </w:r>
      <w:r>
        <w:t xml:space="preserve"> registered person</w:t>
      </w:r>
      <w:r>
        <w:rPr>
          <w:snapToGrid w:val="0"/>
        </w:rPr>
        <w:t>, as the case may be, and any other person affected by the decision of the refusal.</w:t>
      </w:r>
    </w:p>
    <w:p>
      <w:pPr>
        <w:pStyle w:val="Footnotesection"/>
      </w:pPr>
      <w:r>
        <w:tab/>
        <w:t>[Section 23 amended: No. 74 of 1975 s. 12; No. 87 of 1981 s. 12; No. 10 of 1998 s. 53(3)-(6); No. 4 of 2002 s. 22 and 37; No. 58 of 2010 s. 44 and 50.]</w:t>
      </w:r>
    </w:p>
    <w:p>
      <w:pPr>
        <w:pStyle w:val="Heading5"/>
        <w:rPr>
          <w:snapToGrid w:val="0"/>
        </w:rPr>
      </w:pPr>
      <w:bookmarkStart w:id="48" w:name="_Toc106096841"/>
      <w:r>
        <w:rPr>
          <w:rStyle w:val="CharSectno"/>
        </w:rPr>
        <w:t>24</w:t>
      </w:r>
      <w:r>
        <w:rPr>
          <w:snapToGrid w:val="0"/>
        </w:rPr>
        <w:t>.</w:t>
      </w:r>
      <w:r>
        <w:rPr>
          <w:snapToGrid w:val="0"/>
        </w:rPr>
        <w:tab/>
        <w:t>Register of authorisations etc.; evidentiary provisions</w:t>
      </w:r>
      <w:bookmarkEnd w:id="48"/>
    </w:p>
    <w:p>
      <w:pPr>
        <w:pStyle w:val="Subsection"/>
      </w:pPr>
      <w:r>
        <w:tab/>
        <w:t>(1)</w:t>
      </w:r>
      <w:r>
        <w:tab/>
        <w:t>The Commissioner shall cause a register to be kept showing the prescribed particulars and matters relating to —</w:t>
      </w:r>
    </w:p>
    <w:p>
      <w:pPr>
        <w:pStyle w:val="Indenta"/>
      </w:pPr>
      <w:r>
        <w:tab/>
        <w:t>(a)</w:t>
      </w:r>
      <w:r>
        <w:tab/>
        <w:t>authorisations; and</w:t>
      </w:r>
    </w:p>
    <w:p>
      <w:pPr>
        <w:pStyle w:val="Indenta"/>
      </w:pPr>
      <w:r>
        <w:tab/>
        <w:t>(b)</w:t>
      </w:r>
      <w:r>
        <w:tab/>
        <w:t>the holders of authorisations; and</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w:t>
      </w:r>
      <w:r>
        <w:t>Commissioner</w:t>
      </w:r>
      <w:r>
        <w:rPr>
          <w:snapToGrid w:val="0"/>
        </w:rPr>
        <w:t xml:space="preserve">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 xml:space="preserve">The </w:t>
      </w:r>
      <w:r>
        <w:t>Commissioner</w:t>
      </w:r>
      <w:r>
        <w:rPr>
          <w:snapToGrid w:val="0"/>
        </w:rPr>
        <w:t xml:space="preserve"> shall enter in the register details of any change notified under subsection (3).</w:t>
      </w:r>
    </w:p>
    <w:p>
      <w:pPr>
        <w:pStyle w:val="Subsection"/>
      </w:pPr>
      <w:r>
        <w:lastRenderedPageBreak/>
        <w:tab/>
        <w:t>(5)</w:t>
      </w:r>
      <w:r>
        <w:tab/>
        <w:t>The register shall be open for inspection by any person, on payment of the prescribed fee, during normal office hours.</w:t>
      </w:r>
    </w:p>
    <w:p>
      <w:pPr>
        <w:pStyle w:val="Subsection"/>
      </w:pPr>
      <w:r>
        <w:tab/>
        <w:t>(6)</w:t>
      </w:r>
      <w:r>
        <w:tab/>
        <w:t>A person may, on payment of the prescribed fee, obtain from the Commissioner a certificate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[Section 24 amended: No. 56 of 1995 s. 35; No. 4 of 2002 s. 23, 31(6) and 38; No. 58 of 2010 s. 45 and 50.]</w:t>
      </w:r>
    </w:p>
    <w:p>
      <w:pPr>
        <w:pStyle w:val="Heading3"/>
      </w:pPr>
      <w:bookmarkStart w:id="49" w:name="_Toc106010391"/>
      <w:bookmarkStart w:id="50" w:name="_Toc106010524"/>
      <w:bookmarkStart w:id="51" w:name="_Toc106096842"/>
      <w:r>
        <w:rPr>
          <w:rStyle w:val="CharDivNo"/>
        </w:rPr>
        <w:t>Division 3</w:t>
      </w:r>
      <w:r>
        <w:t> — </w:t>
      </w:r>
      <w:r>
        <w:rPr>
          <w:rStyle w:val="CharDivText"/>
        </w:rPr>
        <w:t>Record</w:t>
      </w:r>
      <w:r>
        <w:rPr>
          <w:rStyle w:val="CharDivText"/>
        </w:rPr>
        <w:noBreakHyphen/>
        <w:t>keeping and notification of authorities</w:t>
      </w:r>
      <w:bookmarkEnd w:id="49"/>
      <w:bookmarkEnd w:id="50"/>
      <w:bookmarkEnd w:id="51"/>
    </w:p>
    <w:p>
      <w:pPr>
        <w:pStyle w:val="Footnoteheading"/>
        <w:tabs>
          <w:tab w:val="left" w:pos="851"/>
        </w:tabs>
      </w:pPr>
      <w:r>
        <w:tab/>
        <w:t>[Heading inserted: No. 73 of 2003 s. 16.]</w:t>
      </w:r>
    </w:p>
    <w:p>
      <w:pPr>
        <w:pStyle w:val="Heading5"/>
        <w:rPr>
          <w:snapToGrid w:val="0"/>
        </w:rPr>
      </w:pPr>
      <w:bookmarkStart w:id="52" w:name="_Toc106096843"/>
      <w:r>
        <w:rPr>
          <w:rStyle w:val="CharSectno"/>
        </w:rPr>
        <w:t>25</w:t>
      </w:r>
      <w:r>
        <w:rPr>
          <w:snapToGrid w:val="0"/>
        </w:rPr>
        <w:t>.</w:t>
      </w:r>
      <w:r>
        <w:rPr>
          <w:snapToGrid w:val="0"/>
        </w:rPr>
        <w:tab/>
        <w:t>Register to be kept by licence holders etc.</w:t>
      </w:r>
      <w:bookmarkEnd w:id="52"/>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w:t>
      </w:r>
      <w:r>
        <w:rPr>
          <w:snapToGrid w:val="0"/>
        </w:rPr>
        <w:lastRenderedPageBreak/>
        <w:t>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A person shall not knowingly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lastRenderedPageBreak/>
        <w:tab/>
        <w:t>Penalty applicable to subsections (1), (1a), (2), (2a), (2b) and (3): $5 000.</w:t>
      </w:r>
    </w:p>
    <w:p>
      <w:pPr>
        <w:pStyle w:val="Footnotesection"/>
      </w:pPr>
      <w:r>
        <w:tab/>
        <w:t>[Section 25 amended: No. 58 of 1974 s. 21; No. 49 of 1979 s. 10; No. 87 of 1981 s. 13; No. 106 of 1981 s. 15; No. 68 of 1982 s. 2; No. 4 of 2002 s. 24, 32(1) and 39.]</w:t>
      </w:r>
    </w:p>
    <w:p>
      <w:pPr>
        <w:pStyle w:val="Heading5"/>
        <w:rPr>
          <w:snapToGrid w:val="0"/>
        </w:rPr>
      </w:pPr>
      <w:bookmarkStart w:id="53" w:name="_Toc106096844"/>
      <w:r>
        <w:rPr>
          <w:rStyle w:val="CharSectno"/>
        </w:rPr>
        <w:t>26</w:t>
      </w:r>
      <w:r>
        <w:rPr>
          <w:snapToGrid w:val="0"/>
        </w:rPr>
        <w:t>.</w:t>
      </w:r>
      <w:r>
        <w:rPr>
          <w:snapToGrid w:val="0"/>
        </w:rPr>
        <w:tab/>
        <w:t>Transactions in second</w:t>
      </w:r>
      <w:r>
        <w:rPr>
          <w:snapToGrid w:val="0"/>
        </w:rPr>
        <w:noBreakHyphen/>
        <w:t>hand vehicles, vehicle licensing authority to be notified of</w:t>
      </w:r>
      <w:bookmarkEnd w:id="53"/>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[Section 26 amended: No. 6 of 1982 s. 4; No. 4 of 2002 s. 25 and 40.]</w:t>
      </w:r>
    </w:p>
    <w:p>
      <w:pPr>
        <w:pStyle w:val="Heading3"/>
      </w:pPr>
      <w:bookmarkStart w:id="54" w:name="_Toc106010394"/>
      <w:bookmarkStart w:id="55" w:name="_Toc106010527"/>
      <w:bookmarkStart w:id="56" w:name="_Toc106096845"/>
      <w:r>
        <w:rPr>
          <w:rStyle w:val="CharDivNo"/>
        </w:rPr>
        <w:lastRenderedPageBreak/>
        <w:t>Division 4</w:t>
      </w:r>
      <w:r>
        <w:t> — </w:t>
      </w:r>
      <w:r>
        <w:rPr>
          <w:rStyle w:val="CharDivText"/>
        </w:rPr>
        <w:t>Powers to inspect vehicles and order remedial work</w:t>
      </w:r>
      <w:bookmarkEnd w:id="54"/>
      <w:bookmarkEnd w:id="55"/>
      <w:bookmarkEnd w:id="56"/>
    </w:p>
    <w:p>
      <w:pPr>
        <w:pStyle w:val="Footnoteheading"/>
        <w:keepNext/>
        <w:tabs>
          <w:tab w:val="left" w:pos="851"/>
        </w:tabs>
      </w:pPr>
      <w:r>
        <w:tab/>
        <w:t>[Heading inserted: No. 73 of 2003 s. 17.]</w:t>
      </w:r>
    </w:p>
    <w:p>
      <w:pPr>
        <w:pStyle w:val="Heading5"/>
        <w:rPr>
          <w:snapToGrid w:val="0"/>
        </w:rPr>
      </w:pPr>
      <w:bookmarkStart w:id="57" w:name="_Toc106096846"/>
      <w:r>
        <w:rPr>
          <w:rStyle w:val="CharSectno"/>
        </w:rPr>
        <w:t>27</w:t>
      </w:r>
      <w:r>
        <w:rPr>
          <w:snapToGrid w:val="0"/>
        </w:rPr>
        <w:t>.</w:t>
      </w:r>
      <w:r>
        <w:rPr>
          <w:snapToGrid w:val="0"/>
        </w:rPr>
        <w:tab/>
        <w:t>Second</w:t>
      </w:r>
      <w:r>
        <w:rPr>
          <w:snapToGrid w:val="0"/>
        </w:rPr>
        <w:noBreakHyphen/>
        <w:t>hand vehicles, powers of police etc. to inspect etc., where to be kept by dealers etc.</w:t>
      </w:r>
      <w:bookmarkEnd w:id="57"/>
    </w:p>
    <w:p>
      <w:pPr>
        <w:pStyle w:val="Subsection"/>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lastRenderedPageBreak/>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[Section 27 amended: No. 58 of 1974 s. 20 and 21; No. 106 of 1981 s. 16; No. 68 of 1982 s. 3; No. 4 of 2002 s. 31(1), 32, 41 and 67.]</w:t>
      </w:r>
    </w:p>
    <w:p>
      <w:pPr>
        <w:pStyle w:val="Heading5"/>
      </w:pPr>
      <w:bookmarkStart w:id="58" w:name="_Toc106096847"/>
      <w:r>
        <w:rPr>
          <w:rStyle w:val="CharSectno"/>
        </w:rPr>
        <w:t>28</w:t>
      </w:r>
      <w:r>
        <w:t>.</w:t>
      </w:r>
      <w:r>
        <w:tab/>
        <w:t>Defects in second</w:t>
      </w:r>
      <w:r>
        <w:noBreakHyphen/>
        <w:t>hand vehicle, powers of police etc. to order remediation of</w:t>
      </w:r>
      <w:bookmarkEnd w:id="58"/>
    </w:p>
    <w:p>
      <w:pPr>
        <w:pStyle w:val="Subsection"/>
      </w:pPr>
      <w:r>
        <w:tab/>
        <w:t>(1)</w:t>
      </w:r>
      <w:r>
        <w:tab/>
        <w:t>This section applies where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lastRenderedPageBreak/>
        <w:tab/>
        <w:t>(2)</w:t>
      </w:r>
      <w:r>
        <w:tab/>
        <w:t>The inspecting officer may make an order in the approved form —</w:t>
      </w:r>
    </w:p>
    <w:p>
      <w:pPr>
        <w:pStyle w:val="Indenta"/>
      </w:pPr>
      <w:r>
        <w:tab/>
        <w:t>(a)</w:t>
      </w:r>
      <w:r>
        <w:tab/>
        <w:t>specifying any defect in the vehicle or its equipment; and</w:t>
      </w:r>
    </w:p>
    <w:p>
      <w:pPr>
        <w:pStyle w:val="Indenta"/>
      </w:pPr>
      <w:r>
        <w:tab/>
        <w:t>(b)</w:t>
      </w:r>
      <w:r>
        <w:tab/>
        <w:t>requiring the owner of the vehicle, not later than the day specified in the order, at the owner’s option, to either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Where an order is made under subsection (2) in respect of a vehicle, the inspecting officer shall attach to the vehicle a notice in the approved form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If the dealer is in possession of the vehicle under a consignment agreement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lastRenderedPageBreak/>
        <w:tab/>
        <w:t>(8)</w:t>
      </w:r>
      <w:r>
        <w:tab/>
        <w:t>An order under subsection (2) remains in force until the conditions provided for by either of the following paragraphs are met —</w:t>
      </w:r>
    </w:p>
    <w:p>
      <w:pPr>
        <w:pStyle w:val="Indenta"/>
      </w:pPr>
      <w:r>
        <w:tab/>
        <w:t>(a)</w:t>
      </w:r>
      <w:r>
        <w:tab/>
        <w:t>the number plates are returned to the nearest licensing or registering authority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the vehicle has been examined by an inspecting officer and the officer —</w:t>
      </w:r>
    </w:p>
    <w:p>
      <w:pPr>
        <w:pStyle w:val="Indenti"/>
      </w:pPr>
      <w:r>
        <w:tab/>
        <w:t>(i)</w:t>
      </w:r>
      <w:r>
        <w:tab/>
        <w:t>is satisfied that each defect specified in the order has been remedied; and</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In this section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lastRenderedPageBreak/>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No. 4 of 2002 s. 68.]</w:t>
      </w:r>
    </w:p>
    <w:p>
      <w:pPr>
        <w:pStyle w:val="Heading5"/>
      </w:pPr>
      <w:bookmarkStart w:id="59" w:name="_Toc106096848"/>
      <w:r>
        <w:rPr>
          <w:rStyle w:val="CharSectno"/>
        </w:rPr>
        <w:t>28A</w:t>
      </w:r>
      <w:r>
        <w:t>.</w:t>
      </w:r>
      <w:r>
        <w:tab/>
        <w:t>Number plates, how to be returned under s. 28(2)(b)(ii)</w:t>
      </w:r>
      <w:bookmarkEnd w:id="59"/>
    </w:p>
    <w:p>
      <w:pPr>
        <w:pStyle w:val="Subsection"/>
      </w:pPr>
      <w:r>
        <w:tab/>
        <w:t>(1)</w:t>
      </w:r>
      <w:r>
        <w:tab/>
        <w:t>The owner of a vehicle who elects to return the number plates relating to the vehicle as mentioned in section 28(2)(b)(ii) shall send or deliver the number plates to the nearest licensing or registering authority.</w:t>
      </w:r>
    </w:p>
    <w:p>
      <w:pPr>
        <w:pStyle w:val="Subsection"/>
      </w:pPr>
      <w:r>
        <w:tab/>
        <w:t>(2)</w:t>
      </w:r>
      <w:r>
        <w:tab/>
        <w:t xml:space="preserve">The owner of a vehicle, by taking the action specified in subsection (1), surrenders any licence granted in respect of the vehicle under the </w:t>
      </w:r>
      <w:r>
        <w:rPr>
          <w:i/>
          <w:iCs/>
        </w:rPr>
        <w:t>Road Traffic (Vehicles) Act 2012</w:t>
      </w:r>
      <w:r>
        <w:t>.</w:t>
      </w:r>
    </w:p>
    <w:p>
      <w:pPr>
        <w:pStyle w:val="Footnotesection"/>
      </w:pPr>
      <w:r>
        <w:tab/>
        <w:t>[Section 28A inserted: No. 4 of 2002 s. 68; amended: No. 8 of 2012 s. 144; No. 44 of 2016 s. 26.]</w:t>
      </w:r>
    </w:p>
    <w:p>
      <w:pPr>
        <w:pStyle w:val="Heading5"/>
        <w:spacing w:before="180"/>
        <w:rPr>
          <w:snapToGrid w:val="0"/>
        </w:rPr>
      </w:pPr>
      <w:bookmarkStart w:id="60" w:name="_Toc106096849"/>
      <w:r>
        <w:rPr>
          <w:rStyle w:val="CharSectno"/>
        </w:rPr>
        <w:t>29</w:t>
      </w:r>
      <w:r>
        <w:rPr>
          <w:snapToGrid w:val="0"/>
        </w:rPr>
        <w:t>.</w:t>
      </w:r>
      <w:r>
        <w:rPr>
          <w:snapToGrid w:val="0"/>
        </w:rPr>
        <w:tab/>
        <w:t>Unroadworthy vehicles, restrictions on sale of</w:t>
      </w:r>
      <w:bookmarkEnd w:id="60"/>
    </w:p>
    <w:p>
      <w:pPr>
        <w:pStyle w:val="Subsection"/>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rPr>
          <w:snapToGrid w:val="0"/>
        </w:rPr>
      </w:pPr>
      <w:r>
        <w:rPr>
          <w:snapToGrid w:val="0"/>
        </w:rPr>
        <w:lastRenderedPageBreak/>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[Section 29 amended: No. 49 of 1979 s. 11; No. 4 of 2002 s. 31(1), 42 and 69.]</w:t>
      </w:r>
    </w:p>
    <w:p>
      <w:pPr>
        <w:pStyle w:val="Heading3"/>
      </w:pPr>
      <w:bookmarkStart w:id="61" w:name="_Toc106010399"/>
      <w:bookmarkStart w:id="62" w:name="_Toc106010532"/>
      <w:bookmarkStart w:id="63" w:name="_Toc106096850"/>
      <w:r>
        <w:rPr>
          <w:rStyle w:val="CharDivNo"/>
        </w:rPr>
        <w:t>Division 5</w:t>
      </w:r>
      <w:r>
        <w:t> — </w:t>
      </w:r>
      <w:r>
        <w:rPr>
          <w:rStyle w:val="CharDivText"/>
        </w:rPr>
        <w:t>Offences: unlicensed dealing etc.</w:t>
      </w:r>
      <w:bookmarkEnd w:id="61"/>
      <w:bookmarkEnd w:id="62"/>
      <w:bookmarkEnd w:id="63"/>
    </w:p>
    <w:p>
      <w:pPr>
        <w:pStyle w:val="Footnoteheading"/>
        <w:tabs>
          <w:tab w:val="left" w:pos="851"/>
        </w:tabs>
      </w:pPr>
      <w:r>
        <w:tab/>
        <w:t>[Heading inserted: No. 73 of 2003 s. 18.]</w:t>
      </w:r>
    </w:p>
    <w:p>
      <w:pPr>
        <w:pStyle w:val="Heading5"/>
      </w:pPr>
      <w:bookmarkStart w:id="64" w:name="_Toc106096851"/>
      <w:r>
        <w:rPr>
          <w:rStyle w:val="CharSectno"/>
        </w:rPr>
        <w:t>30</w:t>
      </w:r>
      <w:r>
        <w:t>.</w:t>
      </w:r>
      <w:r>
        <w:tab/>
        <w:t>Unlicensed dealing etc., offences as to</w:t>
      </w:r>
      <w:bookmarkEnd w:id="64"/>
    </w:p>
    <w:p>
      <w:pPr>
        <w:pStyle w:val="Subsection"/>
      </w:pPr>
      <w:r>
        <w:tab/>
        <w:t>(1)</w:t>
      </w:r>
      <w:r>
        <w:tab/>
        <w:t>A person shall not engage in unlicensed dealing.</w:t>
      </w:r>
    </w:p>
    <w:p>
      <w:pPr>
        <w:pStyle w:val="Penstart"/>
      </w:pPr>
      <w:r>
        <w:tab/>
        <w:t>Penalty: $50 000 and a daily penalty of $1 000.</w:t>
      </w:r>
    </w:p>
    <w:p>
      <w:pPr>
        <w:pStyle w:val="Subsection"/>
      </w:pPr>
      <w:r>
        <w:tab/>
        <w:t>(2)</w:t>
      </w:r>
      <w:r>
        <w:tab/>
        <w:t>A dealer shall not carry on business as a dealer at any premises except under and in accordance with —</w:t>
      </w:r>
    </w:p>
    <w:p>
      <w:pPr>
        <w:pStyle w:val="Indenta"/>
        <w:spacing w:before="60"/>
      </w:pPr>
      <w:r>
        <w:tab/>
        <w:t>(a)</w:t>
      </w:r>
      <w:r>
        <w:tab/>
        <w:t>an authorisation under section 20E; or</w:t>
      </w:r>
    </w:p>
    <w:p>
      <w:pPr>
        <w:pStyle w:val="Indenta"/>
        <w:spacing w:before="60"/>
      </w:pPr>
      <w:r>
        <w:tab/>
        <w:t>(b)</w:t>
      </w:r>
      <w:r>
        <w:tab/>
        <w:t>a permit granted under section 20H.</w:t>
      </w:r>
    </w:p>
    <w:p>
      <w:pPr>
        <w:pStyle w:val="Penstart"/>
      </w:pPr>
      <w:r>
        <w:tab/>
        <w:t>Penalty: $5 000.</w:t>
      </w:r>
    </w:p>
    <w:p>
      <w:pPr>
        <w:pStyle w:val="Subsection"/>
        <w:keepNext/>
      </w:pPr>
      <w:r>
        <w:lastRenderedPageBreak/>
        <w:tab/>
        <w:t>(3)</w:t>
      </w:r>
      <w:r>
        <w:tab/>
        <w:t>For the purposes of subsection (1) a person engages in unlicensed dealing if he carries on any class or description of business as a dealer otherwise than —</w:t>
      </w:r>
    </w:p>
    <w:p>
      <w:pPr>
        <w:pStyle w:val="Indenta"/>
        <w:spacing w:before="60"/>
      </w:pPr>
      <w:r>
        <w:tab/>
        <w:t>(a)</w:t>
      </w:r>
      <w:r>
        <w:tab/>
        <w:t>under and in accordance with a dealer’s licence for that class or description of business; and</w:t>
      </w:r>
    </w:p>
    <w:p>
      <w:pPr>
        <w:pStyle w:val="Indenta"/>
        <w:spacing w:before="60"/>
      </w:pPr>
      <w:r>
        <w:tab/>
        <w:t>(b)</w:t>
      </w:r>
      <w:r>
        <w:tab/>
        <w:t>in accordance with any condition or restriction attached to the licence.</w:t>
      </w:r>
    </w:p>
    <w:p>
      <w:pPr>
        <w:pStyle w:val="Subsection"/>
      </w:pPr>
      <w:r>
        <w:tab/>
        <w:t>(4)</w:t>
      </w:r>
      <w:r>
        <w:tab/>
        <w:t>Despite subsection (3) a person does not engage in unlicensed dealing if he —</w:t>
      </w:r>
    </w:p>
    <w:p>
      <w:pPr>
        <w:pStyle w:val="Indenta"/>
        <w:spacing w:before="60"/>
      </w:pPr>
      <w:r>
        <w:tab/>
        <w:t>(a)</w:t>
      </w:r>
      <w:r>
        <w:tab/>
        <w:t>acts in a business only in the capacity of a yard manager or salesperson; or</w:t>
      </w:r>
    </w:p>
    <w:p>
      <w:pPr>
        <w:pStyle w:val="Indenta"/>
        <w:spacing w:before="60"/>
      </w:pPr>
      <w:r>
        <w:tab/>
        <w:t>(b)</w:t>
      </w:r>
      <w:r>
        <w:tab/>
        <w:t>carries on or acts in a business only in the capacity of a financier, car hire operator or auctioneer and —</w:t>
      </w:r>
    </w:p>
    <w:p>
      <w:pPr>
        <w:pStyle w:val="Indenti"/>
        <w:spacing w:before="60"/>
      </w:pPr>
      <w:r>
        <w:tab/>
        <w:t>(i)</w:t>
      </w:r>
      <w:r>
        <w:tab/>
        <w:t>has an exemption under section 31; and</w:t>
      </w:r>
    </w:p>
    <w:p>
      <w:pPr>
        <w:pStyle w:val="Indenti"/>
        <w:spacing w:before="60"/>
      </w:pPr>
      <w:r>
        <w:tab/>
        <w:t>(ii)</w:t>
      </w:r>
      <w:r>
        <w:tab/>
        <w:t>complies with any condition or restriction to which the exemption is subject.</w:t>
      </w:r>
    </w:p>
    <w:p>
      <w:pPr>
        <w:pStyle w:val="Footnotesection"/>
        <w:spacing w:before="80"/>
        <w:ind w:left="890" w:hanging="890"/>
      </w:pPr>
      <w:r>
        <w:tab/>
        <w:t>[Section 30 inserted: No. 4 of 2002 s. 26.]</w:t>
      </w:r>
    </w:p>
    <w:p>
      <w:pPr>
        <w:pStyle w:val="Heading5"/>
      </w:pPr>
      <w:bookmarkStart w:id="65" w:name="_Toc106096852"/>
      <w:r>
        <w:rPr>
          <w:rStyle w:val="CharSectno"/>
        </w:rPr>
        <w:t>31</w:t>
      </w:r>
      <w:r>
        <w:t>.</w:t>
      </w:r>
      <w:r>
        <w:tab/>
        <w:t>Exemptions from this Act, powers to grant</w:t>
      </w:r>
      <w:bookmarkEnd w:id="65"/>
    </w:p>
    <w:p>
      <w:pPr>
        <w:pStyle w:val="Subsection"/>
      </w:pPr>
      <w:r>
        <w:tab/>
        <w:t>(1)</w:t>
      </w:r>
      <w:r>
        <w:tab/>
        <w:t>The Commissioner may in writing grant an exemption from compliance with this Act to a financier, car hire operator or an auctioneer who —</w:t>
      </w:r>
    </w:p>
    <w:p>
      <w:pPr>
        <w:pStyle w:val="Indenta"/>
        <w:spacing w:before="60"/>
      </w:pPr>
      <w:r>
        <w:tab/>
        <w:t>(a)</w:t>
      </w:r>
      <w:r>
        <w:tab/>
        <w:t>applies for an exemption in the approved form and pays the prescribed fee; and</w:t>
      </w:r>
    </w:p>
    <w:p>
      <w:pPr>
        <w:pStyle w:val="Indenta"/>
        <w:keepNext/>
        <w:spacing w:before="60"/>
      </w:pPr>
      <w:r>
        <w:tab/>
        <w:t>(b)</w:t>
      </w:r>
      <w:r>
        <w:tab/>
        <w:t>satisfies the Commissioner —</w:t>
      </w:r>
    </w:p>
    <w:p>
      <w:pPr>
        <w:pStyle w:val="Indenti"/>
        <w:spacing w:before="60"/>
      </w:pPr>
      <w:r>
        <w:tab/>
        <w:t>(i)</w:t>
      </w:r>
      <w:r>
        <w:tab/>
        <w:t>in the case of a financier, that he ordinarily disposes of vehicles which he has repossessed directly to dealers; or</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lastRenderedPageBreak/>
        <w:tab/>
        <w:t>(iii)</w:t>
      </w:r>
      <w:r>
        <w:tab/>
        <w:t>in the case of an auctioneer, that the selling of vehicles by auction does not comprise a significant part of his business as an auctioneer.</w:t>
      </w:r>
    </w:p>
    <w:p>
      <w:pPr>
        <w:pStyle w:val="Subsection"/>
      </w:pPr>
      <w:r>
        <w:tab/>
        <w:t>(2)</w:t>
      </w:r>
      <w:r>
        <w:tab/>
        <w:t>An exemption under subsection (1) —</w:t>
      </w:r>
    </w:p>
    <w:p>
      <w:pPr>
        <w:pStyle w:val="Indenta"/>
      </w:pPr>
      <w:r>
        <w:tab/>
        <w:t>(a)</w:t>
      </w:r>
      <w:r>
        <w:tab/>
        <w:t>may be granted subject to conditions; and</w:t>
      </w:r>
    </w:p>
    <w:p>
      <w:pPr>
        <w:pStyle w:val="Indenta"/>
      </w:pPr>
      <w:r>
        <w:tab/>
        <w:t>(b)</w:t>
      </w:r>
      <w:r>
        <w:tab/>
        <w:t>extends to a person acting as an employee or agent of the financier, car hire operator or auctioneer; and</w:t>
      </w:r>
    </w:p>
    <w:p>
      <w:pPr>
        <w:pStyle w:val="Indenta"/>
      </w:pPr>
      <w:r>
        <w:tab/>
        <w:t>(c)</w:t>
      </w:r>
      <w:r>
        <w:tab/>
        <w:t>may be revoked by the Commissioner at any time.</w:t>
      </w:r>
    </w:p>
    <w:p>
      <w:pPr>
        <w:pStyle w:val="Footnotesection"/>
      </w:pPr>
      <w:r>
        <w:tab/>
        <w:t>[Section 31 inserted: No. 4 of 2002 s. 26; amended: No. 58 of 2010 s. 50.]</w:t>
      </w:r>
    </w:p>
    <w:p>
      <w:pPr>
        <w:pStyle w:val="Heading5"/>
      </w:pPr>
      <w:bookmarkStart w:id="66" w:name="_Toc106096853"/>
      <w:r>
        <w:rPr>
          <w:rStyle w:val="CharSectno"/>
        </w:rPr>
        <w:t>31A</w:t>
      </w:r>
      <w:r>
        <w:t>.</w:t>
      </w:r>
      <w:r>
        <w:tab/>
        <w:t>Yard managers must be licensed, offence</w:t>
      </w:r>
      <w:bookmarkEnd w:id="66"/>
    </w:p>
    <w:p>
      <w:pPr>
        <w:pStyle w:val="Subsection"/>
      </w:pPr>
      <w:r>
        <w:tab/>
      </w:r>
      <w:r>
        <w:tab/>
        <w:t>A person shall not act in the capacity of a yard manager, other than for or on behalf of a financier or car hire operator, unless —</w:t>
      </w:r>
    </w:p>
    <w:p>
      <w:pPr>
        <w:pStyle w:val="Indenta"/>
      </w:pPr>
      <w:r>
        <w:tab/>
        <w:t>(a)</w:t>
      </w:r>
      <w:r>
        <w:tab/>
        <w:t>he is —</w:t>
      </w:r>
    </w:p>
    <w:p>
      <w:pPr>
        <w:pStyle w:val="Indenti"/>
      </w:pPr>
      <w:r>
        <w:tab/>
        <w:t>(i)</w:t>
      </w:r>
      <w:r>
        <w:tab/>
        <w:t>the holder of a yard manager’s licence under section 16(1); or</w:t>
      </w:r>
    </w:p>
    <w:p>
      <w:pPr>
        <w:pStyle w:val="Indenti"/>
      </w:pPr>
      <w:r>
        <w:tab/>
        <w:t>(ii)</w:t>
      </w:r>
      <w:r>
        <w:tab/>
        <w:t>taken to be the holder of such licence under section 16(2);</w:t>
      </w:r>
    </w:p>
    <w:p>
      <w:pPr>
        <w:pStyle w:val="Indenta"/>
      </w:pPr>
      <w:r>
        <w:tab/>
      </w:r>
      <w:r>
        <w:tab/>
        <w:t>and</w:t>
      </w:r>
    </w:p>
    <w:p>
      <w:pPr>
        <w:pStyle w:val="Indenta"/>
        <w:keepNext/>
        <w:keepLines/>
      </w:pPr>
      <w:r>
        <w:tab/>
        <w:t>(b)</w:t>
      </w:r>
      <w:r>
        <w:tab/>
        <w:t>he complies with any condition or restriction attached to the licence.</w:t>
      </w:r>
    </w:p>
    <w:p>
      <w:pPr>
        <w:pStyle w:val="Penstart"/>
      </w:pPr>
      <w:r>
        <w:tab/>
        <w:t>Penalty: $5 000 and a daily penalty of $100.</w:t>
      </w:r>
    </w:p>
    <w:p>
      <w:pPr>
        <w:pStyle w:val="Footnotesection"/>
      </w:pPr>
      <w:r>
        <w:tab/>
        <w:t>[Section 31A inserted: No. 4 of 2002 s. 26.]</w:t>
      </w:r>
    </w:p>
    <w:p>
      <w:pPr>
        <w:pStyle w:val="Heading5"/>
      </w:pPr>
      <w:bookmarkStart w:id="67" w:name="_Toc106096854"/>
      <w:r>
        <w:rPr>
          <w:rStyle w:val="CharSectno"/>
        </w:rPr>
        <w:lastRenderedPageBreak/>
        <w:t>31B</w:t>
      </w:r>
      <w:r>
        <w:t>.</w:t>
      </w:r>
      <w:r>
        <w:tab/>
        <w:t>Salespersons must be licensed, offence</w:t>
      </w:r>
      <w:bookmarkEnd w:id="67"/>
    </w:p>
    <w:p>
      <w:pPr>
        <w:pStyle w:val="Subsection"/>
        <w:keepNext/>
      </w:pPr>
      <w:r>
        <w:tab/>
      </w:r>
      <w:r>
        <w:tab/>
        <w:t>A person shall not act in the capacity of a salesperson, other than for or on behalf of a financier or car hire operator, unless —</w:t>
      </w:r>
    </w:p>
    <w:p>
      <w:pPr>
        <w:pStyle w:val="Indenta"/>
        <w:keepNext/>
      </w:pPr>
      <w:r>
        <w:tab/>
        <w:t>(a)</w:t>
      </w:r>
      <w:r>
        <w:tab/>
        <w:t>he is —</w:t>
      </w:r>
    </w:p>
    <w:p>
      <w:pPr>
        <w:pStyle w:val="Indenti"/>
      </w:pPr>
      <w:r>
        <w:tab/>
        <w:t>(i)</w:t>
      </w:r>
      <w:r>
        <w:tab/>
        <w:t>the holder of a salesperson’s licence under section 17(1); or</w:t>
      </w:r>
    </w:p>
    <w:p>
      <w:pPr>
        <w:pStyle w:val="Indenti"/>
      </w:pPr>
      <w:r>
        <w:tab/>
        <w:t>(ii)</w:t>
      </w:r>
      <w:r>
        <w:tab/>
        <w:t>taken to be the holder of such a licence under section 17(2);</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No. 4 of 2002 s. 26.]</w:t>
      </w:r>
    </w:p>
    <w:p>
      <w:pPr>
        <w:pStyle w:val="Heading5"/>
        <w:spacing w:before="260"/>
      </w:pPr>
      <w:bookmarkStart w:id="68" w:name="_Toc106096855"/>
      <w:r>
        <w:rPr>
          <w:rStyle w:val="CharSectno"/>
        </w:rPr>
        <w:t>31C</w:t>
      </w:r>
      <w:r>
        <w:t>.</w:t>
      </w:r>
      <w:r>
        <w:tab/>
        <w:t>Unlicensed person not to be employed</w:t>
      </w:r>
      <w:bookmarkEnd w:id="68"/>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No. 4 of 2002 s. 26.]</w:t>
      </w:r>
    </w:p>
    <w:p>
      <w:pPr>
        <w:pStyle w:val="Heading5"/>
        <w:spacing w:before="260"/>
      </w:pPr>
      <w:bookmarkStart w:id="69" w:name="_Toc106096856"/>
      <w:r>
        <w:rPr>
          <w:rStyle w:val="CharSectno"/>
        </w:rPr>
        <w:t>31D</w:t>
      </w:r>
      <w:r>
        <w:t>.</w:t>
      </w:r>
      <w:r>
        <w:tab/>
        <w:t>Car market operators must be registered and premises authorised, offence</w:t>
      </w:r>
      <w:bookmarkEnd w:id="69"/>
    </w:p>
    <w:p>
      <w:pPr>
        <w:pStyle w:val="Subsection"/>
      </w:pPr>
      <w:r>
        <w:tab/>
        <w:t>(1)</w:t>
      </w:r>
      <w:r>
        <w:tab/>
        <w:t>A person shall not —</w:t>
      </w:r>
    </w:p>
    <w:p>
      <w:pPr>
        <w:pStyle w:val="Indenta"/>
      </w:pPr>
      <w:r>
        <w:tab/>
        <w:t>(a)</w:t>
      </w:r>
      <w:r>
        <w:tab/>
        <w:t>carry on or act in the business of a car market operator; or</w:t>
      </w:r>
    </w:p>
    <w:p>
      <w:pPr>
        <w:pStyle w:val="Indenta"/>
      </w:pPr>
      <w:r>
        <w:tab/>
        <w:t>(b)</w:t>
      </w:r>
      <w:r>
        <w:tab/>
        <w:t>advertise that he —</w:t>
      </w:r>
    </w:p>
    <w:p>
      <w:pPr>
        <w:pStyle w:val="Indenti"/>
      </w:pPr>
      <w:r>
        <w:tab/>
        <w:t>(i)</w:t>
      </w:r>
      <w:r>
        <w:tab/>
        <w:t>carries on or acts in; or</w:t>
      </w:r>
    </w:p>
    <w:p>
      <w:pPr>
        <w:pStyle w:val="Indenti"/>
        <w:keepNext/>
      </w:pPr>
      <w:r>
        <w:lastRenderedPageBreak/>
        <w:tab/>
        <w:t>(ii)</w:t>
      </w:r>
      <w:r>
        <w:tab/>
        <w:t>is willing to carry on or act in,</w:t>
      </w:r>
    </w:p>
    <w:p>
      <w:pPr>
        <w:pStyle w:val="Indenta"/>
        <w:keepNext/>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No. 4 of 2002 s. 26.]</w:t>
      </w:r>
    </w:p>
    <w:p>
      <w:pPr>
        <w:pStyle w:val="Heading2"/>
      </w:pPr>
      <w:bookmarkStart w:id="70" w:name="_Toc106010406"/>
      <w:bookmarkStart w:id="71" w:name="_Toc106010539"/>
      <w:bookmarkStart w:id="72" w:name="_Toc106096857"/>
      <w:r>
        <w:rPr>
          <w:rStyle w:val="CharPartNo"/>
        </w:rPr>
        <w:lastRenderedPageBreak/>
        <w:t>Part III</w:t>
      </w:r>
      <w:r>
        <w:t> — </w:t>
      </w:r>
      <w:r>
        <w:rPr>
          <w:rStyle w:val="CharPartText"/>
        </w:rPr>
        <w:t>Dealings in second</w:t>
      </w:r>
      <w:r>
        <w:rPr>
          <w:rStyle w:val="CharPartText"/>
        </w:rPr>
        <w:noBreakHyphen/>
        <w:t>hand vehicles</w:t>
      </w:r>
      <w:bookmarkEnd w:id="70"/>
      <w:bookmarkEnd w:id="71"/>
      <w:bookmarkEnd w:id="72"/>
    </w:p>
    <w:p>
      <w:pPr>
        <w:pStyle w:val="Heading3"/>
      </w:pPr>
      <w:bookmarkStart w:id="73" w:name="_Toc106010407"/>
      <w:bookmarkStart w:id="74" w:name="_Toc106010540"/>
      <w:bookmarkStart w:id="75" w:name="_Toc106096858"/>
      <w:r>
        <w:rPr>
          <w:rStyle w:val="CharDivNo"/>
        </w:rPr>
        <w:t>Division 1</w:t>
      </w:r>
      <w:r>
        <w:t> — </w:t>
      </w:r>
      <w:r>
        <w:rPr>
          <w:rStyle w:val="CharDivText"/>
        </w:rPr>
        <w:t>Preliminary</w:t>
      </w:r>
      <w:bookmarkEnd w:id="73"/>
      <w:bookmarkEnd w:id="74"/>
      <w:bookmarkEnd w:id="75"/>
    </w:p>
    <w:p>
      <w:pPr>
        <w:pStyle w:val="Footnoteheading"/>
      </w:pPr>
      <w:r>
        <w:tab/>
        <w:t>[Heading inserted: No. 4 of 2002 s. 55.]</w:t>
      </w:r>
    </w:p>
    <w:p>
      <w:pPr>
        <w:pStyle w:val="Heading5"/>
        <w:rPr>
          <w:snapToGrid w:val="0"/>
        </w:rPr>
      </w:pPr>
      <w:bookmarkStart w:id="76" w:name="_Toc106096859"/>
      <w:r>
        <w:rPr>
          <w:rStyle w:val="CharSectno"/>
        </w:rPr>
        <w:t>32</w:t>
      </w:r>
      <w:r>
        <w:rPr>
          <w:snapToGrid w:val="0"/>
        </w:rPr>
        <w:t>.</w:t>
      </w:r>
      <w:r>
        <w:rPr>
          <w:snapToGrid w:val="0"/>
        </w:rPr>
        <w:tab/>
        <w:t>Application of this Part</w:t>
      </w:r>
      <w:bookmarkEnd w:id="76"/>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[Section 32 amended: No. 74 of 1975 s. 14; No. 73 of 1994 s. 4; No. 4 of 2002 s. 27, 31(1) and 56.]</w:t>
      </w:r>
    </w:p>
    <w:p>
      <w:pPr>
        <w:pStyle w:val="Heading3"/>
      </w:pPr>
      <w:bookmarkStart w:id="77" w:name="_Toc106010409"/>
      <w:bookmarkStart w:id="78" w:name="_Toc106010542"/>
      <w:bookmarkStart w:id="79" w:name="_Toc106096860"/>
      <w:r>
        <w:rPr>
          <w:rStyle w:val="CharDivNo"/>
        </w:rPr>
        <w:lastRenderedPageBreak/>
        <w:t>Division 2</w:t>
      </w:r>
      <w:r>
        <w:t> — </w:t>
      </w:r>
      <w:r>
        <w:rPr>
          <w:rStyle w:val="CharDivText"/>
        </w:rPr>
        <w:t>Sales on consignment</w:t>
      </w:r>
      <w:bookmarkEnd w:id="77"/>
      <w:bookmarkEnd w:id="78"/>
      <w:bookmarkEnd w:id="79"/>
    </w:p>
    <w:p>
      <w:pPr>
        <w:pStyle w:val="Footnoteheading"/>
        <w:keepNext/>
        <w:keepLines/>
      </w:pPr>
      <w:r>
        <w:tab/>
        <w:t>[Heading inserted: No. 4 of 2002 s. 57.]</w:t>
      </w:r>
    </w:p>
    <w:p>
      <w:pPr>
        <w:pStyle w:val="Heading5"/>
      </w:pPr>
      <w:bookmarkStart w:id="80" w:name="_Toc106096861"/>
      <w:r>
        <w:rPr>
          <w:rStyle w:val="CharSectno"/>
        </w:rPr>
        <w:t>32A</w:t>
      </w:r>
      <w:r>
        <w:t>.</w:t>
      </w:r>
      <w:r>
        <w:tab/>
        <w:t>Terms used</w:t>
      </w:r>
      <w:bookmarkEnd w:id="80"/>
    </w:p>
    <w:p>
      <w:pPr>
        <w:pStyle w:val="Subsection"/>
      </w:pPr>
      <w:r>
        <w:tab/>
      </w:r>
      <w:r>
        <w:tab/>
        <w:t>In this Division —</w:t>
      </w:r>
    </w:p>
    <w:p>
      <w:pPr>
        <w:pStyle w:val="Defstart"/>
      </w:pPr>
      <w:r>
        <w:rPr>
          <w:b/>
        </w:rPr>
        <w:fldChar w:fldCharType="begin"/>
      </w:r>
      <w:r>
        <w:rPr>
          <w:b/>
        </w:rPr>
        <w:instrText xml:space="preserve"> LISTNUM DefinitionNumbers \l1 </w:instrText>
      </w:r>
      <w:r>
        <w:rPr>
          <w:b/>
        </w:rPr>
        <w:fldChar w:fldCharType="end">
          <w:numberingChange w:id="81" w:author="Isobel Bond" w:date="2016-12-05T09:34:00Z" w:original=""/>
        </w:fldChar>
      </w:r>
      <w:r>
        <w:rPr>
          <w:b/>
        </w:rPr>
        <w:tab/>
      </w:r>
      <w:r>
        <w:rPr>
          <w:rStyle w:val="CharDefText"/>
        </w:rPr>
        <w:t>consignment agreement</w:t>
      </w:r>
      <w:r>
        <w:t xml:space="preserve"> means an agreement under which a dealer agrees —</w:t>
      </w:r>
    </w:p>
    <w:p>
      <w:pPr>
        <w:pStyle w:val="Defpara"/>
      </w:pPr>
      <w:r>
        <w:tab/>
        <w:t>(a)</w:t>
      </w:r>
      <w:r>
        <w:tab/>
        <w:t>to sell a vehicle (including by auction) for a person who is not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and</w:t>
      </w:r>
    </w:p>
    <w:p>
      <w:pPr>
        <w:pStyle w:val="Defpara"/>
      </w:pPr>
      <w:r>
        <w:tab/>
        <w:t>(b)</w:t>
      </w:r>
      <w:r>
        <w:tab/>
        <w:t>to pay the proceeds of sale after the deduction of any agreed commission and charges to, or partly to, each of the following —</w:t>
      </w:r>
    </w:p>
    <w:p>
      <w:pPr>
        <w:pStyle w:val="Defsubpara"/>
      </w:pPr>
      <w:r>
        <w:tab/>
        <w:t>(i)</w:t>
      </w:r>
      <w:r>
        <w:tab/>
        <w:t>any person authorised by the consignor;</w:t>
      </w:r>
    </w:p>
    <w:p>
      <w:pPr>
        <w:pStyle w:val="Defsubpara"/>
      </w:pPr>
      <w:r>
        <w:tab/>
        <w:t>(ii)</w:t>
      </w:r>
      <w:r>
        <w:tab/>
        <w:t>any person holding a security interest in the vehicle;</w:t>
      </w:r>
    </w:p>
    <w:p>
      <w:pPr>
        <w:pStyle w:val="Defstart"/>
      </w:pPr>
      <w:r>
        <w:rPr>
          <w:b/>
        </w:rPr>
        <w:fldChar w:fldCharType="begin"/>
      </w:r>
      <w:r>
        <w:rPr>
          <w:b/>
        </w:rPr>
        <w:instrText xml:space="preserve"> LISTNUM DefinitionNumbers \l1 </w:instrText>
      </w:r>
      <w:r>
        <w:rPr>
          <w:b/>
        </w:rPr>
        <w:fldChar w:fldCharType="end">
          <w:numberingChange w:id="82" w:author="Isobel Bond" w:date="2016-12-05T09:34:00Z" w:original=""/>
        </w:fldChar>
      </w: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registered company auditor</w:t>
      </w:r>
      <w:r>
        <w:t xml:space="preserve"> has the meaning given in the </w:t>
      </w:r>
      <w:r>
        <w:rPr>
          <w:i/>
        </w:rPr>
        <w:t>Corporations Act 2001</w:t>
      </w:r>
      <w:r>
        <w:t xml:space="preserve"> (Commonwealth) section 9;</w:t>
      </w:r>
    </w:p>
    <w:p>
      <w:pPr>
        <w:pStyle w:val="Defstart"/>
      </w:pPr>
      <w:r>
        <w:tab/>
      </w:r>
      <w:r>
        <w:rPr>
          <w:rStyle w:val="CharDefText"/>
        </w:rPr>
        <w:t>security interest</w:t>
      </w:r>
      <w:r>
        <w:rPr>
          <w:iCs/>
        </w:rPr>
        <w:t xml:space="preserve"> </w:t>
      </w:r>
      <w:r>
        <w:t xml:space="preserve">has the meaning given in the </w:t>
      </w:r>
      <w:r>
        <w:rPr>
          <w:i/>
          <w:iCs/>
        </w:rPr>
        <w:t>Personal Property Securities Act 2009</w:t>
      </w:r>
      <w:r>
        <w:t xml:space="preserve"> (Commonwealth) section 10;</w:t>
      </w:r>
    </w:p>
    <w:p>
      <w:pPr>
        <w:pStyle w:val="Defstart"/>
      </w:pPr>
      <w:r>
        <w:rPr>
          <w:b/>
        </w:rPr>
        <w:fldChar w:fldCharType="begin"/>
      </w:r>
      <w:r>
        <w:rPr>
          <w:b/>
        </w:rPr>
        <w:instrText xml:space="preserve"> LISTNUM DefinitionNumbers \l1 </w:instrText>
      </w:r>
      <w:r>
        <w:rPr>
          <w:b/>
        </w:rPr>
        <w:fldChar w:fldCharType="end">
          <w:numberingChange w:id="83" w:author="Isobel Bond" w:date="2016-12-05T09:34:00Z" w:original=""/>
        </w:fldChar>
      </w:r>
      <w:r>
        <w:rPr>
          <w:b/>
        </w:rPr>
        <w:tab/>
      </w:r>
      <w:r>
        <w:rPr>
          <w:rStyle w:val="CharDefText"/>
        </w:rPr>
        <w:t>trust account</w:t>
      </w:r>
      <w:r>
        <w:t xml:space="preserve"> means a trust account required to be maintained by a dealer under section 32C;</w:t>
      </w:r>
    </w:p>
    <w:p>
      <w:pPr>
        <w:pStyle w:val="Defstart"/>
      </w:pPr>
      <w:r>
        <w:tab/>
      </w:r>
      <w:r>
        <w:rPr>
          <w:rStyle w:val="CharDefText"/>
        </w:rPr>
        <w:t>year</w:t>
      </w:r>
      <w:r>
        <w:t>, unless otherwise prescribed, means a financial year.</w:t>
      </w:r>
    </w:p>
    <w:p>
      <w:pPr>
        <w:pStyle w:val="Footnotesection"/>
      </w:pPr>
      <w:r>
        <w:tab/>
        <w:t>[Section 32A inserted: No. 4 of 2002 s. 57; amended: No. 42 of 2011 s. 57; No. 44 of 2016 s. 27.]</w:t>
      </w:r>
    </w:p>
    <w:p>
      <w:pPr>
        <w:pStyle w:val="Heading5"/>
      </w:pPr>
      <w:bookmarkStart w:id="84" w:name="_Toc106096862"/>
      <w:r>
        <w:lastRenderedPageBreak/>
        <w:t>32B.</w:t>
      </w:r>
      <w:r>
        <w:tab/>
        <w:t>Consignment agreements, requirements for</w:t>
      </w:r>
      <w:bookmarkEnd w:id="84"/>
    </w:p>
    <w:p>
      <w:pPr>
        <w:pStyle w:val="Subsection"/>
      </w:pPr>
      <w:r>
        <w:tab/>
        <w:t>(1)</w:t>
      </w:r>
      <w:r>
        <w:tab/>
        <w:t>A dealer shall not accept a vehicle under a consignment agreement unless the agreement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No. 4 of 2002 s. 57.]</w:t>
      </w:r>
    </w:p>
    <w:p>
      <w:pPr>
        <w:pStyle w:val="Heading5"/>
        <w:spacing w:before="260"/>
      </w:pPr>
      <w:bookmarkStart w:id="85" w:name="_Toc106096863"/>
      <w:r>
        <w:rPr>
          <w:rStyle w:val="CharSectno"/>
        </w:rPr>
        <w:t>32C</w:t>
      </w:r>
      <w:r>
        <w:t>.</w:t>
      </w:r>
      <w:r>
        <w:tab/>
        <w:t>Dealer selling on consignment to have trust account</w:t>
      </w:r>
      <w:bookmarkEnd w:id="85"/>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Penstart"/>
      </w:pPr>
      <w:r>
        <w:tab/>
        <w:t>Penalty: $5 000.</w:t>
      </w:r>
    </w:p>
    <w:p>
      <w:pPr>
        <w:pStyle w:val="Footnotesection"/>
      </w:pPr>
      <w:r>
        <w:tab/>
        <w:t>[Section 32C inserted: No. 4 of 2002 s. 57.]</w:t>
      </w:r>
    </w:p>
    <w:p>
      <w:pPr>
        <w:pStyle w:val="Heading5"/>
        <w:spacing w:before="260"/>
      </w:pPr>
      <w:bookmarkStart w:id="86" w:name="_Toc106096864"/>
      <w:r>
        <w:rPr>
          <w:rStyle w:val="CharSectno"/>
        </w:rPr>
        <w:t>32D</w:t>
      </w:r>
      <w:r>
        <w:t>.</w:t>
      </w:r>
      <w:r>
        <w:tab/>
        <w:t>Payments to trust account</w:t>
      </w:r>
      <w:bookmarkEnd w:id="86"/>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Penstart"/>
      </w:pPr>
      <w:r>
        <w:tab/>
        <w:t>Penalty: $5 000.</w:t>
      </w:r>
    </w:p>
    <w:p>
      <w:pPr>
        <w:pStyle w:val="Subsection"/>
      </w:pPr>
      <w:r>
        <w:lastRenderedPageBreak/>
        <w:tab/>
        <w:t>(2)</w:t>
      </w:r>
      <w:r>
        <w:tab/>
        <w:t xml:space="preserve">Where the consideration or any part of the consideration received by a dealer from the sale of a vehicle under a consignment agreement is represented by another vehicle or other thing (the </w:t>
      </w:r>
      <w:r>
        <w:rPr>
          <w:rStyle w:val="CharDefText"/>
        </w:rPr>
        <w:t>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spacing w:before="140"/>
      </w:pPr>
      <w:r>
        <w:tab/>
        <w:t>(3)</w:t>
      </w:r>
      <w:r>
        <w:tab/>
        <w:t>For the purposes of subsection (2) the value of a trade</w:t>
      </w:r>
      <w:r>
        <w:noBreakHyphen/>
        <w:t>in is —</w:t>
      </w:r>
    </w:p>
    <w:p>
      <w:pPr>
        <w:pStyle w:val="Indenta"/>
        <w:spacing w:before="60"/>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spacing w:before="60"/>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spacing w:before="140"/>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spacing w:before="100"/>
        <w:ind w:left="890" w:hanging="890"/>
      </w:pPr>
      <w:r>
        <w:tab/>
        <w:t>[Section 32D inserted: No. 4 of 2002 s. 57.]</w:t>
      </w:r>
    </w:p>
    <w:p>
      <w:pPr>
        <w:pStyle w:val="Heading5"/>
      </w:pPr>
      <w:bookmarkStart w:id="87" w:name="_Toc106096865"/>
      <w:r>
        <w:rPr>
          <w:rStyle w:val="CharSectno"/>
        </w:rPr>
        <w:t>32E</w:t>
      </w:r>
      <w:r>
        <w:t>.</w:t>
      </w:r>
      <w:r>
        <w:tab/>
        <w:t>Withdrawals from trust account</w:t>
      </w:r>
      <w:bookmarkEnd w:id="87"/>
    </w:p>
    <w:p>
      <w:pPr>
        <w:pStyle w:val="Subsection"/>
        <w:keepNext/>
        <w:spacing w:before="140"/>
      </w:pPr>
      <w:r>
        <w:tab/>
        <w:t>(1)</w:t>
      </w:r>
      <w:r>
        <w:tab/>
        <w:t xml:space="preserve">A dealer shall not, without the prior written approval of the Commissioner, withdraw money paid into a trust account from </w:t>
      </w:r>
      <w:r>
        <w:lastRenderedPageBreak/>
        <w:t>the sale of a vehicle under a consignment agreement, except for the purpose of —</w:t>
      </w:r>
    </w:p>
    <w:p>
      <w:pPr>
        <w:pStyle w:val="Indenta"/>
        <w:spacing w:before="60"/>
      </w:pPr>
      <w:r>
        <w:tab/>
        <w:t>(a)</w:t>
      </w:r>
      <w:r>
        <w:tab/>
        <w:t>paying an amount properly payable to —</w:t>
      </w:r>
    </w:p>
    <w:p>
      <w:pPr>
        <w:pStyle w:val="Indenti"/>
        <w:spacing w:before="60"/>
      </w:pPr>
      <w:r>
        <w:tab/>
        <w:t>(i)</w:t>
      </w:r>
      <w:r>
        <w:tab/>
        <w:t>the consignor of the vehicle concerned or a person authorised by him; or</w:t>
      </w:r>
    </w:p>
    <w:p>
      <w:pPr>
        <w:pStyle w:val="Indenti"/>
        <w:keepNext/>
        <w:spacing w:before="60"/>
      </w:pPr>
      <w:r>
        <w:tab/>
        <w:t>(ii)</w:t>
      </w:r>
      <w:r>
        <w:tab/>
        <w:t>the holder of a security interest in the vehicle;</w:t>
      </w:r>
    </w:p>
    <w:p>
      <w:pPr>
        <w:pStyle w:val="Indenta"/>
        <w:spacing w:before="60"/>
      </w:pPr>
      <w:r>
        <w:tab/>
      </w:r>
      <w:r>
        <w:tab/>
        <w:t>or</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No. 4 of 2002 s. 57; amended: No. 58 of 2010 s. 50.]</w:t>
      </w:r>
    </w:p>
    <w:p>
      <w:pPr>
        <w:pStyle w:val="Heading5"/>
      </w:pPr>
      <w:bookmarkStart w:id="88" w:name="_Toc106096866"/>
      <w:r>
        <w:rPr>
          <w:rStyle w:val="CharSectno"/>
        </w:rPr>
        <w:t>32F</w:t>
      </w:r>
      <w:r>
        <w:t>.</w:t>
      </w:r>
      <w:r>
        <w:tab/>
        <w:t>Financial institutions, liabilities and rights in relation to trust accounts</w:t>
      </w:r>
      <w:bookmarkEnd w:id="88"/>
    </w:p>
    <w:p>
      <w:pPr>
        <w:pStyle w:val="Subsection"/>
      </w:pPr>
      <w:r>
        <w:tab/>
        <w:t>(1)</w:t>
      </w:r>
      <w:r>
        <w:tab/>
        <w:t>A financial institution does not incur any liability or obligation to any person by reason only that it has failed to secure compliance by a dealer with any provision of this Division, or of the regulations, relating to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lastRenderedPageBreak/>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No. 4 of 2002 s. 57.]</w:t>
      </w:r>
    </w:p>
    <w:p>
      <w:pPr>
        <w:pStyle w:val="Heading5"/>
      </w:pPr>
      <w:bookmarkStart w:id="89" w:name="_Toc106096867"/>
      <w:r>
        <w:rPr>
          <w:rStyle w:val="CharSectno"/>
        </w:rPr>
        <w:t>32G</w:t>
      </w:r>
      <w:r>
        <w:t>.</w:t>
      </w:r>
      <w:r>
        <w:tab/>
        <w:t>Payment to consignor</w:t>
      </w:r>
      <w:bookmarkEnd w:id="89"/>
    </w:p>
    <w:p>
      <w:pPr>
        <w:pStyle w:val="Subsection"/>
      </w:pPr>
      <w:r>
        <w:tab/>
      </w:r>
      <w:r>
        <w:tab/>
        <w:t>Where a dealer sells a vehicle under a consignment agreement he shall pay the proceeds of sale as required by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No. 4 of 2002 s. 57.]</w:t>
      </w:r>
    </w:p>
    <w:p>
      <w:pPr>
        <w:pStyle w:val="Heading5"/>
      </w:pPr>
      <w:bookmarkStart w:id="90" w:name="_Toc106096868"/>
      <w:r>
        <w:rPr>
          <w:rStyle w:val="CharSectno"/>
        </w:rPr>
        <w:t>32H</w:t>
      </w:r>
      <w:r>
        <w:t>.</w:t>
      </w:r>
      <w:r>
        <w:tab/>
        <w:t>Dealers to keep accounts etc.</w:t>
      </w:r>
      <w:bookmarkEnd w:id="90"/>
    </w:p>
    <w:p>
      <w:pPr>
        <w:pStyle w:val="Subsection"/>
      </w:pPr>
      <w:r>
        <w:tab/>
      </w:r>
      <w:r>
        <w:tab/>
        <w:t>A dealer shall —</w:t>
      </w:r>
    </w:p>
    <w:p>
      <w:pPr>
        <w:pStyle w:val="Indenta"/>
      </w:pPr>
      <w:r>
        <w:tab/>
        <w:t>(a)</w:t>
      </w:r>
      <w:r>
        <w:tab/>
        <w:t>keep full and accurate accounts and records of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r>
      <w:r>
        <w:tab/>
        <w:t>and</w:t>
      </w:r>
    </w:p>
    <w:p>
      <w:pPr>
        <w:pStyle w:val="Indenta"/>
      </w:pPr>
      <w:r>
        <w:tab/>
        <w:t>(b)</w:t>
      </w:r>
      <w:r>
        <w:tab/>
        <w:t>before the end of the next business day after the day on which proceeds of a sale are received or a payment is made, record particulars of —</w:t>
      </w:r>
    </w:p>
    <w:p>
      <w:pPr>
        <w:pStyle w:val="Indenti"/>
      </w:pPr>
      <w:r>
        <w:tab/>
        <w:t>(i)</w:t>
      </w:r>
      <w:r>
        <w:tab/>
        <w:t>the amount so received or paid; and</w:t>
      </w:r>
    </w:p>
    <w:p>
      <w:pPr>
        <w:pStyle w:val="Indenti"/>
      </w:pPr>
      <w:r>
        <w:tab/>
        <w:t>(ii)</w:t>
      </w:r>
      <w:r>
        <w:tab/>
        <w:t>the person from whom it was received or to whom it was paid;</w:t>
      </w:r>
    </w:p>
    <w:p>
      <w:pPr>
        <w:pStyle w:val="Indenta"/>
      </w:pPr>
      <w:r>
        <w:tab/>
      </w:r>
      <w:r>
        <w:tab/>
        <w:t>and</w:t>
      </w:r>
    </w:p>
    <w:p>
      <w:pPr>
        <w:pStyle w:val="Indenta"/>
      </w:pPr>
      <w:r>
        <w:lastRenderedPageBreak/>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No. 4 of 2002 s. 57.]</w:t>
      </w:r>
    </w:p>
    <w:p>
      <w:pPr>
        <w:pStyle w:val="Heading5"/>
      </w:pPr>
      <w:bookmarkStart w:id="91" w:name="_Toc106096869"/>
      <w:r>
        <w:rPr>
          <w:rStyle w:val="CharSectno"/>
        </w:rPr>
        <w:t>32I</w:t>
      </w:r>
      <w:r>
        <w:t>.</w:t>
      </w:r>
      <w:r>
        <w:tab/>
        <w:t>Audit of trust accounts</w:t>
      </w:r>
      <w:bookmarkEnd w:id="91"/>
    </w:p>
    <w:p>
      <w:pPr>
        <w:pStyle w:val="Subsection"/>
      </w:pPr>
      <w:r>
        <w:tab/>
        <w:t>(1)</w:t>
      </w:r>
      <w:r>
        <w:tab/>
        <w:t>A person who carries on the business of a dealer for the whole or part of a year must ensure that each trust account that is held by the dealer for that year, or part of a year, as the case may be, is audited by a registered company auditor.</w:t>
      </w:r>
    </w:p>
    <w:p>
      <w:pPr>
        <w:pStyle w:val="Penstart"/>
      </w:pPr>
      <w:r>
        <w:tab/>
        <w:t>Penalty for this subsection: a fine of $5 000.</w:t>
      </w:r>
    </w:p>
    <w:p>
      <w:pPr>
        <w:pStyle w:val="Subsection"/>
      </w:pPr>
      <w:r>
        <w:tab/>
        <w:t>(2)</w:t>
      </w:r>
      <w:r>
        <w:tab/>
        <w:t xml:space="preserve">A dealer is to be taken to have complied with subsection (1) in relation to a year if the dealer — </w:t>
      </w:r>
    </w:p>
    <w:p>
      <w:pPr>
        <w:pStyle w:val="Indenta"/>
      </w:pPr>
      <w:r>
        <w:tab/>
        <w:t>(a)</w:t>
      </w:r>
      <w:r>
        <w:tab/>
        <w:t>has neither received nor held money in a trust account during that year; and</w:t>
      </w:r>
    </w:p>
    <w:p>
      <w:pPr>
        <w:pStyle w:val="Indenta"/>
      </w:pPr>
      <w:r>
        <w:tab/>
        <w:t>(b)</w:t>
      </w:r>
      <w:r>
        <w:tab/>
        <w:t>makes a statutory declaration to that effect; and</w:t>
      </w:r>
    </w:p>
    <w:p>
      <w:pPr>
        <w:pStyle w:val="Indenta"/>
      </w:pPr>
      <w:r>
        <w:tab/>
        <w:t>(c)</w:t>
      </w:r>
      <w:r>
        <w:tab/>
        <w:t>gives the statutory declaration to the Commissioner within the period prescribed by the regulations.</w:t>
      </w:r>
    </w:p>
    <w:p>
      <w:pPr>
        <w:pStyle w:val="Footnotesection"/>
      </w:pPr>
      <w:r>
        <w:tab/>
        <w:t>[Section 32I inserted: No. 44 of 2016 s. 28.]</w:t>
      </w:r>
    </w:p>
    <w:p>
      <w:pPr>
        <w:pStyle w:val="Heading5"/>
      </w:pPr>
      <w:bookmarkStart w:id="92" w:name="_Toc106096870"/>
      <w:r>
        <w:rPr>
          <w:rStyle w:val="CharSectno"/>
        </w:rPr>
        <w:t>32J</w:t>
      </w:r>
      <w:r>
        <w:t>.</w:t>
      </w:r>
      <w:r>
        <w:tab/>
        <w:t>Special audit of trust account, Commissioner may order</w:t>
      </w:r>
      <w:bookmarkEnd w:id="92"/>
    </w:p>
    <w:p>
      <w:pPr>
        <w:pStyle w:val="Subsection"/>
      </w:pPr>
      <w:r>
        <w:tab/>
        <w:t>(1)</w:t>
      </w:r>
      <w:r>
        <w:tab/>
        <w:t>The Commissioner may exercise the power in subsection (2) if the Commissioner is of the opinion that it is desirable to do so because of the circumstances, or the alleged circumstances, of a dealer’s business.</w:t>
      </w:r>
    </w:p>
    <w:p>
      <w:pPr>
        <w:pStyle w:val="Subsection"/>
        <w:keepNext/>
      </w:pPr>
      <w:r>
        <w:tab/>
        <w:t>(2)</w:t>
      </w:r>
      <w:r>
        <w:tab/>
        <w:t>The Commissioner may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for that purpose —</w:t>
      </w:r>
    </w:p>
    <w:p>
      <w:pPr>
        <w:pStyle w:val="Indenti"/>
      </w:pPr>
      <w:r>
        <w:tab/>
        <w:t>(i)</w:t>
      </w:r>
      <w:r>
        <w:tab/>
        <w:t>appoint the auditor; and</w:t>
      </w:r>
    </w:p>
    <w:p>
      <w:pPr>
        <w:pStyle w:val="Indenti"/>
      </w:pPr>
      <w:r>
        <w:lastRenderedPageBreak/>
        <w:tab/>
        <w:t>(ii)</w:t>
      </w:r>
      <w:r>
        <w:tab/>
        <w:t>specify the information that is to be furnished, and the time within which the auditor is to report, to the Commissioner.</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No. 4 of 2002 s. 57; amended: No. 58 of 2011 s. 50.]</w:t>
      </w:r>
    </w:p>
    <w:p>
      <w:pPr>
        <w:pStyle w:val="Heading5"/>
      </w:pPr>
      <w:bookmarkStart w:id="93" w:name="_Toc106096871"/>
      <w:r>
        <w:rPr>
          <w:rStyle w:val="CharSectno"/>
        </w:rPr>
        <w:t>32K</w:t>
      </w:r>
      <w:r>
        <w:t>.</w:t>
      </w:r>
      <w:r>
        <w:tab/>
        <w:t>Restraining banks etc. from dealing with dealer’s account, SAT’s powers as to</w:t>
      </w:r>
      <w:bookmarkEnd w:id="93"/>
    </w:p>
    <w:p>
      <w:pPr>
        <w:pStyle w:val="Subsection"/>
        <w:spacing w:before="140"/>
      </w:pPr>
      <w:r>
        <w:tab/>
        <w:t>(1)</w:t>
      </w:r>
      <w:r>
        <w:tab/>
        <w:t>Where the Commissioner, on an application made by the Commissioner to the State Administrative Tribunal, shows by evidence on affidavit to the satisfaction of the State Administrative Tribunal that —</w:t>
      </w:r>
    </w:p>
    <w:p>
      <w:pPr>
        <w:pStyle w:val="Indenta"/>
        <w:spacing w:before="60"/>
      </w:pPr>
      <w:r>
        <w:tab/>
        <w:t>(a)</w:t>
      </w:r>
      <w:r>
        <w:tab/>
        <w:t>there are reasonable grounds for believing that there is a deficiency in a trust account of a dealer; or</w:t>
      </w:r>
    </w:p>
    <w:p>
      <w:pPr>
        <w:pStyle w:val="Indenta"/>
        <w:spacing w:before="60"/>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spacing w:before="100"/>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spacing w:before="140"/>
      </w:pPr>
      <w:r>
        <w:tab/>
        <w:t>(2)</w:t>
      </w:r>
      <w:r>
        <w:tab/>
        <w:t>An order under subsection (1) may —</w:t>
      </w:r>
    </w:p>
    <w:p>
      <w:pPr>
        <w:pStyle w:val="Indenta"/>
        <w:spacing w:before="60"/>
      </w:pPr>
      <w:r>
        <w:tab/>
        <w:t>(a)</w:t>
      </w:r>
      <w:r>
        <w:tab/>
        <w:t>contain such terms and conditions as the State Administrative Tribunal thinks fit; and</w:t>
      </w:r>
    </w:p>
    <w:p>
      <w:pPr>
        <w:pStyle w:val="Indenta"/>
        <w:spacing w:before="60"/>
      </w:pPr>
      <w:r>
        <w:lastRenderedPageBreak/>
        <w:tab/>
        <w:t>(b)</w:t>
      </w:r>
      <w:r>
        <w:tab/>
        <w:t>relate to all or any one or more of the trust or other accounts, as the State Administrative Tribunal determines.</w:t>
      </w:r>
    </w:p>
    <w:p>
      <w:pPr>
        <w:pStyle w:val="Subsection"/>
        <w:spacing w:before="140"/>
      </w:pPr>
      <w:r>
        <w:tab/>
        <w:t>(3)</w:t>
      </w:r>
      <w:r>
        <w:tab/>
        <w:t>The order shall be made in the first instance ex parte, without any notice to the dealer, and is an order to show cause only.</w:t>
      </w:r>
    </w:p>
    <w:p>
      <w:pPr>
        <w:pStyle w:val="Subsection"/>
        <w:spacing w:before="140"/>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spacing w:before="80"/>
        <w:ind w:left="890" w:hanging="890"/>
        <w:rPr>
          <w:spacing w:val="-2"/>
        </w:rPr>
      </w:pPr>
      <w:r>
        <w:tab/>
      </w:r>
      <w:r>
        <w:rPr>
          <w:spacing w:val="-2"/>
        </w:rPr>
        <w:t>[Section 32K inserted: No. 4 of 2002 s. 57; amended: No. 55 of 2004 s. 780; No. 69 of 2006 s. 25; No. 58 of 2010 s. 46.]</w:t>
      </w:r>
    </w:p>
    <w:p>
      <w:pPr>
        <w:pStyle w:val="Heading5"/>
      </w:pPr>
      <w:bookmarkStart w:id="94" w:name="_Toc106096872"/>
      <w:r>
        <w:rPr>
          <w:rStyle w:val="CharSectno"/>
        </w:rPr>
        <w:t>32L</w:t>
      </w:r>
      <w:r>
        <w:t>.</w:t>
      </w:r>
      <w:r>
        <w:tab/>
        <w:t>Deceased dealer, SAT may restrain use of trust account of etc.</w:t>
      </w:r>
      <w:bookmarkEnd w:id="94"/>
    </w:p>
    <w:p>
      <w:pPr>
        <w:pStyle w:val="Subsection"/>
      </w:pPr>
      <w:r>
        <w:tab/>
        <w:t>(1)</w:t>
      </w:r>
      <w:r>
        <w:tab/>
        <w:t>Where the State Administrative Tribunal is satisfied, on the application of the Commissioner,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The State Administrative Tribunal may order that the Commissioner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Commissioner under section 16 of the </w:t>
      </w:r>
      <w:r>
        <w:rPr>
          <w:i/>
        </w:rPr>
        <w:t>Financial Management Act 2006</w:t>
      </w:r>
      <w:r>
        <w:t>; and</w:t>
      </w:r>
    </w:p>
    <w:p>
      <w:pPr>
        <w:pStyle w:val="Indenta"/>
      </w:pPr>
      <w:r>
        <w:tab/>
        <w:t>(c)</w:t>
      </w:r>
      <w:r>
        <w:tab/>
        <w:t>deal with those moneys according to law.</w:t>
      </w:r>
    </w:p>
    <w:p>
      <w:pPr>
        <w:pStyle w:val="Subsection"/>
      </w:pPr>
      <w:r>
        <w:tab/>
        <w:t>(3)</w:t>
      </w:r>
      <w:r>
        <w:tab/>
        <w:t xml:space="preserve">The State Administrative Tribunal may, on the application of the Commissioner, or any person interested, give such directions as the State Administrative Tribunal thinks fit for the payment </w:t>
      </w:r>
      <w:r>
        <w:lastRenderedPageBreak/>
        <w:t>by the Commissioner of any part of the moneys credited to the separate agency special purpose account under the order.</w:t>
      </w:r>
    </w:p>
    <w:p>
      <w:pPr>
        <w:pStyle w:val="Footnotesection"/>
      </w:pPr>
      <w:r>
        <w:tab/>
        <w:t>[Section 32L inserted: No. 4 of 2002 s. 57; amended: No. 55 of 2004 s. 780; No. 77 of 2006 Sch. 1 cl. 109(1) and (2); No. 58 of 2010 s. 50.]</w:t>
      </w:r>
    </w:p>
    <w:p>
      <w:pPr>
        <w:pStyle w:val="Heading5"/>
      </w:pPr>
      <w:bookmarkStart w:id="95" w:name="_Toc106096873"/>
      <w:r>
        <w:rPr>
          <w:rStyle w:val="CharSectno"/>
        </w:rPr>
        <w:t>32M</w:t>
      </w:r>
      <w:r>
        <w:t>.</w:t>
      </w:r>
      <w:r>
        <w:tab/>
        <w:t>Discharging or varying orders under s. 32K or 32L</w:t>
      </w:r>
      <w:bookmarkEnd w:id="95"/>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No. 4 of 2002 s. 57; amended: No. 55 of 2004 s. 780.]</w:t>
      </w:r>
    </w:p>
    <w:p>
      <w:pPr>
        <w:pStyle w:val="Heading5"/>
      </w:pPr>
      <w:bookmarkStart w:id="96" w:name="_Toc106096874"/>
      <w:r>
        <w:rPr>
          <w:rStyle w:val="CharSectno"/>
        </w:rPr>
        <w:t>32N</w:t>
      </w:r>
      <w:r>
        <w:t>.</w:t>
      </w:r>
      <w:r>
        <w:tab/>
        <w:t>SAT’s additional powers as to s. 32K, 32L and 32M orders; schemes for distributing funds</w:t>
      </w:r>
      <w:bookmarkEnd w:id="96"/>
    </w:p>
    <w:p>
      <w:pPr>
        <w:pStyle w:val="Subsection"/>
      </w:pPr>
      <w:r>
        <w:tab/>
        <w:t>(1)</w:t>
      </w:r>
      <w:r>
        <w:tab/>
        <w:t>The State Administrative Tribunal may, on the application of the Commissioner, the Treasurer, the dealer, or the personal representative of a deceased dealer referred to in an order made under section 32K, 32L or 32M make further orders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The Treasurer, on receiving moneys paid pursuant to an order made under subsection (1)(b) —</w:t>
      </w:r>
    </w:p>
    <w:p>
      <w:pPr>
        <w:pStyle w:val="Indenta"/>
        <w:spacing w:before="70"/>
      </w:pPr>
      <w:r>
        <w:tab/>
        <w:t>(a)</w:t>
      </w:r>
      <w:r>
        <w:tab/>
        <w:t xml:space="preserve">shall cause the moneys to be credited to a separate Treasurer’s special purpose account established under section 10 of the </w:t>
      </w:r>
      <w:r>
        <w:rPr>
          <w:i/>
        </w:rPr>
        <w:t>Financial Management Act 2006</w:t>
      </w:r>
      <w:r>
        <w:t>;</w:t>
      </w:r>
    </w:p>
    <w:p>
      <w:pPr>
        <w:pStyle w:val="Indenta"/>
        <w:spacing w:before="70"/>
      </w:pPr>
      <w:r>
        <w:lastRenderedPageBreak/>
        <w:tab/>
        <w:t>(b)</w:t>
      </w:r>
      <w:r>
        <w:tab/>
        <w:t>may prepare a scheme for distributing the moneys as compensation to each person who —</w:t>
      </w:r>
    </w:p>
    <w:p>
      <w:pPr>
        <w:pStyle w:val="Indenti"/>
        <w:spacing w:before="70"/>
      </w:pPr>
      <w:r>
        <w:tab/>
        <w:t>(i)</w:t>
      </w:r>
      <w:r>
        <w:tab/>
        <w:t>claims compensation at any time within 6 months after the Treasurer receives the money; and</w:t>
      </w:r>
    </w:p>
    <w:p>
      <w:pPr>
        <w:pStyle w:val="Indenti"/>
        <w:spacing w:before="70"/>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The State Administrative Tribunal may give such directions as it thinks fit in respect of —</w:t>
      </w:r>
    </w:p>
    <w:p>
      <w:pPr>
        <w:pStyle w:val="Indenta"/>
      </w:pPr>
      <w:r>
        <w:tab/>
        <w:t>(a)</w:t>
      </w:r>
      <w:r>
        <w:tab/>
        <w:t>the separate Treasurer’s special purpose account; and</w:t>
      </w:r>
    </w:p>
    <w:p>
      <w:pPr>
        <w:pStyle w:val="Indenta"/>
      </w:pPr>
      <w:r>
        <w:tab/>
        <w:t>(b)</w:t>
      </w:r>
      <w:r>
        <w:tab/>
        <w:t>the moneys standing to the credit of the account; and</w:t>
      </w:r>
    </w:p>
    <w:p>
      <w:pPr>
        <w:pStyle w:val="Indenta"/>
      </w:pPr>
      <w:r>
        <w:tab/>
        <w:t>(c)</w:t>
      </w:r>
      <w:r>
        <w:tab/>
        <w:t>the persons to whom and in what amounts the whole or any portion of the moneys standing to the credit of the account shall be paid by the Treasurer; and</w:t>
      </w:r>
    </w:p>
    <w:p>
      <w:pPr>
        <w:pStyle w:val="Indenta"/>
      </w:pPr>
      <w:r>
        <w:tab/>
        <w:t>(d)</w:t>
      </w:r>
      <w:r>
        <w:tab/>
        <w:t>the payment of the balance of the moneys then standing to the credit of the account, if any.</w:t>
      </w:r>
    </w:p>
    <w:p>
      <w:pPr>
        <w:pStyle w:val="Footnotesection"/>
      </w:pPr>
      <w:r>
        <w:tab/>
        <w:t>[Section 32N inserted: No. 4 of 2002 s. 57; amended: No. 55 of 2004 s. 780; No. 77 of 2006 Sch. 1 cl. 109(3) and (4); No. 58 of 2010 s. 50.]</w:t>
      </w:r>
    </w:p>
    <w:p>
      <w:pPr>
        <w:pStyle w:val="Heading5"/>
      </w:pPr>
      <w:bookmarkStart w:id="97" w:name="_Toc106096875"/>
      <w:r>
        <w:rPr>
          <w:rStyle w:val="CharSectno"/>
        </w:rPr>
        <w:t>32O</w:t>
      </w:r>
      <w:r>
        <w:t>.</w:t>
      </w:r>
      <w:r>
        <w:tab/>
        <w:t>Service of s. 32K, 32L, 32M or 32N orders</w:t>
      </w:r>
      <w:bookmarkEnd w:id="97"/>
    </w:p>
    <w:p>
      <w:pPr>
        <w:pStyle w:val="Subsection"/>
      </w:pPr>
      <w:r>
        <w:tab/>
        <w:t>(1)</w:t>
      </w:r>
      <w:r>
        <w:tab/>
        <w:t>Where an order is made under section 32K, 32L or 32N on the application of the Commissioner, the Commissioner shall serve or cause to be served a copy of the order —</w:t>
      </w:r>
    </w:p>
    <w:p>
      <w:pPr>
        <w:pStyle w:val="Indenta"/>
      </w:pPr>
      <w:r>
        <w:tab/>
        <w:t>(a)</w:t>
      </w:r>
      <w:r>
        <w:tab/>
        <w:t>on the person for the time being in charge of the office of the financial institution in which any account referred to in the order is kept; and</w:t>
      </w:r>
    </w:p>
    <w:p>
      <w:pPr>
        <w:pStyle w:val="Indenta"/>
      </w:pPr>
      <w:r>
        <w:lastRenderedPageBreak/>
        <w:tab/>
        <w:t>(b)</w:t>
      </w:r>
      <w:r>
        <w:tab/>
        <w:t>on the dealer, or the personal representative of the deceased dealer, in whose name the account is kept; and</w:t>
      </w:r>
    </w:p>
    <w:p>
      <w:pPr>
        <w:pStyle w:val="Indenta"/>
      </w:pPr>
      <w:r>
        <w:tab/>
        <w:t>(c)</w:t>
      </w:r>
      <w:r>
        <w:tab/>
        <w:t>where it is an order under section 32N(1)(b), on the Treasurer.</w:t>
      </w:r>
    </w:p>
    <w:p>
      <w:pPr>
        <w:pStyle w:val="Subsection"/>
      </w:pPr>
      <w:r>
        <w:tab/>
        <w:t>(2)</w:t>
      </w:r>
      <w:r>
        <w:tab/>
        <w:t>Where an order is made under section 32M or 32N on the application of a dealer, or the personal representative of a deceased dealer, the dealer or personal representative shall serve or cause to be served a copy of the order —</w:t>
      </w:r>
    </w:p>
    <w:p>
      <w:pPr>
        <w:pStyle w:val="Indenta"/>
      </w:pPr>
      <w:r>
        <w:tab/>
        <w:t>(a)</w:t>
      </w:r>
      <w:r>
        <w:tab/>
        <w:t>on the person for the time being in charge of the financial institution in which any account referred to in the order is kept; and</w:t>
      </w:r>
    </w:p>
    <w:p>
      <w:pPr>
        <w:pStyle w:val="Indenta"/>
        <w:spacing w:before="70"/>
      </w:pPr>
      <w:r>
        <w:tab/>
        <w:t>(b)</w:t>
      </w:r>
      <w:r>
        <w:tab/>
        <w:t>on the Commissioner; and</w:t>
      </w:r>
    </w:p>
    <w:p>
      <w:pPr>
        <w:pStyle w:val="Indenta"/>
        <w:spacing w:before="70"/>
      </w:pPr>
      <w:r>
        <w:tab/>
        <w:t>(c)</w:t>
      </w:r>
      <w:r>
        <w:tab/>
        <w:t>where it is an order under section 32N(1)(b), on the Treasurer.</w:t>
      </w:r>
    </w:p>
    <w:p>
      <w:pPr>
        <w:pStyle w:val="Subsection"/>
      </w:pPr>
      <w:r>
        <w:tab/>
        <w:t>(3)</w:t>
      </w:r>
      <w:r>
        <w:tab/>
        <w:t>Where an order is made under section 32N on the application of the Treasurer, the Treasurer shall serve or cause to be served a copy of the order —</w:t>
      </w:r>
    </w:p>
    <w:p>
      <w:pPr>
        <w:pStyle w:val="Indenta"/>
        <w:spacing w:before="70"/>
      </w:pPr>
      <w:r>
        <w:tab/>
        <w:t>(a)</w:t>
      </w:r>
      <w:r>
        <w:tab/>
        <w:t>on the person for the time being in charge of the office of the financial institution in which any account referred to in the order is kept; and</w:t>
      </w:r>
    </w:p>
    <w:p>
      <w:pPr>
        <w:pStyle w:val="Indenta"/>
        <w:spacing w:before="70"/>
      </w:pPr>
      <w:r>
        <w:tab/>
        <w:t>(b)</w:t>
      </w:r>
      <w:r>
        <w:tab/>
        <w:t>on the dealer, or the personal representative of the deceased dealer, in whose name the account is kept; and</w:t>
      </w:r>
    </w:p>
    <w:p>
      <w:pPr>
        <w:pStyle w:val="Indenta"/>
        <w:spacing w:before="70"/>
      </w:pPr>
      <w:r>
        <w:tab/>
        <w:t>(c)</w:t>
      </w:r>
      <w:r>
        <w:tab/>
        <w:t>on the Commissioner.</w:t>
      </w:r>
    </w:p>
    <w:p>
      <w:pPr>
        <w:pStyle w:val="Footnotesection"/>
      </w:pPr>
      <w:r>
        <w:tab/>
        <w:t>[Section 32O inserted: No. 4 of 2002 s. 57; amended: No. 55 of 2004 s. 776; No. 58 of 2010 s. 50.]</w:t>
      </w:r>
    </w:p>
    <w:p>
      <w:pPr>
        <w:pStyle w:val="Heading5"/>
      </w:pPr>
      <w:bookmarkStart w:id="98" w:name="_Toc106096876"/>
      <w:r>
        <w:rPr>
          <w:rStyle w:val="CharSectno"/>
        </w:rPr>
        <w:t>32P</w:t>
      </w:r>
      <w:r>
        <w:t>.</w:t>
      </w:r>
      <w:r>
        <w:tab/>
        <w:t>Regulations about trust accounts</w:t>
      </w:r>
      <w:bookmarkEnd w:id="98"/>
    </w:p>
    <w:p>
      <w:pPr>
        <w:pStyle w:val="Subsection"/>
      </w:pPr>
      <w:r>
        <w:tab/>
      </w:r>
      <w:r>
        <w:tab/>
        <w:t>The regulations may make provision for or with respect to —</w:t>
      </w:r>
    </w:p>
    <w:p>
      <w:pPr>
        <w:pStyle w:val="Indenta"/>
        <w:spacing w:before="60"/>
      </w:pPr>
      <w:r>
        <w:tab/>
        <w:t>(a)</w:t>
      </w:r>
      <w:r>
        <w:tab/>
        <w:t>keeping and management of trust accounts including —</w:t>
      </w:r>
    </w:p>
    <w:p>
      <w:pPr>
        <w:pStyle w:val="Indenti"/>
        <w:spacing w:before="60"/>
      </w:pPr>
      <w:r>
        <w:tab/>
        <w:t>(i)</w:t>
      </w:r>
      <w:r>
        <w:tab/>
        <w:t>information to be given to the Commissioner in relation to trust accounts; and</w:t>
      </w:r>
    </w:p>
    <w:p>
      <w:pPr>
        <w:pStyle w:val="Indenti"/>
        <w:spacing w:before="60"/>
      </w:pPr>
      <w:r>
        <w:tab/>
        <w:t>(ii)</w:t>
      </w:r>
      <w:r>
        <w:tab/>
        <w:t>reporting of overdrawn trust accounts; and</w:t>
      </w:r>
    </w:p>
    <w:p>
      <w:pPr>
        <w:pStyle w:val="Indenti"/>
        <w:spacing w:before="60"/>
      </w:pPr>
      <w:r>
        <w:lastRenderedPageBreak/>
        <w:tab/>
        <w:t>(iii)</w:t>
      </w:r>
      <w:r>
        <w:tab/>
        <w:t>the manner in which records are to be kept and the information that is to be included in the records; and</w:t>
      </w:r>
    </w:p>
    <w:p>
      <w:pPr>
        <w:pStyle w:val="Indenti"/>
        <w:spacing w:before="60"/>
      </w:pPr>
      <w:r>
        <w:tab/>
        <w:t>(iv)</w:t>
      </w:r>
      <w:r>
        <w:tab/>
        <w:t>the manner of accounting for moneys received; and</w:t>
      </w:r>
    </w:p>
    <w:p>
      <w:pPr>
        <w:pStyle w:val="Indenti"/>
        <w:spacing w:before="60"/>
      </w:pPr>
      <w:r>
        <w:tab/>
        <w:t>(v)</w:t>
      </w:r>
      <w:r>
        <w:tab/>
        <w:t>the making of statutory declarations in relation to moneys held in trust;</w:t>
      </w:r>
    </w:p>
    <w:p>
      <w:pPr>
        <w:pStyle w:val="Indenta"/>
        <w:spacing w:before="60"/>
      </w:pPr>
      <w:r>
        <w:tab/>
      </w:r>
      <w:r>
        <w:tab/>
        <w:t>and</w:t>
      </w:r>
    </w:p>
    <w:p>
      <w:pPr>
        <w:pStyle w:val="Indenta"/>
        <w:spacing w:before="60"/>
      </w:pPr>
      <w:r>
        <w:tab/>
        <w:t>(b)</w:t>
      </w:r>
      <w:r>
        <w:tab/>
        <w:t>duties of financial institutions in relation to trust accounts, including —</w:t>
      </w:r>
    </w:p>
    <w:p>
      <w:pPr>
        <w:pStyle w:val="Indenti"/>
        <w:spacing w:before="60"/>
      </w:pPr>
      <w:r>
        <w:tab/>
        <w:t>(i)</w:t>
      </w:r>
      <w:r>
        <w:tab/>
        <w:t>the interest to be paid on the balance of trust accounts; and</w:t>
      </w:r>
    </w:p>
    <w:p>
      <w:pPr>
        <w:pStyle w:val="Indenti"/>
      </w:pPr>
      <w:r>
        <w:tab/>
        <w:t>(ii)</w:t>
      </w:r>
      <w:r>
        <w:tab/>
        <w:t>reporting of overdrawn trust accounts;</w:t>
      </w:r>
    </w:p>
    <w:p>
      <w:pPr>
        <w:pStyle w:val="Indenta"/>
      </w:pPr>
      <w:r>
        <w:tab/>
      </w:r>
      <w:r>
        <w:tab/>
        <w:t>and</w:t>
      </w:r>
    </w:p>
    <w:p>
      <w:pPr>
        <w:pStyle w:val="Indenta"/>
        <w:keepNext/>
      </w:pPr>
      <w:r>
        <w:tab/>
        <w:t>(c)</w:t>
      </w:r>
      <w:r>
        <w:tab/>
        <w:t>auditing of trust accounts, including —</w:t>
      </w:r>
    </w:p>
    <w:p>
      <w:pPr>
        <w:pStyle w:val="Indenti"/>
        <w:spacing w:before="60"/>
      </w:pPr>
      <w:r>
        <w:tab/>
        <w:t>(i)</w:t>
      </w:r>
      <w:r>
        <w:tab/>
        <w:t>the appointment of auditors; and</w:t>
      </w:r>
    </w:p>
    <w:p>
      <w:pPr>
        <w:pStyle w:val="Indenti"/>
        <w:spacing w:before="60"/>
      </w:pPr>
      <w:r>
        <w:tab/>
        <w:t>(ii)</w:t>
      </w:r>
      <w:r>
        <w:tab/>
        <w:t>the production of records and information to auditors by dealers and financial institutions; and</w:t>
      </w:r>
    </w:p>
    <w:p>
      <w:pPr>
        <w:pStyle w:val="Indenti"/>
        <w:spacing w:before="60"/>
      </w:pPr>
      <w:r>
        <w:tab/>
        <w:t>(iii)</w:t>
      </w:r>
      <w:r>
        <w:tab/>
        <w:t>the manner in which auditing is to be conducted; and</w:t>
      </w:r>
    </w:p>
    <w:p>
      <w:pPr>
        <w:pStyle w:val="Indenti"/>
        <w:spacing w:before="60"/>
      </w:pPr>
      <w:r>
        <w:tab/>
        <w:t>(iv)</w:t>
      </w:r>
      <w:r>
        <w:tab/>
        <w:t>the information and matters to be contained in the auditor’s report; and</w:t>
      </w:r>
    </w:p>
    <w:p>
      <w:pPr>
        <w:pStyle w:val="Indenti"/>
        <w:spacing w:before="60"/>
      </w:pPr>
      <w:r>
        <w:tab/>
        <w:t>(v)</w:t>
      </w:r>
      <w:r>
        <w:tab/>
        <w:t>the obligations of auditors to the Commissioner; and</w:t>
      </w:r>
    </w:p>
    <w:p>
      <w:pPr>
        <w:pStyle w:val="Indenti"/>
        <w:spacing w:before="60"/>
      </w:pPr>
      <w:r>
        <w:tab/>
        <w:t>(vi)</w:t>
      </w:r>
      <w:r>
        <w:tab/>
        <w:t>the costs of auditing; and</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No. 4 of 2002 s. 57; amended: No. 58 of 2010 s. 50.]</w:t>
      </w:r>
    </w:p>
    <w:p>
      <w:pPr>
        <w:pStyle w:val="Heading3"/>
      </w:pPr>
      <w:bookmarkStart w:id="99" w:name="_Toc106010426"/>
      <w:bookmarkStart w:id="100" w:name="_Toc106010559"/>
      <w:bookmarkStart w:id="101" w:name="_Toc106096877"/>
      <w:r>
        <w:rPr>
          <w:rStyle w:val="CharDivNo"/>
        </w:rPr>
        <w:t>Division 3</w:t>
      </w:r>
      <w:r>
        <w:t> — </w:t>
      </w:r>
      <w:r>
        <w:rPr>
          <w:rStyle w:val="CharDivText"/>
        </w:rPr>
        <w:t>Obligation to display particulars of vehicle</w:t>
      </w:r>
      <w:bookmarkEnd w:id="99"/>
      <w:bookmarkEnd w:id="100"/>
      <w:bookmarkEnd w:id="101"/>
    </w:p>
    <w:p>
      <w:pPr>
        <w:pStyle w:val="Footnoteheading"/>
      </w:pPr>
      <w:r>
        <w:tab/>
        <w:t>[Heading inserted: No. 4 of 2002 s. 57.]</w:t>
      </w:r>
    </w:p>
    <w:p>
      <w:pPr>
        <w:pStyle w:val="Heading5"/>
        <w:rPr>
          <w:snapToGrid w:val="0"/>
        </w:rPr>
      </w:pPr>
      <w:bookmarkStart w:id="102" w:name="_Toc106096878"/>
      <w:r>
        <w:rPr>
          <w:rStyle w:val="CharSectno"/>
        </w:rPr>
        <w:lastRenderedPageBreak/>
        <w:t>33</w:t>
      </w:r>
      <w:r>
        <w:rPr>
          <w:snapToGrid w:val="0"/>
        </w:rPr>
        <w:t>.</w:t>
      </w:r>
      <w:r>
        <w:rPr>
          <w:snapToGrid w:val="0"/>
        </w:rPr>
        <w:tab/>
        <w:t>Particulars of second-hand vehicles, notice of to be displayed on etc.</w:t>
      </w:r>
      <w:bookmarkEnd w:id="102"/>
    </w:p>
    <w:p>
      <w:pPr>
        <w:pStyle w:val="Subsection"/>
      </w:pPr>
      <w:r>
        <w:tab/>
        <w:t>(1)</w:t>
      </w:r>
      <w:r>
        <w:tab/>
        <w:t>A dealer, yard manager or salesperson shall not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keepNext/>
        <w:rPr>
          <w:snapToGrid w:val="0"/>
        </w:rPr>
      </w:pPr>
      <w:r>
        <w:rPr>
          <w:snapToGrid w:val="0"/>
        </w:rPr>
        <w:tab/>
        <w:t>(2)</w:t>
      </w:r>
      <w:r>
        <w:rPr>
          <w:snapToGrid w:val="0"/>
        </w:rPr>
        <w:tab/>
        <w:t>Where the Commissioner is satisfied that —</w:t>
      </w:r>
    </w:p>
    <w:p>
      <w:pPr>
        <w:pStyle w:val="Indenta"/>
        <w:spacing w:before="100"/>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spacing w:before="100"/>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w:t>
      </w:r>
    </w:p>
    <w:p>
      <w:pPr>
        <w:pStyle w:val="Indenta"/>
        <w:spacing w:before="100"/>
        <w:rPr>
          <w:snapToGrid w:val="0"/>
        </w:rPr>
      </w:pPr>
      <w:r>
        <w:rPr>
          <w:snapToGrid w:val="0"/>
        </w:rPr>
        <w:tab/>
        <w:t>(a)</w:t>
      </w:r>
      <w:r>
        <w:rPr>
          <w:snapToGrid w:val="0"/>
        </w:rPr>
        <w:tab/>
        <w:t>the name and business address of the dealer by whom the vehicle is offered or exposed for sale; and</w:t>
      </w:r>
    </w:p>
    <w:p>
      <w:pPr>
        <w:pStyle w:val="Indenta"/>
        <w:spacing w:before="100"/>
        <w:rPr>
          <w:snapToGrid w:val="0"/>
        </w:rPr>
      </w:pPr>
      <w:r>
        <w:rPr>
          <w:snapToGrid w:val="0"/>
        </w:rPr>
        <w:tab/>
        <w:t>(b)</w:t>
      </w:r>
      <w:r>
        <w:rPr>
          <w:snapToGrid w:val="0"/>
        </w:rPr>
        <w:tab/>
        <w:t>where the vehicle is equipped with an odometer, the reading on the odometer of the vehicle at the time the vehicle was acquired from the last owner of the vehicle; and</w:t>
      </w:r>
    </w:p>
    <w:p>
      <w:pPr>
        <w:pStyle w:val="Indenta"/>
        <w:spacing w:before="100"/>
        <w:rPr>
          <w:snapToGrid w:val="0"/>
        </w:rPr>
      </w:pPr>
      <w:r>
        <w:rPr>
          <w:snapToGrid w:val="0"/>
        </w:rPr>
        <w:lastRenderedPageBreak/>
        <w:tab/>
        <w:t>(c)</w:t>
      </w:r>
      <w:r>
        <w:rPr>
          <w:snapToGrid w:val="0"/>
        </w:rPr>
        <w:tab/>
        <w:t>the cash price of the vehicle; and</w:t>
      </w:r>
    </w:p>
    <w:p>
      <w:pPr>
        <w:pStyle w:val="Indenta"/>
        <w:spacing w:before="100"/>
        <w:rPr>
          <w:snapToGrid w:val="0"/>
        </w:rPr>
      </w:pPr>
      <w:r>
        <w:rPr>
          <w:snapToGrid w:val="0"/>
        </w:rPr>
        <w:tab/>
        <w:t>(d)</w:t>
      </w:r>
      <w:r>
        <w:rPr>
          <w:snapToGrid w:val="0"/>
        </w:rPr>
        <w:tab/>
        <w:t>the year of first registration of the vehicle and the year of manufacture of the vehicle; and</w:t>
      </w:r>
    </w:p>
    <w:p>
      <w:pPr>
        <w:pStyle w:val="Indenta"/>
        <w:spacing w:before="100"/>
        <w:rPr>
          <w:snapToGrid w:val="0"/>
        </w:rPr>
      </w:pPr>
      <w:r>
        <w:rPr>
          <w:snapToGrid w:val="0"/>
        </w:rPr>
        <w:tab/>
        <w:t>(e)</w:t>
      </w:r>
      <w:r>
        <w:rPr>
          <w:snapToGrid w:val="0"/>
        </w:rPr>
        <w:tab/>
        <w:t xml:space="preserve">the licence plate number of the vehicle or, </w:t>
      </w:r>
      <w:r>
        <w:t xml:space="preserve">if a licence has not been granted in respect of the vehicle under the </w:t>
      </w:r>
      <w:r>
        <w:rPr>
          <w:i/>
          <w:iCs/>
        </w:rPr>
        <w:t>Road Traffic (Vehicles) Act 2012</w:t>
      </w:r>
      <w:r>
        <w:t>,</w:t>
      </w:r>
      <w:r>
        <w:rPr>
          <w:snapToGrid w:val="0"/>
        </w:rPr>
        <w:t xml:space="preserve"> the word “unlicensed”; and</w:t>
      </w:r>
    </w:p>
    <w:p>
      <w:pPr>
        <w:pStyle w:val="Ednotepara"/>
        <w:spacing w:before="100"/>
      </w:pPr>
      <w:r>
        <w:tab/>
        <w:t>[(f)</w:t>
      </w:r>
      <w:r>
        <w:tab/>
        <w:t>deleted]</w:t>
      </w:r>
    </w:p>
    <w:p>
      <w:pPr>
        <w:pStyle w:val="Indenta"/>
        <w:spacing w:before="100"/>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keepNext/>
        <w:rPr>
          <w:snapToGrid w:val="0"/>
        </w:rPr>
      </w:pPr>
      <w:r>
        <w:rPr>
          <w:snapToGrid w:val="0"/>
        </w:rPr>
        <w:tab/>
        <w:t>(6)</w:t>
      </w:r>
      <w:r>
        <w:rPr>
          <w:snapToGrid w:val="0"/>
        </w:rPr>
        <w:tab/>
        <w:t>For the purposes of subsection (1), the notice shall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w:t>
      </w:r>
    </w:p>
    <w:p>
      <w:pPr>
        <w:pStyle w:val="Indenta"/>
        <w:spacing w:before="60"/>
        <w:rPr>
          <w:snapToGrid w:val="0"/>
        </w:rPr>
      </w:pPr>
      <w:r>
        <w:rPr>
          <w:snapToGrid w:val="0"/>
        </w:rPr>
        <w:lastRenderedPageBreak/>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 and</w:t>
      </w:r>
    </w:p>
    <w:p>
      <w:pPr>
        <w:pStyle w:val="Indenta"/>
        <w:spacing w:before="60"/>
        <w:rPr>
          <w:snapToGrid w:val="0"/>
        </w:rPr>
      </w:pPr>
      <w:r>
        <w:rPr>
          <w:snapToGrid w:val="0"/>
        </w:rPr>
        <w:tab/>
        <w:t>(b)</w:t>
      </w:r>
      <w:r>
        <w:rPr>
          <w:snapToGrid w:val="0"/>
        </w:rPr>
        <w:tab/>
        <w:t>cause at least 2 of the copies of the notice made out pursuant to paragraph (a) to be signed by the purchaser; and</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[Section 33 amended: No. 74 of 1975 s. 15; No. 49 of 1979 s. 14; No. 4 of 2002 s. 31(1) and 43; No. 73 of 2003 s. 19; No. 84 of 2004 s. 82; No. 8 of 2012 s. 145.]</w:t>
      </w:r>
    </w:p>
    <w:p>
      <w:pPr>
        <w:pStyle w:val="Heading3"/>
      </w:pPr>
      <w:bookmarkStart w:id="103" w:name="_Toc106010428"/>
      <w:bookmarkStart w:id="104" w:name="_Toc106010561"/>
      <w:bookmarkStart w:id="105" w:name="_Toc106096879"/>
      <w:r>
        <w:rPr>
          <w:rStyle w:val="CharDivNo"/>
        </w:rPr>
        <w:t>Division 4</w:t>
      </w:r>
      <w:r>
        <w:t> — </w:t>
      </w:r>
      <w:r>
        <w:rPr>
          <w:rStyle w:val="CharDivText"/>
        </w:rPr>
        <w:t>Obligation to repair certain defects</w:t>
      </w:r>
      <w:bookmarkEnd w:id="103"/>
      <w:bookmarkEnd w:id="104"/>
      <w:bookmarkEnd w:id="105"/>
    </w:p>
    <w:p>
      <w:pPr>
        <w:pStyle w:val="Footnoteheading"/>
        <w:keepNext/>
      </w:pPr>
      <w:r>
        <w:tab/>
        <w:t>[Heading inserted: No. 4 of 2002 s. 58.]</w:t>
      </w:r>
    </w:p>
    <w:p>
      <w:pPr>
        <w:pStyle w:val="Heading5"/>
      </w:pPr>
      <w:bookmarkStart w:id="106" w:name="_Toc106096880"/>
      <w:r>
        <w:rPr>
          <w:rStyle w:val="CharSectno"/>
        </w:rPr>
        <w:t>34</w:t>
      </w:r>
      <w:r>
        <w:t>.</w:t>
      </w:r>
      <w:r>
        <w:tab/>
        <w:t>Dealer’s duty to repair certain defects in sold vehicles</w:t>
      </w:r>
      <w:bookmarkEnd w:id="106"/>
    </w:p>
    <w:p>
      <w:pPr>
        <w:pStyle w:val="Subsection"/>
      </w:pPr>
      <w:r>
        <w:tab/>
      </w:r>
      <w:r>
        <w:tab/>
        <w:t>A dealer who sells a vehicle to which this Division applies shall at his own expense repair or make good, or cause to be repaired or made good, a defect for which he is responsible under sections 34B, 34C and 34D so as to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No. 4 of 2002 s. 59.]</w:t>
      </w:r>
    </w:p>
    <w:p>
      <w:pPr>
        <w:pStyle w:val="Heading5"/>
      </w:pPr>
      <w:bookmarkStart w:id="107" w:name="_Toc106096881"/>
      <w:r>
        <w:rPr>
          <w:rStyle w:val="CharSectno"/>
        </w:rPr>
        <w:t>34A</w:t>
      </w:r>
      <w:r>
        <w:t>.</w:t>
      </w:r>
      <w:r>
        <w:tab/>
        <w:t>Vehicles covered by obligation to repair</w:t>
      </w:r>
      <w:bookmarkEnd w:id="107"/>
    </w:p>
    <w:p>
      <w:pPr>
        <w:pStyle w:val="Subsection"/>
      </w:pPr>
      <w:r>
        <w:tab/>
        <w:t>(1)</w:t>
      </w:r>
      <w:r>
        <w:tab/>
        <w:t>This Division applies to a second</w:t>
      </w:r>
      <w:r>
        <w:noBreakHyphen/>
        <w:t>hand vehicle that —</w:t>
      </w:r>
    </w:p>
    <w:p>
      <w:pPr>
        <w:pStyle w:val="Indenta"/>
        <w:spacing w:before="60"/>
      </w:pPr>
      <w:r>
        <w:lastRenderedPageBreak/>
        <w:tab/>
        <w:t>(a)</w:t>
      </w:r>
      <w:r>
        <w:tab/>
        <w:t>is sold by a dealer to a person who does not by reason of the sale become a trade owner of the vehicle; and</w:t>
      </w:r>
    </w:p>
    <w:p>
      <w:pPr>
        <w:pStyle w:val="Indenta"/>
        <w:spacing w:before="60"/>
      </w:pPr>
      <w:r>
        <w:tab/>
        <w:t>(b)</w:t>
      </w:r>
      <w:r>
        <w:tab/>
        <w:t>is sold (as mentioned in paragraph (a)) at a cash price of or over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r>
      <w:r>
        <w:tab/>
        <w:t>and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The limits referred to in subsection (1)(c) are that —</w:t>
      </w:r>
    </w:p>
    <w:p>
      <w:pPr>
        <w:pStyle w:val="Indenta"/>
        <w:spacing w:before="60"/>
      </w:pPr>
      <w:r>
        <w:tab/>
        <w:t>(a)</w:t>
      </w:r>
      <w:r>
        <w:tab/>
        <w:t>in the case of a motor cycle, it —</w:t>
      </w:r>
    </w:p>
    <w:p>
      <w:pPr>
        <w:pStyle w:val="Indenti"/>
        <w:spacing w:before="60"/>
      </w:pPr>
      <w:r>
        <w:tab/>
        <w:t>(i)</w:t>
      </w:r>
      <w:r>
        <w:tab/>
        <w:t>is not more than 8 years old; and</w:t>
      </w:r>
    </w:p>
    <w:p>
      <w:pPr>
        <w:pStyle w:val="Indenti"/>
        <w:spacing w:before="60"/>
      </w:pPr>
      <w:r>
        <w:tab/>
        <w:t>(ii)</w:t>
      </w:r>
      <w:r>
        <w:tab/>
        <w:t>has not been driven for more than 80 000 km;</w:t>
      </w:r>
    </w:p>
    <w:p>
      <w:pPr>
        <w:pStyle w:val="Indenta"/>
        <w:spacing w:before="60"/>
      </w:pPr>
      <w:r>
        <w:tab/>
      </w:r>
      <w:r>
        <w:tab/>
        <w:t>and</w:t>
      </w:r>
    </w:p>
    <w:p>
      <w:pPr>
        <w:pStyle w:val="Indenta"/>
        <w:spacing w:before="60"/>
      </w:pPr>
      <w:r>
        <w:tab/>
        <w:t>(b)</w:t>
      </w:r>
      <w:r>
        <w:tab/>
        <w:t>in the case of any other vehicle, it —</w:t>
      </w:r>
    </w:p>
    <w:p>
      <w:pPr>
        <w:pStyle w:val="Indenti"/>
        <w:spacing w:before="60"/>
      </w:pPr>
      <w:r>
        <w:tab/>
        <w:t>(i)</w:t>
      </w:r>
      <w:r>
        <w:tab/>
        <w:t>is not more than 12 years old; and</w:t>
      </w:r>
    </w:p>
    <w:p>
      <w:pPr>
        <w:pStyle w:val="Indenti"/>
        <w:spacing w:before="60"/>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No. 4 of 2002 s. 59.]</w:t>
      </w:r>
    </w:p>
    <w:p>
      <w:pPr>
        <w:pStyle w:val="Heading5"/>
      </w:pPr>
      <w:bookmarkStart w:id="108" w:name="_Toc106096882"/>
      <w:r>
        <w:rPr>
          <w:rStyle w:val="CharSectno"/>
        </w:rPr>
        <w:t>34B</w:t>
      </w:r>
      <w:r>
        <w:t>.</w:t>
      </w:r>
      <w:r>
        <w:tab/>
        <w:t>Defects for which dealer responsible</w:t>
      </w:r>
      <w:bookmarkEnd w:id="108"/>
    </w:p>
    <w:p>
      <w:pPr>
        <w:pStyle w:val="Subsection"/>
      </w:pPr>
      <w:r>
        <w:tab/>
        <w:t>(1)</w:t>
      </w:r>
      <w:r>
        <w:tab/>
        <w:t>The dealer is responsible under section 34 for any defect that renders, or is likely to render, the vehicle unroadworthy or unserviceable, but is not responsible for a defect —</w:t>
      </w:r>
    </w:p>
    <w:p>
      <w:pPr>
        <w:pStyle w:val="Indenta"/>
        <w:spacing w:before="60"/>
      </w:pPr>
      <w:r>
        <w:tab/>
        <w:t>(a)</w:t>
      </w:r>
      <w:r>
        <w:tab/>
        <w:t>that comes within section 35(2); or</w:t>
      </w:r>
    </w:p>
    <w:p>
      <w:pPr>
        <w:pStyle w:val="Indenta"/>
        <w:spacing w:before="60"/>
      </w:pPr>
      <w:r>
        <w:lastRenderedPageBreak/>
        <w:tab/>
        <w:t>(b)</w:t>
      </w:r>
      <w:r>
        <w:tab/>
        <w:t>arising from or incidental to any accidental damage to the vehicle that occurred after the sale; or</w:t>
      </w:r>
    </w:p>
    <w:p>
      <w:pPr>
        <w:pStyle w:val="Indenta"/>
        <w:spacing w:before="60"/>
      </w:pPr>
      <w:r>
        <w:tab/>
        <w:t>(c)</w:t>
      </w:r>
      <w:r>
        <w:tab/>
        <w:t>arising from misuse or negligence on the part of a driver of the vehicle that occurred after the sale; or</w:t>
      </w:r>
    </w:p>
    <w:p>
      <w:pPr>
        <w:pStyle w:val="Indenta"/>
        <w:spacing w:before="60"/>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No. 4 of 2002 s. 59.]</w:t>
      </w:r>
    </w:p>
    <w:p>
      <w:pPr>
        <w:pStyle w:val="Heading5"/>
      </w:pPr>
      <w:bookmarkStart w:id="109" w:name="_Toc106096883"/>
      <w:r>
        <w:rPr>
          <w:rStyle w:val="CharSectno"/>
        </w:rPr>
        <w:t>34C</w:t>
      </w:r>
      <w:r>
        <w:t>.</w:t>
      </w:r>
      <w:r>
        <w:tab/>
        <w:t>Period after sale during which dealer responsible for defects in vehicles other than motor cycles</w:t>
      </w:r>
      <w:bookmarkEnd w:id="109"/>
    </w:p>
    <w:p>
      <w:pPr>
        <w:pStyle w:val="Subsection"/>
      </w:pPr>
      <w:r>
        <w:tab/>
        <w:t>(1)</w:t>
      </w:r>
      <w:r>
        <w:tab/>
        <w:t>In this section —</w:t>
      </w:r>
    </w:p>
    <w:p>
      <w:pPr>
        <w:pStyle w:val="Defstart"/>
      </w:pPr>
      <w:r>
        <w:tab/>
      </w:r>
      <w:r>
        <w:rPr>
          <w:rStyle w:val="CharDefText"/>
        </w:rPr>
        <w:t>category 1 vehicle</w:t>
      </w:r>
      <w:r>
        <w:t xml:space="preserve"> means a vehicle that on the day of the sale —</w:t>
      </w:r>
    </w:p>
    <w:p>
      <w:pPr>
        <w:pStyle w:val="Defpara"/>
      </w:pPr>
      <w:r>
        <w:tab/>
        <w:t>(a)</w:t>
      </w:r>
      <w:r>
        <w:tab/>
        <w:t>is not more than 10 years old; and</w:t>
      </w:r>
    </w:p>
    <w:p>
      <w:pPr>
        <w:pStyle w:val="Defpara"/>
      </w:pPr>
      <w:r>
        <w:tab/>
        <w:t>(b)</w:t>
      </w:r>
      <w:r>
        <w:tab/>
        <w:t>has been driven for not more than 150 000 km;</w:t>
      </w:r>
    </w:p>
    <w:p>
      <w:pPr>
        <w:pStyle w:val="Defstart"/>
        <w:keepNext/>
      </w:pPr>
      <w:r>
        <w:tab/>
      </w:r>
      <w:r>
        <w:rPr>
          <w:rStyle w:val="CharDefText"/>
        </w:rPr>
        <w:t>category 2 vehicle</w:t>
      </w:r>
      <w:r>
        <w:t xml:space="preserve"> means a vehicle that on the day of the sale —</w:t>
      </w:r>
    </w:p>
    <w:p>
      <w:pPr>
        <w:pStyle w:val="Defpara"/>
      </w:pPr>
      <w:r>
        <w:tab/>
        <w:t>(a)</w:t>
      </w:r>
      <w:r>
        <w:tab/>
        <w:t>is more than 10 years but not more than 12 years old; or</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In the case of a category 1 vehicle, the dealer is responsible under section 34 for a defect that appears in the vehicle before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lastRenderedPageBreak/>
        <w:tab/>
        <w:t>(3)</w:t>
      </w:r>
      <w:r>
        <w:tab/>
        <w:t>In the case of a category 2 vehicle, the dealer is responsible under section 34 for a defect that appears in the vehicle before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No. 4 of 2002 s. 59.]</w:t>
      </w:r>
    </w:p>
    <w:p>
      <w:pPr>
        <w:pStyle w:val="Heading5"/>
      </w:pPr>
      <w:bookmarkStart w:id="110" w:name="_Toc106096884"/>
      <w:r>
        <w:rPr>
          <w:rStyle w:val="CharSectno"/>
        </w:rPr>
        <w:t>34D</w:t>
      </w:r>
      <w:r>
        <w:t>.</w:t>
      </w:r>
      <w:r>
        <w:tab/>
        <w:t>Period after sale during which dealer responsible for defects in motor cycles</w:t>
      </w:r>
      <w:bookmarkEnd w:id="110"/>
    </w:p>
    <w:p>
      <w:pPr>
        <w:pStyle w:val="Subsection"/>
      </w:pPr>
      <w:r>
        <w:tab/>
      </w:r>
      <w:r>
        <w:tab/>
        <w:t>The dealer is responsible under section 34 for a defect that appears in a motor cycle to which this Division applies before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spacing w:before="120"/>
      </w:pPr>
      <w:r>
        <w:tab/>
      </w:r>
      <w:r>
        <w:tab/>
        <w:t>whichever happens first.</w:t>
      </w:r>
    </w:p>
    <w:p>
      <w:pPr>
        <w:pStyle w:val="Footnotesection"/>
        <w:spacing w:before="100"/>
        <w:ind w:left="890" w:hanging="890"/>
      </w:pPr>
      <w:r>
        <w:tab/>
        <w:t>[Section 34D inserted: No. 4 of 2002 s. 59.]</w:t>
      </w:r>
    </w:p>
    <w:p>
      <w:pPr>
        <w:pStyle w:val="Heading5"/>
      </w:pPr>
      <w:bookmarkStart w:id="111" w:name="_Toc106096885"/>
      <w:r>
        <w:rPr>
          <w:rStyle w:val="CharSectno"/>
        </w:rPr>
        <w:t>34E</w:t>
      </w:r>
      <w:r>
        <w:t>.</w:t>
      </w:r>
      <w:r>
        <w:tab/>
        <w:t>Certain periods excluded for s. 34C and 34D</w:t>
      </w:r>
      <w:bookmarkEnd w:id="111"/>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spacing w:before="100"/>
        <w:ind w:left="890" w:hanging="890"/>
      </w:pPr>
      <w:r>
        <w:tab/>
        <w:t>[Section 34E inserted: No. 4 of 2002 s. 59.]</w:t>
      </w:r>
    </w:p>
    <w:p>
      <w:pPr>
        <w:pStyle w:val="Heading5"/>
      </w:pPr>
      <w:bookmarkStart w:id="112" w:name="_Toc106096886"/>
      <w:r>
        <w:rPr>
          <w:rStyle w:val="CharSectno"/>
        </w:rPr>
        <w:lastRenderedPageBreak/>
        <w:t>34F</w:t>
      </w:r>
      <w:r>
        <w:t>.</w:t>
      </w:r>
      <w:r>
        <w:tab/>
        <w:t>Age of vehicle, how reckoned for s. 34A and 34C</w:t>
      </w:r>
      <w:bookmarkEnd w:id="112"/>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The date of manufacture of a vehicle is to be taken to be —</w:t>
      </w:r>
    </w:p>
    <w:p>
      <w:pPr>
        <w:pStyle w:val="Indenta"/>
      </w:pPr>
      <w:r>
        <w:tab/>
        <w:t>(a)</w:t>
      </w:r>
      <w:r>
        <w:tab/>
        <w:t>the date of manufacture shown on the vehicle’s compliance plate; or</w:t>
      </w:r>
    </w:p>
    <w:p>
      <w:pPr>
        <w:pStyle w:val="Indenta"/>
      </w:pPr>
      <w:r>
        <w:tab/>
        <w:t>(b)</w:t>
      </w:r>
      <w:r>
        <w:tab/>
        <w:t>the “built date” shown on the vehicle; or</w:t>
      </w:r>
    </w:p>
    <w:p>
      <w:pPr>
        <w:pStyle w:val="Indenta"/>
      </w:pPr>
      <w:r>
        <w:tab/>
        <w:t>(c)</w:t>
      </w:r>
      <w:r>
        <w:tab/>
        <w:t>if paragraph (a) or (b) does not apply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In subsection (2) —</w:t>
      </w:r>
    </w:p>
    <w:p>
      <w:pPr>
        <w:pStyle w:val="Defstart"/>
      </w:pPr>
      <w:r>
        <w:tab/>
      </w:r>
      <w:r>
        <w:rPr>
          <w:rStyle w:val="CharDefText"/>
        </w:rPr>
        <w:t>“built date” shown on the vehicle</w:t>
      </w:r>
      <w:r>
        <w:t xml:space="preserve"> means the date, or the month in a particular year, that follows the expression “built” or “built date” (or a similar expression) on —</w:t>
      </w:r>
    </w:p>
    <w:p>
      <w:pPr>
        <w:pStyle w:val="Defpara"/>
      </w:pPr>
      <w:r>
        <w:tab/>
        <w:t>(a)</w:t>
      </w:r>
      <w:r>
        <w:tab/>
        <w:t>a metal plate attached to the vehicle; or</w:t>
      </w:r>
    </w:p>
    <w:p>
      <w:pPr>
        <w:pStyle w:val="Defpara"/>
      </w:pPr>
      <w:r>
        <w:tab/>
        <w:t>(b)</w:t>
      </w:r>
      <w:r>
        <w:tab/>
        <w:t>a metal component of the vehicle;</w:t>
      </w:r>
    </w:p>
    <w:p>
      <w:pPr>
        <w:pStyle w:val="Defstart"/>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ind w:left="890" w:hanging="890"/>
      </w:pPr>
      <w:r>
        <w:tab/>
        <w:t>[Section 34F inserted: No. 4 of 2002 s. 59.]</w:t>
      </w:r>
    </w:p>
    <w:p>
      <w:pPr>
        <w:pStyle w:val="Heading5"/>
        <w:spacing w:before="240"/>
      </w:pPr>
      <w:bookmarkStart w:id="113" w:name="_Toc106096887"/>
      <w:r>
        <w:rPr>
          <w:rStyle w:val="CharSectno"/>
        </w:rPr>
        <w:lastRenderedPageBreak/>
        <w:t>34G</w:t>
      </w:r>
      <w:r>
        <w:t>.</w:t>
      </w:r>
      <w:r>
        <w:tab/>
        <w:t>Excluding vehicles from this Division, Minister’s powers for</w:t>
      </w:r>
      <w:bookmarkEnd w:id="113"/>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ind w:left="890" w:hanging="890"/>
      </w:pPr>
      <w:r>
        <w:tab/>
        <w:t>[Section 34G inserted: No. 4 of 2002 s. 59.]</w:t>
      </w:r>
    </w:p>
    <w:p>
      <w:pPr>
        <w:pStyle w:val="Heading5"/>
        <w:spacing w:before="240"/>
        <w:rPr>
          <w:snapToGrid w:val="0"/>
        </w:rPr>
      </w:pPr>
      <w:bookmarkStart w:id="114" w:name="_Toc106096888"/>
      <w:r>
        <w:rPr>
          <w:rStyle w:val="CharSectno"/>
        </w:rPr>
        <w:t>35</w:t>
      </w:r>
      <w:r>
        <w:rPr>
          <w:snapToGrid w:val="0"/>
        </w:rPr>
        <w:t>.</w:t>
      </w:r>
      <w:r>
        <w:rPr>
          <w:snapToGrid w:val="0"/>
        </w:rPr>
        <w:tab/>
        <w:t>Excluded defects</w:t>
      </w:r>
      <w:bookmarkEnd w:id="114"/>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No. 4 of 2002 s. 60.]</w:t>
      </w:r>
    </w:p>
    <w:p>
      <w:pPr>
        <w:pStyle w:val="Heading3"/>
      </w:pPr>
      <w:bookmarkStart w:id="115" w:name="_Toc106010438"/>
      <w:bookmarkStart w:id="116" w:name="_Toc106010571"/>
      <w:bookmarkStart w:id="117" w:name="_Toc106096889"/>
      <w:r>
        <w:rPr>
          <w:rStyle w:val="CharDivNo"/>
        </w:rPr>
        <w:t>Division 5</w:t>
      </w:r>
      <w:r>
        <w:t> — </w:t>
      </w:r>
      <w:r>
        <w:rPr>
          <w:rStyle w:val="CharDivText"/>
        </w:rPr>
        <w:t>Disputes</w:t>
      </w:r>
      <w:bookmarkEnd w:id="115"/>
      <w:bookmarkEnd w:id="116"/>
      <w:bookmarkEnd w:id="117"/>
    </w:p>
    <w:p>
      <w:pPr>
        <w:pStyle w:val="Footnoteheading"/>
      </w:pPr>
      <w:r>
        <w:tab/>
        <w:t>[Heading inserted: No. 4 of 2002 s. 61.]</w:t>
      </w:r>
    </w:p>
    <w:p>
      <w:pPr>
        <w:pStyle w:val="Heading5"/>
        <w:rPr>
          <w:snapToGrid w:val="0"/>
        </w:rPr>
      </w:pPr>
      <w:bookmarkStart w:id="118" w:name="_Toc106096890"/>
      <w:r>
        <w:rPr>
          <w:rStyle w:val="CharSectno"/>
        </w:rPr>
        <w:lastRenderedPageBreak/>
        <w:t>36</w:t>
      </w:r>
      <w:r>
        <w:rPr>
          <w:snapToGrid w:val="0"/>
        </w:rPr>
        <w:t>.</w:t>
      </w:r>
      <w:r>
        <w:rPr>
          <w:snapToGrid w:val="0"/>
        </w:rPr>
        <w:tab/>
        <w:t>Certain disputes between purchasers and dealers, Commissioner may intervene in</w:t>
      </w:r>
      <w:bookmarkEnd w:id="118"/>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w:t>
      </w:r>
    </w:p>
    <w:p>
      <w:pPr>
        <w:pStyle w:val="Indenta"/>
        <w:rPr>
          <w:snapToGrid w:val="0"/>
        </w:rPr>
      </w:pPr>
      <w:r>
        <w:rPr>
          <w:snapToGrid w:val="0"/>
        </w:rPr>
        <w:tab/>
        <w:t>(a)</w:t>
      </w:r>
      <w:r>
        <w:rPr>
          <w:snapToGrid w:val="0"/>
        </w:rPr>
        <w:tab/>
        <w:t>the extent of the obligations of the dealer under section 34; or</w:t>
      </w:r>
    </w:p>
    <w:p>
      <w:pPr>
        <w:pStyle w:val="Indenta"/>
        <w:rPr>
          <w:snapToGrid w:val="0"/>
        </w:rPr>
      </w:pPr>
      <w:r>
        <w:rPr>
          <w:snapToGrid w:val="0"/>
        </w:rPr>
        <w:tab/>
        <w:t>(b)</w:t>
      </w:r>
      <w:r>
        <w:rPr>
          <w:snapToGrid w:val="0"/>
        </w:rPr>
        <w:tab/>
        <w:t>the manner of the carrying out by the dealer of those obligations; or</w:t>
      </w:r>
    </w:p>
    <w:p>
      <w:pPr>
        <w:pStyle w:val="Indenta"/>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spacing w:before="100"/>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spacing w:before="80"/>
        <w:ind w:left="890" w:hanging="890"/>
      </w:pPr>
      <w:r>
        <w:tab/>
        <w:t>[Section 36 amended: No. 49 of 1979 s. 16; No. 59 of 2004 s. 141.]</w:t>
      </w:r>
    </w:p>
    <w:p>
      <w:pPr>
        <w:pStyle w:val="Heading5"/>
        <w:spacing w:before="180"/>
        <w:rPr>
          <w:snapToGrid w:val="0"/>
        </w:rPr>
      </w:pPr>
      <w:bookmarkStart w:id="119" w:name="_Toc106096891"/>
      <w:r>
        <w:rPr>
          <w:rStyle w:val="CharSectno"/>
        </w:rPr>
        <w:t>37</w:t>
      </w:r>
      <w:r>
        <w:rPr>
          <w:snapToGrid w:val="0"/>
        </w:rPr>
        <w:t>.</w:t>
      </w:r>
      <w:r>
        <w:rPr>
          <w:snapToGrid w:val="0"/>
        </w:rPr>
        <w:tab/>
        <w:t>Disputes, Commissioner’s powers to determine etc.</w:t>
      </w:r>
      <w:bookmarkEnd w:id="119"/>
    </w:p>
    <w:p>
      <w:pPr>
        <w:pStyle w:val="Subsection"/>
        <w:spacing w:before="120"/>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spacing w:before="120"/>
        <w:rPr>
          <w:snapToGrid w:val="0"/>
        </w:rPr>
      </w:pPr>
      <w:r>
        <w:rPr>
          <w:snapToGrid w:val="0"/>
        </w:rPr>
        <w:tab/>
        <w:t>(2)</w:t>
      </w:r>
      <w:r>
        <w:rPr>
          <w:snapToGrid w:val="0"/>
        </w:rPr>
        <w:tab/>
        <w:t>Without limiting the generality of the powers conferred on the Commissioner or person pursuant to subsection (1), where the Commissioner or person is satisfied —</w:t>
      </w:r>
    </w:p>
    <w:p>
      <w:pPr>
        <w:pStyle w:val="Indenta"/>
        <w:spacing w:before="56"/>
        <w:rPr>
          <w:snapToGrid w:val="0"/>
        </w:rPr>
      </w:pPr>
      <w:r>
        <w:rPr>
          <w:snapToGrid w:val="0"/>
        </w:rPr>
        <w:lastRenderedPageBreak/>
        <w:tab/>
        <w:t>(a)</w:t>
      </w:r>
      <w:r>
        <w:rPr>
          <w:snapToGrid w:val="0"/>
        </w:rPr>
        <w:tab/>
        <w:t>that an obligation lies on the dealer under section 34; and</w:t>
      </w:r>
    </w:p>
    <w:p>
      <w:pPr>
        <w:pStyle w:val="Indenta"/>
        <w:spacing w:before="56"/>
        <w:rPr>
          <w:snapToGrid w:val="0"/>
        </w:rPr>
      </w:pPr>
      <w:r>
        <w:rPr>
          <w:snapToGrid w:val="0"/>
        </w:rPr>
        <w:tab/>
        <w:t>(b)</w:t>
      </w:r>
      <w:r>
        <w:rPr>
          <w:snapToGrid w:val="0"/>
        </w:rPr>
        <w:tab/>
        <w:t>that the dealer has unreasonably —</w:t>
      </w:r>
    </w:p>
    <w:p>
      <w:pPr>
        <w:pStyle w:val="Indenti"/>
        <w:spacing w:before="56"/>
        <w:rPr>
          <w:snapToGrid w:val="0"/>
        </w:rPr>
      </w:pPr>
      <w:r>
        <w:rPr>
          <w:snapToGrid w:val="0"/>
        </w:rPr>
        <w:tab/>
        <w:t>(i)</w:t>
      </w:r>
      <w:r>
        <w:rPr>
          <w:snapToGrid w:val="0"/>
        </w:rPr>
        <w:tab/>
        <w:t>refused or failed to carry out that obligation; or</w:t>
      </w:r>
    </w:p>
    <w:p>
      <w:pPr>
        <w:pStyle w:val="Indenti"/>
        <w:spacing w:before="56"/>
        <w:rPr>
          <w:snapToGrid w:val="0"/>
        </w:rPr>
      </w:pPr>
      <w:r>
        <w:rPr>
          <w:snapToGrid w:val="0"/>
        </w:rPr>
        <w:tab/>
        <w:t>(ii)</w:t>
      </w:r>
      <w:r>
        <w:rPr>
          <w:snapToGrid w:val="0"/>
        </w:rPr>
        <w:tab/>
        <w:t>delayed or prevaricated in the carrying out of that obligation,</w:t>
      </w:r>
    </w:p>
    <w:p>
      <w:pPr>
        <w:pStyle w:val="Subsection"/>
        <w:spacing w:before="100"/>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w:t>
      </w:r>
    </w:p>
    <w:p>
      <w:pPr>
        <w:pStyle w:val="Indenta"/>
        <w:spacing w:before="60"/>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lastRenderedPageBreak/>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ind w:left="890" w:hanging="890"/>
      </w:pPr>
      <w:r>
        <w:tab/>
        <w:t>[Section 37 amended: No. 49 of 1979 s. 17; No. 4 of 2002 s. 44.]</w:t>
      </w:r>
    </w:p>
    <w:p>
      <w:pPr>
        <w:pStyle w:val="Heading5"/>
        <w:rPr>
          <w:snapToGrid w:val="0"/>
        </w:rPr>
      </w:pPr>
      <w:bookmarkStart w:id="120" w:name="_Toc106096892"/>
      <w:r>
        <w:rPr>
          <w:rStyle w:val="CharSectno"/>
        </w:rPr>
        <w:t>37A</w:t>
      </w:r>
      <w:r>
        <w:rPr>
          <w:snapToGrid w:val="0"/>
        </w:rPr>
        <w:t>.</w:t>
      </w:r>
      <w:r>
        <w:rPr>
          <w:snapToGrid w:val="0"/>
        </w:rPr>
        <w:tab/>
        <w:t>Enforcing s. 37 orders</w:t>
      </w:r>
      <w:bookmarkEnd w:id="120"/>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 xml:space="preserve">nearest to the premises of the dealer at which the vehicle the subject of the dispute was purchased or nearest to the place of business of the person applying to have the order enforced or </w:t>
      </w:r>
      <w:r>
        <w:rPr>
          <w:snapToGrid w:val="0"/>
        </w:rPr>
        <w:lastRenderedPageBreak/>
        <w:t>the place where the person applying to have the order enforced resides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Magistrates Court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[Section 37A inserted: No. 49 of 1979 s. 18; amended: No. 59 of 2004 s. 141; No. 20 of 2005 s. 23; No. 8 of 2009 s. 94(3).]</w:t>
      </w:r>
    </w:p>
    <w:p>
      <w:pPr>
        <w:pStyle w:val="Heading5"/>
        <w:rPr>
          <w:snapToGrid w:val="0"/>
        </w:rPr>
      </w:pPr>
      <w:bookmarkStart w:id="121" w:name="_Toc106096893"/>
      <w:r>
        <w:rPr>
          <w:rStyle w:val="CharSectno"/>
        </w:rPr>
        <w:t>37B</w:t>
      </w:r>
      <w:r>
        <w:rPr>
          <w:snapToGrid w:val="0"/>
        </w:rPr>
        <w:t>.</w:t>
      </w:r>
      <w:r>
        <w:rPr>
          <w:snapToGrid w:val="0"/>
        </w:rPr>
        <w:tab/>
        <w:t>Determinations under s. 37, effect and review of</w:t>
      </w:r>
      <w:bookmarkEnd w:id="121"/>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lastRenderedPageBreak/>
        <w:tab/>
        <w:t>(2)</w:t>
      </w:r>
      <w:r>
        <w:rPr>
          <w:snapToGrid w:val="0"/>
        </w:rPr>
        <w:tab/>
        <w:t>Where a determination or order made pursuant to section 37 —</w:t>
      </w:r>
    </w:p>
    <w:p>
      <w:pPr>
        <w:pStyle w:val="Indenta"/>
        <w:rPr>
          <w:snapToGrid w:val="0"/>
        </w:rPr>
      </w:pPr>
      <w:r>
        <w:rPr>
          <w:snapToGrid w:val="0"/>
        </w:rPr>
        <w:tab/>
        <w:t>(a)</w:t>
      </w:r>
      <w:r>
        <w:rPr>
          <w:snapToGrid w:val="0"/>
        </w:rPr>
        <w:tab/>
        <w:t>requires the payment of money; or</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[Section 37B inserted: No. 49 of 1979 s. 18; amended: No. 55 of 2004 s. 777.]</w:t>
      </w:r>
    </w:p>
    <w:p>
      <w:pPr>
        <w:pStyle w:val="Heading5"/>
        <w:rPr>
          <w:snapToGrid w:val="0"/>
        </w:rPr>
      </w:pPr>
      <w:bookmarkStart w:id="122" w:name="_Toc106096894"/>
      <w:r>
        <w:rPr>
          <w:rStyle w:val="CharSectno"/>
        </w:rPr>
        <w:t>38</w:t>
      </w:r>
      <w:r>
        <w:rPr>
          <w:snapToGrid w:val="0"/>
        </w:rPr>
        <w:t>.</w:t>
      </w:r>
      <w:r>
        <w:rPr>
          <w:snapToGrid w:val="0"/>
        </w:rPr>
        <w:tab/>
        <w:t>Dispute may be dealt with by Magistrates Court</w:t>
      </w:r>
      <w:bookmarkEnd w:id="122"/>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w:t>
      </w:r>
      <w:r>
        <w:rPr>
          <w:snapToGrid w:val="0"/>
        </w:rPr>
        <w:lastRenderedPageBreak/>
        <w:t>Commissioner under section 37 and that section shall apply and have effect as if in that section there were substituted for each reference to the Commissioner a reference to the Magistrates Court, but —</w:t>
      </w:r>
    </w:p>
    <w:p>
      <w:pPr>
        <w:pStyle w:val="Indenta"/>
        <w:rPr>
          <w:snapToGrid w:val="0"/>
        </w:rPr>
      </w:pPr>
      <w:r>
        <w:rPr>
          <w:snapToGrid w:val="0"/>
        </w:rPr>
        <w:tab/>
        <w:t>(a)</w:t>
      </w:r>
      <w:r>
        <w:rPr>
          <w:snapToGrid w:val="0"/>
        </w:rPr>
        <w:tab/>
        <w:t>this section does not authorise or empower the Magistrates Court to appoint some other person to hear and determine the dispute; and</w:t>
      </w:r>
    </w:p>
    <w:p>
      <w:pPr>
        <w:pStyle w:val="Indenta"/>
        <w:rPr>
          <w:snapToGrid w:val="0"/>
        </w:rPr>
      </w:pPr>
      <w:r>
        <w:rPr>
          <w:snapToGrid w:val="0"/>
        </w:rPr>
        <w:tab/>
        <w:t>(b)</w:t>
      </w:r>
      <w:r>
        <w:rPr>
          <w:snapToGrid w:val="0"/>
        </w:rPr>
        <w:tab/>
        <w:t>the provisions of section 37A do not apply to or in relation to any proceeding in the Magistrates Court under this Act.</w:t>
      </w:r>
    </w:p>
    <w:p>
      <w:pPr>
        <w:pStyle w:val="Footnotesection"/>
      </w:pPr>
      <w:r>
        <w:tab/>
        <w:t>[Section 38 amended: No. 49 of 1979 s. 19; No. 55 of 2004 s. 778; No. 59 of 2004 s. 141.]</w:t>
      </w:r>
    </w:p>
    <w:p>
      <w:pPr>
        <w:pStyle w:val="Ednotesection"/>
        <w:keepNext/>
      </w:pPr>
      <w:r>
        <w:t>[</w:t>
      </w:r>
      <w:r>
        <w:rPr>
          <w:b/>
        </w:rPr>
        <w:t>39.</w:t>
      </w:r>
      <w:r>
        <w:tab/>
        <w:t>Deleted: No. 49 of 1979 s. 20.]</w:t>
      </w:r>
    </w:p>
    <w:p>
      <w:pPr>
        <w:pStyle w:val="Ednotesection"/>
      </w:pPr>
      <w:r>
        <w:t>[</w:t>
      </w:r>
      <w:r>
        <w:rPr>
          <w:b/>
        </w:rPr>
        <w:t>40.</w:t>
      </w:r>
      <w:r>
        <w:tab/>
        <w:t>Deleted: No. 4 of 2002 s. 62.]</w:t>
      </w:r>
    </w:p>
    <w:p>
      <w:pPr>
        <w:pStyle w:val="Heading2"/>
      </w:pPr>
      <w:bookmarkStart w:id="123" w:name="_Toc106010444"/>
      <w:bookmarkStart w:id="124" w:name="_Toc106010577"/>
      <w:bookmarkStart w:id="125" w:name="_Toc106096895"/>
      <w:r>
        <w:rPr>
          <w:rStyle w:val="CharPartNo"/>
        </w:rPr>
        <w:lastRenderedPageBreak/>
        <w:t>Part IIIA</w:t>
      </w:r>
      <w:r>
        <w:rPr>
          <w:rStyle w:val="CharDivNo"/>
        </w:rPr>
        <w:t> </w:t>
      </w:r>
      <w:r>
        <w:t>—</w:t>
      </w:r>
      <w:r>
        <w:rPr>
          <w:rStyle w:val="CharDivText"/>
        </w:rPr>
        <w:t> </w:t>
      </w:r>
      <w:r>
        <w:rPr>
          <w:rStyle w:val="CharPartText"/>
        </w:rPr>
        <w:t>Obligations of car market operators</w:t>
      </w:r>
      <w:bookmarkEnd w:id="123"/>
      <w:bookmarkEnd w:id="124"/>
      <w:bookmarkEnd w:id="125"/>
    </w:p>
    <w:p>
      <w:pPr>
        <w:pStyle w:val="Footnoteheading"/>
        <w:rPr>
          <w:snapToGrid w:val="0"/>
        </w:rPr>
      </w:pPr>
      <w:r>
        <w:rPr>
          <w:snapToGrid w:val="0"/>
        </w:rPr>
        <w:tab/>
        <w:t>[Heading inserted: No. 87 of 1981 s. 15.]</w:t>
      </w:r>
    </w:p>
    <w:p>
      <w:pPr>
        <w:pStyle w:val="Heading5"/>
        <w:rPr>
          <w:snapToGrid w:val="0"/>
        </w:rPr>
      </w:pPr>
      <w:bookmarkStart w:id="126" w:name="_Toc106096896"/>
      <w:r>
        <w:rPr>
          <w:rStyle w:val="CharSectno"/>
        </w:rPr>
        <w:t>40A</w:t>
      </w:r>
      <w:r>
        <w:rPr>
          <w:snapToGrid w:val="0"/>
        </w:rPr>
        <w:t>.</w:t>
      </w:r>
      <w:r>
        <w:rPr>
          <w:snapToGrid w:val="0"/>
        </w:rPr>
        <w:tab/>
        <w:t>Car market operator liable for certain losses</w:t>
      </w:r>
      <w:bookmarkEnd w:id="126"/>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a second</w:t>
      </w:r>
      <w:r>
        <w:rPr>
          <w:snapToGrid w:val="0"/>
        </w:rPr>
        <w:noBreakHyphen/>
        <w:t>hand vehicle is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 or</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lastRenderedPageBreak/>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[Section 40A inserted: No. 87 of 1981 s. 15; amended: No. 4 of 2002 s. 28.]</w:t>
      </w:r>
    </w:p>
    <w:p>
      <w:pPr>
        <w:pStyle w:val="Heading5"/>
        <w:rPr>
          <w:snapToGrid w:val="0"/>
        </w:rPr>
      </w:pPr>
      <w:bookmarkStart w:id="127" w:name="_Toc106096897"/>
      <w:r>
        <w:rPr>
          <w:rStyle w:val="CharSectno"/>
        </w:rPr>
        <w:t>40B</w:t>
      </w:r>
      <w:r>
        <w:rPr>
          <w:snapToGrid w:val="0"/>
        </w:rPr>
        <w:t>.</w:t>
      </w:r>
      <w:r>
        <w:rPr>
          <w:snapToGrid w:val="0"/>
        </w:rPr>
        <w:tab/>
        <w:t>Title of and defects in second-hand vehicle, notice about to be displayed on</w:t>
      </w:r>
      <w:bookmarkEnd w:id="127"/>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w:t>
      </w:r>
    </w:p>
    <w:p>
      <w:pPr>
        <w:pStyle w:val="Indenta"/>
        <w:rPr>
          <w:snapToGrid w:val="0"/>
        </w:rPr>
      </w:pPr>
      <w:r>
        <w:rPr>
          <w:snapToGrid w:val="0"/>
        </w:rPr>
        <w:tab/>
        <w:t>(a)</w:t>
      </w:r>
      <w:r>
        <w:rPr>
          <w:snapToGrid w:val="0"/>
        </w:rPr>
        <w:tab/>
        <w:t>to the effect that the title to the vehicle is either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lastRenderedPageBreak/>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[Section 40B inserted: No. 87 of 1981 s. 15; amended: No. 4 of 2002 s. 45.]</w:t>
      </w:r>
    </w:p>
    <w:p>
      <w:pPr>
        <w:pStyle w:val="Heading2"/>
      </w:pPr>
      <w:bookmarkStart w:id="128" w:name="_Toc106010447"/>
      <w:bookmarkStart w:id="129" w:name="_Toc106010580"/>
      <w:bookmarkStart w:id="130" w:name="_Toc106096898"/>
      <w:r>
        <w:rPr>
          <w:rStyle w:val="CharPartNo"/>
        </w:rPr>
        <w:lastRenderedPageBreak/>
        <w:t>Part IV</w:t>
      </w:r>
      <w:r>
        <w:rPr>
          <w:rStyle w:val="CharDivNo"/>
        </w:rPr>
        <w:t> </w:t>
      </w:r>
      <w:r>
        <w:t>—</w:t>
      </w:r>
      <w:r>
        <w:rPr>
          <w:rStyle w:val="CharDivText"/>
        </w:rPr>
        <w:t> </w:t>
      </w:r>
      <w:r>
        <w:rPr>
          <w:rStyle w:val="CharPartText"/>
        </w:rPr>
        <w:t>Miscellaneous</w:t>
      </w:r>
      <w:bookmarkEnd w:id="128"/>
      <w:bookmarkEnd w:id="129"/>
      <w:bookmarkEnd w:id="130"/>
    </w:p>
    <w:p>
      <w:pPr>
        <w:pStyle w:val="Heading5"/>
        <w:rPr>
          <w:snapToGrid w:val="0"/>
        </w:rPr>
      </w:pPr>
      <w:bookmarkStart w:id="131" w:name="_Toc106096899"/>
      <w:r>
        <w:rPr>
          <w:rStyle w:val="CharSectno"/>
        </w:rPr>
        <w:t>41</w:t>
      </w:r>
      <w:r>
        <w:rPr>
          <w:snapToGrid w:val="0"/>
        </w:rPr>
        <w:t>.</w:t>
      </w:r>
      <w:r>
        <w:rPr>
          <w:snapToGrid w:val="0"/>
        </w:rPr>
        <w:tab/>
        <w:t>Undesirable practices, offence to carry out</w:t>
      </w:r>
      <w:bookmarkEnd w:id="131"/>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No. 4 of 2002 s. 46.]</w:t>
      </w:r>
    </w:p>
    <w:p>
      <w:pPr>
        <w:pStyle w:val="Heading5"/>
        <w:rPr>
          <w:snapToGrid w:val="0"/>
        </w:rPr>
      </w:pPr>
      <w:bookmarkStart w:id="132" w:name="_Toc106096900"/>
      <w:r>
        <w:rPr>
          <w:rStyle w:val="CharSectno"/>
        </w:rPr>
        <w:t>41A</w:t>
      </w:r>
      <w:r>
        <w:rPr>
          <w:snapToGrid w:val="0"/>
        </w:rPr>
        <w:t xml:space="preserve">. </w:t>
      </w:r>
      <w:r>
        <w:rPr>
          <w:snapToGrid w:val="0"/>
        </w:rPr>
        <w:tab/>
        <w:t>Rescission of sale, Magistrates Court may order on Commissioner’s application</w:t>
      </w:r>
      <w:bookmarkEnd w:id="13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Magistrates Court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lastRenderedPageBreak/>
        <w:tab/>
        <w:t>(3)</w:t>
      </w:r>
      <w:r>
        <w:rPr>
          <w:snapToGrid w:val="0"/>
        </w:rPr>
        <w:tab/>
        <w:t>After hearing the Commissioner or a representative of the Commissioner and affording any other person likely to be affected by any order made under this section an opportunity of being heard, the</w:t>
      </w:r>
      <w:r>
        <w:t xml:space="preserve"> Magistrates Court</w:t>
      </w:r>
      <w:r>
        <w:rPr>
          <w:snapToGrid w:val="0"/>
        </w:rPr>
        <w:t xml:space="preserve"> may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Magistrates Court</w:t>
      </w:r>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Magistrates Court</w:t>
      </w:r>
      <w:r>
        <w:rPr>
          <w:snapToGrid w:val="0"/>
        </w:rPr>
        <w:t xml:space="preserve"> shall so far as is possible apply the following principles in the following order:</w:t>
      </w:r>
    </w:p>
    <w:p>
      <w:pPr>
        <w:pStyle w:val="Indenta"/>
        <w:rPr>
          <w:snapToGrid w:val="0"/>
        </w:rPr>
      </w:pPr>
      <w:r>
        <w:rPr>
          <w:snapToGrid w:val="0"/>
        </w:rPr>
        <w:tab/>
        <w:t>(a)</w:t>
      </w:r>
      <w:r>
        <w:rPr>
          <w:snapToGrid w:val="0"/>
        </w:rPr>
        <w:tab/>
        <w:t>That there should be returned to the purchaser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xml:space="preserve">, </w:t>
      </w:r>
      <w:r>
        <w:lastRenderedPageBreak/>
        <w:t>person or car hire operator</w:t>
      </w:r>
      <w:r>
        <w:rPr>
          <w:snapToGrid w:val="0"/>
        </w:rPr>
        <w:t xml:space="preserve"> in consequence of any order made by the Magistrates Court.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[Section 41A inserted: No. 49 of 1979 s. 21; amended: No. 4 of 2002 s. 29; No. 59 of 2004 s. 141.]</w:t>
      </w:r>
    </w:p>
    <w:p>
      <w:pPr>
        <w:pStyle w:val="Heading5"/>
        <w:rPr>
          <w:snapToGrid w:val="0"/>
        </w:rPr>
      </w:pPr>
      <w:bookmarkStart w:id="133" w:name="_Toc106096901"/>
      <w:r>
        <w:rPr>
          <w:rStyle w:val="CharSectno"/>
        </w:rPr>
        <w:t>41B</w:t>
      </w:r>
      <w:r>
        <w:rPr>
          <w:snapToGrid w:val="0"/>
        </w:rPr>
        <w:t>.</w:t>
      </w:r>
      <w:r>
        <w:rPr>
          <w:snapToGrid w:val="0"/>
        </w:rPr>
        <w:tab/>
        <w:t>Demonstration vehicles, application of Act’s obligations to</w:t>
      </w:r>
      <w:bookmarkEnd w:id="133"/>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lastRenderedPageBreak/>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[Section 41B inserted: No. 49 of 1979 s. 21; amended: No. 73 of 1994 s. 4.]</w:t>
      </w:r>
    </w:p>
    <w:p>
      <w:pPr>
        <w:pStyle w:val="Heading5"/>
        <w:rPr>
          <w:snapToGrid w:val="0"/>
        </w:rPr>
      </w:pPr>
      <w:bookmarkStart w:id="134" w:name="_Toc106096902"/>
      <w:r>
        <w:rPr>
          <w:rStyle w:val="CharSectno"/>
        </w:rPr>
        <w:t>42</w:t>
      </w:r>
      <w:r>
        <w:rPr>
          <w:snapToGrid w:val="0"/>
        </w:rPr>
        <w:t>.</w:t>
      </w:r>
      <w:r>
        <w:rPr>
          <w:snapToGrid w:val="0"/>
        </w:rPr>
        <w:tab/>
        <w:t>Representation by employee of dealer, effect of</w:t>
      </w:r>
      <w:bookmarkEnd w:id="134"/>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r>
        <w:tab/>
        <w:t>[Section 42 amended: No. 4 of 2002 s. 31(1).]</w:t>
      </w:r>
    </w:p>
    <w:p>
      <w:pPr>
        <w:pStyle w:val="Heading5"/>
      </w:pPr>
      <w:bookmarkStart w:id="135" w:name="_Toc106096903"/>
      <w:r>
        <w:rPr>
          <w:rStyle w:val="CharSectno"/>
        </w:rPr>
        <w:t>42A</w:t>
      </w:r>
      <w:r>
        <w:t>.</w:t>
      </w:r>
      <w:r>
        <w:tab/>
        <w:t>Contracts etc. for sale of vehicles by dealer, form and content of</w:t>
      </w:r>
      <w:bookmarkEnd w:id="135"/>
    </w:p>
    <w:p>
      <w:pPr>
        <w:pStyle w:val="Subsection"/>
      </w:pPr>
      <w:r>
        <w:tab/>
        <w:t>(1)</w:t>
      </w:r>
      <w:r>
        <w:tab/>
        <w:t>This section applies only where a dealer sells a vehicle, other than by auction, to a person who is not a dealer.</w:t>
      </w:r>
    </w:p>
    <w:p>
      <w:pPr>
        <w:pStyle w:val="Subsection"/>
      </w:pPr>
      <w:r>
        <w:tab/>
        <w:t>(2)</w:t>
      </w:r>
      <w:r>
        <w:tab/>
        <w:t>A contract or agreement for the sale of a vehicle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lastRenderedPageBreak/>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No. 4 of 2002 s. 63.]</w:t>
      </w:r>
    </w:p>
    <w:p>
      <w:pPr>
        <w:pStyle w:val="Heading5"/>
        <w:rPr>
          <w:snapToGrid w:val="0"/>
        </w:rPr>
      </w:pPr>
      <w:bookmarkStart w:id="136" w:name="_Toc106096904"/>
      <w:r>
        <w:rPr>
          <w:rStyle w:val="CharSectno"/>
        </w:rPr>
        <w:t>43</w:t>
      </w:r>
      <w:r>
        <w:rPr>
          <w:snapToGrid w:val="0"/>
        </w:rPr>
        <w:t>.</w:t>
      </w:r>
      <w:r>
        <w:rPr>
          <w:snapToGrid w:val="0"/>
        </w:rPr>
        <w:tab/>
        <w:t>Value of vehicle or thing traded in</w:t>
      </w:r>
      <w:bookmarkEnd w:id="136"/>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[Section 43 amended: No. 49 of 1979 s. 22; No. 4 of 2002 s. 31(1) and 47.]</w:t>
      </w:r>
    </w:p>
    <w:p>
      <w:pPr>
        <w:pStyle w:val="Heading5"/>
        <w:rPr>
          <w:snapToGrid w:val="0"/>
        </w:rPr>
      </w:pPr>
      <w:bookmarkStart w:id="137" w:name="_Toc106096905"/>
      <w:r>
        <w:rPr>
          <w:rStyle w:val="CharSectno"/>
        </w:rPr>
        <w:t>44</w:t>
      </w:r>
      <w:r>
        <w:rPr>
          <w:snapToGrid w:val="0"/>
        </w:rPr>
        <w:t>.</w:t>
      </w:r>
      <w:r>
        <w:rPr>
          <w:snapToGrid w:val="0"/>
        </w:rPr>
        <w:tab/>
        <w:t>Documents tendered for signature to be complete</w:t>
      </w:r>
      <w:bookmarkEnd w:id="137"/>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This section applies to any document evidencing or recording any contract or agreement for the sale of a vehicle or evidencing </w:t>
      </w:r>
      <w:r>
        <w:rPr>
          <w:snapToGrid w:val="0"/>
        </w:rPr>
        <w:lastRenderedPageBreak/>
        <w:t>or recording any collateral credit agreement as defined in section 41A connected with such a sale.</w:t>
      </w:r>
    </w:p>
    <w:p>
      <w:pPr>
        <w:pStyle w:val="Footnotesection"/>
      </w:pPr>
      <w:r>
        <w:tab/>
        <w:t>[Section 44 amended: No. 49 of 1979 s. 23; No. 4 of 2002 s. 48.]</w:t>
      </w:r>
    </w:p>
    <w:p>
      <w:pPr>
        <w:pStyle w:val="Heading5"/>
        <w:rPr>
          <w:snapToGrid w:val="0"/>
        </w:rPr>
      </w:pPr>
      <w:bookmarkStart w:id="138" w:name="_Toc106096906"/>
      <w:r>
        <w:rPr>
          <w:rStyle w:val="CharSectno"/>
        </w:rPr>
        <w:t>45</w:t>
      </w:r>
      <w:r>
        <w:rPr>
          <w:snapToGrid w:val="0"/>
        </w:rPr>
        <w:t>.</w:t>
      </w:r>
      <w:r>
        <w:rPr>
          <w:snapToGrid w:val="0"/>
        </w:rPr>
        <w:tab/>
        <w:t>Acts with intent to deceive, offences as to</w:t>
      </w:r>
      <w:bookmarkEnd w:id="138"/>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alter or cause to be altered or connive in the alteration of the reading of an odometer on the vehicle; or</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 or</w:t>
      </w:r>
    </w:p>
    <w:p>
      <w:pPr>
        <w:pStyle w:val="Indenta"/>
        <w:rPr>
          <w:snapToGrid w:val="0"/>
        </w:rPr>
      </w:pPr>
      <w:r>
        <w:rPr>
          <w:snapToGrid w:val="0"/>
        </w:rPr>
        <w:tab/>
        <w:t>(b)</w:t>
      </w:r>
      <w:r>
        <w:rPr>
          <w:snapToGrid w:val="0"/>
        </w:rPr>
        <w:tab/>
        <w:t>state or represent as the year of manufacture of the vehicle a year other than the actual year of manufacture of the vehicle; or</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 or</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lastRenderedPageBreak/>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w:t>
      </w:r>
    </w:p>
    <w:p>
      <w:pPr>
        <w:pStyle w:val="Indenta"/>
        <w:rPr>
          <w:snapToGrid w:val="0"/>
        </w:rPr>
      </w:pPr>
      <w:r>
        <w:rPr>
          <w:snapToGrid w:val="0"/>
        </w:rPr>
        <w:tab/>
        <w:t>(a)</w:t>
      </w:r>
      <w:r>
        <w:rPr>
          <w:snapToGrid w:val="0"/>
        </w:rPr>
        <w:tab/>
        <w:t>the reading of the odometer of the vehicle as altered; or</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w:t>
      </w:r>
      <w:r>
        <w:t xml:space="preserve">) the </w:t>
      </w:r>
      <w:r>
        <w:rPr>
          <w:rStyle w:val="CharDefText"/>
        </w:rPr>
        <w:t>prescribed amount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[Section 45 amended: No. 49 of 1979 s. 24; No. 4 of 2002 s. 49.]</w:t>
      </w:r>
    </w:p>
    <w:p>
      <w:pPr>
        <w:pStyle w:val="Heading5"/>
        <w:rPr>
          <w:snapToGrid w:val="0"/>
        </w:rPr>
      </w:pPr>
      <w:bookmarkStart w:id="139" w:name="_Toc106096907"/>
      <w:r>
        <w:rPr>
          <w:rStyle w:val="CharSectno"/>
        </w:rPr>
        <w:lastRenderedPageBreak/>
        <w:t>46</w:t>
      </w:r>
      <w:r>
        <w:rPr>
          <w:snapToGrid w:val="0"/>
        </w:rPr>
        <w:t>.</w:t>
      </w:r>
      <w:r>
        <w:rPr>
          <w:snapToGrid w:val="0"/>
        </w:rPr>
        <w:tab/>
        <w:t>Implied conditions in some contracts etc. for sale</w:t>
      </w:r>
      <w:bookmarkEnd w:id="139"/>
    </w:p>
    <w:p>
      <w:pPr>
        <w:pStyle w:val="Subsection"/>
        <w:rPr>
          <w:snapToGrid w:val="0"/>
        </w:rPr>
      </w:pPr>
      <w:r>
        <w:rPr>
          <w:snapToGrid w:val="0"/>
        </w:rPr>
        <w:tab/>
        <w:t>(1)</w:t>
      </w:r>
      <w:r>
        <w:rPr>
          <w:snapToGrid w:val="0"/>
        </w:rPr>
        <w:tab/>
        <w:t>Subject to subsection (3)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w:t>
      </w:r>
    </w:p>
    <w:p>
      <w:pPr>
        <w:pStyle w:val="Indenta"/>
        <w:rPr>
          <w:snapToGrid w:val="0"/>
        </w:rPr>
      </w:pPr>
      <w:r>
        <w:rPr>
          <w:snapToGrid w:val="0"/>
        </w:rPr>
        <w:tab/>
        <w:t>(a)</w:t>
      </w:r>
      <w:r>
        <w:rPr>
          <w:snapToGrid w:val="0"/>
        </w:rPr>
        <w:tab/>
        <w:t>the application to that contract or agreement of all or any of the provisions of subsection (1); or</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lastRenderedPageBreak/>
        <w:tab/>
        <w:t>(3)</w:t>
      </w:r>
      <w:r>
        <w:rPr>
          <w:snapToGrid w:val="0"/>
        </w:rPr>
        <w:tab/>
        <w:t>The provisions of subsection (1) do not extend to or in relation to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40" w:name="_Toc106096908"/>
      <w:r>
        <w:rPr>
          <w:rStyle w:val="CharSectno"/>
        </w:rPr>
        <w:t>47</w:t>
      </w:r>
      <w:r>
        <w:rPr>
          <w:snapToGrid w:val="0"/>
        </w:rPr>
        <w:t>.</w:t>
      </w:r>
      <w:r>
        <w:rPr>
          <w:snapToGrid w:val="0"/>
        </w:rPr>
        <w:tab/>
        <w:t>Other rights or remedies not affected by this Act</w:t>
      </w:r>
      <w:bookmarkEnd w:id="140"/>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41" w:name="_Toc106096909"/>
      <w:r>
        <w:rPr>
          <w:rStyle w:val="CharSectno"/>
        </w:rPr>
        <w:t>48</w:t>
      </w:r>
      <w:r>
        <w:rPr>
          <w:snapToGrid w:val="0"/>
        </w:rPr>
        <w:t>.</w:t>
      </w:r>
      <w:r>
        <w:rPr>
          <w:snapToGrid w:val="0"/>
        </w:rPr>
        <w:tab/>
        <w:t>Rights conferred by this Act cannot be waived without official consent</w:t>
      </w:r>
      <w:bookmarkEnd w:id="141"/>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[Section 48 amended: No. 1 of 1985 s. 27.]</w:t>
      </w:r>
    </w:p>
    <w:p>
      <w:pPr>
        <w:pStyle w:val="Heading5"/>
        <w:rPr>
          <w:snapToGrid w:val="0"/>
        </w:rPr>
      </w:pPr>
      <w:bookmarkStart w:id="142" w:name="_Toc106096910"/>
      <w:r>
        <w:rPr>
          <w:rStyle w:val="CharSectno"/>
        </w:rPr>
        <w:t>49</w:t>
      </w:r>
      <w:r>
        <w:rPr>
          <w:snapToGrid w:val="0"/>
        </w:rPr>
        <w:t>.</w:t>
      </w:r>
      <w:r>
        <w:rPr>
          <w:snapToGrid w:val="0"/>
        </w:rPr>
        <w:tab/>
        <w:t>No indemnity for dealer</w:t>
      </w:r>
      <w:bookmarkEnd w:id="142"/>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43" w:name="_Toc106096911"/>
      <w:r>
        <w:rPr>
          <w:rStyle w:val="CharSectno"/>
        </w:rPr>
        <w:lastRenderedPageBreak/>
        <w:t>49A</w:t>
      </w:r>
      <w:r>
        <w:rPr>
          <w:snapToGrid w:val="0"/>
        </w:rPr>
        <w:t xml:space="preserve">. </w:t>
      </w:r>
      <w:r>
        <w:rPr>
          <w:snapToGrid w:val="0"/>
        </w:rPr>
        <w:tab/>
        <w:t>No indemnity for car market operator</w:t>
      </w:r>
      <w:bookmarkEnd w:id="143"/>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[Section 49A inserted: No. 87 of 1981 s. 16.]</w:t>
      </w:r>
    </w:p>
    <w:p>
      <w:pPr>
        <w:pStyle w:val="Heading5"/>
      </w:pPr>
      <w:bookmarkStart w:id="144" w:name="_Toc106096912"/>
      <w:r>
        <w:t>50.</w:t>
      </w:r>
      <w:r>
        <w:tab/>
        <w:t>Confidentiality of information officially obtained</w:t>
      </w:r>
      <w:bookmarkEnd w:id="144"/>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50 inserted: No. 58 of 2010 s. 47.]</w:t>
      </w:r>
    </w:p>
    <w:p>
      <w:pPr>
        <w:pStyle w:val="Heading5"/>
        <w:rPr>
          <w:snapToGrid w:val="0"/>
        </w:rPr>
      </w:pPr>
      <w:bookmarkStart w:id="145" w:name="_Toc106096913"/>
      <w:r>
        <w:rPr>
          <w:rStyle w:val="CharSectno"/>
        </w:rPr>
        <w:t>51</w:t>
      </w:r>
      <w:r>
        <w:rPr>
          <w:snapToGrid w:val="0"/>
        </w:rPr>
        <w:t>.</w:t>
      </w:r>
      <w:r>
        <w:rPr>
          <w:snapToGrid w:val="0"/>
        </w:rPr>
        <w:tab/>
        <w:t>Annual reports of Department, content of</w:t>
      </w:r>
      <w:bookmarkEnd w:id="145"/>
    </w:p>
    <w:p>
      <w:pPr>
        <w:pStyle w:val="Subsection"/>
      </w:pPr>
      <w:r>
        <w:tab/>
        <w:t>(1)</w:t>
      </w:r>
      <w:r>
        <w:tab/>
        <w:t>The chief executive officer is to ensure that the matters set out in subsection (1a) are included in the Department’s annual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 by the</w:t>
      </w:r>
      <w:r>
        <w:t xml:space="preserve"> Commissioner;</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pPr>
      <w:r>
        <w:lastRenderedPageBreak/>
        <w:tab/>
        <w:t>(e)</w:t>
      </w:r>
      <w:r>
        <w:tab/>
        <w:t>any proposals for improving the performance of the  Commissioner’s functions.</w:t>
      </w:r>
    </w:p>
    <w:p>
      <w:pPr>
        <w:pStyle w:val="Ednotesubsection"/>
        <w:spacing w:before="120"/>
      </w:pPr>
      <w:r>
        <w:tab/>
        <w:t>[(2)</w:t>
      </w:r>
      <w:r>
        <w:tab/>
        <w:t>deleted]</w:t>
      </w:r>
    </w:p>
    <w:p>
      <w:pPr>
        <w:pStyle w:val="Footnotesection"/>
      </w:pPr>
      <w:r>
        <w:tab/>
        <w:t>[Section 51 amended: No. 73 of 2003 s. 23(3); No. 55 of 2004 s. 779; No. 58 of 2010 s 48 and 50.]</w:t>
      </w:r>
    </w:p>
    <w:p>
      <w:pPr>
        <w:pStyle w:val="Heading5"/>
        <w:rPr>
          <w:snapToGrid w:val="0"/>
        </w:rPr>
      </w:pPr>
      <w:bookmarkStart w:id="146" w:name="_Toc106096914"/>
      <w:r>
        <w:rPr>
          <w:rStyle w:val="CharSectno"/>
        </w:rPr>
        <w:t>52</w:t>
      </w:r>
      <w:r>
        <w:rPr>
          <w:snapToGrid w:val="0"/>
        </w:rPr>
        <w:t>.</w:t>
      </w:r>
      <w:r>
        <w:rPr>
          <w:snapToGrid w:val="0"/>
        </w:rPr>
        <w:tab/>
        <w:t>Offences, limitation period for and court’s powers as to</w:t>
      </w:r>
      <w:bookmarkEnd w:id="146"/>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t>the </w:t>
      </w:r>
      <w:r>
        <w:rPr>
          <w:rStyle w:val="CharDefText"/>
        </w:rPr>
        <w:t>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[Section 52 amended: No. 74 of 1975 s. 16; No. 49 of 1979 s. 25; No. 4 of 2002 s. 51; No. 84 of 2004 s. 82.]</w:t>
      </w:r>
    </w:p>
    <w:p>
      <w:pPr>
        <w:pStyle w:val="Heading5"/>
        <w:rPr>
          <w:snapToGrid w:val="0"/>
        </w:rPr>
      </w:pPr>
      <w:bookmarkStart w:id="147" w:name="_Toc106096915"/>
      <w:r>
        <w:rPr>
          <w:rStyle w:val="CharSectno"/>
        </w:rPr>
        <w:t>53</w:t>
      </w:r>
      <w:r>
        <w:rPr>
          <w:snapToGrid w:val="0"/>
        </w:rPr>
        <w:t>.</w:t>
      </w:r>
      <w:r>
        <w:rPr>
          <w:snapToGrid w:val="0"/>
        </w:rPr>
        <w:tab/>
        <w:t>Yard manager’s liability for offences under s. 28 and 31B by others</w:t>
      </w:r>
      <w:bookmarkEnd w:id="147"/>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t xml:space="preserve">the </w:t>
      </w:r>
      <w:r>
        <w:rPr>
          <w:rStyle w:val="CharDefText"/>
        </w:rPr>
        <w:t>other person</w:t>
      </w:r>
      <w:r>
        <w:rPr>
          <w:snapToGrid w:val="0"/>
        </w:rPr>
        <w:t xml:space="preserve">) other than the person acting in the capacity of dealer or yard manager for those premises, the yard manager is guilty of an offence against this Act in like manner as that person and may be proceeded against and convicted accordingly unless he proves that he had no </w:t>
      </w:r>
      <w:r>
        <w:rPr>
          <w:snapToGrid w:val="0"/>
        </w:rPr>
        <w:lastRenderedPageBreak/>
        <w:t>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No. 4 of 2002 s. 30 and 32(1).]</w:t>
      </w:r>
    </w:p>
    <w:p>
      <w:pPr>
        <w:pStyle w:val="Heading5"/>
        <w:rPr>
          <w:snapToGrid w:val="0"/>
        </w:rPr>
      </w:pPr>
      <w:bookmarkStart w:id="148" w:name="_Toc106096916"/>
      <w:r>
        <w:rPr>
          <w:rStyle w:val="CharSectno"/>
        </w:rPr>
        <w:t>54</w:t>
      </w:r>
      <w:r>
        <w:rPr>
          <w:snapToGrid w:val="0"/>
        </w:rPr>
        <w:t>.</w:t>
      </w:r>
      <w:r>
        <w:rPr>
          <w:snapToGrid w:val="0"/>
        </w:rPr>
        <w:tab/>
        <w:t>Dealer’s liability for offences by employees etc.</w:t>
      </w:r>
      <w:bookmarkEnd w:id="148"/>
    </w:p>
    <w:p>
      <w:pPr>
        <w:pStyle w:val="Subsection"/>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No. 4 of 2002 s. 31(1).]</w:t>
      </w:r>
    </w:p>
    <w:p>
      <w:pPr>
        <w:pStyle w:val="Heading5"/>
        <w:rPr>
          <w:snapToGrid w:val="0"/>
        </w:rPr>
      </w:pPr>
      <w:bookmarkStart w:id="149" w:name="_Toc106096917"/>
      <w:r>
        <w:rPr>
          <w:rStyle w:val="CharSectno"/>
        </w:rPr>
        <w:lastRenderedPageBreak/>
        <w:t>55</w:t>
      </w:r>
      <w:r>
        <w:rPr>
          <w:snapToGrid w:val="0"/>
        </w:rPr>
        <w:t>.</w:t>
      </w:r>
      <w:r>
        <w:rPr>
          <w:snapToGrid w:val="0"/>
        </w:rPr>
        <w:tab/>
        <w:t>Offences by corporations</w:t>
      </w:r>
      <w:bookmarkEnd w:id="149"/>
    </w:p>
    <w:p>
      <w:pPr>
        <w:pStyle w:val="Subsection"/>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[Section 55 amended: No. 84 of 2004 s. 80.]</w:t>
      </w:r>
    </w:p>
    <w:p>
      <w:pPr>
        <w:pStyle w:val="Heading5"/>
      </w:pPr>
      <w:bookmarkStart w:id="150" w:name="_Toc106096918"/>
      <w:r>
        <w:rPr>
          <w:rStyle w:val="CharSectno"/>
        </w:rPr>
        <w:t>55A</w:t>
      </w:r>
      <w:r>
        <w:t>.</w:t>
      </w:r>
      <w:r>
        <w:tab/>
        <w:t>Infringement notices</w:t>
      </w:r>
      <w:bookmarkEnd w:id="150"/>
    </w:p>
    <w:p>
      <w:pPr>
        <w:pStyle w:val="Subsection"/>
      </w:pPr>
      <w:r>
        <w:tab/>
        <w:t>(1)</w:t>
      </w:r>
      <w:r>
        <w:tab/>
        <w:t>In subsection (3), (6) or (7) —</w:t>
      </w:r>
    </w:p>
    <w:p>
      <w:pPr>
        <w:pStyle w:val="Defstart"/>
      </w:pPr>
      <w:r>
        <w:fldChar w:fldCharType="begin"/>
      </w:r>
      <w:r>
        <w:instrText xml:space="preserve"> LISTNUM DefinitionNumbers \l1 </w:instrText>
      </w:r>
      <w:r>
        <w:fldChar w:fldCharType="end">
          <w:numberingChange w:id="151" w:author="Isobel Bond" w:date="2016-12-05T09:34:00Z" w:original=""/>
        </w:fldChar>
      </w: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lastRenderedPageBreak/>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lastRenderedPageBreak/>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No. 4 of 2002 s. 52; amended: No. 84 of 2004 s. 80.]</w:t>
      </w:r>
    </w:p>
    <w:p>
      <w:pPr>
        <w:pStyle w:val="Heading5"/>
        <w:rPr>
          <w:snapToGrid w:val="0"/>
        </w:rPr>
      </w:pPr>
      <w:bookmarkStart w:id="152" w:name="_Toc106096919"/>
      <w:r>
        <w:rPr>
          <w:rStyle w:val="CharSectno"/>
        </w:rPr>
        <w:t>56</w:t>
      </w:r>
      <w:r>
        <w:rPr>
          <w:snapToGrid w:val="0"/>
        </w:rPr>
        <w:t>.</w:t>
      </w:r>
      <w:r>
        <w:rPr>
          <w:snapToGrid w:val="0"/>
        </w:rPr>
        <w:tab/>
        <w:t>Regulations</w:t>
      </w:r>
      <w:bookmarkEnd w:id="152"/>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 and</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 and</w:t>
      </w:r>
    </w:p>
    <w:p>
      <w:pPr>
        <w:pStyle w:val="Indenta"/>
        <w:rPr>
          <w:snapToGrid w:val="0"/>
        </w:rPr>
      </w:pPr>
      <w:r>
        <w:rPr>
          <w:snapToGrid w:val="0"/>
        </w:rPr>
        <w:tab/>
        <w:t>(c)</w:t>
      </w:r>
      <w:r>
        <w:rPr>
          <w:snapToGrid w:val="0"/>
        </w:rPr>
        <w:tab/>
        <w:t>prescribe fees to be payable and provide for and prescribe the forms to be used for the purposes of this Act; and</w:t>
      </w:r>
    </w:p>
    <w:p>
      <w:pPr>
        <w:pStyle w:val="Indenta"/>
        <w:rPr>
          <w:snapToGrid w:val="0"/>
        </w:rPr>
      </w:pPr>
      <w:r>
        <w:rPr>
          <w:snapToGrid w:val="0"/>
        </w:rPr>
        <w:lastRenderedPageBreak/>
        <w:tab/>
        <w:t>(d)</w:t>
      </w:r>
      <w:r>
        <w:rPr>
          <w:snapToGrid w:val="0"/>
        </w:rPr>
        <w:tab/>
        <w:t>prescribe the manner in which any notice under this Act shall be attached or affixed to a vehicle; and</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 and</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 and</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 and</w:t>
      </w:r>
    </w:p>
    <w:p>
      <w:pPr>
        <w:pStyle w:val="Indenta"/>
      </w:pPr>
      <w:r>
        <w:tab/>
        <w:t>(ga)</w:t>
      </w:r>
      <w:r>
        <w:tab/>
        <w:t>prescribe —</w:t>
      </w:r>
    </w:p>
    <w:p>
      <w:pPr>
        <w:pStyle w:val="Indenti"/>
      </w:pPr>
      <w:r>
        <w:tab/>
        <w:t>(i)</w:t>
      </w:r>
      <w:r>
        <w:tab/>
        <w:t>offences for which an infringement notice may be given under section 55A; and</w:t>
      </w:r>
    </w:p>
    <w:p>
      <w:pPr>
        <w:pStyle w:val="Indenti"/>
      </w:pPr>
      <w:r>
        <w:tab/>
        <w:t>(ii)</w:t>
      </w:r>
      <w:r>
        <w:tab/>
        <w:t>for each prescribed offence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Ednotesubsection"/>
      </w:pPr>
      <w:r>
        <w:tab/>
        <w:t>[(3)</w:t>
      </w:r>
      <w:r>
        <w:tab/>
        <w:t>deleted]</w:t>
      </w:r>
    </w:p>
    <w:p>
      <w:pPr>
        <w:pStyle w:val="Footnotesection"/>
      </w:pPr>
      <w:r>
        <w:tab/>
        <w:t>[Section 56 amended: No. 56 of 1995 s. 36; No. 4 of 2002 s. 31(7), 53 and 64; No. 34 of 2020 s. 100(2).]</w:t>
      </w:r>
    </w:p>
    <w:p>
      <w:pPr>
        <w:pStyle w:val="Heading2"/>
      </w:pPr>
      <w:bookmarkStart w:id="153" w:name="_Toc106010469"/>
      <w:bookmarkStart w:id="154" w:name="_Toc106010602"/>
      <w:bookmarkStart w:id="155" w:name="_Toc106096920"/>
      <w:r>
        <w:rPr>
          <w:rStyle w:val="CharPartNo"/>
        </w:rPr>
        <w:lastRenderedPageBreak/>
        <w:t>Part V</w:t>
      </w:r>
      <w:r>
        <w:rPr>
          <w:b w:val="0"/>
        </w:rPr>
        <w:t> </w:t>
      </w:r>
      <w:r>
        <w:t>—</w:t>
      </w:r>
      <w:r>
        <w:rPr>
          <w:b w:val="0"/>
        </w:rPr>
        <w:t> </w:t>
      </w:r>
      <w:r>
        <w:rPr>
          <w:rStyle w:val="CharPartText"/>
        </w:rPr>
        <w:t>Miscellaneous transitional matters</w:t>
      </w:r>
      <w:bookmarkEnd w:id="153"/>
      <w:bookmarkEnd w:id="154"/>
      <w:bookmarkEnd w:id="155"/>
    </w:p>
    <w:p>
      <w:pPr>
        <w:pStyle w:val="Footnotesection"/>
      </w:pPr>
      <w:r>
        <w:tab/>
        <w:t>[Heading inserted: No. 58 of 2010 s. 49.]</w:t>
      </w:r>
    </w:p>
    <w:p>
      <w:pPr>
        <w:pStyle w:val="Heading5"/>
      </w:pPr>
      <w:bookmarkStart w:id="156" w:name="_Toc106096921"/>
      <w:r>
        <w:rPr>
          <w:rStyle w:val="CharSectno"/>
        </w:rPr>
        <w:t>57</w:t>
      </w:r>
      <w:r>
        <w:t>.</w:t>
      </w:r>
      <w:r>
        <w:tab/>
        <w:t>Terms used</w:t>
      </w:r>
      <w:bookmarkEnd w:id="156"/>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4 comes into operation;</w:t>
      </w:r>
    </w:p>
    <w:p>
      <w:pPr>
        <w:pStyle w:val="Defstart"/>
      </w:pPr>
      <w:r>
        <w:tab/>
      </w:r>
      <w:r>
        <w:rPr>
          <w:rStyle w:val="CharDefText"/>
        </w:rPr>
        <w:t>former Board</w:t>
      </w:r>
      <w:r>
        <w:t xml:space="preserve"> means the Motor Vehicle Industry Board established by section 7 of this Act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57 inserted: No. 58 of 2010 s. 49.]</w:t>
      </w:r>
    </w:p>
    <w:p>
      <w:pPr>
        <w:pStyle w:val="Heading5"/>
      </w:pPr>
      <w:bookmarkStart w:id="157" w:name="_Toc106096922"/>
      <w:r>
        <w:rPr>
          <w:rStyle w:val="CharSectno"/>
        </w:rPr>
        <w:t>58</w:t>
      </w:r>
      <w:r>
        <w:t>.</w:t>
      </w:r>
      <w:r>
        <w:tab/>
        <w:t>Former Board abolished</w:t>
      </w:r>
      <w:bookmarkEnd w:id="157"/>
    </w:p>
    <w:p>
      <w:pPr>
        <w:pStyle w:val="Subsection"/>
      </w:pPr>
      <w:r>
        <w:tab/>
      </w:r>
      <w:r>
        <w:tab/>
        <w:t>Subject to sections 63 and 64, at the beginning of the commencement day, the former Board is abolished and its members go out of office.</w:t>
      </w:r>
    </w:p>
    <w:p>
      <w:pPr>
        <w:pStyle w:val="Footnotesection"/>
      </w:pPr>
      <w:r>
        <w:tab/>
        <w:t>[Section 58 inserted: No. 58 of 2010 s. 49.]</w:t>
      </w:r>
    </w:p>
    <w:p>
      <w:pPr>
        <w:pStyle w:val="Heading5"/>
      </w:pPr>
      <w:bookmarkStart w:id="158" w:name="_Toc106096923"/>
      <w:r>
        <w:rPr>
          <w:rStyle w:val="CharSectno"/>
        </w:rPr>
        <w:t>59</w:t>
      </w:r>
      <w:r>
        <w:t>.</w:t>
      </w:r>
      <w:r>
        <w:tab/>
        <w:t>References to former Board</w:t>
      </w:r>
      <w:bookmarkEnd w:id="158"/>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59 inserted: No. 58 of 2010 s. 49.]</w:t>
      </w:r>
    </w:p>
    <w:p>
      <w:pPr>
        <w:pStyle w:val="Heading5"/>
      </w:pPr>
      <w:bookmarkStart w:id="159" w:name="_Toc106096924"/>
      <w:r>
        <w:rPr>
          <w:rStyle w:val="CharSectno"/>
        </w:rPr>
        <w:lastRenderedPageBreak/>
        <w:t>60</w:t>
      </w:r>
      <w:r>
        <w:t>.</w:t>
      </w:r>
      <w:r>
        <w:tab/>
        <w:t>Immunity continues</w:t>
      </w:r>
      <w:bookmarkEnd w:id="159"/>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60 inserted: No. 58 of 2010 s. 49.]</w:t>
      </w:r>
    </w:p>
    <w:p>
      <w:pPr>
        <w:pStyle w:val="Heading5"/>
      </w:pPr>
      <w:bookmarkStart w:id="160" w:name="_Toc106096925"/>
      <w:r>
        <w:rPr>
          <w:rStyle w:val="CharSectno"/>
        </w:rPr>
        <w:t>61</w:t>
      </w:r>
      <w:r>
        <w:t>.</w:t>
      </w:r>
      <w:r>
        <w:tab/>
        <w:t>Unfinished investigations by former Board</w:t>
      </w:r>
      <w:bookmarkEnd w:id="160"/>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61 inserted: No. 58 of 2010 s. 49.]</w:t>
      </w:r>
    </w:p>
    <w:p>
      <w:pPr>
        <w:pStyle w:val="Heading5"/>
      </w:pPr>
      <w:bookmarkStart w:id="161" w:name="_Toc106096926"/>
      <w:r>
        <w:rPr>
          <w:rStyle w:val="CharSectno"/>
        </w:rPr>
        <w:t>62</w:t>
      </w:r>
      <w:r>
        <w:t>.</w:t>
      </w:r>
      <w:r>
        <w:tab/>
        <w:t>Unfinished proceedings by former Board</w:t>
      </w:r>
      <w:bookmarkEnd w:id="161"/>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motor vehicle dealer or repairer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keepNext/>
      </w:pPr>
      <w:r>
        <w:lastRenderedPageBreak/>
        <w:tab/>
        <w:t>(b)</w:t>
      </w:r>
      <w:r>
        <w:tab/>
        <w:t>are to continue under the direction and control of the Commissioner.</w:t>
      </w:r>
    </w:p>
    <w:p>
      <w:pPr>
        <w:pStyle w:val="Footnotesection"/>
      </w:pPr>
      <w:r>
        <w:tab/>
        <w:t>[Section 62 inserted: No. 58 of 2010 s. 49.]</w:t>
      </w:r>
    </w:p>
    <w:p>
      <w:pPr>
        <w:pStyle w:val="Heading5"/>
      </w:pPr>
      <w:bookmarkStart w:id="162" w:name="_Toc106096927"/>
      <w:r>
        <w:rPr>
          <w:rStyle w:val="CharSectno"/>
        </w:rPr>
        <w:t>63</w:t>
      </w:r>
      <w:r>
        <w:t>.</w:t>
      </w:r>
      <w:r>
        <w:tab/>
        <w:t>Winding</w:t>
      </w:r>
      <w:r>
        <w:noBreakHyphen/>
        <w:t>up by former Board</w:t>
      </w:r>
      <w:bookmarkEnd w:id="162"/>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63 inserted: No. 58 of 2010 s. 49.]</w:t>
      </w:r>
    </w:p>
    <w:p>
      <w:pPr>
        <w:pStyle w:val="Heading5"/>
      </w:pPr>
      <w:bookmarkStart w:id="163" w:name="_Toc106096928"/>
      <w:r>
        <w:rPr>
          <w:rStyle w:val="CharSectno"/>
        </w:rPr>
        <w:t>64</w:t>
      </w:r>
      <w:r>
        <w:t>.</w:t>
      </w:r>
      <w:r>
        <w:tab/>
        <w:t>Final report by former Board</w:t>
      </w:r>
      <w:bookmarkEnd w:id="163"/>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64 inserted: No. 58 of 2010 s. 49.]</w:t>
      </w:r>
    </w:p>
    <w:p>
      <w:pPr>
        <w:pStyle w:val="Heading5"/>
      </w:pPr>
      <w:bookmarkStart w:id="164" w:name="_Toc106096929"/>
      <w:r>
        <w:rPr>
          <w:rStyle w:val="CharSectno"/>
        </w:rPr>
        <w:lastRenderedPageBreak/>
        <w:t>65</w:t>
      </w:r>
      <w:r>
        <w:t>.</w:t>
      </w:r>
      <w:r>
        <w:tab/>
        <w:t>Regulations about transitional matters</w:t>
      </w:r>
      <w:bookmarkEnd w:id="164"/>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lastRenderedPageBreak/>
        <w:tab/>
        <w:t>(b)</w:t>
      </w:r>
      <w:r>
        <w:tab/>
        <w:t>to impose liabilities on any person (other than the State or an authority of the State) in respect of anything done or omitted to be done before the day of publication of those regulations.</w:t>
      </w:r>
    </w:p>
    <w:p>
      <w:pPr>
        <w:pStyle w:val="Footnotesection"/>
      </w:pPr>
      <w:r>
        <w:tab/>
        <w:t>[Section 65 inserted: No. 58 of 2010 s. 49.]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65" w:name="_Toc106010479"/>
      <w:bookmarkStart w:id="166" w:name="_Toc106010612"/>
      <w:bookmarkStart w:id="167" w:name="_Toc106096930"/>
      <w:r>
        <w:lastRenderedPageBreak/>
        <w:t>Notes</w:t>
      </w:r>
      <w:bookmarkEnd w:id="165"/>
      <w:bookmarkEnd w:id="166"/>
      <w:bookmarkEnd w:id="167"/>
    </w:p>
    <w:p>
      <w:pPr>
        <w:pStyle w:val="nStatement"/>
      </w:pPr>
      <w:r>
        <w:t xml:space="preserve">This is a compilation of the </w:t>
      </w:r>
      <w:r>
        <w:rPr>
          <w:i/>
          <w:noProof/>
        </w:rPr>
        <w:t>Motor Vehicle Dealers Act 1973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8" w:name="_Toc106096931"/>
      <w:r>
        <w:t>Compilation table</w:t>
      </w:r>
      <w:bookmarkEnd w:id="16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9"/>
        <w:gridCol w:w="2239"/>
        <w:gridCol w:w="29"/>
        <w:gridCol w:w="1105"/>
        <w:gridCol w:w="29"/>
        <w:gridCol w:w="1105"/>
        <w:gridCol w:w="29"/>
        <w:gridCol w:w="2523"/>
        <w:gridCol w:w="28"/>
      </w:tblGrid>
      <w:tr>
        <w:trPr>
          <w:gridAfter w:val="1"/>
          <w:wAfter w:w="28"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Act 1973</w:t>
            </w:r>
            <w:r>
              <w:rPr>
                <w:vertAlign w:val="superscript"/>
              </w:rPr>
              <w:t> 1</w:t>
            </w:r>
          </w:p>
        </w:tc>
        <w:tc>
          <w:tcPr>
            <w:tcW w:w="1134" w:type="dxa"/>
            <w:gridSpan w:val="2"/>
          </w:tcPr>
          <w:p>
            <w:pPr>
              <w:pStyle w:val="nTable"/>
              <w:spacing w:before="50" w:after="50"/>
            </w:pPr>
            <w:r>
              <w:t>101 of 1973</w:t>
            </w:r>
          </w:p>
        </w:tc>
        <w:tc>
          <w:tcPr>
            <w:tcW w:w="1134" w:type="dxa"/>
            <w:gridSpan w:val="2"/>
          </w:tcPr>
          <w:p>
            <w:pPr>
              <w:pStyle w:val="nTable"/>
              <w:spacing w:before="50" w:after="50"/>
            </w:pPr>
            <w:r>
              <w:t>28 Dec 1973</w:t>
            </w:r>
          </w:p>
        </w:tc>
        <w:tc>
          <w:tcPr>
            <w:tcW w:w="2551" w:type="dxa"/>
            <w:gridSpan w:val="2"/>
          </w:tcPr>
          <w:p>
            <w:pPr>
              <w:pStyle w:val="nTable"/>
              <w:spacing w:before="50" w:after="50"/>
            </w:pPr>
            <w:r>
              <w:t>s. 1</w:t>
            </w:r>
            <w:r>
              <w:noBreakHyphen/>
              <w:t>3 and 5</w:t>
            </w:r>
            <w:r>
              <w:noBreakHyphen/>
              <w:t xml:space="preserve">13: 15 Feb 1974 (see s. 2 and </w:t>
            </w:r>
            <w:r>
              <w:rPr>
                <w:i/>
              </w:rPr>
              <w:t>Gazette</w:t>
            </w:r>
            <w:r>
              <w:t xml:space="preserve"> 15 Feb 1974 p. 375); </w:t>
            </w:r>
            <w:r>
              <w:br/>
              <w:t>s. 14</w:t>
            </w:r>
            <w:r>
              <w:noBreakHyphen/>
              <w:t xml:space="preserve">24, 30, 50 and 56: 5 Apr 1974 (see s. 2 and </w:t>
            </w:r>
            <w:r>
              <w:rPr>
                <w:i/>
              </w:rPr>
              <w:t>Gazette</w:t>
            </w:r>
            <w:r>
              <w:t xml:space="preserve"> 5 Apr 1974 p. 1180); </w:t>
            </w:r>
            <w:r>
              <w:br/>
              <w:t xml:space="preserve">s. 4, 25-29, 31-39, 41-49 and 51-55: 12 Aug 1974 (see s. 2 and </w:t>
            </w:r>
            <w:r>
              <w:rPr>
                <w:i/>
              </w:rPr>
              <w:t>Gazette</w:t>
            </w:r>
            <w:r>
              <w:t xml:space="preserve"> 9 Aug 1974 p. 2935)</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Acts Amendment (Road Traffic) Act 1974 </w:t>
            </w:r>
            <w:r>
              <w:t>Pt. III</w:t>
            </w:r>
          </w:p>
        </w:tc>
        <w:tc>
          <w:tcPr>
            <w:tcW w:w="1134" w:type="dxa"/>
            <w:gridSpan w:val="2"/>
          </w:tcPr>
          <w:p>
            <w:pPr>
              <w:pStyle w:val="nTable"/>
              <w:spacing w:before="50" w:after="50"/>
            </w:pPr>
            <w:r>
              <w:t>58 of 1974</w:t>
            </w:r>
          </w:p>
        </w:tc>
        <w:tc>
          <w:tcPr>
            <w:tcW w:w="1134" w:type="dxa"/>
            <w:gridSpan w:val="2"/>
          </w:tcPr>
          <w:p>
            <w:pPr>
              <w:pStyle w:val="nTable"/>
              <w:spacing w:before="50" w:after="50"/>
            </w:pPr>
            <w:r>
              <w:t>3 Dec 1974</w:t>
            </w:r>
          </w:p>
        </w:tc>
        <w:tc>
          <w:tcPr>
            <w:tcW w:w="2551" w:type="dxa"/>
            <w:gridSpan w:val="2"/>
          </w:tcPr>
          <w:p>
            <w:pPr>
              <w:pStyle w:val="nTable"/>
              <w:spacing w:before="50" w:after="5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Act Amendment Act 1975</w:t>
            </w:r>
          </w:p>
        </w:tc>
        <w:tc>
          <w:tcPr>
            <w:tcW w:w="1134" w:type="dxa"/>
            <w:gridSpan w:val="2"/>
          </w:tcPr>
          <w:p>
            <w:pPr>
              <w:pStyle w:val="nTable"/>
              <w:spacing w:before="50" w:after="50"/>
            </w:pPr>
            <w:r>
              <w:t>74 of 1975</w:t>
            </w:r>
          </w:p>
        </w:tc>
        <w:tc>
          <w:tcPr>
            <w:tcW w:w="1134" w:type="dxa"/>
            <w:gridSpan w:val="2"/>
          </w:tcPr>
          <w:p>
            <w:pPr>
              <w:pStyle w:val="nTable"/>
              <w:spacing w:before="50" w:after="50"/>
            </w:pPr>
            <w:r>
              <w:t>14 Nov 1975</w:t>
            </w:r>
          </w:p>
        </w:tc>
        <w:tc>
          <w:tcPr>
            <w:tcW w:w="2551" w:type="dxa"/>
            <w:gridSpan w:val="2"/>
          </w:tcPr>
          <w:p>
            <w:pPr>
              <w:pStyle w:val="nTable"/>
              <w:spacing w:before="50" w:after="50"/>
            </w:pPr>
            <w:r>
              <w:t xml:space="preserve">9 Jan 1976 (see s. 2 and </w:t>
            </w:r>
            <w:r>
              <w:rPr>
                <w:i/>
              </w:rPr>
              <w:t>Gazette</w:t>
            </w:r>
            <w:r>
              <w:t xml:space="preserve"> 9 Jan 1976 p. 2)</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Act Amendment Act 1976</w:t>
            </w:r>
          </w:p>
        </w:tc>
        <w:tc>
          <w:tcPr>
            <w:tcW w:w="1134" w:type="dxa"/>
            <w:gridSpan w:val="2"/>
          </w:tcPr>
          <w:p>
            <w:pPr>
              <w:pStyle w:val="nTable"/>
              <w:spacing w:before="50" w:after="50"/>
            </w:pPr>
            <w:r>
              <w:t>66 of 1976</w:t>
            </w:r>
          </w:p>
        </w:tc>
        <w:tc>
          <w:tcPr>
            <w:tcW w:w="1134" w:type="dxa"/>
            <w:gridSpan w:val="2"/>
          </w:tcPr>
          <w:p>
            <w:pPr>
              <w:pStyle w:val="nTable"/>
              <w:spacing w:before="50" w:after="50"/>
            </w:pPr>
            <w:r>
              <w:t>22 Sep 1976</w:t>
            </w:r>
          </w:p>
        </w:tc>
        <w:tc>
          <w:tcPr>
            <w:tcW w:w="2551" w:type="dxa"/>
            <w:gridSpan w:val="2"/>
          </w:tcPr>
          <w:p>
            <w:pPr>
              <w:pStyle w:val="nTable"/>
              <w:spacing w:before="50" w:after="50"/>
            </w:pPr>
            <w:r>
              <w:t>22 Sep 1976</w:t>
            </w:r>
          </w:p>
        </w:tc>
      </w:tr>
      <w:tr>
        <w:tblPrEx>
          <w:tblBorders>
            <w:top w:val="none" w:sz="0" w:space="0" w:color="auto"/>
            <w:bottom w:val="none" w:sz="0" w:space="0" w:color="auto"/>
            <w:insideH w:val="none" w:sz="0" w:space="0" w:color="auto"/>
          </w:tblBorders>
        </w:tblPrEx>
        <w:trPr>
          <w:gridBefore w:val="1"/>
          <w:wBefore w:w="29" w:type="dxa"/>
        </w:trPr>
        <w:tc>
          <w:tcPr>
            <w:tcW w:w="7087" w:type="dxa"/>
            <w:gridSpan w:val="8"/>
          </w:tcPr>
          <w:p>
            <w:pPr>
              <w:pStyle w:val="nTable"/>
              <w:spacing w:before="50" w:after="50"/>
            </w:pPr>
            <w:r>
              <w:rPr>
                <w:b/>
              </w:rPr>
              <w:t xml:space="preserve">Reprint of the </w:t>
            </w:r>
            <w:r>
              <w:rPr>
                <w:b/>
                <w:i/>
              </w:rPr>
              <w:t>Motor Vehicle Dealers Act 1973</w:t>
            </w:r>
            <w:r>
              <w:rPr>
                <w:b/>
              </w:rPr>
              <w:t xml:space="preserve"> approved 14 Dec 1978 </w:t>
            </w:r>
            <w:r>
              <w:t>(includes amendments listed above)</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keepNext/>
              <w:spacing w:before="50" w:after="50"/>
            </w:pPr>
            <w:r>
              <w:rPr>
                <w:i/>
              </w:rPr>
              <w:t>Motor Vehicle Dealers Act Amendment Act 1979</w:t>
            </w:r>
          </w:p>
        </w:tc>
        <w:tc>
          <w:tcPr>
            <w:tcW w:w="1134" w:type="dxa"/>
            <w:gridSpan w:val="2"/>
          </w:tcPr>
          <w:p>
            <w:pPr>
              <w:pStyle w:val="nTable"/>
              <w:keepNext/>
              <w:spacing w:before="50" w:after="50"/>
            </w:pPr>
            <w:r>
              <w:t>49 of 1979</w:t>
            </w:r>
          </w:p>
        </w:tc>
        <w:tc>
          <w:tcPr>
            <w:tcW w:w="1134" w:type="dxa"/>
            <w:gridSpan w:val="2"/>
          </w:tcPr>
          <w:p>
            <w:pPr>
              <w:pStyle w:val="nTable"/>
              <w:keepNext/>
              <w:spacing w:before="50" w:after="50"/>
            </w:pPr>
            <w:r>
              <w:t>7 Nov 1979</w:t>
            </w:r>
          </w:p>
        </w:tc>
        <w:tc>
          <w:tcPr>
            <w:tcW w:w="2551" w:type="dxa"/>
            <w:gridSpan w:val="2"/>
          </w:tcPr>
          <w:p>
            <w:pPr>
              <w:pStyle w:val="nTable"/>
              <w:keepNext/>
              <w:spacing w:before="50" w:after="50"/>
            </w:pPr>
            <w:r>
              <w:t xml:space="preserve">1 Jan 1980 (see s. 2 and </w:t>
            </w:r>
            <w:r>
              <w:rPr>
                <w:i/>
              </w:rPr>
              <w:t>Gazette</w:t>
            </w:r>
            <w:r>
              <w:t xml:space="preserve"> 21 Dec 1979 p. 3909)</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Amendment Act 1981</w:t>
            </w:r>
          </w:p>
        </w:tc>
        <w:tc>
          <w:tcPr>
            <w:tcW w:w="1134" w:type="dxa"/>
            <w:gridSpan w:val="2"/>
          </w:tcPr>
          <w:p>
            <w:pPr>
              <w:pStyle w:val="nTable"/>
              <w:spacing w:before="50" w:after="50"/>
            </w:pPr>
            <w:r>
              <w:t>87 of 1981</w:t>
            </w:r>
          </w:p>
        </w:tc>
        <w:tc>
          <w:tcPr>
            <w:tcW w:w="1134" w:type="dxa"/>
            <w:gridSpan w:val="2"/>
          </w:tcPr>
          <w:p>
            <w:pPr>
              <w:pStyle w:val="nTable"/>
              <w:spacing w:before="50" w:after="50"/>
            </w:pPr>
            <w:r>
              <w:t>26 Nov 1981</w:t>
            </w:r>
          </w:p>
        </w:tc>
        <w:tc>
          <w:tcPr>
            <w:tcW w:w="2551" w:type="dxa"/>
            <w:gridSpan w:val="2"/>
          </w:tcPr>
          <w:p>
            <w:pPr>
              <w:pStyle w:val="nTable"/>
              <w:spacing w:before="50" w:after="50"/>
            </w:pPr>
            <w:r>
              <w:t>Act other than s. 15 and 16: 26 Nov 1981 (see s. 2(1));</w:t>
            </w:r>
            <w:r>
              <w:br/>
              <w:t xml:space="preserve">s. 15 and 16: 1 Feb 1982 (see s. 2(2) and </w:t>
            </w:r>
            <w:r>
              <w:rPr>
                <w:i/>
              </w:rPr>
              <w:t>Gazette</w:t>
            </w:r>
            <w:r>
              <w:t xml:space="preserve"> 31 Dec 1981 p. 5364) </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Acts Amendment (Traffic Board) Act 1981 </w:t>
            </w:r>
            <w:r>
              <w:t>Pt. III</w:t>
            </w:r>
          </w:p>
        </w:tc>
        <w:tc>
          <w:tcPr>
            <w:tcW w:w="1134" w:type="dxa"/>
            <w:gridSpan w:val="2"/>
          </w:tcPr>
          <w:p>
            <w:pPr>
              <w:pStyle w:val="nTable"/>
              <w:spacing w:before="50" w:after="50"/>
            </w:pPr>
            <w:r>
              <w:t>106 of 1981</w:t>
            </w:r>
          </w:p>
        </w:tc>
        <w:tc>
          <w:tcPr>
            <w:tcW w:w="1134" w:type="dxa"/>
            <w:gridSpan w:val="2"/>
          </w:tcPr>
          <w:p>
            <w:pPr>
              <w:pStyle w:val="nTable"/>
              <w:spacing w:before="50" w:after="50"/>
            </w:pPr>
            <w:r>
              <w:t>4 Dec 1981</w:t>
            </w:r>
          </w:p>
        </w:tc>
        <w:tc>
          <w:tcPr>
            <w:tcW w:w="2551" w:type="dxa"/>
            <w:gridSpan w:val="2"/>
          </w:tcPr>
          <w:p>
            <w:pPr>
              <w:pStyle w:val="nTable"/>
              <w:spacing w:before="50" w:after="50"/>
            </w:pPr>
            <w:r>
              <w:t xml:space="preserve">2 Feb 1982 (see s. 2 and </w:t>
            </w:r>
            <w:r>
              <w:rPr>
                <w:i/>
              </w:rPr>
              <w:t>Gazette</w:t>
            </w:r>
            <w:r>
              <w:t xml:space="preserve"> 2 Feb 1982 p. 393)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Amendment Act 1982</w:t>
            </w:r>
          </w:p>
        </w:tc>
        <w:tc>
          <w:tcPr>
            <w:tcW w:w="1134" w:type="dxa"/>
            <w:gridSpan w:val="2"/>
          </w:tcPr>
          <w:p>
            <w:pPr>
              <w:pStyle w:val="nTable"/>
              <w:spacing w:before="50" w:after="50"/>
            </w:pPr>
            <w:r>
              <w:t>6 of 1982</w:t>
            </w:r>
          </w:p>
        </w:tc>
        <w:tc>
          <w:tcPr>
            <w:tcW w:w="1134" w:type="dxa"/>
            <w:gridSpan w:val="2"/>
          </w:tcPr>
          <w:p>
            <w:pPr>
              <w:pStyle w:val="nTable"/>
              <w:spacing w:before="50" w:after="50"/>
            </w:pPr>
            <w:r>
              <w:t>6 May 1982</w:t>
            </w:r>
          </w:p>
        </w:tc>
        <w:tc>
          <w:tcPr>
            <w:tcW w:w="2551" w:type="dxa"/>
            <w:gridSpan w:val="2"/>
          </w:tcPr>
          <w:p>
            <w:pPr>
              <w:pStyle w:val="nTable"/>
              <w:spacing w:before="50" w:after="50"/>
            </w:pPr>
            <w:r>
              <w:t xml:space="preserve">1 Aug 1982 (see s. 2 and </w:t>
            </w:r>
            <w:r>
              <w:rPr>
                <w:i/>
              </w:rPr>
              <w:t>Gazette</w:t>
            </w:r>
            <w:r>
              <w:t xml:space="preserve"> 16 Jul 1982 p. 2713)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keepNext/>
              <w:spacing w:before="50" w:after="50"/>
            </w:pPr>
            <w:r>
              <w:rPr>
                <w:i/>
              </w:rPr>
              <w:lastRenderedPageBreak/>
              <w:t>Motor Vehicle Dealers Amendment Act (No. 2) 1982</w:t>
            </w:r>
          </w:p>
        </w:tc>
        <w:tc>
          <w:tcPr>
            <w:tcW w:w="1134" w:type="dxa"/>
            <w:gridSpan w:val="2"/>
          </w:tcPr>
          <w:p>
            <w:pPr>
              <w:pStyle w:val="nTable"/>
              <w:keepNext/>
              <w:spacing w:before="50" w:after="50"/>
            </w:pPr>
            <w:r>
              <w:t>68 of 1982</w:t>
            </w:r>
          </w:p>
        </w:tc>
        <w:tc>
          <w:tcPr>
            <w:tcW w:w="1134" w:type="dxa"/>
            <w:gridSpan w:val="2"/>
          </w:tcPr>
          <w:p>
            <w:pPr>
              <w:pStyle w:val="nTable"/>
              <w:keepNext/>
              <w:spacing w:before="50" w:after="50"/>
            </w:pPr>
            <w:r>
              <w:t>6 Oct 1982</w:t>
            </w:r>
          </w:p>
        </w:tc>
        <w:tc>
          <w:tcPr>
            <w:tcW w:w="2551" w:type="dxa"/>
            <w:gridSpan w:val="2"/>
          </w:tcPr>
          <w:p>
            <w:pPr>
              <w:pStyle w:val="nTable"/>
              <w:keepNext/>
              <w:spacing w:before="50" w:after="50"/>
            </w:pPr>
            <w:r>
              <w:t>6 Oct 1982</w:t>
            </w:r>
          </w:p>
        </w:tc>
      </w:tr>
      <w:tr>
        <w:tblPrEx>
          <w:tblBorders>
            <w:top w:val="none" w:sz="0" w:space="0" w:color="auto"/>
            <w:bottom w:val="none" w:sz="0" w:space="0" w:color="auto"/>
            <w:insideH w:val="none" w:sz="0" w:space="0" w:color="auto"/>
          </w:tblBorders>
        </w:tblPrEx>
        <w:trPr>
          <w:gridBefore w:val="1"/>
          <w:wBefore w:w="29" w:type="dxa"/>
        </w:trPr>
        <w:tc>
          <w:tcPr>
            <w:tcW w:w="7087" w:type="dxa"/>
            <w:gridSpan w:val="8"/>
          </w:tcPr>
          <w:p>
            <w:pPr>
              <w:pStyle w:val="nTable"/>
              <w:keepNext/>
              <w:spacing w:before="50" w:after="50"/>
            </w:pPr>
            <w:r>
              <w:rPr>
                <w:b/>
              </w:rPr>
              <w:t xml:space="preserve">Reprint of the </w:t>
            </w:r>
            <w:r>
              <w:rPr>
                <w:b/>
                <w:i/>
              </w:rPr>
              <w:t>Motor Vehicle Dealers Act 1973</w:t>
            </w:r>
            <w:r>
              <w:rPr>
                <w:b/>
              </w:rPr>
              <w:t xml:space="preserve"> approved 1 Feb 1983 </w:t>
            </w:r>
            <w:r>
              <w:t>(includes amendments listed above)</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Acts Amendment (Consumer Affairs) Act 1985 </w:t>
            </w:r>
            <w:r>
              <w:t>Pt. V</w:t>
            </w:r>
          </w:p>
        </w:tc>
        <w:tc>
          <w:tcPr>
            <w:tcW w:w="1134" w:type="dxa"/>
            <w:gridSpan w:val="2"/>
          </w:tcPr>
          <w:p>
            <w:pPr>
              <w:pStyle w:val="nTable"/>
              <w:spacing w:before="50" w:after="50"/>
            </w:pPr>
            <w:r>
              <w:t>1 of 1985</w:t>
            </w:r>
          </w:p>
        </w:tc>
        <w:tc>
          <w:tcPr>
            <w:tcW w:w="1134" w:type="dxa"/>
            <w:gridSpan w:val="2"/>
          </w:tcPr>
          <w:p>
            <w:pPr>
              <w:pStyle w:val="nTable"/>
              <w:spacing w:before="50" w:after="50"/>
            </w:pPr>
            <w:r>
              <w:t>8 Mar 1985</w:t>
            </w:r>
          </w:p>
        </w:tc>
        <w:tc>
          <w:tcPr>
            <w:tcW w:w="2551" w:type="dxa"/>
            <w:gridSpan w:val="2"/>
          </w:tcPr>
          <w:p>
            <w:pPr>
              <w:pStyle w:val="nTable"/>
              <w:spacing w:before="50" w:after="50"/>
            </w:pPr>
            <w:r>
              <w:t xml:space="preserve">s. 24 and 25: 6 Apr 1983 (see s. 2(1)); </w:t>
            </w:r>
            <w:r>
              <w:br/>
              <w:t>s. 26 and 27: 8 Mar 1985 (see s. 2(3))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Acts Amendment (Public Sector Management) Act 1994 </w:t>
            </w:r>
            <w:r>
              <w:t>s. 19</w:t>
            </w:r>
          </w:p>
        </w:tc>
        <w:tc>
          <w:tcPr>
            <w:tcW w:w="1134" w:type="dxa"/>
            <w:gridSpan w:val="2"/>
          </w:tcPr>
          <w:p>
            <w:pPr>
              <w:pStyle w:val="nTable"/>
              <w:spacing w:before="50" w:after="50"/>
            </w:pPr>
            <w:r>
              <w:t>32 of 1994</w:t>
            </w:r>
          </w:p>
        </w:tc>
        <w:tc>
          <w:tcPr>
            <w:tcW w:w="1134" w:type="dxa"/>
            <w:gridSpan w:val="2"/>
          </w:tcPr>
          <w:p>
            <w:pPr>
              <w:pStyle w:val="nTable"/>
              <w:spacing w:before="50" w:after="50"/>
            </w:pPr>
            <w:r>
              <w:t>29 Jun 1994</w:t>
            </w:r>
          </w:p>
        </w:tc>
        <w:tc>
          <w:tcPr>
            <w:tcW w:w="2551" w:type="dxa"/>
            <w:gridSpan w:val="2"/>
          </w:tcPr>
          <w:p>
            <w:pPr>
              <w:pStyle w:val="nTable"/>
              <w:spacing w:before="50" w:after="5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Statutes (Repeals and Minor Amendments) Act 1994 </w:t>
            </w:r>
            <w:r>
              <w:t>s. 4</w:t>
            </w:r>
          </w:p>
        </w:tc>
        <w:tc>
          <w:tcPr>
            <w:tcW w:w="1134" w:type="dxa"/>
            <w:gridSpan w:val="2"/>
          </w:tcPr>
          <w:p>
            <w:pPr>
              <w:pStyle w:val="nTable"/>
              <w:spacing w:before="50" w:after="50"/>
            </w:pPr>
            <w:r>
              <w:t>73 of 1994</w:t>
            </w:r>
          </w:p>
        </w:tc>
        <w:tc>
          <w:tcPr>
            <w:tcW w:w="1134" w:type="dxa"/>
            <w:gridSpan w:val="2"/>
          </w:tcPr>
          <w:p>
            <w:pPr>
              <w:pStyle w:val="nTable"/>
              <w:spacing w:before="50" w:after="50"/>
            </w:pPr>
            <w:r>
              <w:t>9 Dec 1994</w:t>
            </w:r>
          </w:p>
        </w:tc>
        <w:tc>
          <w:tcPr>
            <w:tcW w:w="2551" w:type="dxa"/>
            <w:gridSpan w:val="2"/>
          </w:tcPr>
          <w:p>
            <w:pPr>
              <w:pStyle w:val="nTable"/>
              <w:spacing w:before="50" w:after="50"/>
            </w:pPr>
            <w:r>
              <w:t>9 Dec 1994 (see s. 2)</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keepNext/>
              <w:spacing w:before="50" w:after="50"/>
            </w:pPr>
            <w:r>
              <w:rPr>
                <w:i/>
              </w:rPr>
              <w:t xml:space="preserve">Business Licensing Amendment Act 1995 </w:t>
            </w:r>
            <w:r>
              <w:t>Pt. 7</w:t>
            </w:r>
            <w:r>
              <w:rPr>
                <w:vertAlign w:val="superscript"/>
              </w:rPr>
              <w:t> 2</w:t>
            </w:r>
          </w:p>
        </w:tc>
        <w:tc>
          <w:tcPr>
            <w:tcW w:w="1134" w:type="dxa"/>
            <w:gridSpan w:val="2"/>
          </w:tcPr>
          <w:p>
            <w:pPr>
              <w:pStyle w:val="nTable"/>
              <w:keepNext/>
              <w:spacing w:before="50" w:after="50"/>
            </w:pPr>
            <w:r>
              <w:t>56 of 1995</w:t>
            </w:r>
          </w:p>
        </w:tc>
        <w:tc>
          <w:tcPr>
            <w:tcW w:w="1134" w:type="dxa"/>
            <w:gridSpan w:val="2"/>
          </w:tcPr>
          <w:p>
            <w:pPr>
              <w:pStyle w:val="nTable"/>
              <w:keepNext/>
              <w:spacing w:before="50" w:after="50"/>
            </w:pPr>
            <w:r>
              <w:t>20 Dec 1995</w:t>
            </w:r>
          </w:p>
        </w:tc>
        <w:tc>
          <w:tcPr>
            <w:tcW w:w="2551" w:type="dxa"/>
            <w:gridSpan w:val="2"/>
          </w:tcPr>
          <w:p>
            <w:pPr>
              <w:pStyle w:val="nTable"/>
              <w:keepNext/>
              <w:spacing w:before="50" w:after="50"/>
            </w:pPr>
            <w:r>
              <w:t>1 Jan 1996 (see s. 2(3))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Industrial Relations Legislation Amendment and Repeal Act 1995 </w:t>
            </w:r>
            <w:r>
              <w:t>s. 68(4)</w:t>
            </w:r>
          </w:p>
        </w:tc>
        <w:tc>
          <w:tcPr>
            <w:tcW w:w="1134" w:type="dxa"/>
            <w:gridSpan w:val="2"/>
          </w:tcPr>
          <w:p>
            <w:pPr>
              <w:pStyle w:val="nTable"/>
              <w:spacing w:before="50" w:after="50"/>
            </w:pPr>
            <w:r>
              <w:t>79 of 1995</w:t>
            </w:r>
          </w:p>
        </w:tc>
        <w:tc>
          <w:tcPr>
            <w:tcW w:w="1134" w:type="dxa"/>
            <w:gridSpan w:val="2"/>
          </w:tcPr>
          <w:p>
            <w:pPr>
              <w:pStyle w:val="nTable"/>
              <w:spacing w:before="50" w:after="50"/>
            </w:pPr>
            <w:r>
              <w:t>16 Jan 1996</w:t>
            </w:r>
          </w:p>
        </w:tc>
        <w:tc>
          <w:tcPr>
            <w:tcW w:w="2551" w:type="dxa"/>
            <w:gridSpan w:val="2"/>
          </w:tcPr>
          <w:p>
            <w:pPr>
              <w:pStyle w:val="nTable"/>
              <w:spacing w:before="50" w:after="50"/>
            </w:pPr>
            <w:r>
              <w:t xml:space="preserve">18 May 1996 (see s. 3(2) and </w:t>
            </w:r>
            <w:r>
              <w:rPr>
                <w:i/>
              </w:rPr>
              <w:t>Gazette</w:t>
            </w:r>
            <w:r>
              <w:t xml:space="preserve"> 14 May 1996 p. 2019)</w:t>
            </w:r>
          </w:p>
        </w:tc>
      </w:tr>
      <w:tr>
        <w:tblPrEx>
          <w:tblBorders>
            <w:top w:val="none" w:sz="0" w:space="0" w:color="auto"/>
            <w:bottom w:val="none" w:sz="0" w:space="0" w:color="auto"/>
            <w:insideH w:val="none" w:sz="0" w:space="0" w:color="auto"/>
          </w:tblBorders>
        </w:tblPrEx>
        <w:trPr>
          <w:gridBefore w:val="1"/>
          <w:wBefore w:w="29" w:type="dxa"/>
        </w:trPr>
        <w:tc>
          <w:tcPr>
            <w:tcW w:w="7087" w:type="dxa"/>
            <w:gridSpan w:val="8"/>
          </w:tcPr>
          <w:p>
            <w:pPr>
              <w:pStyle w:val="nTable"/>
              <w:spacing w:before="50" w:after="50"/>
            </w:pPr>
            <w:r>
              <w:rPr>
                <w:b/>
              </w:rPr>
              <w:t xml:space="preserve">Reprint of the </w:t>
            </w:r>
            <w:r>
              <w:rPr>
                <w:b/>
                <w:i/>
              </w:rPr>
              <w:t>Motor Vehicle Dealers Act 1973</w:t>
            </w:r>
            <w:r>
              <w:rPr>
                <w:b/>
              </w:rPr>
              <w:t xml:space="preserve"> as at 14 Nov 1996 </w:t>
            </w:r>
            <w:r>
              <w:t>(includes amendments listed above)</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keepNext/>
              <w:spacing w:before="50" w:after="50"/>
            </w:pPr>
            <w:r>
              <w:rPr>
                <w:i/>
              </w:rPr>
              <w:t xml:space="preserve">Statutes (Repeals and Minor Amendments) Act 1997 </w:t>
            </w:r>
            <w:r>
              <w:t>s. 39(10) and 90</w:t>
            </w:r>
          </w:p>
        </w:tc>
        <w:tc>
          <w:tcPr>
            <w:tcW w:w="1134" w:type="dxa"/>
            <w:gridSpan w:val="2"/>
          </w:tcPr>
          <w:p>
            <w:pPr>
              <w:pStyle w:val="nTable"/>
              <w:keepNext/>
              <w:spacing w:before="50" w:after="50"/>
            </w:pPr>
            <w:r>
              <w:t>57 of 1997</w:t>
            </w:r>
          </w:p>
        </w:tc>
        <w:tc>
          <w:tcPr>
            <w:tcW w:w="1134" w:type="dxa"/>
            <w:gridSpan w:val="2"/>
          </w:tcPr>
          <w:p>
            <w:pPr>
              <w:pStyle w:val="nTable"/>
              <w:keepNext/>
              <w:spacing w:before="50" w:after="50"/>
            </w:pPr>
            <w:r>
              <w:t>15 Dec 1997</w:t>
            </w:r>
          </w:p>
        </w:tc>
        <w:tc>
          <w:tcPr>
            <w:tcW w:w="2551" w:type="dxa"/>
            <w:gridSpan w:val="2"/>
          </w:tcPr>
          <w:p>
            <w:pPr>
              <w:pStyle w:val="nTable"/>
              <w:keepNext/>
              <w:spacing w:before="50" w:after="50"/>
            </w:pPr>
            <w:r>
              <w:t>15 Dec 1997 (see s. 2(1))</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Statutes (Repeals and Minor Amendments) Act (No. 2) 1998 </w:t>
            </w:r>
            <w:r>
              <w:t>s. 53</w:t>
            </w:r>
          </w:p>
        </w:tc>
        <w:tc>
          <w:tcPr>
            <w:tcW w:w="1134" w:type="dxa"/>
            <w:gridSpan w:val="2"/>
          </w:tcPr>
          <w:p>
            <w:pPr>
              <w:pStyle w:val="nTable"/>
              <w:spacing w:before="50" w:after="50"/>
            </w:pPr>
            <w:r>
              <w:t>10 of 1998</w:t>
            </w:r>
          </w:p>
        </w:tc>
        <w:tc>
          <w:tcPr>
            <w:tcW w:w="1134" w:type="dxa"/>
            <w:gridSpan w:val="2"/>
          </w:tcPr>
          <w:p>
            <w:pPr>
              <w:pStyle w:val="nTable"/>
              <w:spacing w:before="50" w:after="50"/>
            </w:pPr>
            <w:r>
              <w:t>30 Apr 1998</w:t>
            </w:r>
          </w:p>
        </w:tc>
        <w:tc>
          <w:tcPr>
            <w:tcW w:w="2551" w:type="dxa"/>
            <w:gridSpan w:val="2"/>
          </w:tcPr>
          <w:p>
            <w:pPr>
              <w:pStyle w:val="nTable"/>
              <w:spacing w:before="50" w:after="50"/>
            </w:pPr>
            <w:r>
              <w:t>30 Apr 1998 (see s. 2(1))</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Amendment Act 2002</w:t>
            </w:r>
            <w:r>
              <w:rPr>
                <w:vertAlign w:val="superscript"/>
              </w:rPr>
              <w:t> 3</w:t>
            </w:r>
          </w:p>
        </w:tc>
        <w:tc>
          <w:tcPr>
            <w:tcW w:w="1134" w:type="dxa"/>
            <w:gridSpan w:val="2"/>
          </w:tcPr>
          <w:p>
            <w:pPr>
              <w:pStyle w:val="nTable"/>
              <w:spacing w:before="50" w:after="50"/>
            </w:pPr>
            <w:r>
              <w:t>4 of 2002</w:t>
            </w:r>
          </w:p>
        </w:tc>
        <w:tc>
          <w:tcPr>
            <w:tcW w:w="1134" w:type="dxa"/>
            <w:gridSpan w:val="2"/>
          </w:tcPr>
          <w:p>
            <w:pPr>
              <w:pStyle w:val="nTable"/>
              <w:spacing w:before="50" w:after="50"/>
            </w:pPr>
            <w:r>
              <w:t>4 Jun 2002</w:t>
            </w:r>
          </w:p>
        </w:tc>
        <w:tc>
          <w:tcPr>
            <w:tcW w:w="2551" w:type="dxa"/>
            <w:gridSpan w:val="2"/>
          </w:tcPr>
          <w:p>
            <w:pPr>
              <w:pStyle w:val="nTable"/>
              <w:spacing w:before="50" w:after="50"/>
            </w:pPr>
            <w:r>
              <w:t>s. 1 and 2: 4 Jun 2002;</w:t>
            </w:r>
            <w:r>
              <w:br/>
              <w:t xml:space="preserve">Act other than s. 1 and 2: 1 Sep 2002 (see s. 2 and </w:t>
            </w:r>
            <w:r>
              <w:rPr>
                <w:i/>
              </w:rPr>
              <w:t>Gazette</w:t>
            </w:r>
            <w:r>
              <w:t xml:space="preserve"> 13 Aug 2002 p. 4151)</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rPr>
            </w:pPr>
            <w:r>
              <w:rPr>
                <w:i/>
              </w:rPr>
              <w:t>Motor Vehicle Dealers Amendment Act 2003</w:t>
            </w:r>
            <w:r>
              <w:rPr>
                <w:vertAlign w:val="superscript"/>
              </w:rPr>
              <w:t> 4</w:t>
            </w:r>
          </w:p>
        </w:tc>
        <w:tc>
          <w:tcPr>
            <w:tcW w:w="1134" w:type="dxa"/>
            <w:gridSpan w:val="2"/>
          </w:tcPr>
          <w:p>
            <w:pPr>
              <w:pStyle w:val="nTable"/>
              <w:keepNext/>
              <w:spacing w:before="50" w:after="50"/>
            </w:pPr>
            <w:r>
              <w:t>73 of 2003</w:t>
            </w:r>
          </w:p>
        </w:tc>
        <w:tc>
          <w:tcPr>
            <w:tcW w:w="1134" w:type="dxa"/>
            <w:gridSpan w:val="2"/>
          </w:tcPr>
          <w:p>
            <w:pPr>
              <w:pStyle w:val="nTable"/>
              <w:keepNext/>
              <w:spacing w:before="50" w:after="50"/>
            </w:pPr>
            <w:r>
              <w:t>15 Dec 2003</w:t>
            </w:r>
          </w:p>
        </w:tc>
        <w:tc>
          <w:tcPr>
            <w:tcW w:w="2551" w:type="dxa"/>
            <w:gridSpan w:val="2"/>
          </w:tcPr>
          <w:p>
            <w:pPr>
              <w:pStyle w:val="nTable"/>
              <w:keepNext/>
              <w:spacing w:before="50" w:after="50"/>
            </w:pPr>
            <w:r>
              <w:t>s. 1 and 2: 15 Dec 2003;</w:t>
            </w:r>
            <w:r>
              <w:br/>
            </w:r>
            <w:r>
              <w:rPr>
                <w:spacing w:val="-2"/>
              </w:rPr>
              <w:t>Act other than s. 1, 2 and 19</w:t>
            </w:r>
            <w:r>
              <w:rPr>
                <w:spacing w:val="-2"/>
              </w:rPr>
              <w:noBreakHyphen/>
              <w:t>21:</w:t>
            </w:r>
            <w:r>
              <w:t xml:space="preserve"> 22 Dec 2004 (see s. 2 and </w:t>
            </w:r>
            <w:r>
              <w:rPr>
                <w:i/>
              </w:rPr>
              <w:t>Gazette</w:t>
            </w:r>
            <w:r>
              <w:t xml:space="preserve"> 21 Dec 2004 p. 6133);</w:t>
            </w:r>
            <w:r>
              <w:br/>
              <w:t xml:space="preserve">s. 19: 1 Jan 2005 (see s. 2 and </w:t>
            </w:r>
            <w:r>
              <w:rPr>
                <w:i/>
              </w:rPr>
              <w:t>Gazette</w:t>
            </w:r>
            <w:r>
              <w:t xml:space="preserve"> 31 Dec 2004 p. 7131)</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Pr>
          <w:p>
            <w:pPr>
              <w:pStyle w:val="nTable"/>
              <w:spacing w:before="50" w:after="50"/>
              <w:rPr>
                <w:i/>
              </w:rPr>
            </w:pPr>
            <w:r>
              <w:rPr>
                <w:i/>
                <w:snapToGrid w:val="0"/>
              </w:rPr>
              <w:lastRenderedPageBreak/>
              <w:t>Courts Legislation Amendment and Repeal Act 2004</w:t>
            </w:r>
            <w:r>
              <w:rPr>
                <w:snapToGrid w:val="0"/>
              </w:rPr>
              <w:t xml:space="preserve"> s. 141</w:t>
            </w:r>
          </w:p>
        </w:tc>
        <w:tc>
          <w:tcPr>
            <w:tcW w:w="1134" w:type="dxa"/>
            <w:gridSpan w:val="2"/>
          </w:tcPr>
          <w:p>
            <w:pPr>
              <w:pStyle w:val="nTable"/>
              <w:spacing w:before="50" w:after="50"/>
            </w:pPr>
            <w:r>
              <w:rPr>
                <w:snapToGrid w:val="0"/>
              </w:rPr>
              <w:t>59 of 2004</w:t>
            </w:r>
          </w:p>
        </w:tc>
        <w:tc>
          <w:tcPr>
            <w:tcW w:w="1134" w:type="dxa"/>
            <w:gridSpan w:val="2"/>
          </w:tcPr>
          <w:p>
            <w:pPr>
              <w:pStyle w:val="nTable"/>
              <w:spacing w:before="50" w:after="50"/>
            </w:pPr>
            <w:r>
              <w:t>23 Nov 2004</w:t>
            </w:r>
          </w:p>
        </w:tc>
        <w:tc>
          <w:tcPr>
            <w:tcW w:w="2551" w:type="dxa"/>
            <w:gridSpan w:val="2"/>
          </w:tcPr>
          <w:p>
            <w:pPr>
              <w:pStyle w:val="nTable"/>
              <w:spacing w:before="50" w:after="50"/>
              <w:rPr>
                <w:spacing w:val="-2"/>
              </w:rPr>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Pr>
          <w:p>
            <w:pPr>
              <w:pStyle w:val="nTable"/>
              <w:spacing w:before="50" w:after="50"/>
              <w:rPr>
                <w:i/>
              </w:rPr>
            </w:pPr>
            <w:r>
              <w:rPr>
                <w:i/>
              </w:rPr>
              <w:t>State Administrative Tribunal (Conferral of Jurisdiction) Amendment and Repeal Act 2004</w:t>
            </w:r>
            <w:r>
              <w:t xml:space="preserve"> Pt. 2 Div. 86</w:t>
            </w:r>
            <w:r>
              <w:rPr>
                <w:vertAlign w:val="superscript"/>
              </w:rPr>
              <w:t> 5</w:t>
            </w:r>
          </w:p>
        </w:tc>
        <w:tc>
          <w:tcPr>
            <w:tcW w:w="1134" w:type="dxa"/>
            <w:gridSpan w:val="2"/>
          </w:tcPr>
          <w:p>
            <w:pPr>
              <w:pStyle w:val="nTable"/>
              <w:spacing w:before="50" w:after="50"/>
            </w:pPr>
            <w:r>
              <w:t>55 of 2004</w:t>
            </w:r>
          </w:p>
        </w:tc>
        <w:tc>
          <w:tcPr>
            <w:tcW w:w="1134" w:type="dxa"/>
            <w:gridSpan w:val="2"/>
          </w:tcPr>
          <w:p>
            <w:pPr>
              <w:pStyle w:val="nTable"/>
              <w:spacing w:before="50" w:after="50"/>
            </w:pPr>
            <w:r>
              <w:t>24 Nov 2004</w:t>
            </w:r>
          </w:p>
        </w:tc>
        <w:tc>
          <w:tcPr>
            <w:tcW w:w="2551" w:type="dxa"/>
            <w:gridSpan w:val="2"/>
          </w:tcPr>
          <w:p>
            <w:pPr>
              <w:pStyle w:val="nTable"/>
              <w:spacing w:before="50" w:after="50"/>
              <w:rPr>
                <w:u w:val="words"/>
              </w:rPr>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rPr>
            </w:pPr>
            <w:r>
              <w:rPr>
                <w:i/>
                <w:snapToGrid w:val="0"/>
              </w:rPr>
              <w:t>Criminal Procedure and Appeals (Consequential and Other Provisions) Act 2004</w:t>
            </w:r>
            <w:r>
              <w:rPr>
                <w:snapToGrid w:val="0"/>
              </w:rPr>
              <w:t xml:space="preserve"> s. 80 and 82</w:t>
            </w:r>
          </w:p>
        </w:tc>
        <w:tc>
          <w:tcPr>
            <w:tcW w:w="1134" w:type="dxa"/>
            <w:gridSpan w:val="2"/>
          </w:tcPr>
          <w:p>
            <w:pPr>
              <w:pStyle w:val="nTable"/>
              <w:spacing w:before="50" w:after="50"/>
            </w:pPr>
            <w:r>
              <w:rPr>
                <w:snapToGrid w:val="0"/>
              </w:rPr>
              <w:t>84 of 2004</w:t>
            </w:r>
          </w:p>
        </w:tc>
        <w:tc>
          <w:tcPr>
            <w:tcW w:w="1134" w:type="dxa"/>
            <w:gridSpan w:val="2"/>
          </w:tcPr>
          <w:p>
            <w:pPr>
              <w:pStyle w:val="nTable"/>
              <w:spacing w:before="50" w:after="50"/>
            </w:pPr>
            <w:r>
              <w:t>16 Dec 2004</w:t>
            </w:r>
          </w:p>
        </w:tc>
        <w:tc>
          <w:tcPr>
            <w:tcW w:w="2551" w:type="dxa"/>
            <w:gridSpan w:val="2"/>
          </w:tcPr>
          <w:p>
            <w:pPr>
              <w:pStyle w:val="nTable"/>
              <w:spacing w:before="50" w:after="5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29" w:type="dxa"/>
        </w:trPr>
        <w:tc>
          <w:tcPr>
            <w:tcW w:w="7087" w:type="dxa"/>
            <w:gridSpan w:val="8"/>
          </w:tcPr>
          <w:p>
            <w:pPr>
              <w:pStyle w:val="nTable"/>
              <w:spacing w:before="50" w:after="50"/>
              <w:rPr>
                <w:snapToGrid w:val="0"/>
              </w:rPr>
            </w:pPr>
            <w:r>
              <w:rPr>
                <w:b/>
              </w:rPr>
              <w:t xml:space="preserve">Reprint 4: The </w:t>
            </w:r>
            <w:r>
              <w:rPr>
                <w:b/>
                <w:i/>
              </w:rPr>
              <w:t>Motor Vehicle Dealers Act 1973</w:t>
            </w:r>
            <w:r>
              <w:rPr>
                <w:b/>
              </w:rPr>
              <w:t xml:space="preserve"> as at 17 Jun 2005 </w:t>
            </w:r>
            <w:r>
              <w:t>(includes amendments listed above)</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snapToGrid w:val="0"/>
                <w:vertAlign w:val="superscript"/>
              </w:rPr>
            </w:pPr>
            <w:r>
              <w:rPr>
                <w:i/>
                <w:snapToGrid w:val="0"/>
              </w:rPr>
              <w:t>Limitation Legislation Amendment and Repeal Act 2005</w:t>
            </w:r>
            <w:r>
              <w:rPr>
                <w:snapToGrid w:val="0"/>
              </w:rPr>
              <w:t xml:space="preserve"> s. 23</w:t>
            </w:r>
          </w:p>
        </w:tc>
        <w:tc>
          <w:tcPr>
            <w:tcW w:w="1134" w:type="dxa"/>
            <w:gridSpan w:val="2"/>
          </w:tcPr>
          <w:p>
            <w:pPr>
              <w:pStyle w:val="nTable"/>
              <w:spacing w:before="50" w:after="50"/>
              <w:rPr>
                <w:snapToGrid w:val="0"/>
              </w:rPr>
            </w:pPr>
            <w:r>
              <w:rPr>
                <w:snapToGrid w:val="0"/>
              </w:rPr>
              <w:t>20 of 2005</w:t>
            </w:r>
          </w:p>
        </w:tc>
        <w:tc>
          <w:tcPr>
            <w:tcW w:w="1134" w:type="dxa"/>
            <w:gridSpan w:val="2"/>
          </w:tcPr>
          <w:p>
            <w:pPr>
              <w:pStyle w:val="nTable"/>
              <w:spacing w:before="50" w:after="50"/>
            </w:pPr>
            <w:r>
              <w:t>15 Nov 2005</w:t>
            </w:r>
          </w:p>
        </w:tc>
        <w:tc>
          <w:tcPr>
            <w:tcW w:w="2551" w:type="dxa"/>
            <w:gridSpan w:val="2"/>
          </w:tcPr>
          <w:p>
            <w:pPr>
              <w:pStyle w:val="nTable"/>
              <w:spacing w:before="50" w:after="50"/>
              <w:rPr>
                <w:snapToGrid w:val="0"/>
              </w:rPr>
            </w:pPr>
            <w:r>
              <w:rPr>
                <w:snapToGrid w:val="0"/>
              </w:rPr>
              <w:t>15 Nov 2005 (see s. 2(1))</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snapToGrid w:val="0"/>
              </w:rPr>
            </w:pPr>
            <w:r>
              <w:rPr>
                <w:i/>
                <w:snapToGrid w:val="0"/>
              </w:rPr>
              <w:t>Planning and Development (Consequential and Transitional Provisions) Act 2005</w:t>
            </w:r>
            <w:r>
              <w:rPr>
                <w:snapToGrid w:val="0"/>
              </w:rPr>
              <w:t xml:space="preserve"> s. 15</w:t>
            </w:r>
          </w:p>
        </w:tc>
        <w:tc>
          <w:tcPr>
            <w:tcW w:w="1134" w:type="dxa"/>
            <w:gridSpan w:val="2"/>
          </w:tcPr>
          <w:p>
            <w:pPr>
              <w:pStyle w:val="nTable"/>
              <w:spacing w:before="50" w:after="50"/>
              <w:rPr>
                <w:snapToGrid w:val="0"/>
              </w:rPr>
            </w:pPr>
            <w:r>
              <w:rPr>
                <w:snapToGrid w:val="0"/>
              </w:rPr>
              <w:t>38 of 2005</w:t>
            </w:r>
          </w:p>
        </w:tc>
        <w:tc>
          <w:tcPr>
            <w:tcW w:w="1134" w:type="dxa"/>
            <w:gridSpan w:val="2"/>
          </w:tcPr>
          <w:p>
            <w:pPr>
              <w:pStyle w:val="nTable"/>
              <w:spacing w:before="50" w:after="50"/>
            </w:pPr>
            <w:r>
              <w:t>12 Dec 2005</w:t>
            </w:r>
          </w:p>
        </w:tc>
        <w:tc>
          <w:tcPr>
            <w:tcW w:w="2551" w:type="dxa"/>
            <w:gridSpan w:val="2"/>
          </w:tcPr>
          <w:p>
            <w:pPr>
              <w:pStyle w:val="nTable"/>
              <w:spacing w:before="50" w:after="5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snapToGrid w:val="0"/>
              </w:rPr>
            </w:pPr>
            <w:r>
              <w:rPr>
                <w:i/>
                <w:snapToGrid w:val="0"/>
              </w:rPr>
              <w:t xml:space="preserve">Machinery of Government (Miscellaneous Amendments) Act 2006 </w:t>
            </w:r>
            <w:r>
              <w:rPr>
                <w:snapToGrid w:val="0"/>
              </w:rPr>
              <w:t>Pt. 4 Div. 15</w:t>
            </w:r>
            <w:r>
              <w:rPr>
                <w:snapToGrid w:val="0"/>
                <w:vertAlign w:val="superscript"/>
              </w:rPr>
              <w:t>6</w:t>
            </w:r>
          </w:p>
        </w:tc>
        <w:tc>
          <w:tcPr>
            <w:tcW w:w="1134" w:type="dxa"/>
            <w:gridSpan w:val="2"/>
          </w:tcPr>
          <w:p>
            <w:pPr>
              <w:pStyle w:val="nTable"/>
              <w:spacing w:before="50" w:after="50"/>
              <w:rPr>
                <w:snapToGrid w:val="0"/>
              </w:rPr>
            </w:pPr>
            <w:r>
              <w:rPr>
                <w:snapToGrid w:val="0"/>
              </w:rPr>
              <w:t>28 of 2006</w:t>
            </w:r>
          </w:p>
        </w:tc>
        <w:tc>
          <w:tcPr>
            <w:tcW w:w="1134" w:type="dxa"/>
            <w:gridSpan w:val="2"/>
          </w:tcPr>
          <w:p>
            <w:pPr>
              <w:pStyle w:val="nTable"/>
              <w:spacing w:before="50" w:after="50"/>
            </w:pPr>
            <w:r>
              <w:t>26 Jun 2006</w:t>
            </w:r>
          </w:p>
        </w:tc>
        <w:tc>
          <w:tcPr>
            <w:tcW w:w="2551" w:type="dxa"/>
            <w:gridSpan w:val="2"/>
          </w:tcPr>
          <w:p>
            <w:pPr>
              <w:pStyle w:val="nTable"/>
              <w:spacing w:before="50" w:after="5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Cs/>
                <w:snapToGrid w:val="0"/>
              </w:rPr>
            </w:pPr>
            <w:r>
              <w:rPr>
                <w:i/>
                <w:snapToGrid w:val="0"/>
              </w:rPr>
              <w:t>Consumer Protection Legislation Amendment and Repeal Act 2006</w:t>
            </w:r>
            <w:r>
              <w:rPr>
                <w:iCs/>
                <w:snapToGrid w:val="0"/>
              </w:rPr>
              <w:t xml:space="preserve"> Pt. 7</w:t>
            </w:r>
          </w:p>
        </w:tc>
        <w:tc>
          <w:tcPr>
            <w:tcW w:w="1134" w:type="dxa"/>
            <w:gridSpan w:val="2"/>
          </w:tcPr>
          <w:p>
            <w:pPr>
              <w:pStyle w:val="nTable"/>
              <w:spacing w:before="50" w:after="50"/>
              <w:rPr>
                <w:snapToGrid w:val="0"/>
              </w:rPr>
            </w:pPr>
            <w:r>
              <w:rPr>
                <w:snapToGrid w:val="0"/>
              </w:rPr>
              <w:t>69 of 2006</w:t>
            </w:r>
          </w:p>
        </w:tc>
        <w:tc>
          <w:tcPr>
            <w:tcW w:w="1134" w:type="dxa"/>
            <w:gridSpan w:val="2"/>
          </w:tcPr>
          <w:p>
            <w:pPr>
              <w:pStyle w:val="nTable"/>
              <w:spacing w:before="50" w:after="50"/>
            </w:pPr>
            <w:r>
              <w:t>13 Dec 2006</w:t>
            </w:r>
          </w:p>
        </w:tc>
        <w:tc>
          <w:tcPr>
            <w:tcW w:w="2551" w:type="dxa"/>
            <w:gridSpan w:val="2"/>
          </w:tcPr>
          <w:p>
            <w:pPr>
              <w:pStyle w:val="nTable"/>
              <w:spacing w:before="50" w:after="50"/>
              <w:rPr>
                <w:snapToGrid w:val="0"/>
              </w:rPr>
            </w:pPr>
            <w:r>
              <w:rPr>
                <w:snapToGrid w:val="0"/>
              </w:rPr>
              <w:t xml:space="preserve">14 Jul 2007 (see s. 2 and </w:t>
            </w:r>
            <w:r>
              <w:rPr>
                <w:i/>
                <w:iCs/>
                <w:snapToGrid w:val="0"/>
              </w:rPr>
              <w:t>Gazette</w:t>
            </w:r>
            <w:r>
              <w:rPr>
                <w:snapToGrid w:val="0"/>
              </w:rPr>
              <w:t xml:space="preserve"> 13 Jul 2007 p. 3453)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snapToGrid w:val="0"/>
              </w:rPr>
            </w:pPr>
            <w:r>
              <w:rPr>
                <w:i/>
                <w:snapToGrid w:val="0"/>
              </w:rPr>
              <w:t xml:space="preserve">Financial Legislation Amendment and Repeal Act 2006 </w:t>
            </w:r>
            <w:r>
              <w:rPr>
                <w:snapToGrid w:val="0"/>
              </w:rPr>
              <w:t>Sch. 1 cl. 109</w:t>
            </w:r>
          </w:p>
        </w:tc>
        <w:tc>
          <w:tcPr>
            <w:tcW w:w="1134" w:type="dxa"/>
            <w:gridSpan w:val="2"/>
          </w:tcPr>
          <w:p>
            <w:pPr>
              <w:pStyle w:val="nTable"/>
              <w:spacing w:before="50" w:after="50"/>
              <w:rPr>
                <w:snapToGrid w:val="0"/>
              </w:rPr>
            </w:pPr>
            <w:r>
              <w:rPr>
                <w:snapToGrid w:val="0"/>
              </w:rPr>
              <w:t xml:space="preserve">77 of 2006 </w:t>
            </w:r>
          </w:p>
        </w:tc>
        <w:tc>
          <w:tcPr>
            <w:tcW w:w="1134" w:type="dxa"/>
            <w:gridSpan w:val="2"/>
          </w:tcPr>
          <w:p>
            <w:pPr>
              <w:pStyle w:val="nTable"/>
              <w:spacing w:before="50" w:after="50"/>
            </w:pPr>
            <w:r>
              <w:rPr>
                <w:snapToGrid w:val="0"/>
              </w:rPr>
              <w:t>21 Dec 2006</w:t>
            </w:r>
          </w:p>
        </w:tc>
        <w:tc>
          <w:tcPr>
            <w:tcW w:w="2551" w:type="dxa"/>
            <w:gridSpan w:val="2"/>
          </w:tcPr>
          <w:p>
            <w:pPr>
              <w:pStyle w:val="nTable"/>
              <w:spacing w:before="50" w:after="5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29" w:type="dxa"/>
          <w:cantSplit/>
        </w:trPr>
        <w:tc>
          <w:tcPr>
            <w:tcW w:w="7087" w:type="dxa"/>
            <w:gridSpan w:val="8"/>
          </w:tcPr>
          <w:p>
            <w:pPr>
              <w:pStyle w:val="nTable"/>
              <w:spacing w:before="50" w:after="50"/>
              <w:rPr>
                <w:snapToGrid w:val="0"/>
              </w:rPr>
            </w:pPr>
            <w:r>
              <w:rPr>
                <w:b/>
              </w:rPr>
              <w:t xml:space="preserve">Reprint 5: The </w:t>
            </w:r>
            <w:r>
              <w:rPr>
                <w:b/>
                <w:i/>
              </w:rPr>
              <w:t>Motor Vehicle Dealers Act 1973</w:t>
            </w:r>
            <w:r>
              <w:rPr>
                <w:b/>
              </w:rPr>
              <w:t xml:space="preserve"> as at 11 May 2007 </w:t>
            </w:r>
            <w:r>
              <w:t xml:space="preserve">(includes amendments listed above except those in the </w:t>
            </w:r>
            <w:r>
              <w:rPr>
                <w:i/>
                <w:iCs/>
              </w:rPr>
              <w:t>Consumer Protection Legislation Amendment and Repeal Act 2006</w:t>
            </w:r>
            <w:r>
              <w:t>)</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Pr>
          <w:p>
            <w:pPr>
              <w:pStyle w:val="nTable"/>
              <w:spacing w:before="50" w:after="50"/>
              <w:ind w:right="113"/>
              <w:rPr>
                <w:iCs/>
              </w:rPr>
            </w:pPr>
            <w:r>
              <w:rPr>
                <w:i/>
              </w:rPr>
              <w:t>Statutes (Repeals and Miscellaneous Amendments) Act 2009</w:t>
            </w:r>
            <w:r>
              <w:rPr>
                <w:iCs/>
              </w:rPr>
              <w:t xml:space="preserve"> s. 94</w:t>
            </w:r>
          </w:p>
        </w:tc>
        <w:tc>
          <w:tcPr>
            <w:tcW w:w="1134" w:type="dxa"/>
            <w:gridSpan w:val="2"/>
          </w:tcPr>
          <w:p>
            <w:pPr>
              <w:pStyle w:val="nTable"/>
              <w:spacing w:before="50" w:after="50"/>
            </w:pPr>
            <w:r>
              <w:t xml:space="preserve">8 of 2009 </w:t>
            </w:r>
          </w:p>
        </w:tc>
        <w:tc>
          <w:tcPr>
            <w:tcW w:w="1134" w:type="dxa"/>
            <w:gridSpan w:val="2"/>
          </w:tcPr>
          <w:p>
            <w:pPr>
              <w:pStyle w:val="nTable"/>
              <w:spacing w:before="50" w:after="50"/>
            </w:pPr>
            <w:r>
              <w:t>21 May 2009</w:t>
            </w:r>
          </w:p>
        </w:tc>
        <w:tc>
          <w:tcPr>
            <w:tcW w:w="2551" w:type="dxa"/>
            <w:gridSpan w:val="2"/>
          </w:tcPr>
          <w:p>
            <w:pPr>
              <w:pStyle w:val="nTable"/>
              <w:spacing w:before="50" w:after="50"/>
            </w:pPr>
            <w:r>
              <w:t>22 May 2009 (see s. 2(b))</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Pr>
          <w:p>
            <w:pPr>
              <w:pStyle w:val="nTable"/>
              <w:spacing w:before="70" w:after="70"/>
              <w:rPr>
                <w:iCs/>
                <w:snapToGrid w:val="0"/>
              </w:rPr>
            </w:pPr>
            <w:r>
              <w:rPr>
                <w:i/>
                <w:snapToGrid w:val="0"/>
              </w:rPr>
              <w:lastRenderedPageBreak/>
              <w:t>Acts Amendment (Bankruptcy) Act 2009</w:t>
            </w:r>
            <w:r>
              <w:rPr>
                <w:iCs/>
                <w:snapToGrid w:val="0"/>
              </w:rPr>
              <w:t xml:space="preserve"> s. 57</w:t>
            </w:r>
          </w:p>
        </w:tc>
        <w:tc>
          <w:tcPr>
            <w:tcW w:w="1134" w:type="dxa"/>
            <w:gridSpan w:val="2"/>
          </w:tcPr>
          <w:p>
            <w:pPr>
              <w:pStyle w:val="nTable"/>
              <w:spacing w:before="70" w:after="70"/>
            </w:pPr>
            <w:r>
              <w:t>18 of 2009</w:t>
            </w:r>
          </w:p>
        </w:tc>
        <w:tc>
          <w:tcPr>
            <w:tcW w:w="1134" w:type="dxa"/>
            <w:gridSpan w:val="2"/>
          </w:tcPr>
          <w:p>
            <w:pPr>
              <w:pStyle w:val="nTable"/>
              <w:spacing w:before="70" w:after="70"/>
            </w:pPr>
            <w:r>
              <w:t>16 Sep 2009</w:t>
            </w:r>
          </w:p>
        </w:tc>
        <w:tc>
          <w:tcPr>
            <w:tcW w:w="2551" w:type="dxa"/>
            <w:gridSpan w:val="2"/>
          </w:tcPr>
          <w:p>
            <w:pPr>
              <w:pStyle w:val="nTable"/>
              <w:spacing w:before="70" w:after="70"/>
            </w:pPr>
            <w:r>
              <w:t>17 Sep 2009 (see s. 2(b))</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rPr>
                <w:i/>
                <w:snapToGrid w:val="0"/>
                <w:vertAlign w:val="superscript"/>
              </w:rPr>
            </w:pPr>
            <w:r>
              <w:rPr>
                <w:i/>
                <w:noProof/>
                <w:snapToGrid w:val="0"/>
              </w:rPr>
              <w:t>Acts Amendment (Fair Trading) Act 2010</w:t>
            </w:r>
            <w:r>
              <w:rPr>
                <w:iCs/>
                <w:noProof/>
                <w:snapToGrid w:val="0"/>
              </w:rPr>
              <w:t xml:space="preserve"> Pt. 4</w:t>
            </w:r>
            <w:r>
              <w:rPr>
                <w:iCs/>
                <w:noProof/>
                <w:snapToGrid w:val="0"/>
                <w:vertAlign w:val="superscript"/>
              </w:rPr>
              <w:t xml:space="preserve"> 7</w:t>
            </w:r>
          </w:p>
        </w:tc>
        <w:tc>
          <w:tcPr>
            <w:tcW w:w="1134" w:type="dxa"/>
            <w:gridSpan w:val="2"/>
            <w:shd w:val="clear" w:color="auto" w:fill="auto"/>
          </w:tcPr>
          <w:p>
            <w:pPr>
              <w:pStyle w:val="nTable"/>
              <w:spacing w:before="70" w:after="70"/>
            </w:pPr>
            <w:r>
              <w:t>58 of 2010</w:t>
            </w:r>
          </w:p>
        </w:tc>
        <w:tc>
          <w:tcPr>
            <w:tcW w:w="1134" w:type="dxa"/>
            <w:gridSpan w:val="2"/>
            <w:shd w:val="clear" w:color="auto" w:fill="auto"/>
          </w:tcPr>
          <w:p>
            <w:pPr>
              <w:pStyle w:val="nTable"/>
              <w:spacing w:before="70" w:after="70"/>
            </w:pPr>
            <w:r>
              <w:t>8 Dec 2010</w:t>
            </w:r>
          </w:p>
        </w:tc>
        <w:tc>
          <w:tcPr>
            <w:tcW w:w="2551" w:type="dxa"/>
            <w:gridSpan w:val="2"/>
            <w:shd w:val="clear" w:color="auto" w:fill="auto"/>
          </w:tcPr>
          <w:p>
            <w:pPr>
              <w:pStyle w:val="nTable"/>
              <w:spacing w:before="70" w:after="70"/>
            </w:pPr>
            <w:r>
              <w:t xml:space="preserve">s. 36: 1 Jan 2011 (see s. 2(b)(ii) and </w:t>
            </w:r>
            <w:r>
              <w:rPr>
                <w:i/>
                <w:iCs/>
              </w:rPr>
              <w:t>Gazette</w:t>
            </w:r>
            <w:r>
              <w:t xml:space="preserve"> 24 Dec 2010 p. 6805);</w:t>
            </w:r>
            <w:r>
              <w:br/>
              <w:t xml:space="preserve">s. 37: 1 Jan 2011 (see s. 2(c) and </w:t>
            </w:r>
            <w:r>
              <w:rPr>
                <w:i/>
                <w:iCs/>
              </w:rPr>
              <w:t>Gazette</w:t>
            </w:r>
            <w:r>
              <w:t xml:space="preserve"> 24 Dec 2010 p. 6805);</w:t>
            </w:r>
            <w:r>
              <w:br/>
              <w:t xml:space="preserve">Pt. 4 (other than s. 36 and 37): 1 Jul 2011 (see s. 2(c) and </w:t>
            </w:r>
            <w:r>
              <w:rPr>
                <w:i/>
              </w:rPr>
              <w:t>Gazette</w:t>
            </w:r>
            <w:r>
              <w:t xml:space="preserve"> 7 Jun 2011 p. 2057)</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rPr>
                <w:i/>
                <w:snapToGrid w:val="0"/>
                <w:vertAlign w:val="superscript"/>
              </w:rPr>
            </w:pPr>
            <w:r>
              <w:rPr>
                <w:i/>
                <w:snapToGrid w:val="0"/>
              </w:rPr>
              <w:t>Personal Property Securities (Consequential Repeals and Amendments) Act 2011</w:t>
            </w:r>
            <w:r>
              <w:rPr>
                <w:snapToGrid w:val="0"/>
              </w:rPr>
              <w:t xml:space="preserve"> Pt. 4 Div. 7</w:t>
            </w:r>
          </w:p>
        </w:tc>
        <w:tc>
          <w:tcPr>
            <w:tcW w:w="1134" w:type="dxa"/>
            <w:gridSpan w:val="2"/>
            <w:shd w:val="clear" w:color="auto" w:fill="auto"/>
          </w:tcPr>
          <w:p>
            <w:pPr>
              <w:pStyle w:val="nTable"/>
              <w:spacing w:before="70" w:after="70"/>
            </w:pPr>
            <w:r>
              <w:rPr>
                <w:snapToGrid w:val="0"/>
              </w:rPr>
              <w:t>42 of 2011</w:t>
            </w:r>
          </w:p>
        </w:tc>
        <w:tc>
          <w:tcPr>
            <w:tcW w:w="1134" w:type="dxa"/>
            <w:gridSpan w:val="2"/>
            <w:shd w:val="clear" w:color="auto" w:fill="auto"/>
          </w:tcPr>
          <w:p>
            <w:pPr>
              <w:pStyle w:val="nTable"/>
              <w:spacing w:before="70" w:after="70"/>
            </w:pPr>
            <w:r>
              <w:t>4 Oct 2011</w:t>
            </w:r>
          </w:p>
        </w:tc>
        <w:tc>
          <w:tcPr>
            <w:tcW w:w="2551" w:type="dxa"/>
            <w:gridSpan w:val="2"/>
            <w:shd w:val="clear" w:color="auto" w:fill="auto"/>
          </w:tcPr>
          <w:p>
            <w:pPr>
              <w:pStyle w:val="nTable"/>
              <w:spacing w:before="70" w:after="70"/>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gridBefore w:val="1"/>
          <w:wBefore w:w="29" w:type="dxa"/>
          <w:cantSplit/>
        </w:trPr>
        <w:tc>
          <w:tcPr>
            <w:tcW w:w="7087" w:type="dxa"/>
            <w:gridSpan w:val="8"/>
            <w:shd w:val="clear" w:color="auto" w:fill="auto"/>
          </w:tcPr>
          <w:p>
            <w:pPr>
              <w:pStyle w:val="nTable"/>
              <w:spacing w:before="70" w:after="70"/>
            </w:pPr>
            <w:r>
              <w:rPr>
                <w:b/>
              </w:rPr>
              <w:t xml:space="preserve">Reprint 6: The </w:t>
            </w:r>
            <w:r>
              <w:rPr>
                <w:b/>
                <w:i/>
              </w:rPr>
              <w:t>Motor Vehicle Dealers Act 1973</w:t>
            </w:r>
            <w:r>
              <w:rPr>
                <w:b/>
              </w:rPr>
              <w:t xml:space="preserve"> as at 6 Jan 2012 </w:t>
            </w:r>
            <w:r>
              <w:t xml:space="preserve">(includes amendments listed above except those in the </w:t>
            </w:r>
            <w:r>
              <w:rPr>
                <w:i/>
                <w:snapToGrid w:val="0"/>
              </w:rPr>
              <w:t>Personal Property Securities (Consequential Repeals and Amendments) Act 2011</w:t>
            </w:r>
            <w:r>
              <w:t>)</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rPr>
                <w:i/>
                <w:snapToGrid w:val="0"/>
              </w:rPr>
            </w:pPr>
            <w:r>
              <w:rPr>
                <w:i/>
                <w:snapToGrid w:val="0"/>
              </w:rPr>
              <w:t xml:space="preserve">Road Traffic Legislation Amendment Act 2012 </w:t>
            </w:r>
            <w:r>
              <w:rPr>
                <w:snapToGrid w:val="0"/>
              </w:rPr>
              <w:t>Pt. 4 Div. 35</w:t>
            </w:r>
          </w:p>
        </w:tc>
        <w:tc>
          <w:tcPr>
            <w:tcW w:w="1134" w:type="dxa"/>
            <w:gridSpan w:val="2"/>
            <w:shd w:val="clear" w:color="auto" w:fill="auto"/>
          </w:tcPr>
          <w:p>
            <w:pPr>
              <w:pStyle w:val="nTable"/>
              <w:spacing w:before="70" w:after="70"/>
              <w:rPr>
                <w:snapToGrid w:val="0"/>
              </w:rPr>
            </w:pPr>
            <w:r>
              <w:rPr>
                <w:snapToGrid w:val="0"/>
              </w:rPr>
              <w:t>8 of 2012</w:t>
            </w:r>
          </w:p>
        </w:tc>
        <w:tc>
          <w:tcPr>
            <w:tcW w:w="1134" w:type="dxa"/>
            <w:gridSpan w:val="2"/>
            <w:shd w:val="clear" w:color="auto" w:fill="auto"/>
          </w:tcPr>
          <w:p>
            <w:pPr>
              <w:pStyle w:val="nTable"/>
              <w:spacing w:before="70" w:after="70"/>
              <w:rPr>
                <w:snapToGrid w:val="0"/>
              </w:rPr>
            </w:pPr>
            <w:r>
              <w:t>21 May 2012</w:t>
            </w:r>
          </w:p>
        </w:tc>
        <w:tc>
          <w:tcPr>
            <w:tcW w:w="2551" w:type="dxa"/>
            <w:gridSpan w:val="2"/>
            <w:shd w:val="clear" w:color="auto" w:fill="auto"/>
          </w:tcPr>
          <w:p>
            <w:pPr>
              <w:pStyle w:val="nTable"/>
              <w:spacing w:before="70" w:after="7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rPr>
                <w:i/>
                <w:snapToGrid w:val="0"/>
                <w:vertAlign w:val="superscript"/>
              </w:rPr>
            </w:pPr>
            <w:r>
              <w:rPr>
                <w:i/>
                <w:snapToGrid w:val="0"/>
              </w:rPr>
              <w:t>Consumer Protection Legislation Amendment Act 2014</w:t>
            </w:r>
            <w:r>
              <w:rPr>
                <w:snapToGrid w:val="0"/>
              </w:rPr>
              <w:t xml:space="preserve"> Pt. 7</w:t>
            </w:r>
          </w:p>
        </w:tc>
        <w:tc>
          <w:tcPr>
            <w:tcW w:w="1134" w:type="dxa"/>
            <w:gridSpan w:val="2"/>
            <w:shd w:val="clear" w:color="auto" w:fill="auto"/>
          </w:tcPr>
          <w:p>
            <w:pPr>
              <w:pStyle w:val="nTable"/>
              <w:spacing w:before="70" w:after="70"/>
            </w:pPr>
            <w:r>
              <w:rPr>
                <w:snapToGrid w:val="0"/>
              </w:rPr>
              <w:t>23 of 2014</w:t>
            </w:r>
          </w:p>
        </w:tc>
        <w:tc>
          <w:tcPr>
            <w:tcW w:w="1134" w:type="dxa"/>
            <w:gridSpan w:val="2"/>
            <w:shd w:val="clear" w:color="auto" w:fill="auto"/>
          </w:tcPr>
          <w:p>
            <w:pPr>
              <w:pStyle w:val="nTable"/>
              <w:spacing w:before="70" w:after="70"/>
            </w:pPr>
            <w:r>
              <w:rPr>
                <w:snapToGrid w:val="0"/>
              </w:rPr>
              <w:t>9 Oct 2014</w:t>
            </w:r>
          </w:p>
        </w:tc>
        <w:tc>
          <w:tcPr>
            <w:tcW w:w="2551" w:type="dxa"/>
            <w:gridSpan w:val="2"/>
            <w:shd w:val="clear" w:color="auto" w:fill="auto"/>
          </w:tcPr>
          <w:p>
            <w:pPr>
              <w:pStyle w:val="nTable"/>
              <w:spacing w:before="70" w:after="70"/>
            </w:pPr>
            <w:r>
              <w:rPr>
                <w:snapToGrid w:val="0"/>
              </w:rPr>
              <w:t xml:space="preserve">19 Nov 2014 (see s. 2(b) and </w:t>
            </w:r>
            <w:r>
              <w:rPr>
                <w:i/>
                <w:snapToGrid w:val="0"/>
              </w:rPr>
              <w:t>Gazette</w:t>
            </w:r>
            <w:r>
              <w:rPr>
                <w:snapToGrid w:val="0"/>
              </w:rPr>
              <w:t xml:space="preserve"> 18 Nov 2014 p. 4315)</w:t>
            </w:r>
          </w:p>
        </w:tc>
      </w:tr>
      <w:tr>
        <w:trPr>
          <w:gridBefore w:val="1"/>
          <w:wBefore w:w="29" w:type="dxa"/>
          <w:cantSplit/>
        </w:trPr>
        <w:tc>
          <w:tcPr>
            <w:tcW w:w="2268" w:type="dxa"/>
            <w:gridSpan w:val="2"/>
            <w:tcBorders>
              <w:top w:val="nil"/>
              <w:bottom w:val="nil"/>
            </w:tcBorders>
            <w:shd w:val="clear" w:color="auto" w:fill="auto"/>
          </w:tcPr>
          <w:p>
            <w:pPr>
              <w:pStyle w:val="nTable"/>
              <w:spacing w:before="70" w:after="70"/>
              <w:rPr>
                <w:i/>
                <w:snapToGrid w:val="0"/>
              </w:rPr>
            </w:pPr>
            <w:r>
              <w:rPr>
                <w:i/>
              </w:rPr>
              <w:t>Licensing Provisions Amendment Act 2016</w:t>
            </w:r>
            <w:r>
              <w:t xml:space="preserve"> Pt. 6</w:t>
            </w:r>
          </w:p>
        </w:tc>
        <w:tc>
          <w:tcPr>
            <w:tcW w:w="1134" w:type="dxa"/>
            <w:gridSpan w:val="2"/>
            <w:tcBorders>
              <w:top w:val="nil"/>
              <w:bottom w:val="nil"/>
            </w:tcBorders>
            <w:shd w:val="clear" w:color="auto" w:fill="auto"/>
          </w:tcPr>
          <w:p>
            <w:pPr>
              <w:pStyle w:val="nTable"/>
              <w:spacing w:before="70" w:after="70"/>
              <w:rPr>
                <w:snapToGrid w:val="0"/>
              </w:rPr>
            </w:pPr>
            <w:r>
              <w:t>44 of 2016</w:t>
            </w:r>
          </w:p>
        </w:tc>
        <w:tc>
          <w:tcPr>
            <w:tcW w:w="1134" w:type="dxa"/>
            <w:gridSpan w:val="2"/>
            <w:tcBorders>
              <w:top w:val="nil"/>
              <w:bottom w:val="nil"/>
            </w:tcBorders>
            <w:shd w:val="clear" w:color="auto" w:fill="auto"/>
          </w:tcPr>
          <w:p>
            <w:pPr>
              <w:pStyle w:val="nTable"/>
              <w:spacing w:before="70" w:after="70"/>
              <w:rPr>
                <w:snapToGrid w:val="0"/>
              </w:rPr>
            </w:pPr>
            <w:r>
              <w:t>1 Dec 2016</w:t>
            </w:r>
          </w:p>
        </w:tc>
        <w:tc>
          <w:tcPr>
            <w:tcW w:w="2551" w:type="dxa"/>
            <w:gridSpan w:val="2"/>
            <w:tcBorders>
              <w:top w:val="nil"/>
              <w:bottom w:val="nil"/>
            </w:tcBorders>
            <w:shd w:val="clear" w:color="auto" w:fill="auto"/>
          </w:tcPr>
          <w:p>
            <w:pPr>
              <w:pStyle w:val="nTable"/>
              <w:spacing w:before="70" w:after="70"/>
              <w:rPr>
                <w:snapToGrid w:val="0"/>
              </w:rPr>
            </w:pPr>
            <w:r>
              <w:rPr>
                <w:snapToGrid w:val="0"/>
              </w:rPr>
              <w:t xml:space="preserve">1 Jul 2017 (see s. 2(b) and </w:t>
            </w:r>
            <w:r>
              <w:rPr>
                <w:i/>
                <w:snapToGrid w:val="0"/>
              </w:rPr>
              <w:t>Gazette</w:t>
            </w:r>
            <w:r>
              <w:rPr>
                <w:snapToGrid w:val="0"/>
              </w:rPr>
              <w:t xml:space="preserve"> 27 Jun 2017 p. 3407)</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Borders>
              <w:bottom w:val="single" w:sz="8" w:space="0" w:color="auto"/>
            </w:tcBorders>
            <w:shd w:val="clear" w:color="auto" w:fill="auto"/>
          </w:tcPr>
          <w:p>
            <w:pPr>
              <w:pStyle w:val="nTable"/>
              <w:spacing w:before="70" w:after="70"/>
            </w:pPr>
            <w:r>
              <w:rPr>
                <w:i/>
              </w:rPr>
              <w:t>COVID</w:t>
            </w:r>
            <w:r>
              <w:rPr>
                <w:i/>
              </w:rPr>
              <w:noBreakHyphen/>
              <w:t>19 Response and Economic Recovery Omnibus Act 2020</w:t>
            </w:r>
            <w:r>
              <w:t xml:space="preserve"> s. 100</w:t>
            </w:r>
          </w:p>
        </w:tc>
        <w:tc>
          <w:tcPr>
            <w:tcW w:w="1134" w:type="dxa"/>
            <w:gridSpan w:val="2"/>
            <w:tcBorders>
              <w:bottom w:val="single" w:sz="8" w:space="0" w:color="auto"/>
            </w:tcBorders>
            <w:shd w:val="clear" w:color="auto" w:fill="auto"/>
          </w:tcPr>
          <w:p>
            <w:pPr>
              <w:pStyle w:val="nTable"/>
              <w:spacing w:before="70" w:after="70"/>
            </w:pPr>
            <w:r>
              <w:t>34 of 2020</w:t>
            </w:r>
          </w:p>
        </w:tc>
        <w:tc>
          <w:tcPr>
            <w:tcW w:w="1134" w:type="dxa"/>
            <w:gridSpan w:val="2"/>
            <w:tcBorders>
              <w:bottom w:val="single" w:sz="8" w:space="0" w:color="auto"/>
            </w:tcBorders>
            <w:shd w:val="clear" w:color="auto" w:fill="auto"/>
          </w:tcPr>
          <w:p>
            <w:pPr>
              <w:pStyle w:val="nTable"/>
              <w:spacing w:before="70" w:after="70"/>
            </w:pPr>
            <w:r>
              <w:t>11 Sep 2020</w:t>
            </w:r>
          </w:p>
        </w:tc>
        <w:tc>
          <w:tcPr>
            <w:tcW w:w="2551" w:type="dxa"/>
            <w:gridSpan w:val="2"/>
            <w:tcBorders>
              <w:bottom w:val="single" w:sz="8" w:space="0" w:color="auto"/>
            </w:tcBorders>
            <w:shd w:val="clear" w:color="auto" w:fill="auto"/>
          </w:tcPr>
          <w:p>
            <w:pPr>
              <w:pStyle w:val="nTable"/>
              <w:spacing w:before="70" w:after="70"/>
              <w:rPr>
                <w:snapToGrid w:val="0"/>
              </w:rPr>
            </w:pPr>
            <w:r>
              <w:rPr>
                <w:snapToGrid w:val="0"/>
              </w:rPr>
              <w:t>12 Sep 2020 (see s. 2(b))</w:t>
            </w:r>
          </w:p>
        </w:tc>
      </w:tr>
    </w:tbl>
    <w:p>
      <w:pPr>
        <w:pStyle w:val="nHeading3"/>
      </w:pPr>
      <w:bookmarkStart w:id="169" w:name="_Toc106096932"/>
      <w:r>
        <w:lastRenderedPageBreak/>
        <w:t>Uncommenced provisions table</w:t>
      </w:r>
      <w:bookmarkEnd w:id="169"/>
    </w:p>
    <w:p>
      <w:pPr>
        <w:pStyle w:val="nStatement"/>
        <w:keepNext/>
        <w:spacing w:after="240"/>
      </w:pPr>
      <w:r>
        <w:t xml:space="preserve">To view the text of the uncommenced provisions see </w:t>
      </w:r>
      <w:r>
        <w:rPr>
          <w:i/>
        </w:rPr>
        <w:t>Acts as passed</w:t>
      </w:r>
      <w:r>
        <w:t xml:space="preserve"> on the WA Legislation website.</w:t>
      </w:r>
    </w:p>
    <w:tbl>
      <w:tblPr>
        <w:tblW w:w="7181"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2"/>
        <w:gridCol w:w="1162"/>
        <w:gridCol w:w="1134"/>
        <w:gridCol w:w="2603"/>
      </w:tblGrid>
      <w:tr>
        <w:trPr>
          <w:tblHeader/>
        </w:trPr>
        <w:tc>
          <w:tcPr>
            <w:tcW w:w="2282" w:type="dxa"/>
          </w:tcPr>
          <w:p>
            <w:pPr>
              <w:pStyle w:val="nTable"/>
              <w:keepNext/>
              <w:spacing w:after="40"/>
              <w:rPr>
                <w:b/>
              </w:rPr>
            </w:pPr>
            <w:r>
              <w:rPr>
                <w:b/>
              </w:rPr>
              <w:t>Short title</w:t>
            </w:r>
          </w:p>
        </w:tc>
        <w:tc>
          <w:tcPr>
            <w:tcW w:w="1162"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603" w:type="dxa"/>
          </w:tcPr>
          <w:p>
            <w:pPr>
              <w:pStyle w:val="nTable"/>
              <w:keepNext/>
              <w:spacing w:after="40"/>
              <w:rPr>
                <w:b/>
              </w:rPr>
            </w:pPr>
            <w:r>
              <w:rPr>
                <w:b/>
              </w:rPr>
              <w:t>Commencement</w:t>
            </w:r>
          </w:p>
        </w:tc>
      </w:tr>
      <w:tr>
        <w:tc>
          <w:tcPr>
            <w:tcW w:w="2282" w:type="dxa"/>
            <w:tcBorders>
              <w:top w:val="single" w:sz="4" w:space="0" w:color="auto"/>
              <w:bottom w:val="nil"/>
            </w:tcBorders>
          </w:tcPr>
          <w:p>
            <w:pPr>
              <w:pStyle w:val="nTable"/>
              <w:keepNext/>
              <w:spacing w:before="70" w:after="70"/>
              <w:rPr>
                <w:vertAlign w:val="superscript"/>
              </w:rPr>
            </w:pPr>
            <w:r>
              <w:rPr>
                <w:i/>
              </w:rPr>
              <w:t>Motor Vehicle Dealers Amendment Act 2003</w:t>
            </w:r>
            <w:r>
              <w:t xml:space="preserve"> s. 20 and 21</w:t>
            </w:r>
          </w:p>
        </w:tc>
        <w:tc>
          <w:tcPr>
            <w:tcW w:w="1162" w:type="dxa"/>
            <w:tcBorders>
              <w:top w:val="single" w:sz="4" w:space="0" w:color="auto"/>
              <w:bottom w:val="nil"/>
            </w:tcBorders>
          </w:tcPr>
          <w:p>
            <w:pPr>
              <w:pStyle w:val="nTable"/>
              <w:keepNext/>
              <w:spacing w:before="70" w:after="70"/>
            </w:pPr>
            <w:r>
              <w:t>73 of 2003</w:t>
            </w:r>
          </w:p>
        </w:tc>
        <w:tc>
          <w:tcPr>
            <w:tcW w:w="1134" w:type="dxa"/>
            <w:tcBorders>
              <w:top w:val="single" w:sz="4" w:space="0" w:color="auto"/>
              <w:bottom w:val="nil"/>
            </w:tcBorders>
          </w:tcPr>
          <w:p>
            <w:pPr>
              <w:pStyle w:val="nTable"/>
              <w:keepNext/>
              <w:spacing w:before="70" w:after="70"/>
            </w:pPr>
            <w:r>
              <w:t>15 Dec 2003</w:t>
            </w:r>
          </w:p>
        </w:tc>
        <w:tc>
          <w:tcPr>
            <w:tcW w:w="2603" w:type="dxa"/>
            <w:tcBorders>
              <w:top w:val="single" w:sz="4" w:space="0" w:color="auto"/>
              <w:bottom w:val="nil"/>
            </w:tcBorders>
          </w:tcPr>
          <w:p>
            <w:pPr>
              <w:pStyle w:val="nTable"/>
              <w:keepNext/>
              <w:spacing w:before="70" w:after="70"/>
            </w:pPr>
            <w:r>
              <w:t>To be proclaimed (see s. 2)</w:t>
            </w:r>
          </w:p>
        </w:tc>
      </w:tr>
      <w:tr>
        <w:tc>
          <w:tcPr>
            <w:tcW w:w="2282" w:type="dxa"/>
            <w:tcBorders>
              <w:top w:val="nil"/>
              <w:bottom w:val="single" w:sz="8" w:space="0" w:color="auto"/>
            </w:tcBorders>
          </w:tcPr>
          <w:p>
            <w:pPr>
              <w:pStyle w:val="nTable"/>
              <w:keepNext/>
              <w:spacing w:before="70" w:after="70"/>
              <w:rPr>
                <w:i/>
              </w:rPr>
            </w:pPr>
            <w:r>
              <w:rPr>
                <w:i/>
              </w:rPr>
              <w:t xml:space="preserve">Mutual Recognition (Western Australia) Amendment Act 2022 </w:t>
            </w:r>
            <w:r>
              <w:t>Pt. 3 Div. 9</w:t>
            </w:r>
          </w:p>
        </w:tc>
        <w:tc>
          <w:tcPr>
            <w:tcW w:w="1162" w:type="dxa"/>
            <w:tcBorders>
              <w:top w:val="nil"/>
              <w:bottom w:val="single" w:sz="8" w:space="0" w:color="auto"/>
            </w:tcBorders>
          </w:tcPr>
          <w:p>
            <w:pPr>
              <w:pStyle w:val="nTable"/>
              <w:keepNext/>
              <w:spacing w:before="70" w:after="70"/>
            </w:pPr>
            <w:r>
              <w:t>7 of 2022</w:t>
            </w:r>
          </w:p>
        </w:tc>
        <w:tc>
          <w:tcPr>
            <w:tcW w:w="1134" w:type="dxa"/>
            <w:tcBorders>
              <w:top w:val="nil"/>
              <w:bottom w:val="single" w:sz="8" w:space="0" w:color="auto"/>
            </w:tcBorders>
          </w:tcPr>
          <w:p>
            <w:pPr>
              <w:pStyle w:val="nTable"/>
              <w:keepNext/>
              <w:spacing w:before="70" w:after="70"/>
            </w:pPr>
            <w:r>
              <w:t>29 Mar 2022</w:t>
            </w:r>
          </w:p>
        </w:tc>
        <w:tc>
          <w:tcPr>
            <w:tcW w:w="2603" w:type="dxa"/>
            <w:tcBorders>
              <w:top w:val="nil"/>
              <w:bottom w:val="single" w:sz="8" w:space="0" w:color="auto"/>
            </w:tcBorders>
          </w:tcPr>
          <w:p>
            <w:pPr>
              <w:pStyle w:val="nTable"/>
              <w:keepNext/>
              <w:spacing w:before="70" w:after="70"/>
            </w:pPr>
            <w:r>
              <w:t>1 Jul 2022 (see s. 2(b) and SL 2022/80 cl. 2)</w:t>
            </w:r>
          </w:p>
        </w:tc>
      </w:tr>
    </w:tbl>
    <w:p>
      <w:pPr>
        <w:pStyle w:val="nHeading3"/>
      </w:pPr>
      <w:bookmarkStart w:id="170" w:name="_Toc106096933"/>
      <w:r>
        <w:t>Other notes</w:t>
      </w:r>
      <w:bookmarkEnd w:id="170"/>
    </w:p>
    <w:p>
      <w:pPr>
        <w:pStyle w:val="nNote"/>
        <w:spacing w:before="120"/>
      </w:pPr>
      <w:r>
        <w:rPr>
          <w:vertAlign w:val="superscript"/>
        </w:rPr>
        <w:t>1</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Note"/>
        <w:spacing w:before="120"/>
        <w:rPr>
          <w:snapToGrid w:val="0"/>
        </w:rPr>
      </w:pPr>
      <w:r>
        <w:rPr>
          <w:snapToGrid w:val="0"/>
          <w:vertAlign w:val="superscript"/>
        </w:rPr>
        <w:t>2</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Note"/>
        <w:keepNext/>
        <w:spacing w:before="120"/>
      </w:pPr>
      <w:r>
        <w:rPr>
          <w:vertAlign w:val="superscript"/>
        </w:rPr>
        <w:t>3</w:t>
      </w:r>
      <w:r>
        <w:tab/>
        <w:t xml:space="preserve">The </w:t>
      </w:r>
      <w:r>
        <w:rPr>
          <w:i/>
        </w:rPr>
        <w:t>Motor Vehicle Dealers Amendment Act 2002</w:t>
      </w:r>
      <w:r>
        <w:t xml:space="preserve"> Pt. 7 reads as follows:</w:t>
      </w:r>
    </w:p>
    <w:p>
      <w:pPr>
        <w:pStyle w:val="BlankOpen"/>
      </w:pPr>
    </w:p>
    <w:p>
      <w:pPr>
        <w:pStyle w:val="nzHeading2"/>
      </w:pPr>
      <w:r>
        <w:t>Part 7 —Transitional provisions</w:t>
      </w:r>
    </w:p>
    <w:p>
      <w:pPr>
        <w:pStyle w:val="nzHeading5"/>
      </w:pPr>
      <w:r>
        <w:t>73.</w:t>
      </w:r>
      <w:r>
        <w:tab/>
        <w:t>Definition</w:t>
      </w:r>
    </w:p>
    <w:p>
      <w:pPr>
        <w:pStyle w:val="nzSubsection"/>
      </w:pPr>
      <w:r>
        <w:tab/>
      </w:r>
      <w:r>
        <w:tab/>
        <w:t>In this Part —</w:t>
      </w:r>
    </w:p>
    <w:p>
      <w:pPr>
        <w:pStyle w:val="nzDefstart"/>
      </w:pPr>
      <w:r>
        <w:tab/>
      </w:r>
      <w:r>
        <w:rPr>
          <w:rStyle w:val="CharDefText"/>
          <w:snapToGrid/>
        </w:rPr>
        <w:t>the principal Act</w:t>
      </w:r>
      <w:r>
        <w:t xml:space="preserve"> means the </w:t>
      </w:r>
      <w:r>
        <w:rPr>
          <w:i/>
        </w:rPr>
        <w:t>Motor Vehicle Dealers Act 1973</w:t>
      </w:r>
      <w:r>
        <w:t>.</w:t>
      </w:r>
    </w:p>
    <w:p>
      <w:pPr>
        <w:pStyle w:val="nzHeading5"/>
      </w:pPr>
      <w:r>
        <w:t>74.</w:t>
      </w:r>
      <w:r>
        <w:tab/>
        <w:t>Licence applications in progress</w:t>
      </w:r>
    </w:p>
    <w:p>
      <w:pPr>
        <w:pStyle w:val="nzSubsection"/>
      </w:pPr>
      <w:r>
        <w:tab/>
        <w:t>(1)</w:t>
      </w:r>
      <w:r>
        <w:tab/>
        <w:t>If, before the commencement of section 6, 7 or 8 of this Act, an application for the grant or renewal of a dealer’s licence, yard manager’s licence or salesman’s licence —</w:t>
      </w:r>
    </w:p>
    <w:p>
      <w:pPr>
        <w:pStyle w:val="nzIndenta"/>
      </w:pPr>
      <w:r>
        <w:tab/>
        <w:t>(a)</w:t>
      </w:r>
      <w:r>
        <w:tab/>
        <w:t>has been made; but</w:t>
      </w:r>
    </w:p>
    <w:p>
      <w:pPr>
        <w:pStyle w:val="nzIndenta"/>
      </w:pPr>
      <w:r>
        <w:tab/>
        <w:t>(b)</w:t>
      </w:r>
      <w:r>
        <w:tab/>
        <w:t>has not been determined,</w:t>
      </w:r>
    </w:p>
    <w:p>
      <w:pPr>
        <w:pStyle w:val="nzSubsection"/>
      </w:pPr>
      <w:r>
        <w:tab/>
      </w:r>
      <w:r>
        <w:tab/>
        <w:t>the application is to be determined as if Part 2 of this Act had not been enacted.</w:t>
      </w:r>
    </w:p>
    <w:p>
      <w:pPr>
        <w:pStyle w:val="nzSubsection"/>
      </w:pPr>
      <w:r>
        <w:tab/>
        <w:t>(2)</w:t>
      </w:r>
      <w:r>
        <w:tab/>
        <w:t>If, before the commencement of section 10 of this Act, an application —</w:t>
      </w:r>
    </w:p>
    <w:p>
      <w:pPr>
        <w:pStyle w:val="nzIndenta"/>
      </w:pPr>
      <w:r>
        <w:lastRenderedPageBreak/>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r>
        <w:t>75.</w:t>
      </w:r>
      <w:r>
        <w:tab/>
        <w:t>Existing dealer’s licence</w:t>
      </w:r>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Subject to the principal Act, the licence referred to in subsection (2) continues in force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r>
        <w:t>76.</w:t>
      </w:r>
      <w:r>
        <w:tab/>
        <w:t>Existing car market operator’s licence</w:t>
      </w:r>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The person, the persons constituting the firm, or the body corporate is or are to be taken on that commencement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r>
        <w:t>77.</w:t>
      </w:r>
      <w:r>
        <w:tab/>
        <w:t>Premises covered by existing certificate of registration</w:t>
      </w:r>
    </w:p>
    <w:p>
      <w:pPr>
        <w:pStyle w:val="nzSubsection"/>
      </w:pPr>
      <w:r>
        <w:tab/>
        <w:t>(1)</w:t>
      </w:r>
      <w:r>
        <w:tab/>
        <w:t xml:space="preserve">Where immediately before the commencement of section 16 of this Act a certificate of registration is in force under section 21 of the principal Act in respect of premises at which a dealer carries on business, the premises are to be taken after that commencement </w:t>
      </w:r>
      <w:r>
        <w:lastRenderedPageBreak/>
        <w:t>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r>
        <w:t>78.</w:t>
      </w:r>
      <w:r>
        <w:tab/>
        <w:t>Existing grounds for disciplinary action</w:t>
      </w:r>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r>
        <w:t>79.</w:t>
      </w:r>
      <w:r>
        <w:tab/>
        <w:t>Time limit for prosecution of existing offences</w:t>
      </w:r>
    </w:p>
    <w:p>
      <w:pPr>
        <w:pStyle w:val="nzSubsection"/>
      </w:pPr>
      <w:r>
        <w:tab/>
      </w:r>
      <w:r>
        <w:tab/>
        <w:t>Section 52(4) of the principal Act</w:t>
      </w:r>
      <w:r>
        <w:rPr>
          <w:i/>
        </w:rPr>
        <w:t xml:space="preserve"> </w:t>
      </w:r>
      <w:r>
        <w:t>applies to an offence committed before the commencement of subsection (2) of section 51 of this Act as if that subsection had not been passed.</w:t>
      </w:r>
    </w:p>
    <w:p>
      <w:pPr>
        <w:pStyle w:val="nzHeading5"/>
      </w:pPr>
      <w:r>
        <w:t>80.</w:t>
      </w:r>
      <w:r>
        <w:tab/>
        <w:t>Application of Part III, Division 2</w:t>
      </w:r>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r>
        <w:t>81.</w:t>
      </w:r>
      <w:r>
        <w:tab/>
        <w:t>Dealer’s obligation to repair</w:t>
      </w:r>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r>
        <w:t>82.</w:t>
      </w:r>
      <w:r>
        <w:tab/>
        <w:t>Application of section 42A</w:t>
      </w:r>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r>
        <w:t>83.</w:t>
      </w:r>
      <w:r>
        <w:tab/>
        <w:t>Further transitional provision may be made</w:t>
      </w:r>
    </w:p>
    <w:p>
      <w:pPr>
        <w:pStyle w:val="nzSubsection"/>
      </w:pPr>
      <w:r>
        <w:tab/>
        <w:t>(1)</w:t>
      </w:r>
      <w:r>
        <w:tab/>
        <w:t>The Governor may make regulations —</w:t>
      </w:r>
    </w:p>
    <w:p>
      <w:pPr>
        <w:pStyle w:val="nzIndenta"/>
      </w:pPr>
      <w:r>
        <w:tab/>
        <w:t>(a)</w:t>
      </w:r>
      <w:r>
        <w:tab/>
        <w:t>amending or supplementing the transitional provisions made by this Part; or</w:t>
      </w:r>
    </w:p>
    <w:p>
      <w:pPr>
        <w:pStyle w:val="nzIndenta"/>
      </w:pPr>
      <w:r>
        <w:tab/>
        <w:t>(b)</w:t>
      </w:r>
      <w:r>
        <w:tab/>
        <w:t>making further transitional provisions,</w:t>
      </w:r>
    </w:p>
    <w:p>
      <w:pPr>
        <w:pStyle w:val="nzSubsection"/>
      </w:pPr>
      <w:r>
        <w:lastRenderedPageBreak/>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BlankClose"/>
        <w:rPr>
          <w:snapToGrid w:val="0"/>
        </w:rPr>
      </w:pPr>
    </w:p>
    <w:p>
      <w:pPr>
        <w:pStyle w:val="nNote"/>
      </w:pPr>
      <w:r>
        <w:rPr>
          <w:vertAlign w:val="superscript"/>
        </w:rPr>
        <w:t>4</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w:t>
      </w:r>
      <w:r>
        <w:lastRenderedPageBreak/>
        <w:t xml:space="preserve">and the </w:t>
      </w:r>
      <w:r>
        <w:rPr>
          <w:i/>
        </w:rPr>
        <w:t>State Administrative Tribunal Regulations 2004</w:t>
      </w:r>
      <w:r>
        <w:t xml:space="preserve"> r. 28 and 42 deal with certain transitional issues some of which may be relevant for this Act.</w:t>
      </w:r>
    </w:p>
    <w:p>
      <w:pPr>
        <w:pStyle w:val="nNote"/>
      </w:pPr>
      <w:r>
        <w:rPr>
          <w:vertAlign w:val="superscript"/>
        </w:rPr>
        <w:t>6</w:t>
      </w:r>
      <w:r>
        <w:tab/>
        <w:t xml:space="preserve">The </w:t>
      </w:r>
      <w:r>
        <w:rPr>
          <w:i/>
        </w:rPr>
        <w:t>Machinery of Government (Miscellaneous Amendments) Act 2006</w:t>
      </w:r>
      <w:r>
        <w:t xml:space="preserve"> Pt. 4 Div. 23 has transitional provisions some of which may be relevant to this Act.</w:t>
      </w:r>
    </w:p>
    <w:p>
      <w:pPr>
        <w:pStyle w:val="nNote"/>
        <w:rPr>
          <w:snapToGrid w:val="0"/>
        </w:rPr>
      </w:pPr>
      <w:r>
        <w:rPr>
          <w:snapToGrid w:val="0"/>
          <w:vertAlign w:val="superscript"/>
        </w:rPr>
        <w:t>7</w:t>
      </w:r>
      <w:r>
        <w:rPr>
          <w:snapToGrid w:val="0"/>
        </w:rPr>
        <w:tab/>
        <w:t xml:space="preserve">The amendments in the </w:t>
      </w:r>
      <w:r>
        <w:rPr>
          <w:i/>
          <w:snapToGrid w:val="0"/>
        </w:rPr>
        <w:t>Acts Amendment (Fair Trading) Act 2010</w:t>
      </w:r>
      <w:r>
        <w:rPr>
          <w:snapToGrid w:val="0"/>
        </w:rPr>
        <w:t xml:space="preserve"> s. 177 will not come into operation (see s. 2(b)(i)).</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172" w:name="_Toc106010483"/>
      <w:bookmarkStart w:id="173" w:name="_Toc106010616"/>
      <w:bookmarkStart w:id="174" w:name="_Toc106096934"/>
      <w:r>
        <w:rPr>
          <w:sz w:val="28"/>
        </w:rPr>
        <w:lastRenderedPageBreak/>
        <w:t>Defined terms</w:t>
      </w:r>
      <w:bookmarkEnd w:id="172"/>
      <w:bookmarkEnd w:id="173"/>
      <w:bookmarkEnd w:id="1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“built date” shown on the vehicle</w:t>
      </w:r>
      <w:r>
        <w:tab/>
        <w:t>34F(4)</w:t>
      </w:r>
    </w:p>
    <w:p>
      <w:pPr>
        <w:pStyle w:val="DefinedTerms"/>
      </w:pPr>
      <w:r>
        <w:t>accused</w:t>
      </w:r>
      <w:r>
        <w:tab/>
        <w:t>52(3)</w:t>
      </w:r>
    </w:p>
    <w:p>
      <w:pPr>
        <w:pStyle w:val="DefinedTerms"/>
      </w:pPr>
      <w:r>
        <w:t>approved</w:t>
      </w:r>
      <w:r>
        <w:tab/>
        <w:t>5(1)</w:t>
      </w:r>
    </w:p>
    <w:p>
      <w:pPr>
        <w:pStyle w:val="DefinedTerms"/>
      </w:pPr>
      <w:r>
        <w:t>authorisation</w:t>
      </w:r>
      <w:r>
        <w:tab/>
        <w:t>5(1)</w:t>
      </w:r>
    </w:p>
    <w:p>
      <w:pPr>
        <w:pStyle w:val="DefinedTerms"/>
      </w:pPr>
      <w:r>
        <w:t>authorised officer</w:t>
      </w:r>
      <w:r>
        <w:tab/>
        <w:t>5(1)</w:t>
      </w:r>
    </w:p>
    <w:p>
      <w:pPr>
        <w:pStyle w:val="DefinedTerms"/>
      </w:pPr>
      <w:r>
        <w:t>authorised premises</w:t>
      </w:r>
      <w:r>
        <w:tab/>
        <w:t>5(1), 27(1a)</w:t>
      </w:r>
    </w:p>
    <w:p>
      <w:pPr>
        <w:pStyle w:val="DefinedTerms"/>
      </w:pPr>
      <w:r>
        <w:t>buying or selling</w:t>
      </w:r>
      <w:r>
        <w:tab/>
        <w:t>5(1)</w:t>
      </w:r>
    </w:p>
    <w:p>
      <w:pPr>
        <w:pStyle w:val="DefinedTerms"/>
      </w:pPr>
      <w:r>
        <w:t>camper van</w:t>
      </w:r>
      <w:r>
        <w:tab/>
        <w:t>5(4)</w:t>
      </w:r>
    </w:p>
    <w:p>
      <w:pPr>
        <w:pStyle w:val="DefinedTerms"/>
      </w:pPr>
      <w:r>
        <w:t>car hire operator</w:t>
      </w:r>
      <w:r>
        <w:tab/>
        <w:t>5(1)</w:t>
      </w:r>
    </w:p>
    <w:p>
      <w:pPr>
        <w:pStyle w:val="DefinedTerms"/>
      </w:pPr>
      <w:r>
        <w:t>car market</w:t>
      </w:r>
      <w:r>
        <w:tab/>
        <w:t>5(1)</w:t>
      </w:r>
    </w:p>
    <w:p>
      <w:pPr>
        <w:pStyle w:val="DefinedTerms"/>
      </w:pPr>
      <w:r>
        <w:t>car market operator</w:t>
      </w:r>
      <w:r>
        <w:tab/>
        <w:t>5(1)</w:t>
      </w:r>
    </w:p>
    <w:p>
      <w:pPr>
        <w:pStyle w:val="DefinedTerms"/>
      </w:pPr>
      <w:r>
        <w:t>cash price</w:t>
      </w:r>
      <w:r>
        <w:tab/>
        <w:t>5(1)</w:t>
      </w:r>
    </w:p>
    <w:p>
      <w:pPr>
        <w:pStyle w:val="DefinedTerms"/>
      </w:pPr>
      <w:r>
        <w:t>category 1 vehicle</w:t>
      </w:r>
      <w:r>
        <w:tab/>
        <w:t>34C(1)</w:t>
      </w:r>
    </w:p>
    <w:p>
      <w:pPr>
        <w:pStyle w:val="DefinedTerms"/>
      </w:pPr>
      <w:r>
        <w:t>category 2 vehicle</w:t>
      </w:r>
      <w:r>
        <w:tab/>
        <w:t>34C(1)</w:t>
      </w:r>
    </w:p>
    <w:p>
      <w:pPr>
        <w:pStyle w:val="DefinedTerms"/>
      </w:pPr>
      <w:r>
        <w:t>certificate of registration</w:t>
      </w:r>
      <w:r>
        <w:tab/>
        <w:t>5(1)</w:t>
      </w:r>
    </w:p>
    <w:p>
      <w:pPr>
        <w:pStyle w:val="DefinedTerms"/>
      </w:pPr>
      <w:r>
        <w:t>collateral credit agreement</w:t>
      </w:r>
      <w:r>
        <w:tab/>
        <w:t>41A(7)</w:t>
      </w:r>
    </w:p>
    <w:p>
      <w:pPr>
        <w:pStyle w:val="DefinedTerms"/>
      </w:pPr>
      <w:r>
        <w:t>commencement day</w:t>
      </w:r>
      <w:r>
        <w:tab/>
        <w:t>57</w:t>
      </w:r>
    </w:p>
    <w:p>
      <w:pPr>
        <w:pStyle w:val="DefinedTerms"/>
      </w:pPr>
      <w:r>
        <w:t>Commissioner</w:t>
      </w:r>
      <w:r>
        <w:tab/>
        <w:t>5(1)</w:t>
      </w:r>
    </w:p>
    <w:p>
      <w:pPr>
        <w:pStyle w:val="DefinedTerms"/>
      </w:pPr>
      <w:r>
        <w:t>compliance plate</w:t>
      </w:r>
      <w:r>
        <w:tab/>
        <w:t>34F(4)</w:t>
      </w:r>
    </w:p>
    <w:p>
      <w:pPr>
        <w:pStyle w:val="DefinedTerms"/>
      </w:pPr>
      <w:r>
        <w:t>consignment agreement</w:t>
      </w:r>
      <w:r>
        <w:tab/>
        <w:t>28(12), 32A</w:t>
      </w:r>
    </w:p>
    <w:p>
      <w:pPr>
        <w:pStyle w:val="DefinedTerms"/>
      </w:pPr>
      <w:r>
        <w:t>consignor</w:t>
      </w:r>
      <w:r>
        <w:tab/>
        <w:t>32A</w:t>
      </w:r>
    </w:p>
    <w:p>
      <w:pPr>
        <w:pStyle w:val="DefinedTerms"/>
      </w:pPr>
      <w:r>
        <w:t>dealer</w:t>
      </w:r>
      <w:r>
        <w:tab/>
        <w:t>5(1), 27(1a)</w:t>
      </w:r>
    </w:p>
    <w:p>
      <w:pPr>
        <w:pStyle w:val="DefinedTerms"/>
      </w:pPr>
      <w:r>
        <w:t>dealer’s licence</w:t>
      </w:r>
      <w:r>
        <w:tab/>
        <w:t>5(1)</w:t>
      </w:r>
    </w:p>
    <w:p>
      <w:pPr>
        <w:pStyle w:val="DefinedTerms"/>
      </w:pPr>
      <w:r>
        <w:t>defect</w:t>
      </w:r>
      <w:r>
        <w:tab/>
        <w:t>28(12)</w:t>
      </w:r>
    </w:p>
    <w:p>
      <w:pPr>
        <w:pStyle w:val="DefinedTerms"/>
      </w:pPr>
      <w:r>
        <w:t>defective</w:t>
      </w:r>
      <w:r>
        <w:tab/>
        <w:t>28(12)</w:t>
      </w:r>
    </w:p>
    <w:p>
      <w:pPr>
        <w:pStyle w:val="DefinedTerms"/>
      </w:pPr>
      <w:r>
        <w:t>demonstration vehicle</w:t>
      </w:r>
      <w:r>
        <w:tab/>
        <w:t>5(1)</w:t>
      </w:r>
    </w:p>
    <w:p>
      <w:pPr>
        <w:pStyle w:val="DefinedTerms"/>
      </w:pPr>
      <w:r>
        <w:t>Department</w:t>
      </w:r>
      <w:r>
        <w:tab/>
        <w:t>5(1)</w:t>
      </w:r>
    </w:p>
    <w:p>
      <w:pPr>
        <w:pStyle w:val="DefinedTerms"/>
      </w:pPr>
      <w:r>
        <w:t>designated official</w:t>
      </w:r>
      <w:r>
        <w:tab/>
        <w:t>55A(1)</w:t>
      </w:r>
    </w:p>
    <w:p>
      <w:pPr>
        <w:pStyle w:val="DefinedTerms"/>
      </w:pPr>
      <w:r>
        <w:t>financier</w:t>
      </w:r>
      <w:r>
        <w:tab/>
        <w:t>5(1)</w:t>
      </w:r>
    </w:p>
    <w:p>
      <w:pPr>
        <w:pStyle w:val="DefinedTerms"/>
      </w:pPr>
      <w:r>
        <w:t>former Board</w:t>
      </w:r>
      <w:r>
        <w:tab/>
        <w:t>57</w:t>
      </w:r>
    </w:p>
    <w:p>
      <w:pPr>
        <w:pStyle w:val="DefinedTerms"/>
      </w:pPr>
      <w:r>
        <w:t>grant</w:t>
      </w:r>
      <w:r>
        <w:tab/>
        <w:t>5(1)</w:t>
      </w:r>
    </w:p>
    <w:p>
      <w:pPr>
        <w:pStyle w:val="DefinedTerms"/>
      </w:pPr>
      <w:r>
        <w:t>hire</w:t>
      </w:r>
      <w:r>
        <w:noBreakHyphen/>
        <w:t>purchase agreement</w:t>
      </w:r>
      <w:r>
        <w:tab/>
        <w:t>5(1)</w:t>
      </w:r>
    </w:p>
    <w:p>
      <w:pPr>
        <w:pStyle w:val="DefinedTerms"/>
      </w:pPr>
      <w:r>
        <w:t>hold</w:t>
      </w:r>
      <w:r>
        <w:tab/>
        <w:t>5(1)</w:t>
      </w:r>
    </w:p>
    <w:p>
      <w:pPr>
        <w:pStyle w:val="DefinedTerms"/>
      </w:pPr>
      <w:r>
        <w:t>inspecting officer</w:t>
      </w:r>
      <w:r>
        <w:tab/>
        <w:t>28(12)</w:t>
      </w:r>
    </w:p>
    <w:p>
      <w:pPr>
        <w:pStyle w:val="DefinedTerms"/>
      </w:pPr>
      <w:r>
        <w:t>liability</w:t>
      </w:r>
      <w:r>
        <w:tab/>
        <w:t>57</w:t>
      </w:r>
    </w:p>
    <w:p>
      <w:pPr>
        <w:pStyle w:val="DefinedTerms"/>
      </w:pPr>
      <w:r>
        <w:t>licence</w:t>
      </w:r>
      <w:r>
        <w:tab/>
        <w:t>5(1)</w:t>
      </w:r>
    </w:p>
    <w:p>
      <w:pPr>
        <w:pStyle w:val="DefinedTerms"/>
      </w:pPr>
      <w:r>
        <w:t>model designation</w:t>
      </w:r>
      <w:r>
        <w:tab/>
        <w:t>5(1)</w:t>
      </w:r>
    </w:p>
    <w:p>
      <w:pPr>
        <w:pStyle w:val="DefinedTerms"/>
      </w:pPr>
      <w:r>
        <w:t>motor cycle</w:t>
      </w:r>
      <w:r>
        <w:tab/>
        <w:t>5(4)</w:t>
      </w:r>
    </w:p>
    <w:p>
      <w:pPr>
        <w:pStyle w:val="DefinedTerms"/>
      </w:pPr>
      <w:r>
        <w:t>other person</w:t>
      </w:r>
      <w:r>
        <w:tab/>
        <w:t>53(1)</w:t>
      </w:r>
    </w:p>
    <w:p>
      <w:pPr>
        <w:pStyle w:val="DefinedTerms"/>
      </w:pPr>
      <w:r>
        <w:t>owner</w:t>
      </w:r>
      <w:r>
        <w:tab/>
        <w:t>28(12)</w:t>
      </w:r>
    </w:p>
    <w:p>
      <w:pPr>
        <w:pStyle w:val="DefinedTerms"/>
      </w:pPr>
      <w:r>
        <w:lastRenderedPageBreak/>
        <w:t>passenger car</w:t>
      </w:r>
      <w:r>
        <w:tab/>
        <w:t>5(4)</w:t>
      </w:r>
    </w:p>
    <w:p>
      <w:pPr>
        <w:pStyle w:val="DefinedTerms"/>
      </w:pPr>
      <w:r>
        <w:t>passenger car derivative</w:t>
      </w:r>
      <w:r>
        <w:tab/>
        <w:t>5(4)</w:t>
      </w:r>
    </w:p>
    <w:p>
      <w:pPr>
        <w:pStyle w:val="DefinedTerms"/>
      </w:pPr>
      <w:r>
        <w:t>person aggrieved</w:t>
      </w:r>
      <w:r>
        <w:tab/>
        <w:t>22(2)</w:t>
      </w:r>
    </w:p>
    <w:p>
      <w:pPr>
        <w:pStyle w:val="DefinedTerms"/>
      </w:pPr>
      <w:r>
        <w:t>prescribed amount</w:t>
      </w:r>
      <w:r>
        <w:tab/>
        <w:t>45(4)</w:t>
      </w:r>
    </w:p>
    <w:p>
      <w:pPr>
        <w:pStyle w:val="DefinedTerms"/>
      </w:pPr>
      <w:r>
        <w:t>registered company auditor</w:t>
      </w:r>
      <w:r>
        <w:tab/>
        <w:t>32A</w:t>
      </w:r>
    </w:p>
    <w:p>
      <w:pPr>
        <w:pStyle w:val="DefinedTerms"/>
      </w:pPr>
      <w:r>
        <w:t>relevant maximum fine</w:t>
      </w:r>
      <w:r>
        <w:tab/>
        <w:t>20B(3)</w:t>
      </w:r>
    </w:p>
    <w:p>
      <w:pPr>
        <w:pStyle w:val="DefinedTerms"/>
      </w:pPr>
      <w:r>
        <w:t>relevant person</w:t>
      </w:r>
      <w:r>
        <w:tab/>
        <w:t>17C(4)</w:t>
      </w:r>
    </w:p>
    <w:p>
      <w:pPr>
        <w:pStyle w:val="DefinedTerms"/>
      </w:pPr>
      <w:r>
        <w:t>residual assets</w:t>
      </w:r>
      <w:r>
        <w:tab/>
        <w:t>63</w:t>
      </w:r>
    </w:p>
    <w:p>
      <w:pPr>
        <w:pStyle w:val="DefinedTerms"/>
      </w:pPr>
      <w:r>
        <w:t>reviewable decision</w:t>
      </w:r>
      <w:r>
        <w:tab/>
        <w:t>22(2)</w:t>
      </w:r>
    </w:p>
    <w:p>
      <w:pPr>
        <w:pStyle w:val="DefinedTerms"/>
      </w:pPr>
      <w:r>
        <w:t>right</w:t>
      </w:r>
      <w:r>
        <w:tab/>
        <w:t>57</w:t>
      </w:r>
    </w:p>
    <w:p>
      <w:pPr>
        <w:pStyle w:val="DefinedTerms"/>
      </w:pPr>
      <w:r>
        <w:t>sale</w:t>
      </w:r>
      <w:r>
        <w:tab/>
        <w:t>5(1)</w:t>
      </w:r>
    </w:p>
    <w:p>
      <w:pPr>
        <w:pStyle w:val="DefinedTerms"/>
      </w:pPr>
      <w:r>
        <w:t>salesperson</w:t>
      </w:r>
      <w:r>
        <w:tab/>
        <w:t>5(1), 27(1a)</w:t>
      </w:r>
    </w:p>
    <w:p>
      <w:pPr>
        <w:pStyle w:val="DefinedTerms"/>
      </w:pPr>
      <w:r>
        <w:t>salesperson’s licence</w:t>
      </w:r>
      <w:r>
        <w:tab/>
        <w:t>5(1)</w:t>
      </w:r>
    </w:p>
    <w:p>
      <w:pPr>
        <w:pStyle w:val="DefinedTerms"/>
      </w:pPr>
      <w:r>
        <w:t>second</w:t>
      </w:r>
      <w:r>
        <w:noBreakHyphen/>
        <w:t>hand vehicle</w:t>
      </w:r>
      <w:r>
        <w:tab/>
        <w:t>5(1a)</w:t>
      </w:r>
    </w:p>
    <w:p>
      <w:pPr>
        <w:pStyle w:val="DefinedTerms"/>
      </w:pPr>
      <w:r>
        <w:t>section</w:t>
      </w:r>
      <w:r>
        <w:tab/>
        <w:t>5(1)</w:t>
      </w:r>
    </w:p>
    <w:p>
      <w:pPr>
        <w:pStyle w:val="DefinedTerms"/>
      </w:pPr>
      <w:r>
        <w:t>security interest</w:t>
      </w:r>
      <w:r>
        <w:tab/>
        <w:t>32A</w:t>
      </w:r>
    </w:p>
    <w:p>
      <w:pPr>
        <w:pStyle w:val="DefinedTerms"/>
      </w:pPr>
      <w:r>
        <w:t>sell</w:t>
      </w:r>
      <w:r>
        <w:tab/>
        <w:t>5(1)</w:t>
      </w:r>
    </w:p>
    <w:p>
      <w:pPr>
        <w:pStyle w:val="DefinedTerms"/>
      </w:pPr>
      <w:r>
        <w:t>sold</w:t>
      </w:r>
      <w:r>
        <w:tab/>
        <w:t>5(1)</w:t>
      </w:r>
    </w:p>
    <w:p>
      <w:pPr>
        <w:pStyle w:val="DefinedTerms"/>
      </w:pPr>
      <w:r>
        <w:t>specified</w:t>
      </w:r>
      <w:r>
        <w:tab/>
        <w:t>65(6)</w:t>
      </w:r>
    </w:p>
    <w:p>
      <w:pPr>
        <w:pStyle w:val="DefinedTerms"/>
      </w:pPr>
      <w:r>
        <w:t>sufficient knowledge of this Act</w:t>
      </w:r>
      <w:r>
        <w:tab/>
        <w:t>15(6)</w:t>
      </w:r>
    </w:p>
    <w:p>
      <w:pPr>
        <w:pStyle w:val="DefinedTerms"/>
      </w:pPr>
      <w:r>
        <w:t>sufficient resources</w:t>
      </w:r>
      <w:r>
        <w:tab/>
        <w:t>15(6)</w:t>
      </w:r>
    </w:p>
    <w:p>
      <w:pPr>
        <w:pStyle w:val="DefinedTerms"/>
      </w:pPr>
      <w:r>
        <w:t>trade owner</w:t>
      </w:r>
      <w:r>
        <w:tab/>
        <w:t>5(1)</w:t>
      </w:r>
    </w:p>
    <w:p>
      <w:pPr>
        <w:pStyle w:val="DefinedTerms"/>
      </w:pPr>
      <w:r>
        <w:t>trade</w:t>
      </w:r>
      <w:r>
        <w:noBreakHyphen/>
        <w:t>in</w:t>
      </w:r>
      <w:r>
        <w:tab/>
        <w:t>32D(2)</w:t>
      </w:r>
    </w:p>
    <w:p>
      <w:pPr>
        <w:pStyle w:val="DefinedTerms"/>
      </w:pPr>
      <w:r>
        <w:t>transitional matter</w:t>
      </w:r>
      <w:r>
        <w:tab/>
        <w:t>65(2)</w:t>
      </w:r>
    </w:p>
    <w:p>
      <w:pPr>
        <w:pStyle w:val="DefinedTerms"/>
      </w:pPr>
      <w:r>
        <w:t>trust account</w:t>
      </w:r>
      <w:r>
        <w:tab/>
        <w:t>32A</w:t>
      </w:r>
    </w:p>
    <w:p>
      <w:pPr>
        <w:pStyle w:val="DefinedTerms"/>
      </w:pPr>
      <w:r>
        <w:t>vehicle</w:t>
      </w:r>
      <w:r>
        <w:tab/>
        <w:t>5(2), 5(3), 34C(1)</w:t>
      </w:r>
    </w:p>
    <w:p>
      <w:pPr>
        <w:pStyle w:val="DefinedTerms"/>
      </w:pPr>
      <w:r>
        <w:t>yard manager</w:t>
      </w:r>
      <w:r>
        <w:tab/>
        <w:t>5(1), 27(1a)</w:t>
      </w:r>
    </w:p>
    <w:p>
      <w:pPr>
        <w:pStyle w:val="DefinedTerms"/>
      </w:pPr>
      <w:r>
        <w:t>yard manager’s licence</w:t>
      </w:r>
      <w:r>
        <w:tab/>
        <w:t>5(1)</w:t>
      </w:r>
    </w:p>
    <w:p>
      <w:pPr>
        <w:pStyle w:val="DefinedTerms"/>
      </w:pPr>
      <w:r>
        <w:t>year</w:t>
      </w:r>
      <w:r>
        <w:tab/>
        <w:t>32A</w:t>
      </w:r>
    </w:p>
    <w:p>
      <w:pPr>
        <w:pStyle w:val="DefinedTerms"/>
      </w:pPr>
      <w:r>
        <w:t>year of first registration</w:t>
      </w:r>
      <w:r>
        <w:tab/>
        <w:t>5(1)</w:t>
      </w:r>
    </w:p>
    <w:p>
      <w:pPr>
        <w:pStyle w:val="DefinedTerms"/>
      </w:pPr>
      <w:r>
        <w:t>year of manufacture</w:t>
      </w:r>
      <w:r>
        <w:tab/>
        <w:t>5(1)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1" w:name="Compilation"/>
    <w:bookmarkEnd w:id="1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5" w:name="DefinedTerms"/>
    <w:bookmarkEnd w:id="17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6" w:name="Coversheet"/>
    <w:bookmarkEnd w:id="1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102215"/>
    <w:docVar w:name="WAFER_20140110160628" w:val="RemoveTocBookmarks,RemoveUnusedBookmarks,RemoveLanguageTags,UsedStyles,ResetPageSize,UpdateArrangement"/>
    <w:docVar w:name="WAFER_20140110160628_GUID" w:val="13eaa89d-53c9-4afd-8e70-e8ec4acfaba5"/>
    <w:docVar w:name="WAFER_20140110160900" w:val="RemoveTocBookmarks,RunningHeaders"/>
    <w:docVar w:name="WAFER_20140110160900_GUID" w:val="b54616d4-be93-4b2a-a25a-ec17f39af28e"/>
    <w:docVar w:name="WAFER_20141015123311" w:val="RemoveTocBookmarks,RemoveUnusedBookmarks,RemoveLanguageTags,UsedStyles,ResetPageSize,UpdateArrangement"/>
    <w:docVar w:name="WAFER_20141015123311_GUID" w:val="934cafc0-ad30-4394-97e4-7c93b9200caf"/>
    <w:docVar w:name="WAFER_20141119103335" w:val="RemoveTocBookmarks,RunningHeaders"/>
    <w:docVar w:name="WAFER_20141119103335_GUID" w:val="89c9d465-f32d-4e26-80e4-7a1fb19abc3a"/>
    <w:docVar w:name="WAFER_20141119103348" w:val="RemoveTocBookmarks,RunningHeaders"/>
    <w:docVar w:name="WAFER_20141119103348_GUID" w:val="46058682-72b2-40c5-bf4e-0075a69c1d4b"/>
    <w:docVar w:name="WAFER_20150416145122" w:val="ResetPageSize,UpdateArrangement,UpdateNTable"/>
    <w:docVar w:name="WAFER_20150416145122_GUID" w:val="00fc0136-692f-4e49-89c5-5a83309246f8"/>
    <w:docVar w:name="WAFER_20151106161346" w:val="UpdateStyles,UsedStyles"/>
    <w:docVar w:name="WAFER_20151106161346_GUID" w:val="41901351-79f8-4fdb-b11d-79ff3e1aa510"/>
    <w:docVar w:name="WAFER_20200210115253"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RemoveIncorrectStyles.ProcessStyles"/>
    <w:docVar w:name="WAFER_20200210115253_GUID" w:val="8378d49c-f2f1-412b-813e-26604f4c2cfc"/>
    <w:docVar w:name="WAFER_202009111154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5455_GUID" w:val="2df99299-82bf-4ec4-9212-96397258c21a"/>
    <w:docVar w:name="WAFER_202203291602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60238_GUID" w:val="9381deba-0264-4e4a-b8ee-b9faf5d1d1d1"/>
    <w:docVar w:name="WAFER_202206131022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02215_GUID" w:val="2840e641-0cb5-4469-9177-48c031afc6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LongTitle">
    <w:name w:val="zLong Title"/>
    <w:basedOn w:val="LongTitle"/>
    <w:pPr>
      <w:ind w:left="567" w:right="284"/>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28912</Words>
  <Characters>134153</Characters>
  <Application>Microsoft Office Word</Application>
  <DocSecurity>0</DocSecurity>
  <Lines>3726</Lines>
  <Paragraphs>2090</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160975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1973 - 06-j0-01</dc:title>
  <dc:subject/>
  <dc:creator/>
  <cp:keywords/>
  <dc:description/>
  <cp:lastModifiedBy>Master Repository Process</cp:lastModifiedBy>
  <cp:revision>4</cp:revision>
  <cp:lastPrinted>2012-01-09T03:05:00Z</cp:lastPrinted>
  <dcterms:created xsi:type="dcterms:W3CDTF">2022-06-17T02:51:00Z</dcterms:created>
  <dcterms:modified xsi:type="dcterms:W3CDTF">2022-06-17T02:51:00Z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DocumentType">
    <vt:lpwstr>Act</vt:lpwstr>
  </property>
  <property fmtid="{D5CDD505-2E9C-101B-9397-08002B2CF9AE}" pid="4" name="OwlsUID">
    <vt:i4>525</vt:i4>
  </property>
  <property fmtid="{D5CDD505-2E9C-101B-9397-08002B2CF9AE}" pid="5" name="ReprintNo">
    <vt:lpwstr>6</vt:lpwstr>
  </property>
  <property fmtid="{D5CDD505-2E9C-101B-9397-08002B2CF9AE}" pid="6" name="ReprintedAsAt">
    <vt:filetime>2012-01-05T16:00:00Z</vt:filetime>
  </property>
  <property fmtid="{D5CDD505-2E9C-101B-9397-08002B2CF9AE}" pid="7" name="AsAtDate">
    <vt:lpwstr>29 Mar 2022</vt:lpwstr>
  </property>
  <property fmtid="{D5CDD505-2E9C-101B-9397-08002B2CF9AE}" pid="8" name="Suffix">
    <vt:lpwstr>06-j0-01</vt:lpwstr>
  </property>
  <property fmtid="{D5CDD505-2E9C-101B-9397-08002B2CF9AE}" pid="9" name="CommencementDate">
    <vt:lpwstr>20220329</vt:lpwstr>
  </property>
</Properties>
</file>