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_Toc98946834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_Toc98946835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_Toc98946836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_Toc98946837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_Toc98946838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_Toc98946840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_Toc98946841 \h </w:instrText>
      </w:r>
      <w:r>
        <w:fldChar w:fldCharType="separate"/>
      </w:r>
      <w:r>
        <w:t>17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Geothermal resources area in, or extending into, other areas</w:t>
      </w:r>
      <w:r>
        <w:tab/>
      </w:r>
      <w:r>
        <w:fldChar w:fldCharType="begin"/>
      </w:r>
      <w:r>
        <w:instrText xml:space="preserve"> PAGEREF _Toc98946842 \h </w:instrText>
      </w:r>
      <w:r>
        <w:fldChar w:fldCharType="separate"/>
      </w:r>
      <w:r>
        <w:t>18</w:t>
      </w:r>
      <w:r>
        <w:fldChar w:fldCharType="end"/>
      </w:r>
    </w:p>
    <w:p>
      <w:pPr>
        <w:pStyle w:val="TOC8"/>
        <w:rPr>
          <w:rFonts w:asciiTheme="minorHAnsi" w:eastAsiaTheme="minorEastAsia" w:hAnsiTheme="minorHAnsi" w:cstheme="minorBidi"/>
          <w:szCs w:val="22"/>
        </w:rPr>
      </w:pPr>
      <w:r>
        <w:t>7B.</w:t>
      </w:r>
      <w:r>
        <w:tab/>
        <w:t>Petroleum pool in, or extending into, other areas</w:t>
      </w:r>
      <w:r>
        <w:tab/>
      </w:r>
      <w:r>
        <w:fldChar w:fldCharType="begin"/>
      </w:r>
      <w:r>
        <w:instrText xml:space="preserve"> PAGEREF _Toc98946843 \h </w:instrText>
      </w:r>
      <w:r>
        <w:fldChar w:fldCharType="separate"/>
      </w:r>
      <w:r>
        <w:t>21</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_Toc98946844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_Toc98946845 \h </w:instrText>
      </w:r>
      <w:r>
        <w:fldChar w:fldCharType="separate"/>
      </w:r>
      <w:r>
        <w:t>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_Toc98946846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_Toc98946847 \h </w:instrText>
      </w:r>
      <w:r>
        <w:fldChar w:fldCharType="separate"/>
      </w:r>
      <w:r>
        <w:t>30</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_Toc98946848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_Toc98946849 \h </w:instrText>
      </w:r>
      <w:r>
        <w:fldChar w:fldCharType="separate"/>
      </w:r>
      <w:r>
        <w:t>31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_Toc98946850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Land comprised in permit, drilling reservation, lease or licence may be entered for certain purposes</w:t>
      </w:r>
      <w:r>
        <w:tab/>
      </w:r>
      <w:r>
        <w:fldChar w:fldCharType="begin"/>
      </w:r>
      <w:r>
        <w:instrText xml:space="preserve"> PAGEREF _Toc98946851 \h </w:instrText>
      </w:r>
      <w:r>
        <w:fldChar w:fldCharType="separate"/>
      </w:r>
      <w:r>
        <w:t>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_Toc98946852 \h </w:instrText>
      </w:r>
      <w:r>
        <w:fldChar w:fldCharType="separate"/>
      </w:r>
      <w:r>
        <w:t>34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_Toc98946853 \h </w:instrText>
      </w:r>
      <w:r>
        <w:fldChar w:fldCharType="separate"/>
      </w:r>
      <w:r>
        <w:t>34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_Toc98946854 \h </w:instrText>
      </w:r>
      <w:r>
        <w:fldChar w:fldCharType="separate"/>
      </w:r>
      <w:r>
        <w:t>36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_Toc98946855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_Toc98946856 \h </w:instrText>
      </w:r>
      <w:r>
        <w:fldChar w:fldCharType="separate"/>
      </w:r>
      <w:r>
        <w:t>37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_Toc98946857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_Toc98946858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_Toc98946859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_Toc98946860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_Toc98946861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_Toc98946862 \h </w:instrText>
      </w:r>
      <w:r>
        <w:fldChar w:fldCharType="separate"/>
      </w:r>
      <w:r>
        <w:t>41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_Toc98946863 \h </w:instrText>
      </w:r>
      <w:r>
        <w:fldChar w:fldCharType="separate"/>
      </w:r>
      <w:r>
        <w:t>41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_Toc98946864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_Toc98946867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_Toc98946868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_Toc98946869 \h </w:instrText>
      </w:r>
      <w:r>
        <w:fldChar w:fldCharType="separate"/>
      </w:r>
      <w:r>
        <w:t>44</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_Toc98946870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_Toc98946872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_Toc98946873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_Toc98946874 \h </w:instrText>
      </w:r>
      <w:r>
        <w:fldChar w:fldCharType="separate"/>
      </w:r>
      <w:r>
        <w:t>47</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_Toc98946875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_Toc98946876 \h </w:instrText>
      </w:r>
      <w:r>
        <w:fldChar w:fldCharType="separate"/>
      </w:r>
      <w:r>
        <w:t>49</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_Toc98946877 \h </w:instrText>
      </w:r>
      <w:r>
        <w:fldChar w:fldCharType="separate"/>
      </w:r>
      <w:r>
        <w:t>50</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_Toc98946878 \h </w:instrText>
      </w:r>
      <w:r>
        <w:fldChar w:fldCharType="separate"/>
      </w:r>
      <w:r>
        <w:t>50</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_Toc98946879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_Toc98946880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_Toc98946881 \h </w:instrText>
      </w:r>
      <w:r>
        <w:fldChar w:fldCharType="separate"/>
      </w:r>
      <w:r>
        <w:t>54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_Toc98946882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_Toc98946883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_Toc98946884 \h </w:instrText>
      </w:r>
      <w:r>
        <w:fldChar w:fldCharType="separate"/>
      </w:r>
      <w:r>
        <w:t>56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_Toc98946885 \h </w:instrText>
      </w:r>
      <w:r>
        <w:fldChar w:fldCharType="separate"/>
      </w:r>
      <w:r>
        <w:t>57</w:t>
      </w:r>
      <w:r>
        <w:fldChar w:fldCharType="end"/>
      </w:r>
    </w:p>
    <w:p>
      <w:pPr>
        <w:pStyle w:val="TOC8"/>
        <w:rPr>
          <w:rFonts w:asciiTheme="minorHAnsi" w:eastAsiaTheme="minorEastAsia" w:hAnsiTheme="minorHAnsi" w:cstheme="minorBidi"/>
          <w:szCs w:val="22"/>
        </w:rPr>
      </w:pPr>
      <w:r>
        <w:t>37B.</w:t>
      </w:r>
      <w:r>
        <w:tab/>
        <w:t>Grant of boundary-change permit</w:t>
      </w:r>
      <w:r>
        <w:tab/>
      </w:r>
      <w:r>
        <w:fldChar w:fldCharType="begin"/>
      </w:r>
      <w:r>
        <w:instrText xml:space="preserve"> PAGEREF _Toc98946886 \h </w:instrText>
      </w:r>
      <w:r>
        <w:fldChar w:fldCharType="separate"/>
      </w:r>
      <w:r>
        <w:t>58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_Toc98946887 \h </w:instrText>
      </w:r>
      <w:r>
        <w:fldChar w:fldCharType="separate"/>
      </w:r>
      <w:r>
        <w:t>63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_Toc98946888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_Toc98946889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_Toc98946890 \h </w:instrText>
      </w:r>
      <w:r>
        <w:fldChar w:fldCharType="separate"/>
      </w:r>
      <w:r>
        <w:t>65</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_Toc98946891 \h </w:instrText>
      </w:r>
      <w:r>
        <w:fldChar w:fldCharType="separate"/>
      </w:r>
      <w:r>
        <w:t>67</w:t>
      </w:r>
      <w:r>
        <w:fldChar w:fldCharType="end"/>
      </w:r>
    </w:p>
    <w:p>
      <w:pPr>
        <w:pStyle w:val="TOC8"/>
        <w:rPr>
          <w:rFonts w:asciiTheme="minorHAnsi" w:eastAsiaTheme="minorEastAsia" w:hAnsiTheme="minorHAnsi" w:cstheme="minorBidi"/>
          <w:szCs w:val="22"/>
        </w:rPr>
      </w:pPr>
      <w:r>
        <w:t>42B.</w:t>
      </w:r>
      <w:r>
        <w:tab/>
        <w:t>Limits on renewal of boundary-change permits</w:t>
      </w:r>
      <w:r>
        <w:tab/>
      </w:r>
      <w:r>
        <w:fldChar w:fldCharType="begin"/>
      </w:r>
      <w:r>
        <w:instrText xml:space="preserve"> PAGEREF _Toc98946892 \h </w:instrText>
      </w:r>
      <w:r>
        <w:fldChar w:fldCharType="separate"/>
      </w:r>
      <w:r>
        <w:t>68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_Toc98946893 \h </w:instrText>
      </w:r>
      <w:r>
        <w:fldChar w:fldCharType="separate"/>
      </w:r>
      <w:r>
        <w:t>69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_Toc98946894 \h </w:instrText>
      </w:r>
      <w:r>
        <w:fldChar w:fldCharType="separate"/>
      </w:r>
      <w:r>
        <w:t>71</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_Toc98946895 \h </w:instrText>
      </w:r>
      <w:r>
        <w:fldChar w:fldCharType="separate"/>
      </w:r>
      <w:r>
        <w:t>73</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_Toc98946896 \h </w:instrText>
      </w:r>
      <w:r>
        <w:fldChar w:fldCharType="separate"/>
      </w:r>
      <w:r>
        <w:t>74</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_Toc98946897 \h </w:instrText>
      </w:r>
      <w:r>
        <w:fldChar w:fldCharType="separate"/>
      </w:r>
      <w:r>
        <w:t>75</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_Toc98946898 \h </w:instrText>
      </w:r>
      <w:r>
        <w:fldChar w:fldCharType="separate"/>
      </w:r>
      <w:r>
        <w:t>76</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_Toc98946899 \h </w:instrText>
      </w:r>
      <w:r>
        <w:fldChar w:fldCharType="separate"/>
      </w:r>
      <w:r>
        <w:t>78</w:t>
      </w:r>
      <w:r>
        <w:fldChar w:fldCharType="end"/>
      </w:r>
    </w:p>
    <w:p>
      <w:pPr>
        <w:pStyle w:val="TOC8"/>
        <w:rPr>
          <w:rFonts w:asciiTheme="minorHAnsi" w:eastAsiaTheme="minorEastAsia" w:hAnsiTheme="minorHAnsi" w:cstheme="minorBidi"/>
          <w:szCs w:val="22"/>
        </w:rPr>
      </w:pPr>
      <w:r>
        <w:lastRenderedPageBreak/>
        <w:t>43DB.</w:t>
      </w:r>
      <w:r>
        <w:tab/>
        <w:t>Application continued after withdrawal of joint applicant</w:t>
      </w:r>
      <w:r>
        <w:tab/>
      </w:r>
      <w:r>
        <w:fldChar w:fldCharType="begin"/>
      </w:r>
      <w:r>
        <w:instrText xml:space="preserve"> PAGEREF _Toc98946900 \h </w:instrText>
      </w:r>
      <w:r>
        <w:fldChar w:fldCharType="separate"/>
      </w:r>
      <w:r>
        <w:t>78</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_Toc98946901 \h </w:instrText>
      </w:r>
      <w:r>
        <w:fldChar w:fldCharType="separate"/>
      </w:r>
      <w:r>
        <w:t>79</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_Toc98946902 \h </w:instrText>
      </w:r>
      <w:r>
        <w:fldChar w:fldCharType="separate"/>
      </w:r>
      <w:r>
        <w:t>79</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_Toc98946903 \h </w:instrText>
      </w:r>
      <w:r>
        <w:fldChar w:fldCharType="separate"/>
      </w:r>
      <w:r>
        <w:t>80</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_Toc98946904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_Toc98946905 \h </w:instrText>
      </w:r>
      <w:r>
        <w:fldChar w:fldCharType="separate"/>
      </w:r>
      <w:r>
        <w:t>82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_Toc98946906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_Toc98946907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_Toc98946908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_Toc98946910 \h </w:instrText>
      </w:r>
      <w:r>
        <w:fldChar w:fldCharType="separate"/>
      </w:r>
      <w:r>
        <w:t>89</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_Toc98946911 \h </w:instrText>
      </w:r>
      <w:r>
        <w:fldChar w:fldCharType="separate"/>
      </w:r>
      <w:r>
        <w:t>90</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_Toc98946912 \h </w:instrText>
      </w:r>
      <w:r>
        <w:fldChar w:fldCharType="separate"/>
      </w:r>
      <w:r>
        <w:t>93</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_Toc98946913 \h </w:instrText>
      </w:r>
      <w:r>
        <w:fldChar w:fldCharType="separate"/>
      </w:r>
      <w:r>
        <w:t>94</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_Toc98946914 \h </w:instrText>
      </w:r>
      <w:r>
        <w:fldChar w:fldCharType="separate"/>
      </w:r>
      <w:r>
        <w:t>96</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_Toc98946915 \h </w:instrText>
      </w:r>
      <w:r>
        <w:fldChar w:fldCharType="separate"/>
      </w:r>
      <w:r>
        <w:t>98</w:t>
      </w:r>
      <w:r>
        <w:fldChar w:fldCharType="end"/>
      </w:r>
    </w:p>
    <w:p>
      <w:pPr>
        <w:pStyle w:val="TOC8"/>
        <w:rPr>
          <w:rFonts w:asciiTheme="minorHAnsi" w:eastAsiaTheme="minorEastAsia" w:hAnsiTheme="minorHAnsi" w:cstheme="minorBidi"/>
          <w:szCs w:val="22"/>
        </w:rPr>
      </w:pPr>
      <w:r>
        <w:t>48CD.</w:t>
      </w:r>
      <w:r>
        <w:tab/>
        <w:t>Grant of petroleum retention lease as result of change to boundary of offshore area</w:t>
      </w:r>
      <w:r>
        <w:tab/>
      </w:r>
      <w:r>
        <w:fldChar w:fldCharType="begin"/>
      </w:r>
      <w:r>
        <w:instrText xml:space="preserve"> PAGEREF _Toc98946916 \h </w:instrText>
      </w:r>
      <w:r>
        <w:fldChar w:fldCharType="separate"/>
      </w:r>
      <w:r>
        <w:t>98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_Toc98946917 \h </w:instrText>
      </w:r>
      <w:r>
        <w:fldChar w:fldCharType="separate"/>
      </w:r>
      <w:r>
        <w:t>101</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_Toc98946918 \h </w:instrText>
      </w:r>
      <w:r>
        <w:fldChar w:fldCharType="separate"/>
      </w:r>
      <w:r>
        <w:t>101</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_Toc98946919 \h </w:instrText>
      </w:r>
      <w:r>
        <w:fldChar w:fldCharType="separate"/>
      </w:r>
      <w:r>
        <w:t>102</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_Toc98946920 \h </w:instrText>
      </w:r>
      <w:r>
        <w:fldChar w:fldCharType="separate"/>
      </w:r>
      <w:r>
        <w:t>103</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_Toc98946921 \h </w:instrText>
      </w:r>
      <w:r>
        <w:fldChar w:fldCharType="separate"/>
      </w:r>
      <w:r>
        <w:t>105</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_Toc98946922 \h </w:instrText>
      </w:r>
      <w:r>
        <w:fldChar w:fldCharType="separate"/>
      </w:r>
      <w:r>
        <w:t>108</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_Toc98946923 \h </w:instrText>
      </w:r>
      <w:r>
        <w:fldChar w:fldCharType="separate"/>
      </w:r>
      <w:r>
        <w:t>110</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_Toc98946924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_Toc98946926 \h </w:instrText>
      </w:r>
      <w:r>
        <w:fldChar w:fldCharType="separate"/>
      </w:r>
      <w:r>
        <w:t>111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_Toc98946927 \h </w:instrText>
      </w:r>
      <w:r>
        <w:fldChar w:fldCharType="separate"/>
      </w:r>
      <w:r>
        <w:t>111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_Toc98946928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Application for licence under s. 50 or 50A, requirements for</w:t>
      </w:r>
      <w:r>
        <w:tab/>
      </w:r>
      <w:r>
        <w:fldChar w:fldCharType="begin"/>
      </w:r>
      <w:r>
        <w:instrText xml:space="preserve"> PAGEREF _Toc98946929 \h </w:instrText>
      </w:r>
      <w:r>
        <w:fldChar w:fldCharType="separate"/>
      </w:r>
      <w:r>
        <w:t>115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_Toc98946930 \h </w:instrText>
      </w:r>
      <w:r>
        <w:fldChar w:fldCharType="separate"/>
      </w:r>
      <w:r>
        <w:t>116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_Toc98946931 \h </w:instrText>
      </w:r>
      <w:r>
        <w:fldChar w:fldCharType="separate"/>
      </w:r>
      <w:r>
        <w:t>117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_Toc98946932 \h </w:instrText>
      </w:r>
      <w:r>
        <w:fldChar w:fldCharType="separate"/>
      </w:r>
      <w:r>
        <w:t>118</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_Toc98946933 \h </w:instrText>
      </w:r>
      <w:r>
        <w:fldChar w:fldCharType="separate"/>
      </w:r>
      <w:r>
        <w:t>120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_Toc98946934 \h </w:instrText>
      </w:r>
      <w:r>
        <w:fldChar w:fldCharType="separate"/>
      </w:r>
      <w:r>
        <w:t>120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_Toc98946935 \h </w:instrText>
      </w:r>
      <w:r>
        <w:fldChar w:fldCharType="separate"/>
      </w:r>
      <w:r>
        <w:t>121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_Toc98946936 \h </w:instrText>
      </w:r>
      <w:r>
        <w:fldChar w:fldCharType="separate"/>
      </w:r>
      <w:r>
        <w:t>123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_Toc98946937 \h </w:instrText>
      </w:r>
      <w:r>
        <w:fldChar w:fldCharType="separate"/>
      </w:r>
      <w:r>
        <w:t>126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_Toc98946938 \h </w:instrText>
      </w:r>
      <w:r>
        <w:fldChar w:fldCharType="separate"/>
      </w:r>
      <w:r>
        <w:t>127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_Toc98946939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_Toc98946940 \h </w:instrText>
      </w:r>
      <w:r>
        <w:fldChar w:fldCharType="separate"/>
      </w:r>
      <w:r>
        <w:t>130</w:t>
      </w:r>
      <w:r>
        <w:fldChar w:fldCharType="end"/>
      </w:r>
    </w:p>
    <w:p>
      <w:pPr>
        <w:pStyle w:val="TOC8"/>
        <w:rPr>
          <w:rFonts w:asciiTheme="minorHAnsi" w:eastAsiaTheme="minorEastAsia" w:hAnsiTheme="minorHAnsi" w:cstheme="minorBidi"/>
          <w:szCs w:val="22"/>
        </w:rPr>
      </w:pPr>
      <w:r>
        <w:t>61A.</w:t>
      </w:r>
      <w:r>
        <w:tab/>
        <w:t>Grant of petroleum production licence as result of change to boundary of offshore area</w:t>
      </w:r>
      <w:r>
        <w:tab/>
      </w:r>
      <w:r>
        <w:fldChar w:fldCharType="begin"/>
      </w:r>
      <w:r>
        <w:instrText xml:space="preserve"> PAGEREF _Toc98946941 \h </w:instrText>
      </w:r>
      <w:r>
        <w:fldChar w:fldCharType="separate"/>
      </w:r>
      <w:r>
        <w:t>131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_Toc98946942 \h </w:instrText>
      </w:r>
      <w:r>
        <w:fldChar w:fldCharType="separate"/>
      </w:r>
      <w:r>
        <w:t>134</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_Toc98946943 \h </w:instrText>
      </w:r>
      <w:r>
        <w:fldChar w:fldCharType="separate"/>
      </w:r>
      <w:r>
        <w:t>135</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_Toc98946944 \h </w:instrText>
      </w:r>
      <w:r>
        <w:fldChar w:fldCharType="separate"/>
      </w:r>
      <w:r>
        <w:t>135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_Toc98946945 \h </w:instrText>
      </w:r>
      <w:r>
        <w:fldChar w:fldCharType="separate"/>
      </w:r>
      <w:r>
        <w:t>136</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_Toc98946946 \h </w:instrText>
      </w:r>
      <w:r>
        <w:fldChar w:fldCharType="separate"/>
      </w:r>
      <w:r>
        <w:t>137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_Toc98946947 \h </w:instrText>
      </w:r>
      <w:r>
        <w:fldChar w:fldCharType="separate"/>
      </w:r>
      <w:r>
        <w:t>138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_Toc98946948 \h </w:instrText>
      </w:r>
      <w:r>
        <w:fldChar w:fldCharType="separate"/>
      </w:r>
      <w:r>
        <w:t>139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_Toc98946949 \h </w:instrText>
      </w:r>
      <w:r>
        <w:fldChar w:fldCharType="separate"/>
      </w:r>
      <w:r>
        <w:t>142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_Toc98946950 \h </w:instrText>
      </w:r>
      <w:r>
        <w:fldChar w:fldCharType="separate"/>
      </w:r>
      <w:r>
        <w:t>143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_Toc98946951 \h </w:instrText>
      </w:r>
      <w:r>
        <w:fldChar w:fldCharType="separate"/>
      </w:r>
      <w:r>
        <w:t>144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_Toc98946952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_Toc98946954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_Toc98946956 \h </w:instrText>
      </w:r>
      <w:r>
        <w:fldChar w:fldCharType="separate"/>
      </w:r>
      <w:r>
        <w:t>152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_Toc98946957 \h </w:instrText>
      </w:r>
      <w:r>
        <w:fldChar w:fldCharType="separate"/>
      </w:r>
      <w:r>
        <w:t>152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_Toc98946958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Approval and registration of transfers</w:t>
      </w:r>
      <w:r>
        <w:tab/>
      </w:r>
      <w:r>
        <w:fldChar w:fldCharType="begin"/>
      </w:r>
      <w:r>
        <w:instrText xml:space="preserve"> PAGEREF _Toc98946959 \h </w:instrText>
      </w:r>
      <w:r>
        <w:fldChar w:fldCharType="separate"/>
      </w:r>
      <w:r>
        <w:t>154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_Toc98946960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_Toc98946961 \h </w:instrText>
      </w:r>
      <w:r>
        <w:fldChar w:fldCharType="separate"/>
      </w:r>
      <w:r>
        <w:t>157</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_Toc98946962 \h </w:instrText>
      </w:r>
      <w:r>
        <w:fldChar w:fldCharType="separate"/>
      </w:r>
      <w:r>
        <w:t>162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_Toc98946963 \h </w:instrText>
      </w:r>
      <w:r>
        <w:fldChar w:fldCharType="separate"/>
      </w:r>
      <w:r>
        <w:t>163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_Toc98946964 \h </w:instrText>
      </w:r>
      <w:r>
        <w:fldChar w:fldCharType="separate"/>
      </w:r>
      <w:r>
        <w:t>164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_Toc98946965 \h </w:instrText>
      </w:r>
      <w:r>
        <w:fldChar w:fldCharType="separate"/>
      </w:r>
      <w:r>
        <w:t>164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_Toc98946966 \h </w:instrText>
      </w:r>
      <w:r>
        <w:fldChar w:fldCharType="separate"/>
      </w:r>
      <w:r>
        <w:t>165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_Toc98946967 \h </w:instrText>
      </w:r>
      <w:r>
        <w:fldChar w:fldCharType="separate"/>
      </w:r>
      <w:r>
        <w:t>166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_Toc98946968 \h </w:instrText>
      </w:r>
      <w:r>
        <w:fldChar w:fldCharType="separate"/>
      </w:r>
      <w:r>
        <w:t>166</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_Toc98946969 \h </w:instrText>
      </w:r>
      <w:r>
        <w:fldChar w:fldCharType="separate"/>
      </w:r>
      <w:r>
        <w:t>167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_Toc98946970 \h </w:instrText>
      </w:r>
      <w:r>
        <w:fldChar w:fldCharType="separate"/>
      </w:r>
      <w:r>
        <w:t>168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_Toc98946971 \h </w:instrText>
      </w:r>
      <w:r>
        <w:fldChar w:fldCharType="separate"/>
      </w:r>
      <w:r>
        <w:t>168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_Toc98946972 \h </w:instrText>
      </w:r>
      <w:r>
        <w:fldChar w:fldCharType="separate"/>
      </w:r>
      <w:r>
        <w:t>169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_Toc98946973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_Toc98946975 \h </w:instrText>
      </w:r>
      <w:r>
        <w:fldChar w:fldCharType="separate"/>
      </w:r>
      <w:r>
        <w:t>170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_Toc98946976 \h </w:instrText>
      </w:r>
      <w:r>
        <w:fldChar w:fldCharType="separate"/>
      </w:r>
      <w:r>
        <w:t>170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_Toc98946977 \h </w:instrText>
      </w:r>
      <w:r>
        <w:fldChar w:fldCharType="separate"/>
      </w:r>
      <w:r>
        <w:t>171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_Toc98946978 \h </w:instrText>
      </w:r>
      <w:r>
        <w:fldChar w:fldCharType="separate"/>
      </w:r>
      <w:r>
        <w:t>172</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_Toc98946979 \h </w:instrText>
      </w:r>
      <w:r>
        <w:fldChar w:fldCharType="separate"/>
      </w:r>
      <w:r>
        <w:t>174</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_Toc98946980 \h </w:instrText>
      </w:r>
      <w:r>
        <w:fldChar w:fldCharType="separate"/>
      </w:r>
      <w:r>
        <w:t>175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_Toc98946981 \h </w:instrText>
      </w:r>
      <w:r>
        <w:fldChar w:fldCharType="separate"/>
      </w:r>
      <w:r>
        <w:t>176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_Toc98946982 \h </w:instrText>
      </w:r>
      <w:r>
        <w:fldChar w:fldCharType="separate"/>
      </w:r>
      <w:r>
        <w:t>177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_Toc98946983 \h </w:instrText>
      </w:r>
      <w:r>
        <w:fldChar w:fldCharType="separate"/>
      </w:r>
      <w:r>
        <w:t>177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_Toc98946984 \h </w:instrText>
      </w:r>
      <w:r>
        <w:fldChar w:fldCharType="separate"/>
      </w:r>
      <w:r>
        <w:t>179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_Toc98946985 \h </w:instrText>
      </w:r>
      <w:r>
        <w:fldChar w:fldCharType="separate"/>
      </w:r>
      <w:r>
        <w:t>180</w:t>
      </w:r>
      <w:r>
        <w:fldChar w:fldCharType="end"/>
      </w:r>
    </w:p>
    <w:p>
      <w:pPr>
        <w:pStyle w:val="TOC8"/>
        <w:rPr>
          <w:rFonts w:asciiTheme="minorHAnsi" w:eastAsiaTheme="minorEastAsia" w:hAnsiTheme="minorHAnsi" w:cstheme="minorBidi"/>
          <w:szCs w:val="22"/>
        </w:rPr>
      </w:pPr>
      <w:r>
        <w:t>97A.</w:t>
      </w:r>
      <w:r>
        <w:tab/>
        <w:t>Variation of petroleum title by including area as result of change to boundary of offshore area</w:t>
      </w:r>
      <w:r>
        <w:tab/>
      </w:r>
      <w:r>
        <w:fldChar w:fldCharType="begin"/>
      </w:r>
      <w:r>
        <w:instrText xml:space="preserve"> PAGEREF _Toc98946986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98</w:t>
      </w:r>
      <w:r>
        <w:rPr>
          <w:snapToGrid w:val="0"/>
        </w:rPr>
        <w:t>.</w:t>
      </w:r>
      <w:r>
        <w:rPr>
          <w:snapToGrid w:val="0"/>
        </w:rPr>
        <w:tab/>
        <w:t>Surrender of permits etc.</w:t>
      </w:r>
      <w:r>
        <w:tab/>
      </w:r>
      <w:r>
        <w:fldChar w:fldCharType="begin"/>
      </w:r>
      <w:r>
        <w:instrText xml:space="preserve"> PAGEREF _Toc98946987 \h </w:instrText>
      </w:r>
      <w:r>
        <w:fldChar w:fldCharType="separate"/>
      </w:r>
      <w:r>
        <w:t>188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_Toc98946988 \h </w:instrText>
      </w:r>
      <w:r>
        <w:fldChar w:fldCharType="separate"/>
      </w:r>
      <w:r>
        <w:t>190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_Toc98946989 \h </w:instrText>
      </w:r>
      <w:r>
        <w:fldChar w:fldCharType="separate"/>
      </w:r>
      <w:r>
        <w:t>191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_Toc98946990 \h </w:instrText>
      </w:r>
      <w:r>
        <w:fldChar w:fldCharType="separate"/>
      </w:r>
      <w:r>
        <w:t>192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_Toc98946991 \h </w:instrText>
      </w:r>
      <w:r>
        <w:fldChar w:fldCharType="separate"/>
      </w:r>
      <w:r>
        <w:t>194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_Toc98946992 \h </w:instrText>
      </w:r>
      <w:r>
        <w:fldChar w:fldCharType="separate"/>
      </w:r>
      <w:r>
        <w:t>195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_Toc98946993 \h </w:instrText>
      </w:r>
      <w:r>
        <w:fldChar w:fldCharType="separate"/>
      </w:r>
      <w:r>
        <w:t>198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_Toc98946994 \h </w:instrText>
      </w:r>
      <w:r>
        <w:fldChar w:fldCharType="separate"/>
      </w:r>
      <w:r>
        <w:t>204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_Toc98946995 \h </w:instrText>
      </w:r>
      <w:r>
        <w:fldChar w:fldCharType="separate"/>
      </w:r>
      <w:r>
        <w:t>205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_Toc98946996 \h </w:instrText>
      </w:r>
      <w:r>
        <w:fldChar w:fldCharType="separate"/>
      </w:r>
      <w:r>
        <w:t>206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_Toc98946997 \h </w:instrText>
      </w:r>
      <w:r>
        <w:fldChar w:fldCharType="separate"/>
      </w:r>
      <w:r>
        <w:t>207</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r>
      <w:r>
        <w:t>Exclusion zones</w:t>
      </w:r>
      <w:r>
        <w:tab/>
      </w:r>
      <w:r>
        <w:fldChar w:fldCharType="begin"/>
      </w:r>
      <w:r>
        <w:instrText xml:space="preserve"> PAGEREF _Toc98946998 \h </w:instrText>
      </w:r>
      <w:r>
        <w:fldChar w:fldCharType="separate"/>
      </w:r>
      <w:r>
        <w:t>207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_Toc98946999 \h </w:instrText>
      </w:r>
      <w:r>
        <w:fldChar w:fldCharType="separate"/>
      </w:r>
      <w:r>
        <w:t>208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_Toc98947000 \h </w:instrText>
      </w:r>
      <w:r>
        <w:fldChar w:fldCharType="separate"/>
      </w:r>
      <w:r>
        <w:t>208</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_Toc98947001 \h </w:instrText>
      </w:r>
      <w:r>
        <w:fldChar w:fldCharType="separate"/>
      </w:r>
      <w:r>
        <w:t>209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_Toc98947002 \h </w:instrText>
      </w:r>
      <w:r>
        <w:fldChar w:fldCharType="separate"/>
      </w:r>
      <w:r>
        <w:t>210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_Toc98947003 \h </w:instrText>
      </w:r>
      <w:r>
        <w:fldChar w:fldCharType="separate"/>
      </w:r>
      <w:r>
        <w:t>210</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_Toc98947004 \h </w:instrText>
      </w:r>
      <w:r>
        <w:fldChar w:fldCharType="separate"/>
      </w:r>
      <w:r>
        <w:t>211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_Toc98947005 \h </w:instrText>
      </w:r>
      <w:r>
        <w:fldChar w:fldCharType="separate"/>
      </w:r>
      <w:r>
        <w:t>211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_Toc98947006 \h </w:instrText>
      </w:r>
      <w:r>
        <w:fldChar w:fldCharType="separate"/>
      </w:r>
      <w:r>
        <w:t>212</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_Toc98947007 \h </w:instrText>
      </w:r>
      <w:r>
        <w:fldChar w:fldCharType="separate"/>
      </w:r>
      <w:r>
        <w:t>213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_Toc98947008 \h </w:instrText>
      </w:r>
      <w:r>
        <w:fldChar w:fldCharType="separate"/>
      </w:r>
      <w:r>
        <w:t>213</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_Toc98947009 \h </w:instrText>
      </w:r>
      <w:r>
        <w:fldChar w:fldCharType="separate"/>
      </w:r>
      <w:r>
        <w:t>214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_Toc98947010 \h </w:instrText>
      </w:r>
      <w:r>
        <w:fldChar w:fldCharType="separate"/>
      </w:r>
      <w:r>
        <w:t>214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_Toc98947011 \h </w:instrText>
      </w:r>
      <w:r>
        <w:fldChar w:fldCharType="separate"/>
      </w:r>
      <w:r>
        <w:t>215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_Toc98947012 \h </w:instrText>
      </w:r>
      <w:r>
        <w:fldChar w:fldCharType="separate"/>
      </w:r>
      <w:r>
        <w:t>216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_Toc98947013 \h </w:instrText>
      </w:r>
      <w:r>
        <w:fldChar w:fldCharType="separate"/>
      </w:r>
      <w:r>
        <w:t>216</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_Toc98947014 \h </w:instrText>
      </w:r>
      <w:r>
        <w:fldChar w:fldCharType="separate"/>
      </w:r>
      <w:r>
        <w:t>216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_Toc98947015 \h </w:instrText>
      </w:r>
      <w:r>
        <w:fldChar w:fldCharType="separate"/>
      </w:r>
      <w:r>
        <w:t>218</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_Toc98947016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_Toc98947018 \h </w:instrText>
      </w:r>
      <w:r>
        <w:fldChar w:fldCharType="separate"/>
      </w:r>
      <w:r>
        <w:t>220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_Toc98947019 \h </w:instrText>
      </w:r>
      <w:r>
        <w:fldChar w:fldCharType="separate"/>
      </w:r>
      <w:r>
        <w:t>221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_Toc98947020 \h </w:instrText>
      </w:r>
      <w:r>
        <w:fldChar w:fldCharType="separate"/>
      </w:r>
      <w:r>
        <w:t>221</w:t>
      </w:r>
      <w:r>
        <w:fldChar w:fldCharType="end"/>
      </w:r>
    </w:p>
    <w:p>
      <w:pPr>
        <w:pStyle w:val="TOC8"/>
        <w:rPr>
          <w:rFonts w:asciiTheme="minorHAnsi" w:eastAsiaTheme="minorEastAsia" w:hAnsiTheme="minorHAnsi" w:cstheme="minorBidi"/>
          <w:szCs w:val="22"/>
        </w:rPr>
      </w:pPr>
      <w:r>
        <w:lastRenderedPageBreak/>
        <w:t>131</w:t>
      </w:r>
      <w:r>
        <w:rPr>
          <w:snapToGrid w:val="0"/>
        </w:rPr>
        <w:t>.</w:t>
      </w:r>
      <w:r>
        <w:rPr>
          <w:snapToGrid w:val="0"/>
        </w:rPr>
        <w:tab/>
        <w:t>Prohibition on granting of instruments under former provisions after commencing day</w:t>
      </w:r>
      <w:r>
        <w:tab/>
      </w:r>
      <w:r>
        <w:fldChar w:fldCharType="begin"/>
      </w:r>
      <w:r>
        <w:instrText xml:space="preserve"> PAGEREF _Toc98947021 \h </w:instrText>
      </w:r>
      <w:r>
        <w:fldChar w:fldCharType="separate"/>
      </w:r>
      <w:r>
        <w:t>222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_Toc98947022 \h </w:instrText>
      </w:r>
      <w:r>
        <w:fldChar w:fldCharType="separate"/>
      </w:r>
      <w:r>
        <w:t>222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_Toc98947023 \h </w:instrText>
      </w:r>
      <w:r>
        <w:fldChar w:fldCharType="separate"/>
      </w:r>
      <w:r>
        <w:t>223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_Toc98947024 \h </w:instrText>
      </w:r>
      <w:r>
        <w:fldChar w:fldCharType="separate"/>
      </w:r>
      <w:r>
        <w:t>224</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_Toc98947025 \h </w:instrText>
      </w:r>
      <w:r>
        <w:fldChar w:fldCharType="separate"/>
      </w:r>
      <w:r>
        <w:t>224</w:t>
      </w:r>
      <w:r>
        <w:fldChar w:fldCharType="end"/>
      </w:r>
    </w:p>
    <w:p>
      <w:pPr>
        <w:pStyle w:val="TOC9"/>
        <w:rPr>
          <w:rFonts w:asciiTheme="minorHAnsi" w:eastAsiaTheme="minorEastAsia" w:hAnsiTheme="minorHAnsi" w:cstheme="minorBidi"/>
          <w:noProof/>
          <w:sz w:val="22"/>
          <w:szCs w:val="22"/>
        </w:rPr>
      </w:pPr>
      <w:r>
        <w:rPr>
          <w:noProof/>
          <w:snapToGrid w:val="0"/>
        </w:rPr>
        <w:t>71.</w:t>
      </w:r>
      <w:r>
        <w:rPr>
          <w:noProof/>
          <w:snapToGrid w:val="0"/>
        </w:rPr>
        <w:tab/>
        <w:t>Interpretation</w:t>
      </w:r>
      <w:r>
        <w:rPr>
          <w:noProof/>
        </w:rPr>
        <w:tab/>
      </w:r>
      <w:r>
        <w:rPr>
          <w:noProof/>
        </w:rPr>
        <w:fldChar w:fldCharType="begin"/>
      </w:r>
      <w:r>
        <w:rPr>
          <w:noProof/>
        </w:rPr>
        <w:instrText xml:space="preserve"> PAGEREF _Toc98947026 \h </w:instrText>
      </w:r>
      <w:r>
        <w:rPr>
          <w:noProof/>
        </w:rPr>
      </w:r>
      <w:r>
        <w:rPr>
          <w:noProof/>
        </w:rPr>
        <w:fldChar w:fldCharType="separate"/>
      </w:r>
      <w:r>
        <w:rPr>
          <w:noProof/>
        </w:rPr>
        <w:t>225</w:t>
      </w:r>
      <w:r>
        <w:rPr>
          <w:noProof/>
        </w:rPr>
        <w:fldChar w:fldCharType="end"/>
      </w:r>
    </w:p>
    <w:p>
      <w:pPr>
        <w:pStyle w:val="TOC9"/>
        <w:rPr>
          <w:rFonts w:asciiTheme="minorHAnsi" w:eastAsiaTheme="minorEastAsia" w:hAnsiTheme="minorHAnsi" w:cstheme="minorBidi"/>
          <w:noProof/>
          <w:sz w:val="22"/>
          <w:szCs w:val="22"/>
        </w:rPr>
      </w:pPr>
      <w:r>
        <w:rPr>
          <w:noProof/>
          <w:snapToGrid w:val="0"/>
        </w:rPr>
        <w:t xml:space="preserve">72. </w:t>
      </w:r>
      <w:r>
        <w:rPr>
          <w:noProof/>
          <w:snapToGrid w:val="0"/>
        </w:rPr>
        <w:tab/>
        <w:t>Statements, information and records</w:t>
      </w:r>
      <w:r>
        <w:rPr>
          <w:noProof/>
        </w:rPr>
        <w:tab/>
      </w:r>
      <w:r>
        <w:rPr>
          <w:noProof/>
        </w:rPr>
        <w:fldChar w:fldCharType="begin"/>
      </w:r>
      <w:r>
        <w:rPr>
          <w:noProof/>
        </w:rPr>
        <w:instrText xml:space="preserve"> PAGEREF _Toc98947027 \h </w:instrText>
      </w:r>
      <w:r>
        <w:rPr>
          <w:noProof/>
        </w:rPr>
      </w:r>
      <w:r>
        <w:rPr>
          <w:noProof/>
        </w:rPr>
        <w:fldChar w:fldCharType="separate"/>
      </w:r>
      <w:r>
        <w:rPr>
          <w:noProof/>
        </w:rPr>
        <w:t>225</w:t>
      </w:r>
      <w:r>
        <w:rPr>
          <w:noProof/>
        </w:rPr>
        <w:fldChar w:fldCharType="end"/>
      </w:r>
    </w:p>
    <w:p>
      <w:pPr>
        <w:pStyle w:val="TOC9"/>
        <w:rPr>
          <w:rFonts w:asciiTheme="minorHAnsi" w:eastAsiaTheme="minorEastAsia" w:hAnsiTheme="minorHAnsi" w:cstheme="minorBidi"/>
          <w:noProof/>
          <w:sz w:val="22"/>
          <w:szCs w:val="22"/>
        </w:rPr>
      </w:pPr>
      <w:r>
        <w:rPr>
          <w:noProof/>
          <w:snapToGrid w:val="0"/>
        </w:rPr>
        <w:t>73.</w:t>
      </w:r>
      <w:r>
        <w:rPr>
          <w:noProof/>
          <w:snapToGrid w:val="0"/>
        </w:rPr>
        <w:tab/>
        <w:t>Powers of officers</w:t>
      </w:r>
      <w:r>
        <w:rPr>
          <w:noProof/>
        </w:rPr>
        <w:tab/>
      </w:r>
      <w:r>
        <w:rPr>
          <w:noProof/>
        </w:rPr>
        <w:fldChar w:fldCharType="begin"/>
      </w:r>
      <w:r>
        <w:rPr>
          <w:noProof/>
        </w:rPr>
        <w:instrText xml:space="preserve"> PAGEREF _Toc98947028 \h </w:instrText>
      </w:r>
      <w:r>
        <w:rPr>
          <w:noProof/>
        </w:rPr>
      </w:r>
      <w:r>
        <w:rPr>
          <w:noProof/>
        </w:rPr>
        <w:fldChar w:fldCharType="separate"/>
      </w:r>
      <w:r>
        <w:rPr>
          <w:noProof/>
        </w:rPr>
        <w:t>226</w:t>
      </w:r>
      <w:r>
        <w:rPr>
          <w:noProof/>
        </w:rPr>
        <w:fldChar w:fldCharType="end"/>
      </w:r>
    </w:p>
    <w:p>
      <w:pPr>
        <w:pStyle w:val="TOC9"/>
        <w:rPr>
          <w:rFonts w:asciiTheme="minorHAnsi" w:eastAsiaTheme="minorEastAsia" w:hAnsiTheme="minorHAnsi" w:cstheme="minorBidi"/>
          <w:noProof/>
          <w:sz w:val="22"/>
          <w:szCs w:val="22"/>
        </w:rPr>
      </w:pPr>
      <w:r>
        <w:rPr>
          <w:noProof/>
          <w:snapToGrid w:val="0"/>
        </w:rPr>
        <w:t>74.</w:t>
      </w:r>
      <w:r>
        <w:rPr>
          <w:noProof/>
          <w:snapToGrid w:val="0"/>
        </w:rPr>
        <w:tab/>
        <w:t>Royalty a debt due to the State</w:t>
      </w:r>
      <w:r>
        <w:rPr>
          <w:noProof/>
        </w:rPr>
        <w:tab/>
      </w:r>
      <w:r>
        <w:rPr>
          <w:noProof/>
        </w:rPr>
        <w:fldChar w:fldCharType="begin"/>
      </w:r>
      <w:r>
        <w:rPr>
          <w:noProof/>
        </w:rPr>
        <w:instrText xml:space="preserve"> PAGEREF _Toc98947029 \h </w:instrText>
      </w:r>
      <w:r>
        <w:rPr>
          <w:noProof/>
        </w:rPr>
      </w:r>
      <w:r>
        <w:rPr>
          <w:noProof/>
        </w:rPr>
        <w:fldChar w:fldCharType="separate"/>
      </w:r>
      <w:r>
        <w:rPr>
          <w:noProof/>
        </w:rPr>
        <w:t>226</w:t>
      </w:r>
      <w:r>
        <w:rPr>
          <w:noProof/>
        </w:rPr>
        <w:fldChar w:fldCharType="end"/>
      </w:r>
    </w:p>
    <w:p>
      <w:pPr>
        <w:pStyle w:val="TOC9"/>
        <w:rPr>
          <w:rFonts w:asciiTheme="minorHAnsi" w:eastAsiaTheme="minorEastAsia" w:hAnsiTheme="minorHAnsi" w:cstheme="minorBidi"/>
          <w:noProof/>
          <w:sz w:val="22"/>
          <w:szCs w:val="22"/>
        </w:rPr>
      </w:pPr>
      <w:r>
        <w:rPr>
          <w:noProof/>
          <w:snapToGrid w:val="0"/>
        </w:rPr>
        <w:t>75.</w:t>
      </w:r>
      <w:r>
        <w:rPr>
          <w:noProof/>
          <w:snapToGrid w:val="0"/>
        </w:rPr>
        <w:tab/>
        <w:t>Offences</w:t>
      </w:r>
      <w:r>
        <w:rPr>
          <w:noProof/>
        </w:rPr>
        <w:tab/>
      </w:r>
      <w:r>
        <w:rPr>
          <w:noProof/>
        </w:rPr>
        <w:fldChar w:fldCharType="begin"/>
      </w:r>
      <w:r>
        <w:rPr>
          <w:noProof/>
        </w:rPr>
        <w:instrText xml:space="preserve"> PAGEREF _Toc98947030 \h </w:instrText>
      </w:r>
      <w:r>
        <w:rPr>
          <w:noProof/>
        </w:rPr>
      </w:r>
      <w:r>
        <w:rPr>
          <w:noProof/>
        </w:rPr>
        <w:fldChar w:fldCharType="separate"/>
      </w:r>
      <w:r>
        <w:rPr>
          <w:noProof/>
        </w:rPr>
        <w:t>226</w:t>
      </w:r>
      <w:r>
        <w:rPr>
          <w:noProof/>
        </w:rPr>
        <w:fldChar w:fldCharType="end"/>
      </w:r>
    </w:p>
    <w:p>
      <w:pPr>
        <w:pStyle w:val="TOC9"/>
        <w:rPr>
          <w:rFonts w:asciiTheme="minorHAnsi" w:eastAsiaTheme="minorEastAsia" w:hAnsiTheme="minorHAnsi" w:cstheme="minorBidi"/>
          <w:noProof/>
          <w:sz w:val="22"/>
          <w:szCs w:val="22"/>
        </w:rPr>
      </w:pPr>
      <w:r>
        <w:rPr>
          <w:noProof/>
          <w:snapToGrid w:val="0"/>
        </w:rPr>
        <w:t>117.</w:t>
      </w:r>
      <w:r>
        <w:rPr>
          <w:noProof/>
          <w:snapToGrid w:val="0"/>
        </w:rPr>
        <w:tab/>
        <w:t>Application of regulations to Barrow Island lease</w:t>
      </w:r>
      <w:r>
        <w:rPr>
          <w:noProof/>
        </w:rPr>
        <w:tab/>
      </w:r>
      <w:r>
        <w:rPr>
          <w:noProof/>
        </w:rPr>
        <w:fldChar w:fldCharType="begin"/>
      </w:r>
      <w:r>
        <w:rPr>
          <w:noProof/>
        </w:rPr>
        <w:instrText xml:space="preserve"> PAGEREF _Toc98947031 \h </w:instrText>
      </w:r>
      <w:r>
        <w:rPr>
          <w:noProof/>
        </w:rPr>
      </w:r>
      <w:r>
        <w:rPr>
          <w:noProof/>
        </w:rPr>
        <w:fldChar w:fldCharType="separate"/>
      </w:r>
      <w:r>
        <w:rPr>
          <w:noProof/>
        </w:rPr>
        <w:t>226</w:t>
      </w:r>
      <w:r>
        <w:rPr>
          <w:noProof/>
        </w:rP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_Toc98947032 \h </w:instrText>
      </w:r>
      <w:r>
        <w:fldChar w:fldCharType="separate"/>
      </w:r>
      <w:r>
        <w:t>227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_Toc98947033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_Toc98947035 \h </w:instrText>
      </w:r>
      <w:r>
        <w:fldChar w:fldCharType="separate"/>
      </w:r>
      <w:r>
        <w:t>229</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_Toc98947036 \h </w:instrText>
      </w:r>
      <w:r>
        <w:fldChar w:fldCharType="separate"/>
      </w:r>
      <w:r>
        <w:t>230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_Toc98947037 \h </w:instrText>
      </w:r>
      <w:r>
        <w:fldChar w:fldCharType="separate"/>
      </w:r>
      <w:r>
        <w:t>230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_Toc98947038 \h </w:instrText>
      </w:r>
      <w:r>
        <w:fldChar w:fldCharType="separate"/>
      </w:r>
      <w:r>
        <w:t>230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_Toc98947039 \h </w:instrText>
      </w:r>
      <w:r>
        <w:fldChar w:fldCharType="separate"/>
      </w:r>
      <w:r>
        <w:t>231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_Toc98947040 \h </w:instrText>
      </w:r>
      <w:r>
        <w:fldChar w:fldCharType="separate"/>
      </w:r>
      <w:r>
        <w:t>231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_Toc98947041 \h </w:instrText>
      </w:r>
      <w:r>
        <w:fldChar w:fldCharType="separate"/>
      </w:r>
      <w:r>
        <w:t>231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_Toc98947042 \h </w:instrText>
      </w:r>
      <w:r>
        <w:fldChar w:fldCharType="separate"/>
      </w:r>
      <w:r>
        <w:t>233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_Toc98947043 \h </w:instrText>
      </w:r>
      <w:r>
        <w:fldChar w:fldCharType="separate"/>
      </w:r>
      <w:r>
        <w:t>234</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_Toc98947044 \h </w:instrText>
      </w:r>
      <w:r>
        <w:fldChar w:fldCharType="separate"/>
      </w:r>
      <w:r>
        <w:t>236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_Toc98947045 \h </w:instrText>
      </w:r>
      <w:r>
        <w:fldChar w:fldCharType="separate"/>
      </w:r>
      <w:r>
        <w:t>236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_Toc98947046 \h </w:instrText>
      </w:r>
      <w:r>
        <w:fldChar w:fldCharType="separate"/>
      </w:r>
      <w:r>
        <w:t>236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_Toc98947047 \h </w:instrText>
      </w:r>
      <w:r>
        <w:fldChar w:fldCharType="separate"/>
      </w:r>
      <w:r>
        <w:t>237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_Toc98947048 \h </w:instrText>
      </w:r>
      <w:r>
        <w:fldChar w:fldCharType="separate"/>
      </w:r>
      <w:r>
        <w:t>237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_Toc98947049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150A.</w:t>
      </w:r>
      <w:r>
        <w:tab/>
        <w:t>Terms used</w:t>
      </w:r>
      <w:r>
        <w:tab/>
      </w:r>
      <w:r>
        <w:fldChar w:fldCharType="begin"/>
      </w:r>
      <w:r>
        <w:instrText xml:space="preserve"> PAGEREF _Toc98947052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150B.</w:t>
      </w:r>
      <w:r>
        <w:tab/>
        <w:t>Protection of confidentiality of information obtained by Minister</w:t>
      </w:r>
      <w:r>
        <w:tab/>
      </w:r>
      <w:r>
        <w:fldChar w:fldCharType="begin"/>
      </w:r>
      <w:r>
        <w:instrText xml:space="preserve"> PAGEREF _Toc98947055 \h </w:instrText>
      </w:r>
      <w:r>
        <w:fldChar w:fldCharType="separate"/>
      </w:r>
      <w:r>
        <w:t>240</w:t>
      </w:r>
      <w:r>
        <w:fldChar w:fldCharType="end"/>
      </w:r>
    </w:p>
    <w:p>
      <w:pPr>
        <w:pStyle w:val="TOC8"/>
        <w:rPr>
          <w:rFonts w:asciiTheme="minorHAnsi" w:eastAsiaTheme="minorEastAsia" w:hAnsiTheme="minorHAnsi" w:cstheme="minorBidi"/>
          <w:szCs w:val="22"/>
        </w:rPr>
      </w:pPr>
      <w:r>
        <w:t>150C.</w:t>
      </w:r>
      <w:r>
        <w:tab/>
        <w:t>Protection of confidentiality of samples obtained by Minister</w:t>
      </w:r>
      <w:r>
        <w:tab/>
      </w:r>
      <w:r>
        <w:fldChar w:fldCharType="begin"/>
      </w:r>
      <w:r>
        <w:instrText xml:space="preserve"> PAGEREF _Toc98947056 \h </w:instrText>
      </w:r>
      <w:r>
        <w:fldChar w:fldCharType="separate"/>
      </w:r>
      <w:r>
        <w:t>240</w:t>
      </w:r>
      <w:r>
        <w:fldChar w:fldCharType="end"/>
      </w:r>
    </w:p>
    <w:p>
      <w:pPr>
        <w:pStyle w:val="TOC8"/>
        <w:rPr>
          <w:rFonts w:asciiTheme="minorHAnsi" w:eastAsiaTheme="minorEastAsia" w:hAnsiTheme="minorHAnsi" w:cstheme="minorBidi"/>
          <w:szCs w:val="22"/>
        </w:rPr>
      </w:pPr>
      <w:r>
        <w:t>150D.</w:t>
      </w:r>
      <w:r>
        <w:tab/>
        <w:t>Information or samples obtained by Minister can be made available to certain persons</w:t>
      </w:r>
      <w:r>
        <w:tab/>
      </w:r>
      <w:r>
        <w:fldChar w:fldCharType="begin"/>
      </w:r>
      <w:r>
        <w:instrText xml:space="preserve"> PAGEREF _Toc98947057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150E.</w:t>
      </w:r>
      <w:r>
        <w:tab/>
        <w:t>Protection of confidentiality of information obtained by another Minister</w:t>
      </w:r>
      <w:r>
        <w:tab/>
      </w:r>
      <w:r>
        <w:fldChar w:fldCharType="begin"/>
      </w:r>
      <w:r>
        <w:instrText xml:space="preserve"> PAGEREF _Toc98947059 \h </w:instrText>
      </w:r>
      <w:r>
        <w:fldChar w:fldCharType="separate"/>
      </w:r>
      <w:r>
        <w:t>241</w:t>
      </w:r>
      <w:r>
        <w:fldChar w:fldCharType="end"/>
      </w:r>
    </w:p>
    <w:p>
      <w:pPr>
        <w:pStyle w:val="TOC8"/>
        <w:rPr>
          <w:rFonts w:asciiTheme="minorHAnsi" w:eastAsiaTheme="minorEastAsia" w:hAnsiTheme="minorHAnsi" w:cstheme="minorBidi"/>
          <w:szCs w:val="22"/>
        </w:rPr>
      </w:pPr>
      <w:r>
        <w:t>150F.</w:t>
      </w:r>
      <w:r>
        <w:tab/>
        <w:t>Protection of confidentiality of samples obtained by another Minister</w:t>
      </w:r>
      <w:r>
        <w:tab/>
      </w:r>
      <w:r>
        <w:fldChar w:fldCharType="begin"/>
      </w:r>
      <w:r>
        <w:instrText xml:space="preserve"> PAGEREF _Toc98947060 \h </w:instrText>
      </w:r>
      <w:r>
        <w:fldChar w:fldCharType="separate"/>
      </w:r>
      <w:r>
        <w:t>242</w:t>
      </w:r>
      <w:r>
        <w:fldChar w:fldCharType="end"/>
      </w:r>
    </w:p>
    <w:p>
      <w:pPr>
        <w:pStyle w:val="TOC8"/>
        <w:rPr>
          <w:rFonts w:asciiTheme="minorHAnsi" w:eastAsiaTheme="minorEastAsia" w:hAnsiTheme="minorHAnsi" w:cstheme="minorBidi"/>
          <w:szCs w:val="22"/>
        </w:rPr>
      </w:pPr>
      <w:r>
        <w:t>150G.</w:t>
      </w:r>
      <w:r>
        <w:tab/>
        <w:t>Information or samples obtained by another Minister can be made available to certain persons</w:t>
      </w:r>
      <w:r>
        <w:tab/>
      </w:r>
      <w:r>
        <w:fldChar w:fldCharType="begin"/>
      </w:r>
      <w:r>
        <w:instrText xml:space="preserve"> PAGEREF _Toc98947061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150H.</w:t>
      </w:r>
      <w:r>
        <w:tab/>
        <w:t>Fees</w:t>
      </w:r>
      <w:r>
        <w:tab/>
      </w:r>
      <w:r>
        <w:fldChar w:fldCharType="begin"/>
      </w:r>
      <w:r>
        <w:instrText xml:space="preserve"> PAGEREF _Toc98947063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_Toc98947065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_Toc98947066 \h </w:instrText>
      </w:r>
      <w:r>
        <w:fldChar w:fldCharType="separate"/>
      </w:r>
      <w:r>
        <w:t>244</w:t>
      </w:r>
      <w:r>
        <w:fldChar w:fldCharType="end"/>
      </w:r>
    </w:p>
    <w:p>
      <w:pPr>
        <w:pStyle w:val="TOC8"/>
        <w:rPr>
          <w:rFonts w:asciiTheme="minorHAnsi" w:eastAsiaTheme="minorEastAsia" w:hAnsiTheme="minorHAnsi" w:cstheme="minorBidi"/>
          <w:szCs w:val="22"/>
        </w:rPr>
      </w:pPr>
      <w:r>
        <w:t>152.</w:t>
      </w:r>
      <w:r>
        <w:tab/>
        <w:t xml:space="preserve">Certain things are not personal property for purposes of </w:t>
      </w:r>
      <w:r>
        <w:rPr>
          <w:i/>
          <w:iCs/>
        </w:rPr>
        <w:t>Personal Property Securities Act 2009</w:t>
      </w:r>
      <w:r>
        <w:t xml:space="preserve"> (Commonwealth)</w:t>
      </w:r>
      <w:r>
        <w:tab/>
      </w:r>
      <w:r>
        <w:fldChar w:fldCharType="begin"/>
      </w:r>
      <w:r>
        <w:instrText xml:space="preserve"> PAGEREF _Toc98947067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_Toc98947068 \h </w:instrText>
      </w:r>
      <w:r>
        <w:fldChar w:fldCharType="separate"/>
      </w:r>
      <w:r>
        <w:t>245</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_Toc98947069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_Toc98947072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2.</w:t>
      </w:r>
      <w:r>
        <w:tab/>
        <w:t>Section 41(5) (permit renewals)</w:t>
      </w:r>
      <w:r>
        <w:tab/>
      </w:r>
      <w:r>
        <w:fldChar w:fldCharType="begin"/>
      </w:r>
      <w:r>
        <w:instrText xml:space="preserve"> PAGEREF _Toc98947073 \h </w:instrText>
      </w:r>
      <w:r>
        <w:fldChar w:fldCharType="separate"/>
      </w:r>
      <w:r>
        <w:t>250</w:t>
      </w:r>
      <w:r>
        <w:fldChar w:fldCharType="end"/>
      </w:r>
    </w:p>
    <w:p>
      <w:pPr>
        <w:pStyle w:val="TOC8"/>
        <w:rPr>
          <w:rFonts w:asciiTheme="minorHAnsi" w:eastAsiaTheme="minorEastAsia" w:hAnsiTheme="minorHAnsi" w:cstheme="minorBidi"/>
          <w:szCs w:val="22"/>
        </w:rPr>
      </w:pPr>
      <w:r>
        <w:t>3.</w:t>
      </w:r>
      <w:r>
        <w:tab/>
        <w:t>Section 112 (release of information)</w:t>
      </w:r>
      <w:r>
        <w:tab/>
      </w:r>
      <w:r>
        <w:fldChar w:fldCharType="begin"/>
      </w:r>
      <w:r>
        <w:instrText xml:space="preserve"> PAGEREF _Toc98947074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_Toc98947076 \h </w:instrText>
      </w:r>
      <w:r>
        <w:fldChar w:fldCharType="separate"/>
      </w:r>
      <w:r>
        <w:t>252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_Toc98947077 \h </w:instrText>
      </w:r>
      <w:r>
        <w:fldChar w:fldCharType="separate"/>
      </w:r>
      <w:r>
        <w:t>256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_Toc98947078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No. 35 of 2007 s. 4.]</w:t>
      </w:r>
    </w:p>
    <w:p>
      <w:pPr>
        <w:pStyle w:val="Heading2"/>
      </w:pPr>
      <w:bookmarkStart w:id="3" w:name="_Toc97629537"/>
      <w:bookmarkStart w:id="4" w:name="_Toc97629890"/>
      <w:bookmarkStart w:id="5" w:name="_Toc97630428"/>
      <w:bookmarkStart w:id="6" w:name="_Toc98748343"/>
      <w:bookmarkStart w:id="7" w:name="_Toc98765984"/>
      <w:bookmarkStart w:id="8" w:name="_Toc98834251"/>
      <w:bookmarkStart w:id="9" w:name="_Toc9894683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98946834"/>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w:t>
      </w:r>
    </w:p>
    <w:p>
      <w:pPr>
        <w:pStyle w:val="Footnotesection"/>
      </w:pPr>
      <w:r>
        <w:tab/>
        <w:t>[Section 1 amended: No. 35 of 2007 s. 5.]</w:t>
      </w:r>
    </w:p>
    <w:p>
      <w:pPr>
        <w:pStyle w:val="Heading5"/>
        <w:rPr>
          <w:snapToGrid w:val="0"/>
        </w:rPr>
      </w:pPr>
      <w:bookmarkStart w:id="11" w:name="_Toc98946835"/>
      <w:r>
        <w:rPr>
          <w:rStyle w:val="CharSectno"/>
        </w:rPr>
        <w:t>2</w:t>
      </w:r>
      <w:r>
        <w:rPr>
          <w:snapToGrid w:val="0"/>
        </w:rPr>
        <w:t>.</w:t>
      </w:r>
      <w:r>
        <w:rPr>
          <w:snapToGrid w:val="0"/>
        </w:rPr>
        <w:tab/>
        <w:t>Commencement</w:t>
      </w:r>
      <w:bookmarkEnd w:id="11"/>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p>
    <w:p>
      <w:pPr>
        <w:pStyle w:val="Heading5"/>
        <w:rPr>
          <w:snapToGrid w:val="0"/>
        </w:rPr>
      </w:pPr>
      <w:bookmarkStart w:id="12" w:name="_Toc98946836"/>
      <w:r>
        <w:rPr>
          <w:rStyle w:val="CharSectno"/>
        </w:rPr>
        <w:t>3</w:t>
      </w:r>
      <w:r>
        <w:rPr>
          <w:snapToGrid w:val="0"/>
        </w:rPr>
        <w:t>.</w:t>
      </w:r>
      <w:r>
        <w:rPr>
          <w:snapToGrid w:val="0"/>
        </w:rPr>
        <w:tab/>
        <w:t>Repeal</w:t>
      </w:r>
      <w:bookmarkEnd w:id="12"/>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No. 12 of 1990 s. 4.]</w:t>
      </w:r>
    </w:p>
    <w:p>
      <w:pPr>
        <w:pStyle w:val="Heading5"/>
        <w:rPr>
          <w:snapToGrid w:val="0"/>
        </w:rPr>
      </w:pPr>
      <w:bookmarkStart w:id="13" w:name="_Toc98946837"/>
      <w:r>
        <w:rPr>
          <w:rStyle w:val="CharSectno"/>
        </w:rPr>
        <w:t>5</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tab/>
      </w:r>
      <w:r>
        <w:rPr>
          <w:rStyle w:val="CharDefText"/>
        </w:rPr>
        <w:t>boundary-change permit</w:t>
      </w:r>
      <w:r>
        <w:t xml:space="preserve"> means a petroleum exploration permit granted under section 37B;</w:t>
      </w:r>
    </w:p>
    <w:p>
      <w:pPr>
        <w:pStyle w:val="Defstart"/>
      </w:pPr>
      <w:r>
        <w:rPr>
          <w:b/>
          <w:i/>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lastRenderedPageBreak/>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lastRenderedPageBreak/>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that confers the authority referred to in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w:t>
      </w:r>
      <w:r>
        <w:lastRenderedPageBreak/>
        <w:t>petroleum, or in the operations for the recovery of petroleum, as the case may be;</w:t>
      </w:r>
    </w:p>
    <w:p>
      <w:pPr>
        <w:pStyle w:val="Defstart"/>
      </w:pPr>
      <w:r>
        <w:tab/>
      </w:r>
      <w:r>
        <w:rPr>
          <w:rStyle w:val="CharDefText"/>
        </w:rPr>
        <w:t>granted</w:t>
      </w:r>
      <w:r>
        <w:t>, in relation to a boundary-change permit, a petroleum retention lease under section 48CD or a petroleum production licence under section 61A, means taken to have been granted;</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location</w:t>
      </w:r>
      <w:r>
        <w:t xml:space="preserve"> means a block or blocks in respect of which a declaration under section 47 is in force;</w:t>
      </w:r>
    </w:p>
    <w:p>
      <w:pPr>
        <w:pStyle w:val="Defstart"/>
      </w:pPr>
      <w:r>
        <w:tab/>
      </w:r>
      <w:r>
        <w:rPr>
          <w:rStyle w:val="CharDefText"/>
        </w:rPr>
        <w:t>offshore area</w:t>
      </w:r>
      <w:r>
        <w:t xml:space="preserve"> has the meaning given in the </w:t>
      </w:r>
      <w:r>
        <w:rPr>
          <w:i/>
        </w:rPr>
        <w:t>Petroleum (Submerged Lands) Act 1982</w:t>
      </w:r>
      <w:r>
        <w:t xml:space="preserve"> section 4;</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w:t>
      </w:r>
      <w:r>
        <w:lastRenderedPageBreak/>
        <w:t>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w:t>
      </w:r>
      <w:r>
        <w:lastRenderedPageBreak/>
        <w:t>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keepNext/>
      </w:pPr>
      <w:r>
        <w:rPr>
          <w:b/>
        </w:rPr>
        <w:lastRenderedPageBreak/>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that confers the authority referred to in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keepNext/>
      </w:pPr>
      <w:r>
        <w:lastRenderedPageBreak/>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lastRenderedPageBreak/>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lastRenderedPageBreak/>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lastRenderedPageBreak/>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 xml:space="preserve">In this Act, a reference to a year of the term of a permit, drilling reservation, lease or licence is a reference to a period of one year commencing on the day on which the permit, drilling </w:t>
      </w:r>
      <w:r>
        <w:rPr>
          <w:snapToGrid w:val="0"/>
        </w:rPr>
        <w:lastRenderedPageBreak/>
        <w:t>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lastRenderedPageBreak/>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Subsection"/>
      </w:pPr>
      <w:r>
        <w:tab/>
        <w:t>(9)</w:t>
      </w:r>
      <w:r>
        <w:tab/>
        <w:t>Notes in this Act are provided to assist understanding and do not form part of the Act.</w:t>
      </w:r>
    </w:p>
    <w:p>
      <w:pPr>
        <w:pStyle w:val="Footnotesection"/>
      </w:pPr>
      <w:r>
        <w:tab/>
        <w:t>[Section 5 amended: No. 69 of 1981 s. 31; No. 12 of 1990 s. 5; No. 78 of 1990 s. 4; No. 11 of 1994 s. 4; No. 28 of 1994 s. 5; No. 31 of 1997 s. 141; No. 17 of 1999 s. 21; No. 13 of 2005 s. 4; No. 35 of 2007 s. 6 and 85; No. 42 of 2010 s. 4; No. 7 of 2017 s. 4; No. 36 of 2020 s. 300.]</w:t>
      </w:r>
    </w:p>
    <w:p>
      <w:pPr>
        <w:pStyle w:val="Heading5"/>
      </w:pPr>
      <w:bookmarkStart w:id="14" w:name="_Toc98946838"/>
      <w:r>
        <w:rPr>
          <w:rStyle w:val="CharSectno"/>
        </w:rPr>
        <w:t>6A</w:t>
      </w:r>
      <w:r>
        <w:t>.</w:t>
      </w:r>
      <w:r>
        <w:tab/>
        <w:t>Effect of alteration of inshore area</w:t>
      </w:r>
      <w:bookmarkEnd w:id="14"/>
    </w:p>
    <w:p>
      <w:pPr>
        <w:pStyle w:val="Subsection"/>
      </w:pPr>
      <w:r>
        <w:tab/>
        <w:t>(1)</w:t>
      </w:r>
      <w:r>
        <w:tab/>
        <w:t xml:space="preserve">In this section — </w:t>
      </w:r>
    </w:p>
    <w:p>
      <w:pPr>
        <w:pStyle w:val="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keepNext/>
      </w:pPr>
      <w:r>
        <w:lastRenderedPageBreak/>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affected area</w:t>
      </w:r>
      <w:r>
        <w:t>) is within the offshore area; and</w:t>
      </w:r>
    </w:p>
    <w:p>
      <w:pPr>
        <w:pStyle w:val="Indenta"/>
      </w:pPr>
      <w:r>
        <w:tab/>
        <w:t>(b)</w:t>
      </w:r>
      <w:r>
        <w:tab/>
        <w:t xml:space="preserve">as a result of a change to the boundary of the inshore area the second affected area — </w:t>
      </w:r>
    </w:p>
    <w:p>
      <w:pPr>
        <w:pStyle w:val="Indenti"/>
      </w:pPr>
      <w:r>
        <w:tab/>
        <w:t>(i)</w:t>
      </w:r>
      <w:r>
        <w:tab/>
        <w:t>ceases to be within the offshore area; and</w:t>
      </w:r>
    </w:p>
    <w:p>
      <w:pPr>
        <w:pStyle w:val="Indenti"/>
      </w:pPr>
      <w:r>
        <w:tab/>
        <w:t>(ii)</w:t>
      </w:r>
      <w:r>
        <w:tab/>
        <w:t>falls within the inshore area,</w:t>
      </w:r>
    </w:p>
    <w:p>
      <w:pPr>
        <w:pStyle w:val="Subsection"/>
      </w:pPr>
      <w:r>
        <w:tab/>
      </w:r>
      <w:r>
        <w:tab/>
        <w:t>then this Act does not apply to the second affected area.</w:t>
      </w:r>
    </w:p>
    <w:p>
      <w:pPr>
        <w:pStyle w:val="Subsection"/>
      </w:pPr>
      <w:r>
        <w:tab/>
        <w:t>(6)</w:t>
      </w:r>
      <w:r>
        <w:tab/>
        <w:t>Subsection (5) continues to apply in relation to the second affected area only while the Commonwealth instrument remains in force.</w:t>
      </w:r>
    </w:p>
    <w:p>
      <w:pPr>
        <w:pStyle w:val="Footnotesection"/>
      </w:pPr>
      <w:r>
        <w:tab/>
        <w:t>[Section 6A inserted: No. 42 of 2010 s. 5; amended: No. 7 of 2017 s. 5.]</w:t>
      </w:r>
    </w:p>
    <w:p>
      <w:pPr>
        <w:pStyle w:val="Heading2"/>
      </w:pPr>
      <w:bookmarkStart w:id="15" w:name="_Toc97629543"/>
      <w:bookmarkStart w:id="16" w:name="_Toc97629896"/>
      <w:bookmarkStart w:id="17" w:name="_Toc97630434"/>
      <w:bookmarkStart w:id="18" w:name="_Toc98748349"/>
      <w:bookmarkStart w:id="19" w:name="_Toc98765990"/>
      <w:bookmarkStart w:id="20" w:name="_Toc98834257"/>
      <w:bookmarkStart w:id="21" w:name="_Toc98946839"/>
      <w:r>
        <w:rPr>
          <w:rStyle w:val="CharPartNo"/>
        </w:rPr>
        <w:lastRenderedPageBreak/>
        <w:t>Part II</w:t>
      </w:r>
      <w:r>
        <w:rPr>
          <w:rStyle w:val="CharDivNo"/>
        </w:rPr>
        <w:t> </w:t>
      </w:r>
      <w:r>
        <w:t>—</w:t>
      </w:r>
      <w:r>
        <w:rPr>
          <w:rStyle w:val="CharDivText"/>
        </w:rPr>
        <w:t> </w:t>
      </w:r>
      <w:r>
        <w:rPr>
          <w:rStyle w:val="CharPartText"/>
        </w:rPr>
        <w:t>General</w:t>
      </w:r>
      <w:bookmarkEnd w:id="15"/>
      <w:bookmarkEnd w:id="16"/>
      <w:bookmarkEnd w:id="17"/>
      <w:bookmarkEnd w:id="18"/>
      <w:bookmarkEnd w:id="19"/>
      <w:bookmarkEnd w:id="20"/>
      <w:bookmarkEnd w:id="21"/>
    </w:p>
    <w:p>
      <w:pPr>
        <w:pStyle w:val="Heading5"/>
        <w:rPr>
          <w:snapToGrid w:val="0"/>
        </w:rPr>
      </w:pPr>
      <w:bookmarkStart w:id="22" w:name="_Toc98946840"/>
      <w:r>
        <w:rPr>
          <w:rStyle w:val="CharSectno"/>
        </w:rPr>
        <w:t>6</w:t>
      </w:r>
      <w:r>
        <w:rPr>
          <w:snapToGrid w:val="0"/>
        </w:rPr>
        <w:t>.</w:t>
      </w:r>
      <w:r>
        <w:rPr>
          <w:snapToGrid w:val="0"/>
        </w:rPr>
        <w:tab/>
        <w:t>Act to be construed subject to State’s legislative powers</w:t>
      </w:r>
      <w:bookmarkEnd w:id="22"/>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23" w:name="_Toc98946841"/>
      <w:r>
        <w:rPr>
          <w:rStyle w:val="CharSectno"/>
        </w:rPr>
        <w:t>7</w:t>
      </w:r>
      <w:r>
        <w:rPr>
          <w:snapToGrid w:val="0"/>
        </w:rPr>
        <w:t>.</w:t>
      </w:r>
      <w:r>
        <w:rPr>
          <w:snapToGrid w:val="0"/>
        </w:rPr>
        <w:tab/>
        <w:t>Application of Act</w:t>
      </w:r>
      <w:bookmarkEnd w:id="23"/>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lastRenderedPageBreak/>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No. 107 of 1982 s. 6; No. 12 of 1990 s. 6; No. 78 of 1990 s. 7; No. 35 of 2007 s. 7.]</w:t>
      </w:r>
    </w:p>
    <w:p>
      <w:pPr>
        <w:pStyle w:val="Ednotesection"/>
        <w:spacing w:before="180"/>
      </w:pPr>
      <w:r>
        <w:t>[</w:t>
      </w:r>
      <w:r>
        <w:rPr>
          <w:b/>
        </w:rPr>
        <w:t>7AA.</w:t>
      </w:r>
      <w:r>
        <w:tab/>
        <w:t>Deleted: No. 36 of 2020 s. 301.]</w:t>
      </w:r>
    </w:p>
    <w:p>
      <w:pPr>
        <w:pStyle w:val="Heading5"/>
        <w:rPr>
          <w:snapToGrid w:val="0"/>
        </w:rPr>
      </w:pPr>
      <w:bookmarkStart w:id="24" w:name="_Toc98946842"/>
      <w:r>
        <w:rPr>
          <w:rStyle w:val="CharSectno"/>
        </w:rPr>
        <w:t>7A</w:t>
      </w:r>
      <w:r>
        <w:rPr>
          <w:snapToGrid w:val="0"/>
        </w:rPr>
        <w:t>.</w:t>
      </w:r>
      <w:r>
        <w:rPr>
          <w:snapToGrid w:val="0"/>
        </w:rPr>
        <w:tab/>
        <w:t>Geothermal resources area in, or extending into, other areas</w:t>
      </w:r>
      <w:bookmarkEnd w:id="24"/>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which a geothermal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r>
        <w:t>geothermal resources area, being an</w:t>
      </w:r>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r>
        <w:t>geothermal access authority, any</w:t>
      </w:r>
      <w:r>
        <w:rPr>
          <w:snapToGrid w:val="0"/>
        </w:rPr>
        <w:t xml:space="preserve"> </w:t>
      </w:r>
      <w:r>
        <w:t>geothermal energy</w:t>
      </w:r>
      <w:r>
        <w:rPr>
          <w:snapToGrid w:val="0"/>
        </w:rPr>
        <w:t xml:space="preserve"> recovered through that well shall be deemed to have been recovered in that adjoining licence area </w:t>
      </w:r>
      <w:r>
        <w:t>under the geothermal production licence</w:t>
      </w:r>
      <w:r>
        <w:rPr>
          <w:snapToGrid w:val="0"/>
        </w:rPr>
        <w:t xml:space="preserve"> in respect of that area.</w:t>
      </w:r>
    </w:p>
    <w:p>
      <w:pPr>
        <w:pStyle w:val="Subsection"/>
        <w:rPr>
          <w:snapToGrid w:val="0"/>
        </w:rPr>
      </w:pPr>
      <w:r>
        <w:rPr>
          <w:snapToGrid w:val="0"/>
        </w:rPr>
        <w:tab/>
        <w:t>(3)</w:t>
      </w:r>
      <w:r>
        <w:rPr>
          <w:snapToGrid w:val="0"/>
        </w:rPr>
        <w:tab/>
        <w:t xml:space="preserve">Where a </w:t>
      </w:r>
      <w:r>
        <w:t>geothermal resources area</w:t>
      </w:r>
      <w:r>
        <w:rPr>
          <w:snapToGrid w:val="0"/>
        </w:rPr>
        <w:t xml:space="preserve"> is partly in one licence area and partly in an adjoining licence area of the same licensee and </w:t>
      </w:r>
      <w:r>
        <w:t>geothermal energy</w:t>
      </w:r>
      <w:r>
        <w:rPr>
          <w:snapToGrid w:val="0"/>
        </w:rPr>
        <w:t xml:space="preserve"> is recovered from that </w:t>
      </w:r>
      <w:r>
        <w:t>geothermal resources area</w:t>
      </w:r>
      <w:r>
        <w:rPr>
          <w:snapToGrid w:val="0"/>
        </w:rPr>
        <w:t xml:space="preserve"> through a well or wells in one or both of the licence areas, there shall be deemed to have been recovered in each of the licence areas, </w:t>
      </w:r>
      <w:r>
        <w:t>under the geothermal production licence</w:t>
      </w:r>
      <w:r>
        <w:rPr>
          <w:snapToGrid w:val="0"/>
        </w:rPr>
        <w:t xml:space="preserve"> in respect of that area, such proportion of all </w:t>
      </w:r>
      <w:r>
        <w:t>geothermal energy</w:t>
      </w:r>
      <w:r>
        <w:rPr>
          <w:snapToGrid w:val="0"/>
        </w:rPr>
        <w:t xml:space="preserve"> so recovered as may reasonably be treated as being derived from that area, having regard to the nature and probable extent of the </w:t>
      </w:r>
      <w:r>
        <w:t>geothermal resources area</w:t>
      </w:r>
      <w:r>
        <w:rPr>
          <w:snapToGrid w:val="0"/>
        </w:rPr>
        <w:t>, and the respective proportions shall be determined in accordance with subsection (4).</w:t>
      </w:r>
    </w:p>
    <w:p>
      <w:pPr>
        <w:pStyle w:val="Subsection"/>
        <w:rPr>
          <w:snapToGrid w:val="0"/>
        </w:rPr>
      </w:pPr>
      <w:r>
        <w:rPr>
          <w:snapToGrid w:val="0"/>
        </w:rPr>
        <w:lastRenderedPageBreak/>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 xml:space="preserve">Where a </w:t>
      </w:r>
      <w:r>
        <w:t>geothermal resources area</w:t>
      </w:r>
      <w:r>
        <w:rPr>
          <w:snapToGrid w:val="0"/>
        </w:rPr>
        <w:t xml:space="preserve"> is partly in a licence area and partly in another area in which the licensee has authority under another written law or a law of another State to explore for geothermal energy resources or recover geothermal energy, and geothermal energy is recovered from that </w:t>
      </w:r>
      <w:r>
        <w:t>geothermal resources area</w:t>
      </w:r>
      <w:r>
        <w:rPr>
          <w:snapToGrid w:val="0"/>
        </w:rPr>
        <w:t xml:space="preserve"> through a well or wells in the licence area, the other area or both, there shall be deemed to have been recovered in the licence area such proportion of all </w:t>
      </w:r>
      <w:r>
        <w:t>geothermal energy</w:t>
      </w:r>
      <w:r>
        <w:rPr>
          <w:snapToGrid w:val="0"/>
        </w:rPr>
        <w:t xml:space="preserve"> so recovered as may reasonably be treated as being derived from the licence area, having regard to the nature and probable extent of the </w:t>
      </w:r>
      <w:r>
        <w:t>geothermal resources area</w:t>
      </w:r>
      <w:r>
        <w:rPr>
          <w:snapToGrid w:val="0"/>
        </w:rPr>
        <w:t>, and that proportion shall be determined in accordance with subsection (6).</w:t>
      </w:r>
    </w:p>
    <w:p>
      <w:pPr>
        <w:pStyle w:val="Subsection"/>
        <w:keepNext/>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lastRenderedPageBreak/>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r>
      <w:r>
        <w:t>geothermal energy</w:t>
      </w:r>
      <w:r>
        <w:rPr>
          <w:snapToGrid w:val="0"/>
        </w:rPr>
        <w:t xml:space="preserve"> is recovered from that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pPr>
      <w:r>
        <w:tab/>
        <w:t>(a)</w:t>
      </w:r>
      <w:r>
        <w:tab/>
        <w:t>a reference to a geothermal production licence includes a reference to a geothermal exploration permit and a geothermal retention lease; and</w:t>
      </w:r>
    </w:p>
    <w:p>
      <w:pPr>
        <w:pStyle w:val="Indenta"/>
      </w:pPr>
      <w:r>
        <w:tab/>
        <w:t>(b)</w:t>
      </w:r>
      <w:r>
        <w:tab/>
        <w:t>a reference to a licensee is a reference to the registered holder of a geothermal production licence and includes a reference to a geothermal permittee and a geothermal lessee; and</w:t>
      </w:r>
    </w:p>
    <w:p>
      <w:pPr>
        <w:pStyle w:val="Indenta"/>
      </w:pPr>
      <w:r>
        <w:tab/>
        <w:t>(c)</w:t>
      </w:r>
      <w:r>
        <w:tab/>
        <w:t xml:space="preserve">a reference to a licence area is a reference to the area constituted by the blocks that are the subject of a </w:t>
      </w:r>
      <w:r>
        <w:lastRenderedPageBreak/>
        <w:t>geothermal production licence and includes a reference to a geothermal permit area and a geothermal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7A inserted: No. 12 of 1990 s. 7; amended: No. 35 of 2007 s. 8; No. 7 of 2017 s. 6.]</w:t>
      </w:r>
    </w:p>
    <w:p>
      <w:pPr>
        <w:pStyle w:val="Heading5"/>
      </w:pPr>
      <w:bookmarkStart w:id="25" w:name="_Toc98946843"/>
      <w:r>
        <w:rPr>
          <w:rStyle w:val="CharSectno"/>
        </w:rPr>
        <w:t>7B</w:t>
      </w:r>
      <w:r>
        <w:t>.</w:t>
      </w:r>
      <w:r>
        <w:tab/>
        <w:t>Petroleum pool in, or extending into, other areas</w:t>
      </w:r>
      <w:bookmarkEnd w:id="25"/>
    </w:p>
    <w:p>
      <w:pPr>
        <w:pStyle w:val="Subsection"/>
      </w:pPr>
      <w:r>
        <w:tab/>
        <w:t>(1)</w:t>
      </w:r>
      <w:r>
        <w:tab/>
        <w:t>The provisions of this section have effect for the purposes of this Act (including any Act with which this Act is incorporated) and of licences (whether granted before or after the commencement of this section).</w:t>
      </w:r>
    </w:p>
    <w:p>
      <w:pPr>
        <w:pStyle w:val="Subsection"/>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Subsection"/>
      </w:pPr>
      <w:r>
        <w:tab/>
        <w:t>(3)</w:t>
      </w:r>
      <w:r>
        <w:tab/>
        <w:t xml:space="preserve">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w:t>
      </w:r>
      <w:r>
        <w:lastRenderedPageBreak/>
        <w:t>pool, and the respective proportions are to be determined in accordance with subsection (4).</w:t>
      </w:r>
    </w:p>
    <w:p>
      <w:pPr>
        <w:pStyle w:val="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Subsection"/>
      </w:pPr>
      <w:r>
        <w:tab/>
        <w:t>(6)</w:t>
      </w:r>
      <w:r>
        <w:tab/>
        <w:t>The proportion to be determined for the purposes of subsection (5) may be determined —</w:t>
      </w:r>
    </w:p>
    <w:p>
      <w:pPr>
        <w:pStyle w:val="Indenta"/>
      </w:pPr>
      <w:r>
        <w:tab/>
        <w:t>(a)</w:t>
      </w:r>
      <w:r>
        <w:tab/>
        <w:t>in the case of a licensee having authority under another written law, by agreement between —</w:t>
      </w:r>
    </w:p>
    <w:p>
      <w:pPr>
        <w:pStyle w:val="Indenti"/>
      </w:pPr>
      <w:r>
        <w:tab/>
        <w:t>(i)</w:t>
      </w:r>
      <w:r>
        <w:tab/>
        <w:t>that licensee; and</w:t>
      </w:r>
    </w:p>
    <w:p>
      <w:pPr>
        <w:pStyle w:val="Indenti"/>
      </w:pPr>
      <w:r>
        <w:tab/>
        <w:t>(ii)</w:t>
      </w:r>
      <w:r>
        <w:tab/>
        <w:t>the Minister; and</w:t>
      </w:r>
    </w:p>
    <w:p>
      <w:pPr>
        <w:pStyle w:val="Indenti"/>
      </w:pPr>
      <w:r>
        <w:tab/>
        <w:t>(iii)</w:t>
      </w:r>
      <w:r>
        <w:tab/>
        <w:t>if the other written law is administered by a Minister of the Crown other than the Minister, that Minister of the Crown,</w:t>
      </w:r>
    </w:p>
    <w:p>
      <w:pPr>
        <w:pStyle w:val="Indenta"/>
      </w:pPr>
      <w:r>
        <w:tab/>
      </w:r>
      <w:r>
        <w:tab/>
        <w:t>or, in the absence of agreement, may be determined by the Supreme Court on the application of that licensee, the Minister, or the Minister of the Crown (if applicable) referred to in subparagraph (iii); or</w:t>
      </w:r>
    </w:p>
    <w:p>
      <w:pPr>
        <w:pStyle w:val="Indenta"/>
      </w:pPr>
      <w:r>
        <w:tab/>
        <w:t>(b)</w:t>
      </w:r>
      <w:r>
        <w:tab/>
        <w:t>in the case of a licensee having authority under a law of another State, by agreement between —</w:t>
      </w:r>
    </w:p>
    <w:p>
      <w:pPr>
        <w:pStyle w:val="Indenti"/>
      </w:pPr>
      <w:r>
        <w:lastRenderedPageBreak/>
        <w:tab/>
        <w:t>(i)</w:t>
      </w:r>
      <w:r>
        <w:tab/>
        <w:t>that licensee; and</w:t>
      </w:r>
    </w:p>
    <w:p>
      <w:pPr>
        <w:pStyle w:val="Indenti"/>
      </w:pPr>
      <w:r>
        <w:tab/>
        <w:t>(ii)</w:t>
      </w:r>
      <w:r>
        <w:tab/>
        <w:t>the Minister; and</w:t>
      </w:r>
    </w:p>
    <w:p>
      <w:pPr>
        <w:pStyle w:val="Indenti"/>
      </w:pPr>
      <w:r>
        <w:tab/>
        <w:t>(iii)</w:t>
      </w:r>
      <w:r>
        <w:tab/>
        <w:t>the State Minister administering the law of the other State,</w:t>
      </w:r>
    </w:p>
    <w:p>
      <w:pPr>
        <w:pStyle w:val="Indenta"/>
      </w:pPr>
      <w:r>
        <w:tab/>
      </w:r>
      <w:r>
        <w:tab/>
        <w:t>or, in the absence of agreement, may be determined by the Supreme Court on the application of that licensee, the Minister or the State Minister referred to in subparagraph (iii); or</w:t>
      </w:r>
    </w:p>
    <w:p>
      <w:pPr>
        <w:pStyle w:val="Indenta"/>
      </w:pPr>
      <w:r>
        <w:tab/>
        <w:t>(c)</w:t>
      </w:r>
      <w:r>
        <w:tab/>
        <w:t xml:space="preserve">in the case of a licensee having authority under a law of the Commonwealth, by agreement between — </w:t>
      </w:r>
    </w:p>
    <w:p>
      <w:pPr>
        <w:pStyle w:val="Indenti"/>
      </w:pPr>
      <w:r>
        <w:tab/>
        <w:t>(i)</w:t>
      </w:r>
      <w:r>
        <w:tab/>
        <w:t>that licensee; and</w:t>
      </w:r>
    </w:p>
    <w:p>
      <w:pPr>
        <w:pStyle w:val="Indenti"/>
      </w:pPr>
      <w:r>
        <w:tab/>
        <w:t>(ii)</w:t>
      </w:r>
      <w:r>
        <w:tab/>
        <w:t>the Minister; and</w:t>
      </w:r>
    </w:p>
    <w:p>
      <w:pPr>
        <w:pStyle w:val="Indenti"/>
      </w:pPr>
      <w:r>
        <w:tab/>
        <w:t>(iii)</w:t>
      </w:r>
      <w:r>
        <w:tab/>
        <w:t>the Joint Authority,</w:t>
      </w:r>
    </w:p>
    <w:p>
      <w:pPr>
        <w:pStyle w:val="Indenta"/>
      </w:pPr>
      <w:r>
        <w:tab/>
      </w:r>
      <w:r>
        <w:tab/>
        <w:t>or, in the absence of agreement, may be determined by the Supreme Court on the application of that licensee, the Minister or the Joint Authority.</w:t>
      </w:r>
    </w:p>
    <w:p>
      <w:pPr>
        <w:pStyle w:val="Subsection"/>
      </w:pPr>
      <w:r>
        <w:tab/>
        <w:t>(7)</w:t>
      </w:r>
      <w:r>
        <w:tab/>
        <w:t xml:space="preserve">In subsection (6) — </w:t>
      </w:r>
    </w:p>
    <w:p>
      <w:pPr>
        <w:pStyle w:val="Defstart"/>
      </w:pPr>
      <w:r>
        <w:tab/>
      </w:r>
      <w:r>
        <w:rPr>
          <w:rStyle w:val="CharDefText"/>
        </w:rPr>
        <w:t>Joint Authority</w:t>
      </w:r>
      <w:r>
        <w:t xml:space="preserve"> has the meaning given in the Commonwealth Act section 7.</w:t>
      </w:r>
    </w:p>
    <w:p>
      <w:pPr>
        <w:pStyle w:val="Subsection"/>
      </w:pPr>
      <w:r>
        <w:tab/>
        <w:t>(8)</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Indenti"/>
      </w:pPr>
      <w:r>
        <w:tab/>
        <w:t>(ii)</w:t>
      </w:r>
      <w:r>
        <w:tab/>
        <w:t xml:space="preserve">a licensee, the Minister and the State Minister administering a law of another State in relation to a petroleum pool that is partly in the licence area </w:t>
      </w:r>
      <w:r>
        <w:lastRenderedPageBreak/>
        <w:t xml:space="preserve">and partly in another area (the </w:t>
      </w:r>
      <w:r>
        <w:rPr>
          <w:rStyle w:val="CharDefText"/>
        </w:rPr>
        <w:t>other area</w:t>
      </w:r>
      <w:r>
        <w:t>) in which the licensee has authority under the law of the other State; or</w:t>
      </w:r>
    </w:p>
    <w:p>
      <w:pPr>
        <w:pStyle w:val="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 xml:space="preserve">after the time of the making of the agreement, it becomes apparent that the areal and vertical extents of the petroleum pool, as specified in the agreement, </w:t>
      </w:r>
      <w:r>
        <w:lastRenderedPageBreak/>
        <w:t>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(5) does not apply to any of those petroleum pools.</w:t>
      </w:r>
    </w:p>
    <w:p>
      <w:pPr>
        <w:pStyle w:val="Subsection"/>
        <w:keepNext/>
        <w:keepLines/>
      </w:pPr>
      <w:r>
        <w:tab/>
        <w:t>(9)</w:t>
      </w:r>
      <w:r>
        <w:tab/>
        <w:t>The question of whether there is or was a petroleum pool covered by subsection (8)(a) is to be determined on the basis of information known at the time of the making of the relevant agreement referred to in that provision.</w:t>
      </w:r>
    </w:p>
    <w:p>
      <w:pPr>
        <w:pStyle w:val="Subsection"/>
      </w:pPr>
      <w:r>
        <w:tab/>
        <w:t>(10)</w:t>
      </w:r>
      <w:r>
        <w:tab/>
        <w:t>The question of whether subsection (8)(c) applies is to be determined on the basis of information known at the time of the commencement of the apportionment provision.</w:t>
      </w:r>
    </w:p>
    <w:p>
      <w:pPr>
        <w:pStyle w:val="Subsection"/>
      </w:pPr>
      <w:r>
        <w:tab/>
        <w:t>(11)</w:t>
      </w:r>
      <w:r>
        <w:tab/>
        <w:t>The location of any of the 2 or more petroleum pools mentioned in subsection (8)(e) is immaterial.</w:t>
      </w:r>
    </w:p>
    <w:p>
      <w:pPr>
        <w:pStyle w:val="Subsection"/>
      </w:pPr>
      <w:r>
        <w:tab/>
        <w:t>(12)</w:t>
      </w:r>
      <w:r>
        <w:tab/>
        <w:t xml:space="preserve">If  — </w:t>
      </w:r>
    </w:p>
    <w:p>
      <w:pPr>
        <w:pStyle w:val="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Indenta"/>
      </w:pPr>
      <w:r>
        <w:tab/>
        <w:t>(b)</w:t>
      </w:r>
      <w:r>
        <w:tab/>
        <w:t xml:space="preserve">at that time, an agreement is made between — </w:t>
      </w:r>
    </w:p>
    <w:p>
      <w:pPr>
        <w:pStyle w:val="Indenti"/>
      </w:pPr>
      <w:r>
        <w:tab/>
        <w:t>(i)</w:t>
      </w:r>
      <w:r>
        <w:tab/>
        <w:t xml:space="preserve">if the licensee has authority under another written law — the licensee, the Minister and, if the other written law is administered by a Minister of the </w:t>
      </w:r>
      <w:r>
        <w:lastRenderedPageBreak/>
        <w:t>Crown other than the Minister, that Minister of the Crown; or</w:t>
      </w:r>
    </w:p>
    <w:p>
      <w:pPr>
        <w:pStyle w:val="Indenti"/>
      </w:pPr>
      <w:r>
        <w:tab/>
        <w:t>(ii)</w:t>
      </w:r>
      <w:r>
        <w:tab/>
        <w:t>if the licensee has authority under a law of another State — the licensee, the Minister and the State Minister administering the law of the other State; or</w:t>
      </w:r>
    </w:p>
    <w:p>
      <w:pPr>
        <w:pStyle w:val="Indenti"/>
      </w:pPr>
      <w:r>
        <w:tab/>
        <w:t>(iii)</w:t>
      </w:r>
      <w:r>
        <w:tab/>
        <w:t>if the licensee has authority under a law of the Commonwealth — the licensee, the Minister and the Joint Authority;</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lastRenderedPageBreak/>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(5) does not apply to a petroleum pool located in the specified part.</w:t>
      </w:r>
    </w:p>
    <w:p>
      <w:pPr>
        <w:pStyle w:val="Subsection"/>
      </w:pPr>
      <w:r>
        <w:tab/>
        <w:t>(13)</w:t>
      </w:r>
      <w:r>
        <w:tab/>
        <w:t>The question of whether there is or was a petroleum pool covered by subsection (12)(a) at a particular time is to be determined on the basis of information known at that time.</w:t>
      </w:r>
    </w:p>
    <w:p>
      <w:pPr>
        <w:pStyle w:val="Subsection"/>
      </w:pPr>
      <w:r>
        <w:tab/>
        <w:t>(14)</w:t>
      </w:r>
      <w:r>
        <w:tab/>
        <w:t>The question of whether subsection (12)(g) applies is to be determined on the basis of information known at the time of the commencement of the apportionment provision.</w:t>
      </w:r>
    </w:p>
    <w:p>
      <w:pPr>
        <w:pStyle w:val="Subsection"/>
        <w:keepNext/>
      </w:pPr>
      <w:r>
        <w:tab/>
        <w:t>(15)</w:t>
      </w:r>
      <w:r>
        <w:tab/>
        <w:t xml:space="preserve">If — </w:t>
      </w:r>
    </w:p>
    <w:p>
      <w:pPr>
        <w:pStyle w:val="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Indenta"/>
      </w:pPr>
      <w:r>
        <w:tab/>
        <w:t>(b)</w:t>
      </w:r>
      <w:r>
        <w:tab/>
        <w:t>a unit development agreement in accordance with section 69 is in force between the licensee and that other person; and</w:t>
      </w:r>
    </w:p>
    <w:p>
      <w:pPr>
        <w:pStyle w:val="Indenta"/>
      </w:pPr>
      <w:r>
        <w:tab/>
        <w:t>(c)</w:t>
      </w:r>
      <w:r>
        <w:tab/>
        <w:t>petroleum is recovered from that pool through a well or wells in the licence area, the other area or both,</w:t>
      </w:r>
    </w:p>
    <w:p>
      <w:pPr>
        <w:pStyle w:val="Subsection"/>
      </w:pPr>
      <w:r>
        <w:tab/>
      </w:r>
      <w:r>
        <w:tab/>
        <w:t>there is taken to have been recovered in the licence area such proportion of all petroleum so recovered as is specified in, or determined in accordance with, the agreement referred to in paragraph (b).</w:t>
      </w:r>
    </w:p>
    <w:p>
      <w:pPr>
        <w:pStyle w:val="Subsection"/>
      </w:pPr>
      <w:r>
        <w:tab/>
        <w:t>(16)</w:t>
      </w:r>
      <w:r>
        <w:tab/>
        <w:t xml:space="preserve">In this section — </w:t>
      </w:r>
    </w:p>
    <w:p>
      <w:pPr>
        <w:pStyle w:val="Indenta"/>
      </w:pPr>
      <w:r>
        <w:tab/>
        <w:t>(a)</w:t>
      </w:r>
      <w:r>
        <w:tab/>
        <w:t>a reference to a petroleum production licence includes a reference to a petroleum exploration permit and a petroleum retention lease; and</w:t>
      </w:r>
    </w:p>
    <w:p>
      <w:pPr>
        <w:pStyle w:val="Indenta"/>
      </w:pPr>
      <w:r>
        <w:lastRenderedPageBreak/>
        <w:tab/>
        <w:t>(b)</w:t>
      </w:r>
      <w:r>
        <w:tab/>
        <w:t>a reference to a licensee is a reference to the registered holder of a petroleum production licence and includes a reference to a petroleum permittee and a petroleum lessee; and</w:t>
      </w:r>
    </w:p>
    <w:p>
      <w:pPr>
        <w:pStyle w:val="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7B inserted: No. 7 of 2017 s. 7.]</w:t>
      </w:r>
    </w:p>
    <w:p>
      <w:pPr>
        <w:pStyle w:val="Heading5"/>
        <w:spacing w:before="180"/>
      </w:pPr>
      <w:bookmarkStart w:id="26" w:name="_Toc98946844"/>
      <w:r>
        <w:rPr>
          <w:rStyle w:val="CharSectno"/>
        </w:rPr>
        <w:t>8</w:t>
      </w:r>
      <w:r>
        <w:t>.</w:t>
      </w:r>
      <w:r>
        <w:tab/>
        <w:t>Position on Earth’s surface</w:t>
      </w:r>
      <w:bookmarkEnd w:id="26"/>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 xml:space="preserve">in relation to applications for permits, drilling reservations, leases, licences, special prospecting </w:t>
      </w:r>
      <w:r>
        <w:lastRenderedPageBreak/>
        <w:t>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No. 54 of 2000 s. 7(2); amended: No. 13 of 2005 s. 16(1).]</w:t>
      </w:r>
    </w:p>
    <w:p>
      <w:pPr>
        <w:pStyle w:val="Heading5"/>
        <w:rPr>
          <w:snapToGrid w:val="0"/>
        </w:rPr>
      </w:pPr>
      <w:bookmarkStart w:id="27" w:name="_Toc98946845"/>
      <w:r>
        <w:rPr>
          <w:rStyle w:val="CharSectno"/>
        </w:rPr>
        <w:t>9</w:t>
      </w:r>
      <w:r>
        <w:rPr>
          <w:snapToGrid w:val="0"/>
        </w:rPr>
        <w:t>.</w:t>
      </w:r>
      <w:r>
        <w:rPr>
          <w:snapToGrid w:val="0"/>
        </w:rPr>
        <w:tab/>
        <w:t>Petroleum, geothermal energy resources and geothermal energy declared to be property of Crown</w:t>
      </w:r>
      <w:bookmarkEnd w:id="27"/>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No. 35 of 2007 s. 9.]</w:t>
      </w:r>
    </w:p>
    <w:p>
      <w:pPr>
        <w:pStyle w:val="Heading5"/>
        <w:rPr>
          <w:snapToGrid w:val="0"/>
        </w:rPr>
      </w:pPr>
      <w:bookmarkStart w:id="28" w:name="_Toc98946846"/>
      <w:r>
        <w:rPr>
          <w:rStyle w:val="CharSectno"/>
        </w:rPr>
        <w:t>10</w:t>
      </w:r>
      <w:r>
        <w:rPr>
          <w:snapToGrid w:val="0"/>
        </w:rPr>
        <w:t>.</w:t>
      </w:r>
      <w:r>
        <w:rPr>
          <w:snapToGrid w:val="0"/>
        </w:rPr>
        <w:tab/>
        <w:t>Reservations in Crown grants and leases</w:t>
      </w:r>
      <w:bookmarkEnd w:id="28"/>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w:t>
      </w:r>
      <w:r>
        <w:rPr>
          <w:snapToGrid w:val="0"/>
        </w:rPr>
        <w:lastRenderedPageBreak/>
        <w:t>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No. 31 of 1997 s. 76(1); No. 35 of 2007 s. 10.]</w:t>
      </w:r>
    </w:p>
    <w:p>
      <w:pPr>
        <w:pStyle w:val="Heading5"/>
        <w:spacing w:before="180"/>
        <w:rPr>
          <w:snapToGrid w:val="0"/>
        </w:rPr>
      </w:pPr>
      <w:bookmarkStart w:id="29" w:name="_Toc98946847"/>
      <w:r>
        <w:rPr>
          <w:rStyle w:val="CharSectno"/>
        </w:rPr>
        <w:t>11</w:t>
      </w:r>
      <w:r>
        <w:rPr>
          <w:snapToGrid w:val="0"/>
        </w:rPr>
        <w:t>.</w:t>
      </w:r>
      <w:r>
        <w:rPr>
          <w:snapToGrid w:val="0"/>
        </w:rPr>
        <w:tab/>
        <w:t>Minister may search for petroleum</w:t>
      </w:r>
      <w:r>
        <w:t xml:space="preserve"> or geothermal energy resources</w:t>
      </w:r>
      <w:bookmarkEnd w:id="29"/>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No. 31 of 1997 s. 76(2); No. 35 of 2007 s. 11.]</w:t>
      </w:r>
    </w:p>
    <w:p>
      <w:pPr>
        <w:pStyle w:val="Heading5"/>
      </w:pPr>
      <w:bookmarkStart w:id="30" w:name="_Toc98946848"/>
      <w:r>
        <w:rPr>
          <w:rStyle w:val="CharSectno"/>
        </w:rPr>
        <w:lastRenderedPageBreak/>
        <w:t>11A</w:t>
      </w:r>
      <w:r>
        <w:t>.</w:t>
      </w:r>
      <w:r>
        <w:tab/>
        <w:t>Property rights in recovered petroleum and geothermal energy</w:t>
      </w:r>
      <w:bookmarkEnd w:id="30"/>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No. 35 of 2007 s. 12(1).]</w:t>
      </w:r>
    </w:p>
    <w:p>
      <w:pPr>
        <w:pStyle w:val="Heading5"/>
        <w:rPr>
          <w:snapToGrid w:val="0"/>
        </w:rPr>
      </w:pPr>
      <w:bookmarkStart w:id="31" w:name="_Toc98946849"/>
      <w:r>
        <w:rPr>
          <w:rStyle w:val="CharSectno"/>
        </w:rPr>
        <w:t>12</w:t>
      </w:r>
      <w:r>
        <w:rPr>
          <w:snapToGrid w:val="0"/>
        </w:rPr>
        <w:t>.</w:t>
      </w:r>
      <w:r>
        <w:rPr>
          <w:snapToGrid w:val="0"/>
        </w:rPr>
        <w:tab/>
        <w:t>Land may be resumed</w:t>
      </w:r>
      <w:bookmarkEnd w:id="31"/>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 xml:space="preserve">Land </w:t>
      </w:r>
      <w:r>
        <w:rPr>
          <w:i/>
          <w:snapToGrid w:val="0"/>
        </w:rPr>
        <w:lastRenderedPageBreak/>
        <w:t>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No. 31 of 1997 s. 76(3)</w:t>
      </w:r>
      <w:r>
        <w:noBreakHyphen/>
        <w:t>(5), 142 and 143; No. 55 of 2004 s. 916.]</w:t>
      </w:r>
    </w:p>
    <w:p>
      <w:pPr>
        <w:pStyle w:val="Heading5"/>
        <w:rPr>
          <w:snapToGrid w:val="0"/>
        </w:rPr>
      </w:pPr>
      <w:bookmarkStart w:id="32" w:name="_Toc98946850"/>
      <w:r>
        <w:rPr>
          <w:rStyle w:val="CharSectno"/>
        </w:rPr>
        <w:t>13</w:t>
      </w:r>
      <w:r>
        <w:rPr>
          <w:snapToGrid w:val="0"/>
        </w:rPr>
        <w:t>.</w:t>
      </w:r>
      <w:r>
        <w:rPr>
          <w:snapToGrid w:val="0"/>
        </w:rPr>
        <w:tab/>
        <w:t>Governor to have right of pre</w:t>
      </w:r>
      <w:r>
        <w:rPr>
          <w:snapToGrid w:val="0"/>
        </w:rPr>
        <w:noBreakHyphen/>
        <w:t>emption of petroleum in emergency</w:t>
      </w:r>
      <w:bookmarkEnd w:id="32"/>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 xml:space="preserve">Any sale or other disposition of petroleum or the products thereof made in contravention of subsection (2) shall, as against </w:t>
      </w:r>
      <w:r>
        <w:rPr>
          <w:snapToGrid w:val="0"/>
        </w:rPr>
        <w:lastRenderedPageBreak/>
        <w:t>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No. 12 of 1990 s. 8; No. 42 of 2010 s. 62(15); No. 23 of 2012 s. 45.]</w:t>
      </w:r>
    </w:p>
    <w:p>
      <w:pPr>
        <w:pStyle w:val="Heading5"/>
        <w:rPr>
          <w:snapToGrid w:val="0"/>
        </w:rPr>
      </w:pPr>
      <w:bookmarkStart w:id="33" w:name="_Toc98946851"/>
      <w:r>
        <w:rPr>
          <w:rStyle w:val="CharSectno"/>
        </w:rPr>
        <w:t>14</w:t>
      </w:r>
      <w:r>
        <w:rPr>
          <w:snapToGrid w:val="0"/>
        </w:rPr>
        <w:t>.</w:t>
      </w:r>
      <w:r>
        <w:rPr>
          <w:snapToGrid w:val="0"/>
        </w:rPr>
        <w:tab/>
        <w:t>Land comprised in permit, drilling reservation, lease or licence may be entered for certain purposes</w:t>
      </w:r>
      <w:bookmarkEnd w:id="33"/>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lastRenderedPageBreak/>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No. 12 of 1990 s. 9; No. 78 of 1990 s. 7; No. 59 of 2004 s. 141.]</w:t>
      </w:r>
    </w:p>
    <w:p>
      <w:pPr>
        <w:pStyle w:val="Heading5"/>
        <w:spacing w:before="180"/>
        <w:rPr>
          <w:snapToGrid w:val="0"/>
        </w:rPr>
      </w:pPr>
      <w:bookmarkStart w:id="34" w:name="_Toc98946852"/>
      <w:r>
        <w:rPr>
          <w:rStyle w:val="CharSectno"/>
        </w:rPr>
        <w:t>15</w:t>
      </w:r>
      <w:r>
        <w:rPr>
          <w:snapToGrid w:val="0"/>
        </w:rPr>
        <w:t>.</w:t>
      </w:r>
      <w:r>
        <w:rPr>
          <w:snapToGrid w:val="0"/>
        </w:rPr>
        <w:tab/>
        <w:t>Authority conferred by permit, drilling reservation, lease or licence</w:t>
      </w:r>
      <w:bookmarkEnd w:id="34"/>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No. 12 of 1990 s. 10; No. 78 of 1990 s. 7; No. 31 of 1997 s. 141; No. 17 of 1999 s. 22(1) and (2).]</w:t>
      </w:r>
    </w:p>
    <w:p>
      <w:pPr>
        <w:pStyle w:val="Heading5"/>
        <w:spacing w:before="180"/>
        <w:rPr>
          <w:snapToGrid w:val="0"/>
        </w:rPr>
      </w:pPr>
      <w:bookmarkStart w:id="35" w:name="_Toc98946853"/>
      <w:r>
        <w:rPr>
          <w:rStyle w:val="CharSectno"/>
        </w:rPr>
        <w:t>15A</w:t>
      </w:r>
      <w:r>
        <w:rPr>
          <w:snapToGrid w:val="0"/>
        </w:rPr>
        <w:t>.</w:t>
      </w:r>
      <w:r>
        <w:rPr>
          <w:snapToGrid w:val="0"/>
        </w:rPr>
        <w:tab/>
        <w:t>Consent of Minister required for entry on reserves for purposes of exploration etc.</w:t>
      </w:r>
      <w:bookmarkEnd w:id="35"/>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lastRenderedPageBreak/>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No. 17 of 1999 s. 23(1); amended: No. 35 of 2007 s. 13.]</w:t>
      </w:r>
    </w:p>
    <w:p>
      <w:pPr>
        <w:pStyle w:val="Heading5"/>
        <w:spacing w:before="180"/>
        <w:rPr>
          <w:snapToGrid w:val="0"/>
        </w:rPr>
      </w:pPr>
      <w:bookmarkStart w:id="36" w:name="_Toc98946854"/>
      <w:r>
        <w:rPr>
          <w:rStyle w:val="CharSectno"/>
        </w:rPr>
        <w:lastRenderedPageBreak/>
        <w:t>16</w:t>
      </w:r>
      <w:r>
        <w:rPr>
          <w:snapToGrid w:val="0"/>
        </w:rPr>
        <w:t>.</w:t>
      </w:r>
      <w:r>
        <w:rPr>
          <w:snapToGrid w:val="0"/>
        </w:rPr>
        <w:tab/>
        <w:t>Consent of owner or trustees required in certain cases for exploration etc.</w:t>
      </w:r>
      <w:bookmarkEnd w:id="36"/>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No. 94 of 1972 s. 4; No. 12 of 1990 s. 11; No. 78 of 1990 s. 7; No. 73 of 1994 s. 4; No. 14 of 1996 s. 4; No. 17 of 1999 s. 24; No. 35 of 2007 s. 14.]</w:t>
      </w:r>
    </w:p>
    <w:p>
      <w:pPr>
        <w:pStyle w:val="Heading5"/>
        <w:rPr>
          <w:snapToGrid w:val="0"/>
        </w:rPr>
      </w:pPr>
      <w:bookmarkStart w:id="37" w:name="_Toc98946855"/>
      <w:r>
        <w:rPr>
          <w:rStyle w:val="CharSectno"/>
        </w:rPr>
        <w:t>17</w:t>
      </w:r>
      <w:r>
        <w:rPr>
          <w:snapToGrid w:val="0"/>
        </w:rPr>
        <w:t>.</w:t>
      </w:r>
      <w:r>
        <w:rPr>
          <w:snapToGrid w:val="0"/>
        </w:rPr>
        <w:tab/>
        <w:t>Compensation to owners and occupiers of private land</w:t>
      </w:r>
      <w:bookmarkEnd w:id="37"/>
    </w:p>
    <w:p>
      <w:pPr>
        <w:pStyle w:val="Subsection"/>
        <w:rPr>
          <w:snapToGrid w:val="0"/>
        </w:rPr>
      </w:pPr>
      <w:r>
        <w:rPr>
          <w:snapToGrid w:val="0"/>
        </w:rPr>
        <w:tab/>
        <w:t>(1)</w:t>
      </w:r>
      <w:r>
        <w:rPr>
          <w:snapToGrid w:val="0"/>
        </w:rPr>
        <w:tab/>
        <w:t xml:space="preserve">A permittee, holder of a drilling reservation, lessee or licensee may agree with the owner and occupier respectively of any private land comprised in the permit, drilling reservation, lease </w:t>
      </w:r>
      <w:r>
        <w:rPr>
          <w:snapToGrid w:val="0"/>
        </w:rPr>
        <w:lastRenderedPageBreak/>
        <w:t>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No. 12 of 1990 s. 12; No. 78 of 1990 s. 7; No. 59 of 2004 s. 141; No. 35 of 2007 s. 15.]</w:t>
      </w:r>
    </w:p>
    <w:p>
      <w:pPr>
        <w:pStyle w:val="Heading5"/>
        <w:rPr>
          <w:snapToGrid w:val="0"/>
        </w:rPr>
      </w:pPr>
      <w:bookmarkStart w:id="38" w:name="_Toc98946856"/>
      <w:r>
        <w:rPr>
          <w:rStyle w:val="CharSectno"/>
        </w:rPr>
        <w:t>18</w:t>
      </w:r>
      <w:r>
        <w:rPr>
          <w:snapToGrid w:val="0"/>
        </w:rPr>
        <w:t>.</w:t>
      </w:r>
      <w:r>
        <w:rPr>
          <w:snapToGrid w:val="0"/>
        </w:rPr>
        <w:tab/>
        <w:t>Owner of private land in vicinity of permit area, drilling reservation, lease area or licence area may be entitled to compensation</w:t>
      </w:r>
      <w:bookmarkEnd w:id="38"/>
    </w:p>
    <w:p>
      <w:pPr>
        <w:pStyle w:val="Subsection"/>
        <w:rPr>
          <w:snapToGrid w:val="0"/>
        </w:rPr>
      </w:pPr>
      <w:r>
        <w:rPr>
          <w:snapToGrid w:val="0"/>
        </w:rPr>
        <w:tab/>
      </w:r>
      <w:r>
        <w:rPr>
          <w:snapToGrid w:val="0"/>
        </w:rPr>
        <w:tab/>
        <w:t xml:space="preserve">If any private land or improvement thereon adjoining or in the vicinity of the land comprised in any permit, drilling </w:t>
      </w:r>
      <w:r>
        <w:rPr>
          <w:snapToGrid w:val="0"/>
        </w:rPr>
        <w:lastRenderedPageBreak/>
        <w:t>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No. 12 of 1990 s. 13; No. 78 of 1990 s. 7.]</w:t>
      </w:r>
    </w:p>
    <w:p>
      <w:pPr>
        <w:pStyle w:val="Heading5"/>
        <w:rPr>
          <w:snapToGrid w:val="0"/>
        </w:rPr>
      </w:pPr>
      <w:bookmarkStart w:id="39" w:name="_Toc98946857"/>
      <w:r>
        <w:rPr>
          <w:rStyle w:val="CharSectno"/>
        </w:rPr>
        <w:t>19</w:t>
      </w:r>
      <w:r>
        <w:rPr>
          <w:snapToGrid w:val="0"/>
        </w:rPr>
        <w:t>.</w:t>
      </w:r>
      <w:r>
        <w:rPr>
          <w:snapToGrid w:val="0"/>
        </w:rPr>
        <w:tab/>
        <w:t>Compensation for further damage</w:t>
      </w:r>
      <w:bookmarkEnd w:id="3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No. 12 of 1990 s. 14; No. 78 of 1990 s. 7.]</w:t>
      </w:r>
    </w:p>
    <w:p>
      <w:pPr>
        <w:pStyle w:val="Heading5"/>
        <w:rPr>
          <w:snapToGrid w:val="0"/>
        </w:rPr>
      </w:pPr>
      <w:bookmarkStart w:id="40" w:name="_Toc9894685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40"/>
    </w:p>
    <w:p>
      <w:pPr>
        <w:pStyle w:val="Subsection"/>
        <w:rPr>
          <w:snapToGrid w:val="0"/>
        </w:rPr>
      </w:pPr>
      <w:r>
        <w:rPr>
          <w:snapToGrid w:val="0"/>
        </w:rPr>
        <w:tab/>
        <w:t>(1)</w:t>
      </w:r>
      <w:r>
        <w:rPr>
          <w:snapToGrid w:val="0"/>
        </w:rPr>
        <w:tab/>
        <w:t xml:space="preserve">A permittee, holder of a drilling reservation, lessee or licensee shall not commence any operations on private land unless or until he has paid or tendered to the owner and to the occupier of </w:t>
      </w:r>
      <w:r>
        <w:rPr>
          <w:snapToGrid w:val="0"/>
        </w:rPr>
        <w:lastRenderedPageBreak/>
        <w:t>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No. 12 of 1990 s. 15; No. 78 of 1990 s. 7.]</w:t>
      </w:r>
    </w:p>
    <w:p>
      <w:pPr>
        <w:pStyle w:val="Heading5"/>
        <w:spacing w:before="180"/>
        <w:rPr>
          <w:snapToGrid w:val="0"/>
        </w:rPr>
      </w:pPr>
      <w:bookmarkStart w:id="41" w:name="_Toc9894685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41"/>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lastRenderedPageBreak/>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No. 12 of 1990 s. 16; No. 78 of 1990 s. 7; No. 31 of 1997 s. 141; No. 59 of 2004 s. 141.]</w:t>
      </w:r>
    </w:p>
    <w:p>
      <w:pPr>
        <w:pStyle w:val="Heading5"/>
        <w:rPr>
          <w:snapToGrid w:val="0"/>
        </w:rPr>
      </w:pPr>
      <w:bookmarkStart w:id="42" w:name="_Toc98946860"/>
      <w:r>
        <w:rPr>
          <w:rStyle w:val="CharSectno"/>
        </w:rPr>
        <w:t>22</w:t>
      </w:r>
      <w:r>
        <w:rPr>
          <w:snapToGrid w:val="0"/>
        </w:rPr>
        <w:t>.</w:t>
      </w:r>
      <w:r>
        <w:rPr>
          <w:snapToGrid w:val="0"/>
        </w:rPr>
        <w:tab/>
        <w:t>Determination of partial compensation</w:t>
      </w:r>
      <w:bookmarkEnd w:id="42"/>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No. 12 of 1990 s. 17.]</w:t>
      </w:r>
    </w:p>
    <w:p>
      <w:pPr>
        <w:pStyle w:val="Heading5"/>
        <w:spacing w:before="200"/>
        <w:rPr>
          <w:snapToGrid w:val="0"/>
        </w:rPr>
      </w:pPr>
      <w:bookmarkStart w:id="43" w:name="_Toc98946861"/>
      <w:r>
        <w:rPr>
          <w:rStyle w:val="CharSectno"/>
        </w:rPr>
        <w:t>23</w:t>
      </w:r>
      <w:r>
        <w:rPr>
          <w:snapToGrid w:val="0"/>
        </w:rPr>
        <w:t>.</w:t>
      </w:r>
      <w:r>
        <w:rPr>
          <w:snapToGrid w:val="0"/>
        </w:rPr>
        <w:tab/>
        <w:t>Security for compensation</w:t>
      </w:r>
      <w:bookmarkEnd w:id="43"/>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44" w:name="_Toc98946862"/>
      <w:r>
        <w:rPr>
          <w:rStyle w:val="CharSectno"/>
        </w:rPr>
        <w:lastRenderedPageBreak/>
        <w:t>24</w:t>
      </w:r>
      <w:r>
        <w:rPr>
          <w:snapToGrid w:val="0"/>
        </w:rPr>
        <w:t>.</w:t>
      </w:r>
      <w:r>
        <w:rPr>
          <w:snapToGrid w:val="0"/>
        </w:rPr>
        <w:tab/>
        <w:t>Matters for which compensation not payable</w:t>
      </w:r>
      <w:bookmarkEnd w:id="44"/>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No. 12 of 1990 s. 18; No. 31 of 1997 s. 141; No. 35 of 2007 s. 16.]</w:t>
      </w:r>
    </w:p>
    <w:p>
      <w:pPr>
        <w:pStyle w:val="Heading5"/>
        <w:rPr>
          <w:snapToGrid w:val="0"/>
        </w:rPr>
      </w:pPr>
      <w:bookmarkStart w:id="45" w:name="_Toc98946863"/>
      <w:r>
        <w:rPr>
          <w:rStyle w:val="CharSectno"/>
        </w:rPr>
        <w:t>24A</w:t>
      </w:r>
      <w:r>
        <w:rPr>
          <w:snapToGrid w:val="0"/>
        </w:rPr>
        <w:t>.</w:t>
      </w:r>
      <w:r>
        <w:rPr>
          <w:snapToGrid w:val="0"/>
        </w:rPr>
        <w:tab/>
        <w:t>Liability for payment of compensation to native title holders</w:t>
      </w:r>
      <w:bookmarkEnd w:id="45"/>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lastRenderedPageBreak/>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No. 61 of 1998 s. 17.]</w:t>
      </w:r>
    </w:p>
    <w:p>
      <w:pPr>
        <w:pStyle w:val="Heading5"/>
        <w:spacing w:before="180"/>
        <w:rPr>
          <w:snapToGrid w:val="0"/>
        </w:rPr>
      </w:pPr>
      <w:bookmarkStart w:id="46" w:name="_Toc98946864"/>
      <w:r>
        <w:rPr>
          <w:rStyle w:val="CharSectno"/>
        </w:rPr>
        <w:t>25</w:t>
      </w:r>
      <w:r>
        <w:rPr>
          <w:snapToGrid w:val="0"/>
        </w:rPr>
        <w:t>.</w:t>
      </w:r>
      <w:r>
        <w:rPr>
          <w:snapToGrid w:val="0"/>
        </w:rPr>
        <w:tab/>
        <w:t>Delegation</w:t>
      </w:r>
      <w:bookmarkEnd w:id="46"/>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No. 13 of 2005 s. 16(1).]</w:t>
      </w:r>
    </w:p>
    <w:p>
      <w:pPr>
        <w:pStyle w:val="Heading2"/>
      </w:pPr>
      <w:bookmarkStart w:id="47" w:name="_Toc97629570"/>
      <w:bookmarkStart w:id="48" w:name="_Toc97629923"/>
      <w:bookmarkStart w:id="49" w:name="_Toc97630461"/>
      <w:bookmarkStart w:id="50" w:name="_Toc98748376"/>
      <w:bookmarkStart w:id="51" w:name="_Toc98766016"/>
      <w:bookmarkStart w:id="52" w:name="_Toc98834283"/>
      <w:bookmarkStart w:id="53" w:name="_Toc98946865"/>
      <w:r>
        <w:rPr>
          <w:rStyle w:val="CharPartNo"/>
        </w:rPr>
        <w:lastRenderedPageBreak/>
        <w:t>Part III</w:t>
      </w:r>
      <w:r>
        <w:rPr>
          <w:b w:val="0"/>
        </w:rPr>
        <w:t> </w:t>
      </w:r>
      <w:r>
        <w:t>—</w:t>
      </w:r>
      <w:r>
        <w:rPr>
          <w:b w:val="0"/>
        </w:rPr>
        <w:t> </w:t>
      </w:r>
      <w:r>
        <w:rPr>
          <w:rStyle w:val="CharPartText"/>
        </w:rPr>
        <w:t>Mining for petroleum, geothermal energy resources and geothermal energy</w:t>
      </w:r>
      <w:bookmarkEnd w:id="47"/>
      <w:bookmarkEnd w:id="48"/>
      <w:bookmarkEnd w:id="49"/>
      <w:bookmarkEnd w:id="50"/>
      <w:bookmarkEnd w:id="51"/>
      <w:bookmarkEnd w:id="52"/>
      <w:bookmarkEnd w:id="53"/>
    </w:p>
    <w:p>
      <w:pPr>
        <w:pStyle w:val="Footnoteheading"/>
      </w:pPr>
      <w:r>
        <w:tab/>
        <w:t>[Heading inserted: No. 35 of 2007 s. 17.]</w:t>
      </w:r>
    </w:p>
    <w:p>
      <w:pPr>
        <w:pStyle w:val="Heading3"/>
      </w:pPr>
      <w:bookmarkStart w:id="54" w:name="_Toc97629571"/>
      <w:bookmarkStart w:id="55" w:name="_Toc97629924"/>
      <w:bookmarkStart w:id="56" w:name="_Toc97630462"/>
      <w:bookmarkStart w:id="57" w:name="_Toc98748377"/>
      <w:bookmarkStart w:id="58" w:name="_Toc98766017"/>
      <w:bookmarkStart w:id="59" w:name="_Toc98834284"/>
      <w:bookmarkStart w:id="60" w:name="_Toc98946866"/>
      <w:r>
        <w:rPr>
          <w:rStyle w:val="CharDivNo"/>
        </w:rPr>
        <w:t>Division 1</w:t>
      </w:r>
      <w:r>
        <w:rPr>
          <w:snapToGrid w:val="0"/>
        </w:rPr>
        <w:t> — </w:t>
      </w:r>
      <w:r>
        <w:rPr>
          <w:rStyle w:val="CharDivText"/>
        </w:rPr>
        <w:t>Preliminary</w:t>
      </w:r>
      <w:bookmarkEnd w:id="54"/>
      <w:bookmarkEnd w:id="55"/>
      <w:bookmarkEnd w:id="56"/>
      <w:bookmarkEnd w:id="57"/>
      <w:bookmarkEnd w:id="58"/>
      <w:bookmarkEnd w:id="59"/>
      <w:bookmarkEnd w:id="60"/>
    </w:p>
    <w:p>
      <w:pPr>
        <w:pStyle w:val="Heading5"/>
        <w:spacing w:before="240"/>
        <w:rPr>
          <w:snapToGrid w:val="0"/>
        </w:rPr>
      </w:pPr>
      <w:bookmarkStart w:id="61" w:name="_Toc98946867"/>
      <w:r>
        <w:rPr>
          <w:rStyle w:val="CharSectno"/>
        </w:rPr>
        <w:t>26</w:t>
      </w:r>
      <w:r>
        <w:rPr>
          <w:snapToGrid w:val="0"/>
        </w:rPr>
        <w:t>.</w:t>
      </w:r>
      <w:r>
        <w:rPr>
          <w:snapToGrid w:val="0"/>
        </w:rPr>
        <w:tab/>
        <w:t>Term used: State</w:t>
      </w:r>
      <w:bookmarkEnd w:id="61"/>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No. 90 of 1987 s. 4.]</w:t>
      </w:r>
    </w:p>
    <w:p>
      <w:pPr>
        <w:pStyle w:val="Heading5"/>
        <w:rPr>
          <w:snapToGrid w:val="0"/>
        </w:rPr>
      </w:pPr>
      <w:bookmarkStart w:id="62" w:name="_Toc98946868"/>
      <w:r>
        <w:rPr>
          <w:rStyle w:val="CharSectno"/>
        </w:rPr>
        <w:t>27</w:t>
      </w:r>
      <w:r>
        <w:rPr>
          <w:snapToGrid w:val="0"/>
        </w:rPr>
        <w:t>.</w:t>
      </w:r>
      <w:r>
        <w:rPr>
          <w:snapToGrid w:val="0"/>
        </w:rPr>
        <w:tab/>
        <w:t>Graticulation of Earth’s surface and constitution of blocks</w:t>
      </w:r>
      <w:bookmarkEnd w:id="62"/>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lastRenderedPageBreak/>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No. 54 of 2000 s. 7(3).]</w:t>
      </w:r>
    </w:p>
    <w:p>
      <w:pPr>
        <w:pStyle w:val="Heading5"/>
        <w:spacing w:before="240"/>
        <w:rPr>
          <w:snapToGrid w:val="0"/>
        </w:rPr>
      </w:pPr>
      <w:bookmarkStart w:id="63" w:name="_Toc98946869"/>
      <w:r>
        <w:rPr>
          <w:rStyle w:val="CharSectno"/>
        </w:rPr>
        <w:t>28</w:t>
      </w:r>
      <w:r>
        <w:rPr>
          <w:snapToGrid w:val="0"/>
        </w:rPr>
        <w:t>.</w:t>
      </w:r>
      <w:r>
        <w:rPr>
          <w:snapToGrid w:val="0"/>
        </w:rPr>
        <w:tab/>
        <w:t>Reservation of blocks</w:t>
      </w:r>
      <w:bookmarkEnd w:id="63"/>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xml:space="preserve">,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w:t>
      </w:r>
      <w:r>
        <w:lastRenderedPageBreak/>
        <w:t>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No. 12 of 1990 s. 19; No. 78 of 1990 s. 7; No. 35 of 2007 s. 18.]</w:t>
      </w:r>
    </w:p>
    <w:p>
      <w:pPr>
        <w:pStyle w:val="Heading5"/>
        <w:rPr>
          <w:snapToGrid w:val="0"/>
        </w:rPr>
      </w:pPr>
      <w:bookmarkStart w:id="64" w:name="_Toc98946870"/>
      <w:r>
        <w:rPr>
          <w:rStyle w:val="CharSectno"/>
        </w:rPr>
        <w:t>28A</w:t>
      </w:r>
      <w:r>
        <w:rPr>
          <w:snapToGrid w:val="0"/>
        </w:rPr>
        <w:t>.</w:t>
      </w:r>
      <w:r>
        <w:rPr>
          <w:snapToGrid w:val="0"/>
        </w:rPr>
        <w:tab/>
        <w:t>Issue of permits etc. in marine reserves</w:t>
      </w:r>
      <w:bookmarkEnd w:id="64"/>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No. 5 of 1997 s. 43; amended: No. 17 of 1999 s. 22(3).]</w:t>
      </w:r>
    </w:p>
    <w:p>
      <w:pPr>
        <w:pStyle w:val="Heading3"/>
        <w:pageBreakBefore/>
        <w:spacing w:before="0"/>
      </w:pPr>
      <w:bookmarkStart w:id="65" w:name="_Toc97629576"/>
      <w:bookmarkStart w:id="66" w:name="_Toc97629929"/>
      <w:bookmarkStart w:id="67" w:name="_Toc97630467"/>
      <w:bookmarkStart w:id="68" w:name="_Toc98748382"/>
      <w:bookmarkStart w:id="69" w:name="_Toc98766022"/>
      <w:bookmarkStart w:id="70" w:name="_Toc98834289"/>
      <w:bookmarkStart w:id="71" w:name="_Toc98946871"/>
      <w:r>
        <w:rPr>
          <w:rStyle w:val="CharDivNo"/>
        </w:rPr>
        <w:lastRenderedPageBreak/>
        <w:t>Division 2</w:t>
      </w:r>
      <w:r>
        <w:rPr>
          <w:snapToGrid w:val="0"/>
        </w:rPr>
        <w:t> — </w:t>
      </w:r>
      <w:r>
        <w:rPr>
          <w:rStyle w:val="CharDivText"/>
        </w:rPr>
        <w:t>Permits and drilling reservations</w:t>
      </w:r>
      <w:bookmarkEnd w:id="65"/>
      <w:bookmarkEnd w:id="66"/>
      <w:bookmarkEnd w:id="67"/>
      <w:bookmarkEnd w:id="68"/>
      <w:bookmarkEnd w:id="69"/>
      <w:bookmarkEnd w:id="70"/>
      <w:bookmarkEnd w:id="71"/>
    </w:p>
    <w:p>
      <w:pPr>
        <w:pStyle w:val="Footnoteheading"/>
        <w:keepNext/>
      </w:pPr>
      <w:r>
        <w:tab/>
        <w:t>[Heading inserted: No. 78 of 1990 s. 5.]</w:t>
      </w:r>
    </w:p>
    <w:p>
      <w:pPr>
        <w:pStyle w:val="Heading5"/>
        <w:spacing w:before="180"/>
        <w:rPr>
          <w:snapToGrid w:val="0"/>
        </w:rPr>
      </w:pPr>
      <w:bookmarkStart w:id="72" w:name="_Toc98946872"/>
      <w:r>
        <w:rPr>
          <w:rStyle w:val="CharSectno"/>
        </w:rPr>
        <w:t>29</w:t>
      </w:r>
      <w:r>
        <w:rPr>
          <w:snapToGrid w:val="0"/>
        </w:rPr>
        <w:t>.</w:t>
      </w:r>
      <w:r>
        <w:rPr>
          <w:snapToGrid w:val="0"/>
        </w:rPr>
        <w:tab/>
        <w:t>Exploration for petroleum and</w:t>
      </w:r>
      <w:r>
        <w:t xml:space="preserve"> geothermal energy resources restricted</w:t>
      </w:r>
      <w:bookmarkEnd w:id="72"/>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No. 12 of 1990 s. 20; amended: No. 78 of 1990 s. 7; No. 28 of 1994 s. 6; No. 35 of 2007 s. 19; No. 42 of 2010 s. 62(15).]</w:t>
      </w:r>
    </w:p>
    <w:p>
      <w:pPr>
        <w:pStyle w:val="Heading5"/>
        <w:spacing w:before="180"/>
        <w:rPr>
          <w:snapToGrid w:val="0"/>
        </w:rPr>
      </w:pPr>
      <w:bookmarkStart w:id="73" w:name="_Toc98946873"/>
      <w:r>
        <w:rPr>
          <w:rStyle w:val="CharSectno"/>
        </w:rPr>
        <w:t>30</w:t>
      </w:r>
      <w:r>
        <w:rPr>
          <w:snapToGrid w:val="0"/>
        </w:rPr>
        <w:t>.</w:t>
      </w:r>
      <w:r>
        <w:rPr>
          <w:snapToGrid w:val="0"/>
        </w:rPr>
        <w:tab/>
        <w:t>Advertisement of blocks</w:t>
      </w:r>
      <w:bookmarkEnd w:id="7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 xml:space="preserve">The Minister may, for reasons that he thinks sufficient, in an instrument under subsection (1), direct that subsection (2) or (3) </w:t>
      </w:r>
      <w:r>
        <w:rPr>
          <w:snapToGrid w:val="0"/>
        </w:rPr>
        <w:lastRenderedPageBreak/>
        <w:t>of section 31 does not apply, or that both of those subsections do not apply, to or in relation to the applications.</w:t>
      </w:r>
    </w:p>
    <w:p>
      <w:pPr>
        <w:pStyle w:val="Footnotesection"/>
        <w:ind w:left="890" w:hanging="890"/>
      </w:pPr>
      <w:r>
        <w:tab/>
        <w:t>[Section 30 amended: No. 12 of 1990 s. 21.]</w:t>
      </w:r>
    </w:p>
    <w:p>
      <w:pPr>
        <w:pStyle w:val="Heading5"/>
        <w:spacing w:before="180"/>
        <w:rPr>
          <w:snapToGrid w:val="0"/>
        </w:rPr>
      </w:pPr>
      <w:bookmarkStart w:id="74" w:name="_Toc98946874"/>
      <w:r>
        <w:rPr>
          <w:rStyle w:val="CharSectno"/>
        </w:rPr>
        <w:t>31</w:t>
      </w:r>
      <w:r>
        <w:rPr>
          <w:snapToGrid w:val="0"/>
        </w:rPr>
        <w:t>.</w:t>
      </w:r>
      <w:r>
        <w:rPr>
          <w:snapToGrid w:val="0"/>
        </w:rPr>
        <w:tab/>
        <w:t>Application for permit</w:t>
      </w:r>
      <w:bookmarkEnd w:id="74"/>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lastRenderedPageBreak/>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No. 69 of 1981 s. 34; No. 12 of 1990 s. 22; No. 28 of 1994 s. 7; No. 35 of 2007 s. 20; No. 42 of 2010 s. 6.]</w:t>
      </w:r>
    </w:p>
    <w:p>
      <w:pPr>
        <w:pStyle w:val="Heading5"/>
      </w:pPr>
      <w:bookmarkStart w:id="75" w:name="_Toc98946875"/>
      <w:r>
        <w:rPr>
          <w:rStyle w:val="CharSectno"/>
        </w:rPr>
        <w:t>32A</w:t>
      </w:r>
      <w:r>
        <w:t>.</w:t>
      </w:r>
      <w:r>
        <w:tab/>
        <w:t>More than one permit application for same block or blocks</w:t>
      </w:r>
      <w:bookmarkEnd w:id="75"/>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lastRenderedPageBreak/>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No. 42 of 2010 s. 7.]</w:t>
      </w:r>
    </w:p>
    <w:p>
      <w:pPr>
        <w:pStyle w:val="Heading5"/>
        <w:rPr>
          <w:snapToGrid w:val="0"/>
        </w:rPr>
      </w:pPr>
      <w:bookmarkStart w:id="76" w:name="_Toc98946876"/>
      <w:r>
        <w:rPr>
          <w:rStyle w:val="CharSectno"/>
        </w:rPr>
        <w:t>32</w:t>
      </w:r>
      <w:r>
        <w:rPr>
          <w:snapToGrid w:val="0"/>
        </w:rPr>
        <w:t>.</w:t>
      </w:r>
      <w:r>
        <w:rPr>
          <w:snapToGrid w:val="0"/>
        </w:rPr>
        <w:tab/>
        <w:t>Grant or refusal of permit in relation to application</w:t>
      </w:r>
      <w:bookmarkEnd w:id="76"/>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lastRenderedPageBreak/>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No. 28 of 1994 s. 8; No. 35 of 2007 s. 21; No. 42 of 2010 s. 8.]</w:t>
      </w:r>
    </w:p>
    <w:p>
      <w:pPr>
        <w:pStyle w:val="Heading5"/>
      </w:pPr>
      <w:bookmarkStart w:id="77" w:name="_Toc98946877"/>
      <w:r>
        <w:rPr>
          <w:rStyle w:val="CharSectno"/>
        </w:rPr>
        <w:t>33A</w:t>
      </w:r>
      <w:r>
        <w:t>.</w:t>
      </w:r>
      <w:r>
        <w:tab/>
        <w:t>Withdrawal of application</w:t>
      </w:r>
      <w:bookmarkEnd w:id="77"/>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No. 42 of 2010 s. 9.]</w:t>
      </w:r>
    </w:p>
    <w:p>
      <w:pPr>
        <w:pStyle w:val="Heading5"/>
      </w:pPr>
      <w:bookmarkStart w:id="78" w:name="_Toc98946878"/>
      <w:r>
        <w:rPr>
          <w:rStyle w:val="CharSectno"/>
        </w:rPr>
        <w:t>33B</w:t>
      </w:r>
      <w:r>
        <w:t>.</w:t>
      </w:r>
      <w:r>
        <w:tab/>
        <w:t>Application continued after withdrawal of joint applicant</w:t>
      </w:r>
      <w:bookmarkEnd w:id="78"/>
    </w:p>
    <w:p>
      <w:pPr>
        <w:pStyle w:val="Subsection"/>
        <w:keepNext/>
      </w:pPr>
      <w:r>
        <w:tab/>
      </w:r>
      <w:r>
        <w:tab/>
        <w:t xml:space="preserve">If — </w:t>
      </w:r>
    </w:p>
    <w:p>
      <w:pPr>
        <w:pStyle w:val="Indenta"/>
      </w:pPr>
      <w:r>
        <w:tab/>
        <w:t>(a)</w:t>
      </w:r>
      <w:r>
        <w:tab/>
        <w:t>a permit application was a joint application; and</w:t>
      </w:r>
    </w:p>
    <w:p>
      <w:pPr>
        <w:pStyle w:val="Indenta"/>
      </w:pPr>
      <w:r>
        <w:tab/>
        <w:t>(b)</w:t>
      </w:r>
      <w:r>
        <w:tab/>
        <w:t xml:space="preserve">all of the joint applicants, by written notice served on the Minister, inform the Minister that one or more, but not </w:t>
      </w:r>
      <w:r>
        <w:lastRenderedPageBreak/>
        <w:t>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No. 42 of 2010 s. 9.]</w:t>
      </w:r>
    </w:p>
    <w:p>
      <w:pPr>
        <w:pStyle w:val="Heading5"/>
        <w:spacing w:before="180"/>
      </w:pPr>
      <w:bookmarkStart w:id="79" w:name="_Toc98946879"/>
      <w:r>
        <w:rPr>
          <w:rStyle w:val="CharSectno"/>
        </w:rPr>
        <w:t>33C</w:t>
      </w:r>
      <w:r>
        <w:t>.</w:t>
      </w:r>
      <w:r>
        <w:tab/>
        <w:t>Effect of withdrawal or lapse of s. 30 application</w:t>
      </w:r>
      <w:bookmarkEnd w:id="79"/>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 xml:space="preserve">if the applicant or one of the applicants whose application had been withdrawn had requested the Minister under section 32(3) to grant a permit to the </w:t>
      </w:r>
      <w:r>
        <w:lastRenderedPageBreak/>
        <w:t>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No. 42 of 2010 s. 9.]</w:t>
      </w:r>
    </w:p>
    <w:p>
      <w:pPr>
        <w:pStyle w:val="Heading5"/>
        <w:rPr>
          <w:snapToGrid w:val="0"/>
        </w:rPr>
      </w:pPr>
      <w:bookmarkStart w:id="80" w:name="_Toc98946880"/>
      <w:r>
        <w:rPr>
          <w:rStyle w:val="CharSectno"/>
        </w:rPr>
        <w:t>33</w:t>
      </w:r>
      <w:r>
        <w:rPr>
          <w:snapToGrid w:val="0"/>
        </w:rPr>
        <w:t>.</w:t>
      </w:r>
      <w:r>
        <w:rPr>
          <w:snapToGrid w:val="0"/>
        </w:rPr>
        <w:tab/>
        <w:t>Application for permit in respect of surrendered etc. blocks</w:t>
      </w:r>
      <w:bookmarkEnd w:id="8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lastRenderedPageBreak/>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No. 12 of 1990 s. 23; No. 28 of 1994 s. 9; No. 35 of 2007 s. 22; No. 42 of 2010 s. 10.]</w:t>
      </w:r>
    </w:p>
    <w:p>
      <w:pPr>
        <w:pStyle w:val="Heading5"/>
        <w:rPr>
          <w:snapToGrid w:val="0"/>
        </w:rPr>
      </w:pPr>
      <w:bookmarkStart w:id="81" w:name="_Toc98946881"/>
      <w:r>
        <w:rPr>
          <w:rStyle w:val="CharSectno"/>
        </w:rPr>
        <w:lastRenderedPageBreak/>
        <w:t>34</w:t>
      </w:r>
      <w:r>
        <w:rPr>
          <w:snapToGrid w:val="0"/>
        </w:rPr>
        <w:t>.</w:t>
      </w:r>
      <w:r>
        <w:rPr>
          <w:snapToGrid w:val="0"/>
        </w:rPr>
        <w:tab/>
        <w:t>Application fee etc.</w:t>
      </w:r>
      <w:bookmarkEnd w:id="81"/>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No. 69 of 1981 s. 34; No. 12 of 1990 s. 24; No. 42 of 2010 s. 11.]</w:t>
      </w:r>
    </w:p>
    <w:p>
      <w:pPr>
        <w:pStyle w:val="Heading5"/>
        <w:keepLines w:val="0"/>
        <w:spacing w:before="240"/>
        <w:rPr>
          <w:snapToGrid w:val="0"/>
        </w:rPr>
      </w:pPr>
      <w:bookmarkStart w:id="82" w:name="_Toc98946882"/>
      <w:r>
        <w:rPr>
          <w:rStyle w:val="CharSectno"/>
        </w:rPr>
        <w:t>35</w:t>
      </w:r>
      <w:r>
        <w:rPr>
          <w:snapToGrid w:val="0"/>
        </w:rPr>
        <w:t>.</w:t>
      </w:r>
      <w:r>
        <w:rPr>
          <w:snapToGrid w:val="0"/>
        </w:rPr>
        <w:tab/>
        <w:t>Consideration of application</w:t>
      </w:r>
      <w:bookmarkEnd w:id="8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lastRenderedPageBreak/>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No. 12 of 1990 s. 25; No. 28 of 1994 s. 10; No. 35 of 2007 s. 23; No. 42 of 2010 s. 12.]</w:t>
      </w:r>
    </w:p>
    <w:p>
      <w:pPr>
        <w:pStyle w:val="Heading5"/>
        <w:rPr>
          <w:snapToGrid w:val="0"/>
        </w:rPr>
      </w:pPr>
      <w:bookmarkStart w:id="83" w:name="_Toc98946883"/>
      <w:r>
        <w:rPr>
          <w:rStyle w:val="CharSectno"/>
        </w:rPr>
        <w:t>36</w:t>
      </w:r>
      <w:r>
        <w:rPr>
          <w:snapToGrid w:val="0"/>
        </w:rPr>
        <w:t>.</w:t>
      </w:r>
      <w:r>
        <w:rPr>
          <w:snapToGrid w:val="0"/>
        </w:rPr>
        <w:tab/>
        <w:t>Request by applicant for grant of permit in respect of advertised block</w:t>
      </w:r>
      <w:bookmarkEnd w:id="83"/>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lastRenderedPageBreak/>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No. 28 of 1994 s. 11; No. 42 of 2010 s. 13.]</w:t>
      </w:r>
    </w:p>
    <w:p>
      <w:pPr>
        <w:pStyle w:val="Heading5"/>
        <w:rPr>
          <w:snapToGrid w:val="0"/>
        </w:rPr>
      </w:pPr>
      <w:bookmarkStart w:id="84" w:name="_Toc98946884"/>
      <w:r>
        <w:rPr>
          <w:rStyle w:val="CharSectno"/>
        </w:rPr>
        <w:t>37</w:t>
      </w:r>
      <w:r>
        <w:rPr>
          <w:snapToGrid w:val="0"/>
        </w:rPr>
        <w:t>.</w:t>
      </w:r>
      <w:r>
        <w:rPr>
          <w:snapToGrid w:val="0"/>
        </w:rPr>
        <w:tab/>
        <w:t>Grant of permit on request</w:t>
      </w:r>
      <w:bookmarkEnd w:id="84"/>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No. 28 of 1994 s. 12; No. 35 of 2007 s. 24; No. 42 of 2010 s. 14.]</w:t>
      </w:r>
    </w:p>
    <w:p>
      <w:pPr>
        <w:pStyle w:val="Heading5"/>
        <w:keepNext w:val="0"/>
        <w:keepLines w:val="0"/>
        <w:pageBreakBefore/>
        <w:spacing w:before="0"/>
        <w:rPr>
          <w:snapToGrid w:val="0"/>
        </w:rPr>
      </w:pPr>
      <w:bookmarkStart w:id="85" w:name="_Toc98946885"/>
      <w:r>
        <w:rPr>
          <w:rStyle w:val="CharSectno"/>
        </w:rPr>
        <w:lastRenderedPageBreak/>
        <w:t>37A</w:t>
      </w:r>
      <w:r>
        <w:rPr>
          <w:snapToGrid w:val="0"/>
        </w:rPr>
        <w:t>.</w:t>
      </w:r>
      <w:r>
        <w:rPr>
          <w:snapToGrid w:val="0"/>
        </w:rPr>
        <w:tab/>
        <w:t>Permit for 2 or more blocks may be divided into 2 or more permits</w:t>
      </w:r>
      <w:bookmarkEnd w:id="85"/>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lastRenderedPageBreak/>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No. 28 of 1994 s. 13; amended: No. 35 of 2007 s. 25.]</w:t>
      </w:r>
    </w:p>
    <w:p>
      <w:pPr>
        <w:pStyle w:val="Heading5"/>
      </w:pPr>
      <w:bookmarkStart w:id="86" w:name="_Toc98946886"/>
      <w:r>
        <w:rPr>
          <w:rStyle w:val="CharSectno"/>
        </w:rPr>
        <w:t>37B</w:t>
      </w:r>
      <w:r>
        <w:t>.</w:t>
      </w:r>
      <w:r>
        <w:tab/>
        <w:t>Grant of boundary-change permit</w:t>
      </w:r>
      <w:bookmarkEnd w:id="86"/>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lastRenderedPageBreak/>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 that are in the offshore area; and</w:t>
      </w:r>
    </w:p>
    <w:p>
      <w:pPr>
        <w:pStyle w:val="Indenti"/>
      </w:pPr>
      <w:r>
        <w:lastRenderedPageBreak/>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covered by paragraph (a); and</w:t>
      </w:r>
    </w:p>
    <w:p>
      <w:pPr>
        <w:pStyle w:val="Indenti"/>
      </w:pPr>
      <w:r>
        <w:tab/>
        <w:t>(ii)</w:t>
      </w:r>
      <w:r>
        <w:tab/>
        <w:t>are in the inshore area; and</w:t>
      </w:r>
    </w:p>
    <w:p>
      <w:pPr>
        <w:pStyle w:val="Indenti"/>
      </w:pPr>
      <w:r>
        <w:lastRenderedPageBreak/>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permit immediately before the change; and</w:t>
      </w:r>
    </w:p>
    <w:p>
      <w:pPr>
        <w:pStyle w:val="Indenti"/>
      </w:pPr>
      <w:r>
        <w:tab/>
        <w:t>(ii)</w:t>
      </w:r>
      <w:r>
        <w:tab/>
        <w:t>are in the inshore area; and</w:t>
      </w:r>
    </w:p>
    <w:p>
      <w:pPr>
        <w:pStyle w:val="Indenti"/>
      </w:pPr>
      <w:r>
        <w:lastRenderedPageBreak/>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27 block that was covered by the Commonwealth permit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Subsection"/>
      </w:pPr>
      <w:r>
        <w:tab/>
        <w:t>(9)</w:t>
      </w:r>
      <w:r>
        <w:tab/>
        <w:t>An assumption in subsection (5)(a) or (6)(a) does not affect subsection (8).</w:t>
      </w:r>
    </w:p>
    <w:p>
      <w:pPr>
        <w:pStyle w:val="Footnotesection"/>
      </w:pPr>
      <w:r>
        <w:tab/>
        <w:t>[Section 37B inserted: No. 7 of 2017 s. 8.]</w:t>
      </w:r>
    </w:p>
    <w:p>
      <w:pPr>
        <w:pStyle w:val="Heading5"/>
        <w:pageBreakBefore/>
        <w:spacing w:before="0"/>
        <w:rPr>
          <w:snapToGrid w:val="0"/>
        </w:rPr>
      </w:pPr>
      <w:bookmarkStart w:id="87" w:name="_Toc98946887"/>
      <w:r>
        <w:rPr>
          <w:rStyle w:val="CharSectno"/>
        </w:rPr>
        <w:lastRenderedPageBreak/>
        <w:t>38</w:t>
      </w:r>
      <w:r>
        <w:rPr>
          <w:snapToGrid w:val="0"/>
        </w:rPr>
        <w:t>.</w:t>
      </w:r>
      <w:r>
        <w:rPr>
          <w:snapToGrid w:val="0"/>
        </w:rPr>
        <w:tab/>
        <w:t>Rights conferred by permit</w:t>
      </w:r>
      <w:bookmarkEnd w:id="87"/>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No. 13 of 2005 s. 16(2); No. 35 of 2007 s. 26.]</w:t>
      </w:r>
    </w:p>
    <w:p>
      <w:pPr>
        <w:pStyle w:val="Heading5"/>
        <w:rPr>
          <w:snapToGrid w:val="0"/>
        </w:rPr>
      </w:pPr>
      <w:bookmarkStart w:id="88" w:name="_Toc98946888"/>
      <w:r>
        <w:rPr>
          <w:rStyle w:val="CharSectno"/>
        </w:rPr>
        <w:t>39</w:t>
      </w:r>
      <w:r>
        <w:rPr>
          <w:snapToGrid w:val="0"/>
        </w:rPr>
        <w:t>.</w:t>
      </w:r>
      <w:r>
        <w:rPr>
          <w:snapToGrid w:val="0"/>
        </w:rPr>
        <w:tab/>
        <w:t>Term of permit</w:t>
      </w:r>
      <w:bookmarkEnd w:id="88"/>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lastRenderedPageBreak/>
        <w:tab/>
        <w:t>(1A)</w:t>
      </w:r>
      <w:r>
        <w:tab/>
        <w:t>Subject to this Part, a boundary-change permit granted under section 37B(5) remains in force for a period of 5 years commencing on the day on which the permit is granted.</w:t>
      </w:r>
    </w:p>
    <w:p>
      <w:pPr>
        <w:pStyle w:val="Subsection"/>
      </w:pPr>
      <w:r>
        <w:tab/>
        <w:t>(1B)</w:t>
      </w:r>
      <w:r>
        <w:tab/>
        <w:t>Subject to this Part, a boundary-change permit granted under section 37B(6) remains in force for a period of 12 months commencing on the day on which the permit is granted.</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No. 12 of 1990 s. 26; No. 28 of 1994 s. 14; No. 42 of 2010 s. 15; No. 7 of 2017 s. 9.]</w:t>
      </w:r>
    </w:p>
    <w:p>
      <w:pPr>
        <w:pStyle w:val="Heading5"/>
        <w:pageBreakBefore/>
        <w:spacing w:before="0"/>
        <w:rPr>
          <w:snapToGrid w:val="0"/>
        </w:rPr>
      </w:pPr>
      <w:bookmarkStart w:id="89" w:name="_Toc98946889"/>
      <w:r>
        <w:rPr>
          <w:rStyle w:val="CharSectno"/>
        </w:rPr>
        <w:lastRenderedPageBreak/>
        <w:t>40</w:t>
      </w:r>
      <w:r>
        <w:rPr>
          <w:snapToGrid w:val="0"/>
        </w:rPr>
        <w:t>.</w:t>
      </w:r>
      <w:r>
        <w:rPr>
          <w:snapToGrid w:val="0"/>
        </w:rPr>
        <w:tab/>
        <w:t>Application for renewal of permit</w:t>
      </w:r>
      <w:bookmarkEnd w:id="89"/>
    </w:p>
    <w:p>
      <w:pPr>
        <w:pStyle w:val="Subsection"/>
        <w:rPr>
          <w:snapToGrid w:val="0"/>
        </w:rPr>
      </w:pPr>
      <w:r>
        <w:rPr>
          <w:snapToGrid w:val="0"/>
        </w:rPr>
        <w:tab/>
        <w:t>(1)</w:t>
      </w:r>
      <w:r>
        <w:rPr>
          <w:snapToGrid w:val="0"/>
        </w:rPr>
        <w:tab/>
        <w:t xml:space="preserve">Subject to </w:t>
      </w:r>
      <w:r>
        <w:t xml:space="preserve">sections 41, 42A and 42B,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No. 69 of 1981 s. 34; No. 12 of 1990 s. 27; No. 42 of 2010 s. 16; No. 7 of 2017 s. 10.]</w:t>
      </w:r>
    </w:p>
    <w:p>
      <w:pPr>
        <w:pStyle w:val="Heading5"/>
        <w:spacing w:before="240"/>
        <w:rPr>
          <w:snapToGrid w:val="0"/>
        </w:rPr>
      </w:pPr>
      <w:bookmarkStart w:id="90" w:name="_Toc98946890"/>
      <w:r>
        <w:rPr>
          <w:rStyle w:val="CharSectno"/>
        </w:rPr>
        <w:t>41</w:t>
      </w:r>
      <w:r>
        <w:rPr>
          <w:snapToGrid w:val="0"/>
        </w:rPr>
        <w:t>.</w:t>
      </w:r>
      <w:r>
        <w:rPr>
          <w:snapToGrid w:val="0"/>
        </w:rPr>
        <w:tab/>
        <w:t>Application for renewal of permit to be in respect of reduced area</w:t>
      </w:r>
      <w:bookmarkEnd w:id="9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lastRenderedPageBreak/>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inshore area; and</w:t>
      </w:r>
    </w:p>
    <w:p>
      <w:pPr>
        <w:pStyle w:val="Indenta"/>
      </w:pPr>
      <w:r>
        <w:lastRenderedPageBreak/>
        <w:tab/>
        <w:t>(b)</w:t>
      </w:r>
      <w:r>
        <w:tab/>
        <w:t xml:space="preserve">as a result of a change to the boundary of the offshore area, the relevant area — </w:t>
      </w:r>
    </w:p>
    <w:p>
      <w:pPr>
        <w:pStyle w:val="Indenti"/>
      </w:pPr>
      <w:r>
        <w:tab/>
        <w:t>(i)</w:t>
      </w:r>
      <w:r>
        <w:tab/>
        <w:t>ceased to be within the inshore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Footnotesection"/>
        <w:ind w:left="890" w:hanging="890"/>
      </w:pPr>
      <w:r>
        <w:tab/>
        <w:t>[Section 41 amended: No. 12 of 1990 s. 28; No. 28 of 1994 s. 15; No. 42 of 2010 s. 17; No. 7 of 2017 s. 11.]</w:t>
      </w:r>
    </w:p>
    <w:p>
      <w:pPr>
        <w:pStyle w:val="Heading5"/>
        <w:spacing w:before="240"/>
      </w:pPr>
      <w:bookmarkStart w:id="91" w:name="_Toc98946891"/>
      <w:r>
        <w:rPr>
          <w:rStyle w:val="CharSectno"/>
        </w:rPr>
        <w:t>42A</w:t>
      </w:r>
      <w:r>
        <w:t>.</w:t>
      </w:r>
      <w:r>
        <w:tab/>
        <w:t>Certain permits cannot be renewed more than twice</w:t>
      </w:r>
      <w:bookmarkEnd w:id="91"/>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lastRenderedPageBreak/>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No. 42 of 2010 s. 18.]</w:t>
      </w:r>
    </w:p>
    <w:p>
      <w:pPr>
        <w:pStyle w:val="Heading5"/>
      </w:pPr>
      <w:bookmarkStart w:id="92" w:name="_Toc98946892"/>
      <w:r>
        <w:rPr>
          <w:rStyle w:val="CharSectno"/>
        </w:rPr>
        <w:t>42B</w:t>
      </w:r>
      <w:r>
        <w:t>.</w:t>
      </w:r>
      <w:r>
        <w:tab/>
        <w:t>Limits on renewal of boundary-change permits</w:t>
      </w:r>
      <w:bookmarkEnd w:id="92"/>
    </w:p>
    <w:p>
      <w:pPr>
        <w:pStyle w:val="Subsection"/>
      </w:pPr>
      <w:r>
        <w:tab/>
        <w:t>(1)</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otherwise than by way of renewal,</w:t>
      </w:r>
    </w:p>
    <w:p>
      <w:pPr>
        <w:pStyle w:val="Subsection"/>
      </w:pPr>
      <w:r>
        <w:tab/>
      </w:r>
      <w:r>
        <w:tab/>
        <w:t xml:space="preserve">then — </w:t>
      </w:r>
    </w:p>
    <w:p>
      <w:pPr>
        <w:pStyle w:val="Indenta"/>
      </w:pPr>
      <w:r>
        <w:tab/>
        <w:t>(c)</w:t>
      </w:r>
      <w:r>
        <w:tab/>
        <w:t>section 41 applies to an application for the renewal of the boundary-change permit; and</w:t>
      </w:r>
    </w:p>
    <w:p>
      <w:pPr>
        <w:pStyle w:val="Indenta"/>
      </w:pPr>
      <w:r>
        <w:tab/>
        <w:t>(d)</w:t>
      </w:r>
      <w:r>
        <w:tab/>
        <w:t>an application must not be made for the renewal of the boundary-change permit if the Minister has previously granted a renewal of the permit.</w:t>
      </w:r>
    </w:p>
    <w:p>
      <w:pPr>
        <w:pStyle w:val="Subsection"/>
      </w:pPr>
      <w:r>
        <w:tab/>
        <w:t>(2)</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by way of renewal,</w:t>
      </w:r>
    </w:p>
    <w:p>
      <w:pPr>
        <w:pStyle w:val="Subsection"/>
      </w:pPr>
      <w:r>
        <w:tab/>
      </w:r>
      <w:r>
        <w:tab/>
        <w:t>an application must not be made for the renewal of the boundary-change permit.</w:t>
      </w:r>
    </w:p>
    <w:p>
      <w:pPr>
        <w:pStyle w:val="Subsection"/>
      </w:pPr>
      <w:r>
        <w:tab/>
        <w:t>(3)</w:t>
      </w:r>
      <w:r>
        <w:tab/>
        <w:t>If a boundary-change permit is granted under section 37B(6), an application must not be made for the renewal of the permit.</w:t>
      </w:r>
    </w:p>
    <w:p>
      <w:pPr>
        <w:pStyle w:val="Footnotesection"/>
      </w:pPr>
      <w:r>
        <w:tab/>
        <w:t>[Section 42B inserted: No. 7 of 2017 s. 12.]</w:t>
      </w:r>
    </w:p>
    <w:p>
      <w:pPr>
        <w:pStyle w:val="Heading5"/>
        <w:rPr>
          <w:snapToGrid w:val="0"/>
        </w:rPr>
      </w:pPr>
      <w:bookmarkStart w:id="93" w:name="_Toc98946893"/>
      <w:r>
        <w:rPr>
          <w:rStyle w:val="CharSectno"/>
        </w:rPr>
        <w:lastRenderedPageBreak/>
        <w:t>42</w:t>
      </w:r>
      <w:r>
        <w:rPr>
          <w:snapToGrid w:val="0"/>
        </w:rPr>
        <w:t>.</w:t>
      </w:r>
      <w:r>
        <w:rPr>
          <w:snapToGrid w:val="0"/>
        </w:rPr>
        <w:tab/>
        <w:t>Grant or refusal of renewal of permit</w:t>
      </w:r>
      <w:bookmarkEnd w:id="93"/>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lastRenderedPageBreak/>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lastRenderedPageBreak/>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No. 28 of 1994 s. 16.]</w:t>
      </w:r>
    </w:p>
    <w:p>
      <w:pPr>
        <w:pStyle w:val="Heading5"/>
        <w:spacing w:before="180"/>
        <w:rPr>
          <w:snapToGrid w:val="0"/>
        </w:rPr>
      </w:pPr>
      <w:bookmarkStart w:id="94" w:name="_Toc98946894"/>
      <w:r>
        <w:rPr>
          <w:rStyle w:val="CharSectno"/>
        </w:rPr>
        <w:t>43</w:t>
      </w:r>
      <w:r>
        <w:rPr>
          <w:snapToGrid w:val="0"/>
        </w:rPr>
        <w:t>.</w:t>
      </w:r>
      <w:r>
        <w:rPr>
          <w:snapToGrid w:val="0"/>
        </w:rPr>
        <w:tab/>
        <w:t>Conditions of permit</w:t>
      </w:r>
      <w:bookmarkEnd w:id="94"/>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boundary-change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Subsection"/>
      </w:pPr>
      <w:r>
        <w:tab/>
        <w:t>(3)</w:t>
      </w:r>
      <w:r>
        <w:tab/>
        <w:t>The Minister may, by written notice given to the permittee, vary a boundary-change permit by imposing one or more conditions to which the permit is subject.</w:t>
      </w:r>
    </w:p>
    <w:p>
      <w:pPr>
        <w:pStyle w:val="Subsection"/>
      </w:pPr>
      <w:r>
        <w:lastRenderedPageBreak/>
        <w:tab/>
        <w:t>(4)</w:t>
      </w:r>
      <w:r>
        <w:tab/>
        <w:t>A notice under subsection (3) may only be given within 14 days after the grant of the boundary-change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Indenta"/>
      </w:pPr>
      <w:r>
        <w:tab/>
        <w:t>(a)</w:t>
      </w:r>
      <w:r>
        <w:tab/>
        <w:t>the boundary-change permit; or</w:t>
      </w:r>
    </w:p>
    <w:p>
      <w:pPr>
        <w:pStyle w:val="Indenta"/>
      </w:pPr>
      <w:r>
        <w:tab/>
        <w:t>(b)</w:t>
      </w:r>
      <w:r>
        <w:tab/>
        <w:t>a permit granted by way of the renewal of the boundary-change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boundary-change permit is granted; and</w:t>
      </w:r>
    </w:p>
    <w:p>
      <w:pPr>
        <w:pStyle w:val="Indenta"/>
      </w:pPr>
      <w:r>
        <w:tab/>
        <w:t>(b)</w:t>
      </w:r>
      <w:r>
        <w:tab/>
        <w:t xml:space="preserve">the relevant Commonwealth permit that ceases to be in force, as mentioned in section 37B(3)(b) or (4)(b), is a </w:t>
      </w:r>
      <w:r>
        <w:lastRenderedPageBreak/>
        <w:t>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boundary-change permit; or</w:t>
      </w:r>
    </w:p>
    <w:p>
      <w:pPr>
        <w:pStyle w:val="Indenta"/>
      </w:pPr>
      <w:r>
        <w:tab/>
        <w:t>(d)</w:t>
      </w:r>
      <w:r>
        <w:tab/>
        <w:t>a permit granted by way of the renewal of the boundary-change permit.</w:t>
      </w:r>
    </w:p>
    <w:p>
      <w:pPr>
        <w:pStyle w:val="Subsection"/>
      </w:pPr>
      <w:r>
        <w:tab/>
        <w:t>(10)</w:t>
      </w:r>
      <w:r>
        <w:tab/>
        <w:t xml:space="preserve">The following conditions are specified for the purposes of subsection (9) — </w:t>
      </w:r>
    </w:p>
    <w:p>
      <w:pPr>
        <w:pStyle w:val="Indenta"/>
      </w:pPr>
      <w:r>
        <w:tab/>
        <w:t>(a)</w:t>
      </w:r>
      <w:r>
        <w:tab/>
        <w:t xml:space="preserve">conditions requiring the permittee to carry out work in, or in relation to, the permit area; </w:t>
      </w:r>
    </w:p>
    <w:p>
      <w:pPr>
        <w:pStyle w:val="Indenta"/>
      </w:pPr>
      <w:r>
        <w:tab/>
        <w:t>(b)</w:t>
      </w:r>
      <w:r>
        <w:tab/>
        <w:t>conditions requiring the permittee to spend particular amounts on the carrying out of work in, or in relation to, the permit area.</w:t>
      </w:r>
    </w:p>
    <w:p>
      <w:pPr>
        <w:pStyle w:val="Footnotesection"/>
      </w:pPr>
      <w:r>
        <w:tab/>
        <w:t>[Section 43 amended: No. 12 of 1990 s. 29; No. 7 of 2017 s. 13.]</w:t>
      </w:r>
    </w:p>
    <w:p>
      <w:pPr>
        <w:pStyle w:val="Heading5"/>
        <w:keepNext w:val="0"/>
        <w:rPr>
          <w:snapToGrid w:val="0"/>
        </w:rPr>
      </w:pPr>
      <w:bookmarkStart w:id="95" w:name="_Toc98946895"/>
      <w:r>
        <w:rPr>
          <w:rStyle w:val="CharSectno"/>
        </w:rPr>
        <w:t>43A</w:t>
      </w:r>
      <w:r>
        <w:rPr>
          <w:snapToGrid w:val="0"/>
        </w:rPr>
        <w:t>.</w:t>
      </w:r>
      <w:r>
        <w:rPr>
          <w:snapToGrid w:val="0"/>
        </w:rPr>
        <w:tab/>
        <w:t>Advertisement of blocks for drilling reservations</w:t>
      </w:r>
      <w:bookmarkEnd w:id="9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 xml:space="preserve">Applications for the grant of a geothermal drilling reservation shall not be invited under subsection (1) over any area that is </w:t>
      </w:r>
      <w:r>
        <w:lastRenderedPageBreak/>
        <w:t>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No. 78 of 1990 s. 6; amended: No. 28 of 1994 s. 17; No. 35 of 2007 s. 27.]</w:t>
      </w:r>
    </w:p>
    <w:p>
      <w:pPr>
        <w:pStyle w:val="Heading5"/>
        <w:rPr>
          <w:snapToGrid w:val="0"/>
        </w:rPr>
      </w:pPr>
      <w:bookmarkStart w:id="96" w:name="_Toc98946896"/>
      <w:r>
        <w:rPr>
          <w:rStyle w:val="CharSectno"/>
        </w:rPr>
        <w:t>43B</w:t>
      </w:r>
      <w:r>
        <w:rPr>
          <w:snapToGrid w:val="0"/>
        </w:rPr>
        <w:t>.</w:t>
      </w:r>
      <w:r>
        <w:rPr>
          <w:snapToGrid w:val="0"/>
        </w:rPr>
        <w:tab/>
        <w:t>Application for drilling reservation</w:t>
      </w:r>
      <w:bookmarkEnd w:id="96"/>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No. 78 of 1990 s. 6; amended: No. 28 of 1994 s. 18; No. 35 of 2007 s. 28; No. 42 of 2010 s. 19.]</w:t>
      </w:r>
    </w:p>
    <w:p>
      <w:pPr>
        <w:pStyle w:val="Heading5"/>
      </w:pPr>
      <w:bookmarkStart w:id="97" w:name="_Toc98946897"/>
      <w:r>
        <w:rPr>
          <w:rStyle w:val="CharSectno"/>
        </w:rPr>
        <w:t>43CA</w:t>
      </w:r>
      <w:r>
        <w:t>.</w:t>
      </w:r>
      <w:r>
        <w:tab/>
        <w:t>More than one drilling reservation application for same block or blocks</w:t>
      </w:r>
      <w:bookmarkEnd w:id="97"/>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 xml:space="preserve">The Minister may grant the drilling reservation to whichever applicant, in the Minister’s opinion, is most deserving of the </w:t>
      </w:r>
      <w:r>
        <w:lastRenderedPageBreak/>
        <w:t>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No. 42 of 2010 s. 20.]</w:t>
      </w:r>
    </w:p>
    <w:p>
      <w:pPr>
        <w:pStyle w:val="Heading5"/>
        <w:rPr>
          <w:snapToGrid w:val="0"/>
        </w:rPr>
      </w:pPr>
      <w:bookmarkStart w:id="98" w:name="_Toc98946898"/>
      <w:r>
        <w:rPr>
          <w:rStyle w:val="CharSectno"/>
        </w:rPr>
        <w:t>43C</w:t>
      </w:r>
      <w:r>
        <w:rPr>
          <w:snapToGrid w:val="0"/>
        </w:rPr>
        <w:t>.</w:t>
      </w:r>
      <w:r>
        <w:rPr>
          <w:snapToGrid w:val="0"/>
        </w:rPr>
        <w:tab/>
        <w:t>Grant or refusal in relation to applications for drilling reservations</w:t>
      </w:r>
      <w:bookmarkEnd w:id="98"/>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lastRenderedPageBreak/>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No. 78 of 1990 s. 6; amended: No. 28 of 1994 s. 19.]</w:t>
      </w:r>
    </w:p>
    <w:p>
      <w:pPr>
        <w:pStyle w:val="Heading5"/>
        <w:spacing w:before="180"/>
      </w:pPr>
      <w:bookmarkStart w:id="99" w:name="_Toc98946899"/>
      <w:r>
        <w:rPr>
          <w:rStyle w:val="CharSectno"/>
        </w:rPr>
        <w:lastRenderedPageBreak/>
        <w:t>43DA</w:t>
      </w:r>
      <w:r>
        <w:t>.</w:t>
      </w:r>
      <w:r>
        <w:tab/>
        <w:t>Withdrawal of application</w:t>
      </w:r>
      <w:bookmarkEnd w:id="99"/>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No. 42 of 2010 s. 21.]</w:t>
      </w:r>
    </w:p>
    <w:p>
      <w:pPr>
        <w:pStyle w:val="Heading5"/>
        <w:spacing w:before="180"/>
      </w:pPr>
      <w:bookmarkStart w:id="100" w:name="_Toc98946900"/>
      <w:r>
        <w:rPr>
          <w:rStyle w:val="CharSectno"/>
        </w:rPr>
        <w:t>43DB</w:t>
      </w:r>
      <w:r>
        <w:t>.</w:t>
      </w:r>
      <w:r>
        <w:tab/>
        <w:t>Application continued after withdrawal of joint applicant</w:t>
      </w:r>
      <w:bookmarkEnd w:id="100"/>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No. 42 of 2010 s. 21.]</w:t>
      </w:r>
    </w:p>
    <w:p>
      <w:pPr>
        <w:pStyle w:val="Heading5"/>
      </w:pPr>
      <w:bookmarkStart w:id="101" w:name="_Toc98946901"/>
      <w:r>
        <w:rPr>
          <w:rStyle w:val="CharSectno"/>
        </w:rPr>
        <w:lastRenderedPageBreak/>
        <w:t>43DC</w:t>
      </w:r>
      <w:r>
        <w:t>.</w:t>
      </w:r>
      <w:r>
        <w:tab/>
        <w:t>Effect of withdrawal or lapse of s. 43A application</w:t>
      </w:r>
      <w:bookmarkEnd w:id="101"/>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No. 42 of 2010 s. 21.]</w:t>
      </w:r>
    </w:p>
    <w:p>
      <w:pPr>
        <w:pStyle w:val="Heading5"/>
        <w:rPr>
          <w:snapToGrid w:val="0"/>
        </w:rPr>
      </w:pPr>
      <w:bookmarkStart w:id="102" w:name="_Toc98946902"/>
      <w:r>
        <w:rPr>
          <w:rStyle w:val="CharSectno"/>
        </w:rPr>
        <w:t>43D</w:t>
      </w:r>
      <w:r>
        <w:rPr>
          <w:snapToGrid w:val="0"/>
        </w:rPr>
        <w:t>.</w:t>
      </w:r>
      <w:r>
        <w:rPr>
          <w:snapToGrid w:val="0"/>
        </w:rPr>
        <w:tab/>
        <w:t>Rights conferred by drilling reservation</w:t>
      </w:r>
      <w:bookmarkEnd w:id="102"/>
    </w:p>
    <w:p>
      <w:pPr>
        <w:pStyle w:val="Subsection"/>
        <w:rPr>
          <w:snapToGrid w:val="0"/>
        </w:rPr>
      </w:pPr>
      <w:r>
        <w:rPr>
          <w:snapToGrid w:val="0"/>
        </w:rPr>
        <w:tab/>
        <w:t>(1)</w:t>
      </w:r>
      <w:r>
        <w:rPr>
          <w:snapToGrid w:val="0"/>
        </w:rPr>
        <w:tab/>
        <w:t xml:space="preserve">A petroleum drilling reservation, while it remains in force, authorises the holder of the drilling reservation, subject to this Act and in accordance with the conditions to which the drilling reservation is subject, to drill for petroleum, and to carry on </w:t>
      </w:r>
      <w:r>
        <w:rPr>
          <w:snapToGrid w:val="0"/>
        </w:rPr>
        <w:lastRenderedPageBreak/>
        <w:t>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No. 78 of 1990 s. 6; amended: No. 13 of 2005 s. 16(2); No. 35 of 2007 s. 29.]</w:t>
      </w:r>
    </w:p>
    <w:p>
      <w:pPr>
        <w:pStyle w:val="Heading5"/>
        <w:rPr>
          <w:snapToGrid w:val="0"/>
        </w:rPr>
      </w:pPr>
      <w:bookmarkStart w:id="103" w:name="_Toc98946903"/>
      <w:r>
        <w:rPr>
          <w:rStyle w:val="CharSectno"/>
        </w:rPr>
        <w:t>43E</w:t>
      </w:r>
      <w:r>
        <w:rPr>
          <w:snapToGrid w:val="0"/>
        </w:rPr>
        <w:t>.</w:t>
      </w:r>
      <w:r>
        <w:rPr>
          <w:snapToGrid w:val="0"/>
        </w:rPr>
        <w:tab/>
        <w:t>Term of drilling reservation</w:t>
      </w:r>
      <w:bookmarkEnd w:id="10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No. 78 of 1990 s. 6; amended: No. 17 of 1999 s. 25.]</w:t>
      </w:r>
    </w:p>
    <w:p>
      <w:pPr>
        <w:pStyle w:val="Heading5"/>
        <w:rPr>
          <w:snapToGrid w:val="0"/>
        </w:rPr>
      </w:pPr>
      <w:bookmarkStart w:id="104" w:name="_Toc98946904"/>
      <w:r>
        <w:rPr>
          <w:rStyle w:val="CharSectno"/>
        </w:rPr>
        <w:t>43F</w:t>
      </w:r>
      <w:r>
        <w:rPr>
          <w:snapToGrid w:val="0"/>
        </w:rPr>
        <w:t>.</w:t>
      </w:r>
      <w:r>
        <w:rPr>
          <w:snapToGrid w:val="0"/>
        </w:rPr>
        <w:tab/>
        <w:t>Extension of term of drilling reservation</w:t>
      </w:r>
      <w:bookmarkEnd w:id="104"/>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lastRenderedPageBreak/>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lastRenderedPageBreak/>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No. 78 of 1990 s. 6; amended: No. 28 of 1994 s. 20; No. 17 of 1999 s. 26(1)</w:t>
      </w:r>
      <w:r>
        <w:noBreakHyphen/>
        <w:t>(4).]</w:t>
      </w:r>
    </w:p>
    <w:p>
      <w:pPr>
        <w:pStyle w:val="Heading5"/>
        <w:spacing w:before="180"/>
        <w:rPr>
          <w:snapToGrid w:val="0"/>
        </w:rPr>
      </w:pPr>
      <w:bookmarkStart w:id="105" w:name="_Toc98946905"/>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05"/>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 xml:space="preserve">the permittee or the holder of the drilling reservation, as the case requires, shall, within a period of 3 days after the date of the </w:t>
      </w:r>
      <w:r>
        <w:lastRenderedPageBreak/>
        <w:t>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No. 12 of 1990 s. 30; No. 78 of 1990 s. 7; No. 35 of 2007 s. 30; No. 42 of 2010 s. 22.]</w:t>
      </w:r>
    </w:p>
    <w:p>
      <w:pPr>
        <w:pStyle w:val="Ednotesection"/>
        <w:spacing w:before="180"/>
      </w:pPr>
      <w:r>
        <w:t>[</w:t>
      </w:r>
      <w:r>
        <w:rPr>
          <w:b/>
        </w:rPr>
        <w:t>45.</w:t>
      </w:r>
      <w:r>
        <w:tab/>
        <w:t>Deleted: No. 42 of 2010 s. 23.]</w:t>
      </w:r>
    </w:p>
    <w:p>
      <w:pPr>
        <w:pStyle w:val="Heading5"/>
        <w:spacing w:before="180"/>
        <w:rPr>
          <w:snapToGrid w:val="0"/>
        </w:rPr>
      </w:pPr>
      <w:bookmarkStart w:id="106" w:name="_Toc98946906"/>
      <w:r>
        <w:rPr>
          <w:rStyle w:val="CharSectno"/>
        </w:rPr>
        <w:t>46</w:t>
      </w:r>
      <w:r>
        <w:rPr>
          <w:snapToGrid w:val="0"/>
        </w:rPr>
        <w:t>.</w:t>
      </w:r>
      <w:r>
        <w:rPr>
          <w:snapToGrid w:val="0"/>
        </w:rPr>
        <w:tab/>
        <w:t>Nomination of blocks as location</w:t>
      </w:r>
      <w:bookmarkEnd w:id="106"/>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 xml:space="preserve">If 2 or more geothermal resources areas are identified in a geothermal permit area or geothermal drilling reservation, the permittee or holder of the drilling reservation, as the case </w:t>
      </w:r>
      <w:r>
        <w:lastRenderedPageBreak/>
        <w:t>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lastRenderedPageBreak/>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No. 12 of 1990 s. 32; amended: No. 78 of 1990 s. 7; No. 35 of 2007 s. 32 (correction to reprint: Gazette 23 Jun 2009 p. 2470).]</w:t>
      </w:r>
    </w:p>
    <w:p>
      <w:pPr>
        <w:pStyle w:val="Heading5"/>
        <w:rPr>
          <w:snapToGrid w:val="0"/>
        </w:rPr>
      </w:pPr>
      <w:bookmarkStart w:id="107" w:name="_Toc98946907"/>
      <w:r>
        <w:rPr>
          <w:rStyle w:val="CharSectno"/>
        </w:rPr>
        <w:t>47</w:t>
      </w:r>
      <w:r>
        <w:rPr>
          <w:snapToGrid w:val="0"/>
        </w:rPr>
        <w:t>.</w:t>
      </w:r>
      <w:r>
        <w:rPr>
          <w:snapToGrid w:val="0"/>
        </w:rPr>
        <w:tab/>
        <w:t>Declaration of location</w:t>
      </w:r>
      <w:bookmarkEnd w:id="107"/>
    </w:p>
    <w:p>
      <w:pPr>
        <w:pStyle w:val="Subsection"/>
      </w:pPr>
      <w:r>
        <w:tab/>
        <w:t>(1A)</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lastRenderedPageBreak/>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pPr>
      <w:r>
        <w:tab/>
        <w:t>(2A)</w:t>
      </w:r>
      <w:r>
        <w:tab/>
        <w:t xml:space="preserve">Subsection (2B) applies if — </w:t>
      </w:r>
    </w:p>
    <w:p>
      <w:pPr>
        <w:pStyle w:val="Indenta"/>
      </w:pPr>
      <w:r>
        <w:tab/>
        <w:t>(a)</w:t>
      </w:r>
      <w:r>
        <w:tab/>
        <w:t>a boundary-change permit is granted over one or more section 27 blocks; and</w:t>
      </w:r>
    </w:p>
    <w:p>
      <w:pPr>
        <w:pStyle w:val="Indenta"/>
      </w:pPr>
      <w:r>
        <w:tab/>
        <w:t>(b)</w:t>
      </w:r>
      <w:r>
        <w:tab/>
        <w:t>immediately before the grant,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(2B)</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grant.</w:t>
      </w:r>
    </w:p>
    <w:p>
      <w:pPr>
        <w:pStyle w:val="Subsection"/>
      </w:pPr>
      <w:r>
        <w:tab/>
        <w:t>(2C)</w:t>
      </w:r>
      <w:r>
        <w:tab/>
        <w:t xml:space="preserve">Subsection (2D) applies if — </w:t>
      </w:r>
    </w:p>
    <w:p>
      <w:pPr>
        <w:pStyle w:val="Indenta"/>
      </w:pPr>
      <w:r>
        <w:tab/>
        <w:t>(a)</w:t>
      </w:r>
      <w:r>
        <w:tab/>
        <w:t>a permit is varied under section 97A so as to include in the permit area one or more section 27 blocks; and</w:t>
      </w:r>
    </w:p>
    <w:p>
      <w:pPr>
        <w:pStyle w:val="Indenta"/>
      </w:pPr>
      <w:r>
        <w:tab/>
        <w:t>(b)</w:t>
      </w:r>
      <w:r>
        <w:tab/>
        <w:t>immediately before the variation,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(2D)</w:t>
      </w:r>
      <w:r>
        <w:tab/>
        <w:t xml:space="preserve">The Minister is taken — </w:t>
      </w:r>
    </w:p>
    <w:p>
      <w:pPr>
        <w:pStyle w:val="Indenta"/>
      </w:pPr>
      <w:r>
        <w:tab/>
        <w:t>(a)</w:t>
      </w:r>
      <w:r>
        <w:tab/>
        <w:t>to have declared those section 27 blocks to be a location; and</w:t>
      </w:r>
    </w:p>
    <w:p>
      <w:pPr>
        <w:pStyle w:val="Indenta"/>
      </w:pPr>
      <w:r>
        <w:lastRenderedPageBreak/>
        <w:tab/>
        <w:t>(b)</w:t>
      </w:r>
      <w:r>
        <w:tab/>
        <w:t>to have done so immediately after the variation.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 xml:space="preserve">the Minister has considered any matters submitted to him by the permittee or the holder of the drilling </w:t>
      </w:r>
      <w:r>
        <w:rPr>
          <w:snapToGrid w:val="0"/>
        </w:rPr>
        <w:lastRenderedPageBreak/>
        <w:t>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No. 12 of 1990 s. 32; amended: No. 78 of 1990 s. 7; No. 35 of 2007 s. 33; No. 42 of 2010 s. 24; No. 7 of 2017 s. 14.]</w:t>
      </w:r>
    </w:p>
    <w:p>
      <w:pPr>
        <w:pStyle w:val="Heading5"/>
        <w:spacing w:before="180"/>
        <w:rPr>
          <w:snapToGrid w:val="0"/>
        </w:rPr>
      </w:pPr>
      <w:bookmarkStart w:id="108" w:name="_Toc98946908"/>
      <w:r>
        <w:rPr>
          <w:rStyle w:val="CharSectno"/>
        </w:rPr>
        <w:t>48</w:t>
      </w:r>
      <w:r>
        <w:rPr>
          <w:snapToGrid w:val="0"/>
        </w:rPr>
        <w:t>.</w:t>
      </w:r>
      <w:r>
        <w:rPr>
          <w:snapToGrid w:val="0"/>
        </w:rPr>
        <w:tab/>
        <w:t>Immediately adjoining blocks</w:t>
      </w:r>
      <w:bookmarkEnd w:id="108"/>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No. 12 of 1990 s. 33.]</w:t>
      </w:r>
    </w:p>
    <w:p>
      <w:pPr>
        <w:pStyle w:val="Heading3"/>
        <w:pageBreakBefore/>
        <w:spacing w:before="0"/>
      </w:pPr>
      <w:bookmarkStart w:id="109" w:name="_Toc97629614"/>
      <w:bookmarkStart w:id="110" w:name="_Toc97629967"/>
      <w:bookmarkStart w:id="111" w:name="_Toc97630505"/>
      <w:bookmarkStart w:id="112" w:name="_Toc98748420"/>
      <w:bookmarkStart w:id="113" w:name="_Toc98766060"/>
      <w:bookmarkStart w:id="114" w:name="_Toc98834327"/>
      <w:bookmarkStart w:id="115" w:name="_Toc98946909"/>
      <w:r>
        <w:rPr>
          <w:rStyle w:val="CharDivNo"/>
        </w:rPr>
        <w:lastRenderedPageBreak/>
        <w:t>Division 2A</w:t>
      </w:r>
      <w:r>
        <w:rPr>
          <w:snapToGrid w:val="0"/>
        </w:rPr>
        <w:t> — </w:t>
      </w:r>
      <w:r>
        <w:rPr>
          <w:rStyle w:val="CharDivText"/>
        </w:rPr>
        <w:t>Retention leases</w:t>
      </w:r>
      <w:bookmarkEnd w:id="109"/>
      <w:bookmarkEnd w:id="110"/>
      <w:bookmarkEnd w:id="111"/>
      <w:bookmarkEnd w:id="112"/>
      <w:bookmarkEnd w:id="113"/>
      <w:bookmarkEnd w:id="114"/>
      <w:bookmarkEnd w:id="115"/>
    </w:p>
    <w:p>
      <w:pPr>
        <w:pStyle w:val="Footnoteheading"/>
      </w:pPr>
      <w:r>
        <w:tab/>
        <w:t>[Heading inserted: No. 12 of 1990 s. 34; amended: No. 35 of 2007 s. 34.]</w:t>
      </w:r>
    </w:p>
    <w:p>
      <w:pPr>
        <w:pStyle w:val="Heading5"/>
        <w:spacing w:before="240"/>
        <w:rPr>
          <w:snapToGrid w:val="0"/>
        </w:rPr>
      </w:pPr>
      <w:bookmarkStart w:id="116" w:name="_Toc98946910"/>
      <w:r>
        <w:rPr>
          <w:rStyle w:val="CharSectno"/>
        </w:rPr>
        <w:t>48A</w:t>
      </w:r>
      <w:r>
        <w:rPr>
          <w:snapToGrid w:val="0"/>
        </w:rPr>
        <w:t>.</w:t>
      </w:r>
      <w:r>
        <w:rPr>
          <w:snapToGrid w:val="0"/>
        </w:rPr>
        <w:tab/>
        <w:t>Application by permittee or holder of drilling reservation for lease</w:t>
      </w:r>
      <w:bookmarkEnd w:id="116"/>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w:t>
      </w:r>
      <w:r>
        <w:rPr>
          <w:snapToGrid w:val="0"/>
        </w:rPr>
        <w:lastRenderedPageBreak/>
        <w:t xml:space="preserve">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No. 12 of 1990 s. 34; amended: No. 78 of 1990 s. 7; No. 35 of 2007 s. 35; No. 42 of 2010 s. 25.]</w:t>
      </w:r>
    </w:p>
    <w:p>
      <w:pPr>
        <w:pStyle w:val="Heading5"/>
        <w:rPr>
          <w:snapToGrid w:val="0"/>
        </w:rPr>
      </w:pPr>
      <w:bookmarkStart w:id="117" w:name="_Toc98946911"/>
      <w:r>
        <w:rPr>
          <w:rStyle w:val="CharSectno"/>
        </w:rPr>
        <w:t>48B</w:t>
      </w:r>
      <w:r>
        <w:rPr>
          <w:snapToGrid w:val="0"/>
        </w:rPr>
        <w:t>.</w:t>
      </w:r>
      <w:r>
        <w:rPr>
          <w:snapToGrid w:val="0"/>
        </w:rPr>
        <w:tab/>
        <w:t>Grant or refusal of lease in relation to application</w:t>
      </w:r>
      <w:bookmarkEnd w:id="117"/>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lastRenderedPageBreak/>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lastRenderedPageBreak/>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 xml:space="preserve">mentioned period of one month, allows, by instrument in </w:t>
      </w:r>
      <w:r>
        <w:rPr>
          <w:snapToGrid w:val="0"/>
        </w:rPr>
        <w:lastRenderedPageBreak/>
        <w:t>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No. 12 of 1990 s. 34; amended: No. 78 of 1990 s. 7; No. 28 of 1994 s. 21; No. 35 of 2007 s. 36; No. 42 of 2010 s. 26.]</w:t>
      </w:r>
    </w:p>
    <w:p>
      <w:pPr>
        <w:pStyle w:val="Heading5"/>
        <w:rPr>
          <w:snapToGrid w:val="0"/>
        </w:rPr>
      </w:pPr>
      <w:bookmarkStart w:id="118" w:name="_Toc98946912"/>
      <w:r>
        <w:rPr>
          <w:rStyle w:val="CharSectno"/>
        </w:rPr>
        <w:t>48BA</w:t>
      </w:r>
      <w:r>
        <w:rPr>
          <w:snapToGrid w:val="0"/>
        </w:rPr>
        <w:t>.</w:t>
      </w:r>
      <w:r>
        <w:rPr>
          <w:snapToGrid w:val="0"/>
        </w:rPr>
        <w:tab/>
        <w:t>Application of s. 48A and 48B where permit is transferred</w:t>
      </w:r>
      <w:bookmarkEnd w:id="118"/>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 xml:space="preserve">a transfer of the permit is registered under section 72, sections 48A and 48B have effect, after the time of the transfer, </w:t>
      </w:r>
      <w:r>
        <w:rPr>
          <w:snapToGrid w:val="0"/>
        </w:rPr>
        <w:lastRenderedPageBreak/>
        <w:t>as if any reference in those sections to the applicant were a reference to the transferee.</w:t>
      </w:r>
    </w:p>
    <w:p>
      <w:pPr>
        <w:pStyle w:val="Footnotesection"/>
      </w:pPr>
      <w:r>
        <w:tab/>
        <w:t>[Section 48BA inserted: No. 28 of 1994 s. 22; amended: No. 42 of 2010 s. 27.]</w:t>
      </w:r>
    </w:p>
    <w:p>
      <w:pPr>
        <w:pStyle w:val="Heading5"/>
      </w:pPr>
      <w:bookmarkStart w:id="119" w:name="_Toc98946913"/>
      <w:r>
        <w:rPr>
          <w:rStyle w:val="CharSectno"/>
        </w:rPr>
        <w:t>48CA</w:t>
      </w:r>
      <w:r>
        <w:t>.</w:t>
      </w:r>
      <w:r>
        <w:tab/>
        <w:t>Application by licensee for lease</w:t>
      </w:r>
      <w:bookmarkEnd w:id="119"/>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lastRenderedPageBreak/>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lastRenderedPageBreak/>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No. 42 of 2010 s. 28.]</w:t>
      </w:r>
    </w:p>
    <w:p>
      <w:pPr>
        <w:pStyle w:val="Heading5"/>
        <w:spacing w:before="180"/>
      </w:pPr>
      <w:bookmarkStart w:id="120" w:name="_Toc98946914"/>
      <w:r>
        <w:rPr>
          <w:rStyle w:val="CharSectno"/>
        </w:rPr>
        <w:t>48CB</w:t>
      </w:r>
      <w:r>
        <w:t>.</w:t>
      </w:r>
      <w:r>
        <w:tab/>
        <w:t>Grant or refusal of lease in relation to application by licensee</w:t>
      </w:r>
      <w:bookmarkEnd w:id="120"/>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lastRenderedPageBreak/>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lastRenderedPageBreak/>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No. 42 of 2010 s. 28.]</w:t>
      </w:r>
    </w:p>
    <w:p>
      <w:pPr>
        <w:pStyle w:val="Heading5"/>
        <w:spacing w:before="240"/>
      </w:pPr>
      <w:bookmarkStart w:id="121" w:name="_Toc98946915"/>
      <w:r>
        <w:rPr>
          <w:rStyle w:val="CharSectno"/>
        </w:rPr>
        <w:t>48CC</w:t>
      </w:r>
      <w:r>
        <w:t>.</w:t>
      </w:r>
      <w:r>
        <w:tab/>
        <w:t>Application of s. 48CA and 48CB if licence is transferred</w:t>
      </w:r>
      <w:bookmarkEnd w:id="121"/>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No. 42 of 2010 s. 28.]</w:t>
      </w:r>
    </w:p>
    <w:p>
      <w:pPr>
        <w:pStyle w:val="Heading5"/>
      </w:pPr>
      <w:bookmarkStart w:id="122" w:name="_Toc98946916"/>
      <w:r>
        <w:rPr>
          <w:rStyle w:val="CharSectno"/>
        </w:rPr>
        <w:t>48CD</w:t>
      </w:r>
      <w:r>
        <w:t>.</w:t>
      </w:r>
      <w:r>
        <w:tab/>
        <w:t>Grant of petroleum retention lease as result of change to boundary of offshore area</w:t>
      </w:r>
      <w:bookmarkEnd w:id="122"/>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lastRenderedPageBreak/>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lease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lastRenderedPageBreak/>
        <w:tab/>
        <w:t>(3)</w:t>
      </w:r>
      <w:r>
        <w:tab/>
        <w:t xml:space="preserve">The conditions mentioned in subsection (2)(c)(i) are — </w:t>
      </w:r>
    </w:p>
    <w:p>
      <w:pPr>
        <w:pStyle w:val="Indenta"/>
      </w:pPr>
      <w:r>
        <w:tab/>
        <w:t>(a)</w:t>
      </w:r>
      <w:r>
        <w:tab/>
        <w:t>one or more, but not 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petroleum retention lease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retention lease, see section 48D(2).</w:t>
      </w:r>
    </w:p>
    <w:p>
      <w:pPr>
        <w:pStyle w:val="Subsection"/>
      </w:pPr>
      <w:r>
        <w:lastRenderedPageBreak/>
        <w:tab/>
        <w:t>(6)</w:t>
      </w:r>
      <w:r>
        <w:tab/>
        <w:t xml:space="preserve">If, after the change to the boundary of the offshore area — </w:t>
      </w:r>
    </w:p>
    <w:p>
      <w:pPr>
        <w:pStyle w:val="Indenta"/>
      </w:pPr>
      <w:r>
        <w:tab/>
        <w:t>(a)</w:t>
      </w:r>
      <w:r>
        <w:tab/>
        <w:t>a part of a section 27 block that was covered by the Commonwealth lease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pPr>
      <w:r>
        <w:tab/>
        <w:t>[Section 48CD inserted: No. 7 of 2017 s. 15.]</w:t>
      </w:r>
    </w:p>
    <w:p>
      <w:pPr>
        <w:pStyle w:val="Heading5"/>
        <w:rPr>
          <w:snapToGrid w:val="0"/>
        </w:rPr>
      </w:pPr>
      <w:bookmarkStart w:id="123" w:name="_Toc98946917"/>
      <w:r>
        <w:rPr>
          <w:rStyle w:val="CharSectno"/>
        </w:rPr>
        <w:t>48C</w:t>
      </w:r>
      <w:r>
        <w:rPr>
          <w:snapToGrid w:val="0"/>
        </w:rPr>
        <w:t>.</w:t>
      </w:r>
      <w:r>
        <w:rPr>
          <w:snapToGrid w:val="0"/>
        </w:rPr>
        <w:tab/>
        <w:t>Rights conferred by lease</w:t>
      </w:r>
      <w:bookmarkEnd w:id="123"/>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No. 12 of 1990 s. 34; amended: No. 13 of 2005 s. 16(2); No. 35 of 2007 s. 37.]</w:t>
      </w:r>
    </w:p>
    <w:p>
      <w:pPr>
        <w:pStyle w:val="Heading5"/>
        <w:rPr>
          <w:snapToGrid w:val="0"/>
        </w:rPr>
      </w:pPr>
      <w:bookmarkStart w:id="124" w:name="_Toc98946918"/>
      <w:r>
        <w:rPr>
          <w:rStyle w:val="CharSectno"/>
        </w:rPr>
        <w:t>48D</w:t>
      </w:r>
      <w:r>
        <w:rPr>
          <w:snapToGrid w:val="0"/>
        </w:rPr>
        <w:t>.</w:t>
      </w:r>
      <w:r>
        <w:rPr>
          <w:snapToGrid w:val="0"/>
        </w:rPr>
        <w:tab/>
        <w:t>Term of lease</w:t>
      </w:r>
      <w:bookmarkEnd w:id="124"/>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petroleum retention </w:t>
      </w:r>
      <w:r>
        <w:lastRenderedPageBreak/>
        <w:t xml:space="preserve">lease granted under section 48CD)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petroleum retention lease granted under section 48CD remains in force for a period of 5 years commencing on the day on which the lease is granted.</w:t>
      </w:r>
    </w:p>
    <w:p>
      <w:pPr>
        <w:pStyle w:val="Footnotesection"/>
        <w:ind w:left="890" w:hanging="890"/>
      </w:pPr>
      <w:r>
        <w:tab/>
        <w:t>[Section 48D inserted: No. 12 of 1990 s. 34; amended: No. 7 of 2017 s. 16.]</w:t>
      </w:r>
    </w:p>
    <w:p>
      <w:pPr>
        <w:pStyle w:val="Heading5"/>
        <w:keepNext w:val="0"/>
        <w:keepLines w:val="0"/>
        <w:rPr>
          <w:snapToGrid w:val="0"/>
        </w:rPr>
      </w:pPr>
      <w:bookmarkStart w:id="125" w:name="_Toc98946919"/>
      <w:r>
        <w:rPr>
          <w:rStyle w:val="CharSectno"/>
        </w:rPr>
        <w:t>48E</w:t>
      </w:r>
      <w:r>
        <w:rPr>
          <w:snapToGrid w:val="0"/>
        </w:rPr>
        <w:t>.</w:t>
      </w:r>
      <w:r>
        <w:rPr>
          <w:snapToGrid w:val="0"/>
        </w:rPr>
        <w:tab/>
        <w:t>Notice of intention to cancel lease</w:t>
      </w:r>
      <w:bookmarkEnd w:id="1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 xml:space="preserve">mentioned instrument, setting out any </w:t>
      </w:r>
      <w:r>
        <w:rPr>
          <w:snapToGrid w:val="0"/>
        </w:rPr>
        <w:lastRenderedPageBreak/>
        <w:t>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No. 12 of 1990 s. 34; amended: No. 35 of 2007 s. 38.]</w:t>
      </w:r>
    </w:p>
    <w:p>
      <w:pPr>
        <w:pStyle w:val="Heading5"/>
        <w:rPr>
          <w:snapToGrid w:val="0"/>
        </w:rPr>
      </w:pPr>
      <w:bookmarkStart w:id="126" w:name="_Toc98946920"/>
      <w:r>
        <w:rPr>
          <w:rStyle w:val="CharSectno"/>
        </w:rPr>
        <w:t>48F</w:t>
      </w:r>
      <w:r>
        <w:rPr>
          <w:snapToGrid w:val="0"/>
        </w:rPr>
        <w:t>.</w:t>
      </w:r>
      <w:r>
        <w:rPr>
          <w:snapToGrid w:val="0"/>
        </w:rPr>
        <w:tab/>
        <w:t>Application for renewal of lease</w:t>
      </w:r>
      <w:bookmarkEnd w:id="126"/>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lastRenderedPageBreak/>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No. 12 of 1990 s. 34; amended: No. 28 of 1994 s. 23; No. 35 of 2007 s. 39; No. 42 of 2010 s. 29.]</w:t>
      </w:r>
    </w:p>
    <w:p>
      <w:pPr>
        <w:pStyle w:val="Heading5"/>
        <w:rPr>
          <w:snapToGrid w:val="0"/>
        </w:rPr>
      </w:pPr>
      <w:bookmarkStart w:id="127" w:name="_Toc98946921"/>
      <w:r>
        <w:rPr>
          <w:rStyle w:val="CharSectno"/>
        </w:rPr>
        <w:lastRenderedPageBreak/>
        <w:t>48G</w:t>
      </w:r>
      <w:r>
        <w:rPr>
          <w:snapToGrid w:val="0"/>
        </w:rPr>
        <w:t>.</w:t>
      </w:r>
      <w:r>
        <w:rPr>
          <w:snapToGrid w:val="0"/>
        </w:rPr>
        <w:tab/>
        <w:t>Grant or refusal of renewal of lease</w:t>
      </w:r>
      <w:bookmarkEnd w:id="12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keepNext/>
        <w:rPr>
          <w:snapToGrid w:val="0"/>
        </w:rPr>
      </w:pPr>
      <w:r>
        <w:rPr>
          <w:snapToGrid w:val="0"/>
        </w:rPr>
        <w:lastRenderedPageBreak/>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he has taken into account any matters so submitted on or before the specified date by the lessee or by a person on </w:t>
      </w:r>
      <w:r>
        <w:rPr>
          <w:snapToGrid w:val="0"/>
        </w:rPr>
        <w:lastRenderedPageBreak/>
        <w:t>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lastRenderedPageBreak/>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No. 12 of 1990 s. 34; amended: No. 28 of 1994 s. 24; No. 35 of 2007 s. 40.]</w:t>
      </w:r>
    </w:p>
    <w:p>
      <w:pPr>
        <w:pStyle w:val="Heading5"/>
        <w:keepLines w:val="0"/>
        <w:rPr>
          <w:snapToGrid w:val="0"/>
        </w:rPr>
      </w:pPr>
      <w:bookmarkStart w:id="128" w:name="_Toc98946922"/>
      <w:r>
        <w:rPr>
          <w:rStyle w:val="CharSectno"/>
        </w:rPr>
        <w:t>48H</w:t>
      </w:r>
      <w:r>
        <w:rPr>
          <w:snapToGrid w:val="0"/>
        </w:rPr>
        <w:t>.</w:t>
      </w:r>
      <w:r>
        <w:rPr>
          <w:snapToGrid w:val="0"/>
        </w:rPr>
        <w:tab/>
        <w:t>Conditions of lease</w:t>
      </w:r>
      <w:bookmarkEnd w:id="12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petroleum retention lease granted under section 48CD.</w:t>
      </w:r>
    </w:p>
    <w:p>
      <w:pPr>
        <w:pStyle w:val="Subsection"/>
        <w:rPr>
          <w:snapToGrid w:val="0"/>
        </w:rPr>
      </w:pPr>
      <w:r>
        <w:rPr>
          <w:snapToGrid w:val="0"/>
        </w:rPr>
        <w:lastRenderedPageBreak/>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petroleum retention lease granted under section 48CD by imposing one or more conditions to which the lease is subject.</w:t>
      </w:r>
    </w:p>
    <w:p>
      <w:pPr>
        <w:pStyle w:val="Subsection"/>
      </w:pPr>
      <w:r>
        <w:tab/>
        <w:t>(6)</w:t>
      </w:r>
      <w:r>
        <w:tab/>
        <w:t>A notice under subsection (5) may only be given within 14 days after the grant of the petroleum retention lease.</w:t>
      </w:r>
    </w:p>
    <w:p>
      <w:pPr>
        <w:pStyle w:val="Subsection"/>
      </w:pPr>
      <w:r>
        <w:tab/>
        <w:t>(7)</w:t>
      </w:r>
      <w:r>
        <w:tab/>
        <w:t>A variation under subsection (5) takes effect on the day on which notice of the variation is given to the lessee.</w:t>
      </w:r>
    </w:p>
    <w:p>
      <w:pPr>
        <w:pStyle w:val="Footnotesection"/>
        <w:keepLines w:val="0"/>
        <w:widowControl w:val="0"/>
        <w:ind w:left="890" w:hanging="890"/>
      </w:pPr>
      <w:r>
        <w:tab/>
        <w:t>[Section 48H inserted: No. 12 of 1990 s. 34; amended: No. 35 of 2007 s. 41; No. 7 of 2017 s. 17.]</w:t>
      </w:r>
    </w:p>
    <w:p>
      <w:pPr>
        <w:pStyle w:val="Heading5"/>
        <w:rPr>
          <w:snapToGrid w:val="0"/>
        </w:rPr>
      </w:pPr>
      <w:bookmarkStart w:id="129" w:name="_Toc98946923"/>
      <w:r>
        <w:rPr>
          <w:rStyle w:val="CharSectno"/>
        </w:rPr>
        <w:lastRenderedPageBreak/>
        <w:t>48J</w:t>
      </w:r>
      <w:r>
        <w:rPr>
          <w:snapToGrid w:val="0"/>
        </w:rPr>
        <w:t>.</w:t>
      </w:r>
      <w:r>
        <w:rPr>
          <w:snapToGrid w:val="0"/>
        </w:rPr>
        <w:tab/>
        <w:t xml:space="preserve">Discovery of </w:t>
      </w:r>
      <w:r>
        <w:t>petroleum or geothermal energy resources</w:t>
      </w:r>
      <w:r>
        <w:rPr>
          <w:snapToGrid w:val="0"/>
        </w:rPr>
        <w:t xml:space="preserve"> to be notified</w:t>
      </w:r>
      <w:bookmarkEnd w:id="129"/>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No. 42 of 2010 s. 30.]</w:t>
      </w:r>
    </w:p>
    <w:p>
      <w:pPr>
        <w:pStyle w:val="Heading5"/>
        <w:rPr>
          <w:snapToGrid w:val="0"/>
        </w:rPr>
      </w:pPr>
      <w:bookmarkStart w:id="130" w:name="_Toc98946924"/>
      <w:r>
        <w:rPr>
          <w:rStyle w:val="CharSectno"/>
        </w:rPr>
        <w:t>48K</w:t>
      </w:r>
      <w:r>
        <w:rPr>
          <w:snapToGrid w:val="0"/>
        </w:rPr>
        <w:t>.</w:t>
      </w:r>
      <w:r>
        <w:rPr>
          <w:snapToGrid w:val="0"/>
        </w:rPr>
        <w:tab/>
        <w:t>Directions by Minister on discovery of petroleum or</w:t>
      </w:r>
      <w:r>
        <w:t xml:space="preserve"> geothermal energy resources</w:t>
      </w:r>
      <w:bookmarkEnd w:id="130"/>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lastRenderedPageBreak/>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No. 12 of 1990 s. 34; amended: No. 35 of 2007 s. 43; No. 42 of 2010 s. 62(1).]</w:t>
      </w:r>
    </w:p>
    <w:p>
      <w:pPr>
        <w:pStyle w:val="Heading3"/>
      </w:pPr>
      <w:bookmarkStart w:id="131" w:name="_Toc97629630"/>
      <w:bookmarkStart w:id="132" w:name="_Toc97629983"/>
      <w:bookmarkStart w:id="133" w:name="_Toc97630521"/>
      <w:bookmarkStart w:id="134" w:name="_Toc98748436"/>
      <w:bookmarkStart w:id="135" w:name="_Toc98766076"/>
      <w:bookmarkStart w:id="136" w:name="_Toc98834343"/>
      <w:bookmarkStart w:id="137" w:name="_Toc98946925"/>
      <w:r>
        <w:rPr>
          <w:rStyle w:val="CharDivNo"/>
        </w:rPr>
        <w:t>Division 3</w:t>
      </w:r>
      <w:r>
        <w:rPr>
          <w:snapToGrid w:val="0"/>
        </w:rPr>
        <w:t> — </w:t>
      </w:r>
      <w:r>
        <w:rPr>
          <w:rStyle w:val="CharDivText"/>
        </w:rPr>
        <w:t>Production licences</w:t>
      </w:r>
      <w:bookmarkEnd w:id="131"/>
      <w:bookmarkEnd w:id="132"/>
      <w:bookmarkEnd w:id="133"/>
      <w:bookmarkEnd w:id="134"/>
      <w:bookmarkEnd w:id="135"/>
      <w:bookmarkEnd w:id="136"/>
      <w:bookmarkEnd w:id="137"/>
    </w:p>
    <w:p>
      <w:pPr>
        <w:pStyle w:val="Footnoteheading"/>
      </w:pPr>
      <w:r>
        <w:tab/>
        <w:t>[Heading amended: No. 35 of 2007 s. 44.]</w:t>
      </w:r>
    </w:p>
    <w:p>
      <w:pPr>
        <w:pStyle w:val="Heading5"/>
        <w:spacing w:before="180"/>
        <w:rPr>
          <w:snapToGrid w:val="0"/>
        </w:rPr>
      </w:pPr>
      <w:bookmarkStart w:id="138" w:name="_Toc98946926"/>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138"/>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No. 12 of 1990 s. 35; amended: No. 35 of 2007 s. 45; No. 42 of 2010 s. 62(15).]</w:t>
      </w:r>
    </w:p>
    <w:p>
      <w:pPr>
        <w:pStyle w:val="Heading5"/>
        <w:spacing w:before="180"/>
        <w:rPr>
          <w:snapToGrid w:val="0"/>
        </w:rPr>
      </w:pPr>
      <w:bookmarkStart w:id="139" w:name="_Toc98946927"/>
      <w:r>
        <w:rPr>
          <w:rStyle w:val="CharSectno"/>
        </w:rPr>
        <w:t>50</w:t>
      </w:r>
      <w:r>
        <w:rPr>
          <w:snapToGrid w:val="0"/>
        </w:rPr>
        <w:t>.</w:t>
      </w:r>
      <w:r>
        <w:rPr>
          <w:snapToGrid w:val="0"/>
        </w:rPr>
        <w:tab/>
        <w:t>Application by permittee for licence</w:t>
      </w:r>
      <w:bookmarkEnd w:id="13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lastRenderedPageBreak/>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 xml:space="preserve">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w:t>
      </w:r>
      <w:r>
        <w:rPr>
          <w:snapToGrid w:val="0"/>
        </w:rPr>
        <w:lastRenderedPageBreak/>
        <w:t>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lastRenderedPageBreak/>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No. 12 of 1990 s. 36; No. 78 of 1990 s. 7; No. 28 of 1994 s. 25; No. 35 of 2007 s. 46.]</w:t>
      </w:r>
    </w:p>
    <w:p>
      <w:pPr>
        <w:pStyle w:val="Heading5"/>
        <w:rPr>
          <w:snapToGrid w:val="0"/>
        </w:rPr>
      </w:pPr>
      <w:bookmarkStart w:id="140" w:name="_Toc98946928"/>
      <w:r>
        <w:rPr>
          <w:rStyle w:val="CharSectno"/>
        </w:rPr>
        <w:t>50A</w:t>
      </w:r>
      <w:r>
        <w:rPr>
          <w:snapToGrid w:val="0"/>
        </w:rPr>
        <w:t>.</w:t>
      </w:r>
      <w:r>
        <w:rPr>
          <w:snapToGrid w:val="0"/>
        </w:rPr>
        <w:tab/>
        <w:t>Application by lessee for licence</w:t>
      </w:r>
      <w:bookmarkEnd w:id="140"/>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lastRenderedPageBreak/>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No. 12 of 1990 s. 37; amended: No. 35 of 2007 s. 47.]</w:t>
      </w:r>
    </w:p>
    <w:p>
      <w:pPr>
        <w:pStyle w:val="Heading5"/>
        <w:rPr>
          <w:snapToGrid w:val="0"/>
        </w:rPr>
      </w:pPr>
      <w:bookmarkStart w:id="141" w:name="_Toc98946929"/>
      <w:r>
        <w:rPr>
          <w:rStyle w:val="CharSectno"/>
        </w:rPr>
        <w:t>51</w:t>
      </w:r>
      <w:r>
        <w:rPr>
          <w:snapToGrid w:val="0"/>
        </w:rPr>
        <w:t>.</w:t>
      </w:r>
      <w:r>
        <w:rPr>
          <w:snapToGrid w:val="0"/>
        </w:rPr>
        <w:tab/>
        <w:t>Application for licence under s. 50 or 50A, requirements for</w:t>
      </w:r>
      <w:bookmarkEnd w:id="141"/>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lastRenderedPageBreak/>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No. 69 of 1981 s. 34; No. 12 of 1990 s. 38; No. 42 of 2010 s. 31.]</w:t>
      </w:r>
    </w:p>
    <w:p>
      <w:pPr>
        <w:pStyle w:val="Heading5"/>
        <w:rPr>
          <w:snapToGrid w:val="0"/>
        </w:rPr>
      </w:pPr>
      <w:bookmarkStart w:id="142" w:name="_Toc98946930"/>
      <w:r>
        <w:rPr>
          <w:rStyle w:val="CharSectno"/>
        </w:rPr>
        <w:t>52</w:t>
      </w:r>
      <w:r>
        <w:rPr>
          <w:snapToGrid w:val="0"/>
        </w:rPr>
        <w:t>.</w:t>
      </w:r>
      <w:r>
        <w:rPr>
          <w:snapToGrid w:val="0"/>
        </w:rPr>
        <w:tab/>
        <w:t>Determination of rate of royalty</w:t>
      </w:r>
      <w:bookmarkEnd w:id="142"/>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lastRenderedPageBreak/>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No. 11 of 1994 s. 5; No. 42 of 2010 s. 32.]</w:t>
      </w:r>
    </w:p>
    <w:p>
      <w:pPr>
        <w:pStyle w:val="Heading5"/>
        <w:rPr>
          <w:snapToGrid w:val="0"/>
        </w:rPr>
      </w:pPr>
      <w:bookmarkStart w:id="143" w:name="_Toc98946931"/>
      <w:r>
        <w:rPr>
          <w:rStyle w:val="CharSectno"/>
        </w:rPr>
        <w:t>53</w:t>
      </w:r>
      <w:r>
        <w:rPr>
          <w:snapToGrid w:val="0"/>
        </w:rPr>
        <w:t>.</w:t>
      </w:r>
      <w:r>
        <w:rPr>
          <w:snapToGrid w:val="0"/>
        </w:rPr>
        <w:tab/>
        <w:t>Notification as to grant of licence</w:t>
      </w:r>
      <w:bookmarkEnd w:id="143"/>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lastRenderedPageBreak/>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No. 12 of 1990 s. 39; No. 28 of 1994 s. 26; No. 35 of 2007 s. 48; No. 42 of 2010 s. 33.]</w:t>
      </w:r>
    </w:p>
    <w:p>
      <w:pPr>
        <w:pStyle w:val="Heading5"/>
        <w:rPr>
          <w:snapToGrid w:val="0"/>
        </w:rPr>
      </w:pPr>
      <w:bookmarkStart w:id="144" w:name="_Toc98946932"/>
      <w:r>
        <w:rPr>
          <w:rStyle w:val="CharSectno"/>
        </w:rPr>
        <w:t>54</w:t>
      </w:r>
      <w:r>
        <w:rPr>
          <w:snapToGrid w:val="0"/>
        </w:rPr>
        <w:t>.</w:t>
      </w:r>
      <w:r>
        <w:rPr>
          <w:snapToGrid w:val="0"/>
        </w:rPr>
        <w:tab/>
        <w:t>Grant of licence</w:t>
      </w:r>
      <w:bookmarkEnd w:id="144"/>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lastRenderedPageBreak/>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No. 12 of 1990 s. 40; No. 78 of 1990 s. 7; No. 28 of 1994 s. 27; No. 35 of 2007 s. 49; No. 42 of 2010 s. 34.]</w:t>
      </w:r>
    </w:p>
    <w:p>
      <w:pPr>
        <w:pStyle w:val="Heading5"/>
        <w:spacing w:before="180"/>
        <w:rPr>
          <w:snapToGrid w:val="0"/>
        </w:rPr>
      </w:pPr>
      <w:bookmarkStart w:id="145" w:name="_Toc98946933"/>
      <w:r>
        <w:rPr>
          <w:rStyle w:val="CharSectno"/>
        </w:rPr>
        <w:lastRenderedPageBreak/>
        <w:t>54A</w:t>
      </w:r>
      <w:r>
        <w:rPr>
          <w:snapToGrid w:val="0"/>
        </w:rPr>
        <w:t>.</w:t>
      </w:r>
      <w:r>
        <w:rPr>
          <w:snapToGrid w:val="0"/>
        </w:rPr>
        <w:tab/>
        <w:t>Application of s. 51 to 54 where permit etc. transferred</w:t>
      </w:r>
      <w:bookmarkEnd w:id="145"/>
    </w:p>
    <w:p>
      <w:pPr>
        <w:pStyle w:val="Subsection"/>
        <w:keepNext/>
        <w:keepLines/>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No. 28 of 1994 s. 28.]</w:t>
      </w:r>
    </w:p>
    <w:p>
      <w:pPr>
        <w:pStyle w:val="Heading5"/>
        <w:rPr>
          <w:snapToGrid w:val="0"/>
        </w:rPr>
      </w:pPr>
      <w:bookmarkStart w:id="146" w:name="_Toc98946934"/>
      <w:r>
        <w:rPr>
          <w:rStyle w:val="CharSectno"/>
        </w:rPr>
        <w:t>55</w:t>
      </w:r>
      <w:r>
        <w:rPr>
          <w:snapToGrid w:val="0"/>
        </w:rPr>
        <w:t>.</w:t>
      </w:r>
      <w:r>
        <w:rPr>
          <w:snapToGrid w:val="0"/>
        </w:rPr>
        <w:tab/>
        <w:t>Variation of licence area</w:t>
      </w:r>
      <w:bookmarkEnd w:id="146"/>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lastRenderedPageBreak/>
        <w:tab/>
        <w:t>(b)</w:t>
      </w:r>
      <w:r>
        <w:rPr>
          <w:snapToGrid w:val="0"/>
        </w:rPr>
        <w:tab/>
        <w:t>the permit that is in force in respect of the blocks so included ceases to be in force in respect of those blocks.</w:t>
      </w:r>
    </w:p>
    <w:p>
      <w:pPr>
        <w:pStyle w:val="Footnotesection"/>
        <w:ind w:left="890" w:hanging="890"/>
      </w:pPr>
      <w:r>
        <w:tab/>
        <w:t>[Section 55 amended: No. 12 of 1990 s. 41; No. 42 of 2010 s. 35.]</w:t>
      </w:r>
    </w:p>
    <w:p>
      <w:pPr>
        <w:pStyle w:val="Heading5"/>
        <w:rPr>
          <w:snapToGrid w:val="0"/>
          <w:spacing w:val="-2"/>
        </w:rPr>
      </w:pPr>
      <w:bookmarkStart w:id="147" w:name="_Toc98946935"/>
      <w:r>
        <w:rPr>
          <w:rStyle w:val="CharSectno"/>
        </w:rPr>
        <w:t>56</w:t>
      </w:r>
      <w:r>
        <w:rPr>
          <w:snapToGrid w:val="0"/>
        </w:rPr>
        <w:t>.</w:t>
      </w:r>
      <w:r>
        <w:rPr>
          <w:snapToGrid w:val="0"/>
        </w:rPr>
        <w:tab/>
      </w:r>
      <w:r>
        <w:rPr>
          <w:snapToGrid w:val="0"/>
          <w:spacing w:val="-2"/>
        </w:rPr>
        <w:t>Determination of permit as to blocks not taken up by licensee</w:t>
      </w:r>
      <w:bookmarkEnd w:id="147"/>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 xml:space="preserve">the permit, drilling reservation or lease is determined as to any blocks forming part of the location concerned that are not the subject of that application or of any </w:t>
      </w:r>
      <w:r>
        <w:rPr>
          <w:snapToGrid w:val="0"/>
        </w:rPr>
        <w:lastRenderedPageBreak/>
        <w:t>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lastRenderedPageBreak/>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inshore area; and</w:t>
      </w:r>
    </w:p>
    <w:p>
      <w:pPr>
        <w:pStyle w:val="Indenta"/>
      </w:pPr>
      <w:r>
        <w:tab/>
        <w:t>(b)</w:t>
      </w:r>
      <w:r>
        <w:tab/>
        <w:t xml:space="preserve">as a result of a change to the boundary of the offshore area, the relevant area — </w:t>
      </w:r>
    </w:p>
    <w:p>
      <w:pPr>
        <w:pStyle w:val="Indenti"/>
      </w:pPr>
      <w:r>
        <w:tab/>
        <w:t>(i)</w:t>
      </w:r>
      <w:r>
        <w:tab/>
        <w:t>ceases to be within the inshore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Footnotesection"/>
        <w:ind w:left="890" w:hanging="890"/>
      </w:pPr>
      <w:r>
        <w:tab/>
        <w:t>[Section 56 amended: No. 12 of 1990 s. 42; No. 78 of 1990 s. 7; No. 7 of 2017 s. 18.]</w:t>
      </w:r>
    </w:p>
    <w:p>
      <w:pPr>
        <w:pStyle w:val="Heading5"/>
        <w:rPr>
          <w:snapToGrid w:val="0"/>
        </w:rPr>
      </w:pPr>
      <w:bookmarkStart w:id="148" w:name="_Toc98946936"/>
      <w:r>
        <w:rPr>
          <w:rStyle w:val="CharSectno"/>
        </w:rPr>
        <w:t>57</w:t>
      </w:r>
      <w:r>
        <w:rPr>
          <w:snapToGrid w:val="0"/>
        </w:rPr>
        <w:t>.</w:t>
      </w:r>
      <w:r>
        <w:rPr>
          <w:snapToGrid w:val="0"/>
        </w:rPr>
        <w:tab/>
        <w:t>Application for licence in respect of surrendered etc. blocks</w:t>
      </w:r>
      <w:bookmarkEnd w:id="148"/>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lastRenderedPageBreak/>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 xml:space="preserve">a geothermal resources area from which geothermal energy has been recovered is within or extends to a block which is not the subject of a geothermal </w:t>
      </w:r>
      <w:r>
        <w:lastRenderedPageBreak/>
        <w:t>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lastRenderedPageBreak/>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No. 12 of 1990 s. 43; No. 78 of 1990 s. 7; No. 11 of 1994 s. 5; No. 28 of 1994 s. 29; No. 35 of 2007 s. 50; No. 42 of 2010 s. 36.]</w:t>
      </w:r>
    </w:p>
    <w:p>
      <w:pPr>
        <w:pStyle w:val="Heading5"/>
        <w:rPr>
          <w:snapToGrid w:val="0"/>
        </w:rPr>
      </w:pPr>
      <w:bookmarkStart w:id="149" w:name="_Toc98946937"/>
      <w:r>
        <w:rPr>
          <w:rStyle w:val="CharSectno"/>
        </w:rPr>
        <w:t>58</w:t>
      </w:r>
      <w:r>
        <w:rPr>
          <w:snapToGrid w:val="0"/>
        </w:rPr>
        <w:t>.</w:t>
      </w:r>
      <w:r>
        <w:rPr>
          <w:snapToGrid w:val="0"/>
        </w:rPr>
        <w:tab/>
        <w:t>Application fee etc. for s. 57 applications</w:t>
      </w:r>
      <w:bookmarkEnd w:id="149"/>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lastRenderedPageBreak/>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No. 69 of 1981 s. 34; No. 12 of 1990 s. 44; No. 42 of 2010 s. 37.]</w:t>
      </w:r>
    </w:p>
    <w:p>
      <w:pPr>
        <w:pStyle w:val="Heading5"/>
        <w:keepNext w:val="0"/>
        <w:keepLines w:val="0"/>
        <w:spacing w:before="180"/>
        <w:rPr>
          <w:snapToGrid w:val="0"/>
        </w:rPr>
      </w:pPr>
      <w:bookmarkStart w:id="150" w:name="_Toc98946938"/>
      <w:r>
        <w:rPr>
          <w:rStyle w:val="CharSectno"/>
        </w:rPr>
        <w:t>59</w:t>
      </w:r>
      <w:r>
        <w:rPr>
          <w:snapToGrid w:val="0"/>
        </w:rPr>
        <w:t>.</w:t>
      </w:r>
      <w:r>
        <w:rPr>
          <w:snapToGrid w:val="0"/>
        </w:rPr>
        <w:tab/>
        <w:t>Request by applicant for grant of licence</w:t>
      </w:r>
      <w:bookmarkEnd w:id="150"/>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 xml:space="preserve">a rate of royalty, that he would </w:t>
      </w:r>
      <w:r>
        <w:rPr>
          <w:snapToGrid w:val="0"/>
        </w:rPr>
        <w:lastRenderedPageBreak/>
        <w:t>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lastRenderedPageBreak/>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No. 12 of 1990 s. 45; No. 28 of 1994 s. 30; No. 35 of 2007 s. 51; No. 42 of 2010 s. 38.]</w:t>
      </w:r>
    </w:p>
    <w:p>
      <w:pPr>
        <w:pStyle w:val="Heading5"/>
        <w:spacing w:before="240"/>
        <w:rPr>
          <w:snapToGrid w:val="0"/>
        </w:rPr>
      </w:pPr>
      <w:bookmarkStart w:id="151" w:name="_Toc98946939"/>
      <w:r>
        <w:rPr>
          <w:rStyle w:val="CharSectno"/>
        </w:rPr>
        <w:t>60</w:t>
      </w:r>
      <w:r>
        <w:rPr>
          <w:snapToGrid w:val="0"/>
        </w:rPr>
        <w:t>.</w:t>
      </w:r>
      <w:r>
        <w:rPr>
          <w:snapToGrid w:val="0"/>
        </w:rPr>
        <w:tab/>
        <w:t>Grant of licence on request</w:t>
      </w:r>
      <w:bookmarkEnd w:id="151"/>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w:t>
      </w:r>
      <w:r>
        <w:lastRenderedPageBreak/>
        <w:t xml:space="preserve">production licence, as the case requires, </w:t>
      </w:r>
      <w:r>
        <w:rPr>
          <w:snapToGrid w:val="0"/>
        </w:rPr>
        <w:t>in respect of the block specified in the instrument.</w:t>
      </w:r>
    </w:p>
    <w:p>
      <w:pPr>
        <w:pStyle w:val="Footnotesection"/>
      </w:pPr>
      <w:r>
        <w:tab/>
        <w:t>[Section 60 amended: No. 28 of 1994 s. 31; No. 35 of 2007 s. 52; No. 42 of 2010 s. 39.]</w:t>
      </w:r>
    </w:p>
    <w:p>
      <w:pPr>
        <w:pStyle w:val="Heading5"/>
        <w:rPr>
          <w:snapToGrid w:val="0"/>
        </w:rPr>
      </w:pPr>
      <w:bookmarkStart w:id="152" w:name="_Toc98946940"/>
      <w:r>
        <w:rPr>
          <w:rStyle w:val="CharSectno"/>
        </w:rPr>
        <w:t>61</w:t>
      </w:r>
      <w:r>
        <w:rPr>
          <w:snapToGrid w:val="0"/>
        </w:rPr>
        <w:t>.</w:t>
      </w:r>
      <w:r>
        <w:rPr>
          <w:snapToGrid w:val="0"/>
        </w:rPr>
        <w:tab/>
        <w:t>Licence for 2 or more blocks may be divided into 2 or more licences</w:t>
      </w:r>
      <w:bookmarkEnd w:id="152"/>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lastRenderedPageBreak/>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No. 69 of 1981 s. 34; No. 12 of 1990 s. 46; No. 28 of 1994 s. 32; No. 35 of 2007 s. 53; No. 42 of 2010 s. 40.]</w:t>
      </w:r>
    </w:p>
    <w:p>
      <w:pPr>
        <w:pStyle w:val="Heading5"/>
      </w:pPr>
      <w:bookmarkStart w:id="153" w:name="_Toc98946941"/>
      <w:r>
        <w:rPr>
          <w:rStyle w:val="CharSectno"/>
        </w:rPr>
        <w:t>61A</w:t>
      </w:r>
      <w:r>
        <w:t>.</w:t>
      </w:r>
      <w:r>
        <w:tab/>
        <w:t>Grant of petroleum production licence as result of change to boundary of offshore area</w:t>
      </w:r>
      <w:bookmarkEnd w:id="153"/>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lastRenderedPageBreak/>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licence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lastRenderedPageBreak/>
        <w:tab/>
        <w:t>(3)</w:t>
      </w:r>
      <w:r>
        <w:tab/>
        <w:t xml:space="preserve">The conditions mentioned in subsection (2)(c)(i) are — </w:t>
      </w:r>
    </w:p>
    <w:p>
      <w:pPr>
        <w:pStyle w:val="Indenta"/>
      </w:pPr>
      <w:r>
        <w:tab/>
        <w:t>(a)</w:t>
      </w:r>
      <w:r>
        <w:tab/>
        <w:t>one or more, but not 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pPr>
      <w:r>
        <w:tab/>
        <w:t>(4)</w:t>
      </w:r>
      <w:r>
        <w:tab/>
        <w:t xml:space="preserve">The conditions mentioned in subsection (2)(c)(ii) are — </w:t>
      </w:r>
    </w:p>
    <w:p>
      <w:pPr>
        <w:pStyle w:val="Indenta"/>
      </w:pPr>
      <w:r>
        <w:tab/>
        <w:t>(a)</w:t>
      </w:r>
      <w:r>
        <w:tab/>
        <w:t>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petroleum production licence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63(3).</w:t>
      </w:r>
    </w:p>
    <w:p>
      <w:pPr>
        <w:pStyle w:val="Subsection"/>
      </w:pPr>
      <w:r>
        <w:lastRenderedPageBreak/>
        <w:tab/>
        <w:t>(6)</w:t>
      </w:r>
      <w:r>
        <w:tab/>
        <w:t xml:space="preserve">If, after the change to the boundary of the offshore area — </w:t>
      </w:r>
    </w:p>
    <w:p>
      <w:pPr>
        <w:pStyle w:val="Indenta"/>
      </w:pPr>
      <w:r>
        <w:tab/>
        <w:t>(a)</w:t>
      </w:r>
      <w:r>
        <w:tab/>
        <w:t>a part of a section 27 block that was covered by the Commonwealth licence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spacing w:before="80"/>
        <w:ind w:left="890" w:hanging="890"/>
      </w:pPr>
      <w:r>
        <w:tab/>
        <w:t>[Section 61A inserted: No. 7 of 2017 s. 19.]</w:t>
      </w:r>
    </w:p>
    <w:p>
      <w:pPr>
        <w:pStyle w:val="Heading5"/>
        <w:spacing w:before="180"/>
        <w:rPr>
          <w:snapToGrid w:val="0"/>
        </w:rPr>
      </w:pPr>
      <w:bookmarkStart w:id="154" w:name="_Toc98946942"/>
      <w:r>
        <w:rPr>
          <w:rStyle w:val="CharSectno"/>
        </w:rPr>
        <w:t>62</w:t>
      </w:r>
      <w:r>
        <w:rPr>
          <w:snapToGrid w:val="0"/>
        </w:rPr>
        <w:t>.</w:t>
      </w:r>
      <w:r>
        <w:rPr>
          <w:snapToGrid w:val="0"/>
        </w:rPr>
        <w:tab/>
        <w:t>Rights conferred by licence</w:t>
      </w:r>
      <w:bookmarkEnd w:id="154"/>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keepNext/>
        <w:rPr>
          <w:snapToGrid w:val="0"/>
        </w:rPr>
      </w:pPr>
      <w:r>
        <w:lastRenderedPageBreak/>
        <w:tab/>
        <w:t>(c)</w:t>
      </w:r>
      <w:r>
        <w:tab/>
        <w:t>to carry on such operations and execute such works in the licence area as are necessary for those purposes.</w:t>
      </w:r>
    </w:p>
    <w:p>
      <w:pPr>
        <w:pStyle w:val="Footnotesection"/>
      </w:pPr>
      <w:r>
        <w:tab/>
        <w:t>[Section 62 amended: No. 12 of 1990 s. 47; No. 13 of 2005 s. 16(2); No. 35 of 2007 s. 54.]</w:t>
      </w:r>
    </w:p>
    <w:p>
      <w:pPr>
        <w:pStyle w:val="Heading5"/>
      </w:pPr>
      <w:bookmarkStart w:id="155" w:name="_Toc98946943"/>
      <w:r>
        <w:rPr>
          <w:rStyle w:val="CharSectno"/>
        </w:rPr>
        <w:t>62A</w:t>
      </w:r>
      <w:r>
        <w:t>.</w:t>
      </w:r>
      <w:r>
        <w:tab/>
        <w:t>Geothermal energy recovery development plans</w:t>
      </w:r>
      <w:bookmarkEnd w:id="155"/>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No. 35 of 2007 s. 55.]</w:t>
      </w:r>
    </w:p>
    <w:p>
      <w:pPr>
        <w:pStyle w:val="Heading5"/>
        <w:spacing w:before="180"/>
      </w:pPr>
      <w:bookmarkStart w:id="156" w:name="_Toc98946944"/>
      <w:r>
        <w:rPr>
          <w:rStyle w:val="CharSectno"/>
        </w:rPr>
        <w:t>62B</w:t>
      </w:r>
      <w:r>
        <w:t>.</w:t>
      </w:r>
      <w:r>
        <w:tab/>
        <w:t>Variation of approved development plans</w:t>
      </w:r>
      <w:bookmarkEnd w:id="156"/>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lastRenderedPageBreak/>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No. 35 of 2007 s. 55.]</w:t>
      </w:r>
    </w:p>
    <w:p>
      <w:pPr>
        <w:pStyle w:val="Heading5"/>
        <w:rPr>
          <w:snapToGrid w:val="0"/>
        </w:rPr>
      </w:pPr>
      <w:bookmarkStart w:id="157" w:name="_Toc98946945"/>
      <w:r>
        <w:rPr>
          <w:rStyle w:val="CharSectno"/>
        </w:rPr>
        <w:t>63</w:t>
      </w:r>
      <w:r>
        <w:rPr>
          <w:snapToGrid w:val="0"/>
        </w:rPr>
        <w:t>.</w:t>
      </w:r>
      <w:r>
        <w:rPr>
          <w:snapToGrid w:val="0"/>
        </w:rPr>
        <w:tab/>
        <w:t>Term of licence</w:t>
      </w:r>
      <w:bookmarkEnd w:id="157"/>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r>
        <w:rPr>
          <w:iCs/>
          <w:snapToGrid w:val="0"/>
        </w:rPr>
        <w:t xml:space="preserve"> </w:t>
      </w:r>
      <w:r>
        <w:t>section 41(3), other than a petroleum production licence granted under section 61A, remains in force indefinitely.</w:t>
      </w:r>
    </w:p>
    <w:p>
      <w:pPr>
        <w:pStyle w:val="Subsection"/>
      </w:pPr>
      <w:r>
        <w:lastRenderedPageBreak/>
        <w:tab/>
        <w:t>(3)</w:t>
      </w:r>
      <w:r>
        <w:tab/>
        <w:t>Subject to this Part, a petroleum production licence granted under section 61A remains in force for the period of 21 years commencing on the day on which the licence is granted.</w:t>
      </w:r>
    </w:p>
    <w:p>
      <w:pPr>
        <w:pStyle w:val="Footnotesection"/>
      </w:pPr>
      <w:r>
        <w:tab/>
        <w:t>[Section 63 inserted: No. 12 of 1990 s. 48; amended: No. 42 of 2010 s. 41; No. 7 of 2017 s. 20.]</w:t>
      </w:r>
    </w:p>
    <w:p>
      <w:pPr>
        <w:pStyle w:val="Heading5"/>
      </w:pPr>
      <w:bookmarkStart w:id="158" w:name="_Toc98946946"/>
      <w:r>
        <w:rPr>
          <w:rStyle w:val="CharSectno"/>
        </w:rPr>
        <w:t>64A</w:t>
      </w:r>
      <w:r>
        <w:t>.</w:t>
      </w:r>
      <w:r>
        <w:tab/>
        <w:t>Termination of licence if no operations for 5 years</w:t>
      </w:r>
      <w:bookmarkEnd w:id="158"/>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w:t>
      </w:r>
      <w:r>
        <w:lastRenderedPageBreak/>
        <w:t xml:space="preserve">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No. 42 of 2010 s. 42.]</w:t>
      </w:r>
    </w:p>
    <w:p>
      <w:pPr>
        <w:pStyle w:val="Heading5"/>
        <w:rPr>
          <w:snapToGrid w:val="0"/>
        </w:rPr>
      </w:pPr>
      <w:bookmarkStart w:id="159" w:name="_Toc98946947"/>
      <w:r>
        <w:rPr>
          <w:rStyle w:val="CharSectno"/>
        </w:rPr>
        <w:t>64</w:t>
      </w:r>
      <w:r>
        <w:rPr>
          <w:snapToGrid w:val="0"/>
        </w:rPr>
        <w:t>.</w:t>
      </w:r>
      <w:r>
        <w:rPr>
          <w:snapToGrid w:val="0"/>
        </w:rPr>
        <w:tab/>
        <w:t>Application for renewal of licence</w:t>
      </w:r>
      <w:bookmarkEnd w:id="159"/>
    </w:p>
    <w:p>
      <w:pPr>
        <w:pStyle w:val="Subsection"/>
        <w:keepNext/>
        <w:keepLines/>
      </w:pPr>
      <w:r>
        <w:tab/>
        <w:t>(1)</w:t>
      </w:r>
      <w:r>
        <w:tab/>
        <w:t>Subject to this section, a licensee under a licence to which section 63(1)(a) or (b) or (3)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otherwise than by way of renewal,</w:t>
      </w:r>
    </w:p>
    <w:p>
      <w:pPr>
        <w:pStyle w:val="Subsection"/>
      </w:pPr>
      <w:r>
        <w:lastRenderedPageBreak/>
        <w:tab/>
      </w:r>
      <w:r>
        <w:tab/>
        <w:t>an application must not be made for the renewal of the petroleum production licence if the Minister has previously granted a renewal of the licence.</w:t>
      </w:r>
    </w:p>
    <w:p>
      <w:pPr>
        <w:pStyle w:val="Subsection"/>
      </w:pPr>
      <w:r>
        <w:tab/>
        <w:t>(5)</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by way of renewal,</w:t>
      </w:r>
    </w:p>
    <w:p>
      <w:pPr>
        <w:pStyle w:val="Subsection"/>
      </w:pPr>
      <w:r>
        <w:tab/>
      </w:r>
      <w:r>
        <w:tab/>
        <w:t>an application must not be made for the renewal of the petroleum production licence.</w:t>
      </w:r>
    </w:p>
    <w:p>
      <w:pPr>
        <w:pStyle w:val="Footnotesection"/>
        <w:spacing w:before="100"/>
        <w:ind w:left="890" w:hanging="890"/>
      </w:pPr>
      <w:r>
        <w:tab/>
        <w:t>[Section 64 amended: No. 69 of 1981 s. 34; No. 12 of 1990 s. 49; No. 42 of 2010 s. 43; No. 7 of 2017 s. 21.]</w:t>
      </w:r>
    </w:p>
    <w:p>
      <w:pPr>
        <w:pStyle w:val="Heading5"/>
        <w:rPr>
          <w:snapToGrid w:val="0"/>
        </w:rPr>
      </w:pPr>
      <w:bookmarkStart w:id="160" w:name="_Toc98946948"/>
      <w:r>
        <w:rPr>
          <w:rStyle w:val="CharSectno"/>
        </w:rPr>
        <w:t>65</w:t>
      </w:r>
      <w:r>
        <w:rPr>
          <w:snapToGrid w:val="0"/>
        </w:rPr>
        <w:t>.</w:t>
      </w:r>
      <w:r>
        <w:rPr>
          <w:snapToGrid w:val="0"/>
        </w:rPr>
        <w:tab/>
        <w:t>Grant or refusal of renewal of licence</w:t>
      </w:r>
      <w:bookmarkEnd w:id="160"/>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keepNext/>
        <w:spacing w:before="60"/>
      </w:pPr>
      <w:r>
        <w:lastRenderedPageBreak/>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lastRenderedPageBreak/>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 xml:space="preserve">Where a licensee on whom there has been served an instrument under subsection (1) or (2) has made a request under </w:t>
      </w:r>
      <w:r>
        <w:rPr>
          <w:snapToGrid w:val="0"/>
        </w:rPr>
        <w:lastRenderedPageBreak/>
        <w:t>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No. 28 of 1994 s. 33; No. 42 of 2010 s. 44.]</w:t>
      </w:r>
    </w:p>
    <w:p>
      <w:pPr>
        <w:pStyle w:val="Heading5"/>
        <w:rPr>
          <w:snapToGrid w:val="0"/>
        </w:rPr>
      </w:pPr>
      <w:bookmarkStart w:id="161" w:name="_Toc98946949"/>
      <w:r>
        <w:rPr>
          <w:rStyle w:val="CharSectno"/>
        </w:rPr>
        <w:t>66</w:t>
      </w:r>
      <w:r>
        <w:rPr>
          <w:snapToGrid w:val="0"/>
        </w:rPr>
        <w:t>.</w:t>
      </w:r>
      <w:r>
        <w:rPr>
          <w:snapToGrid w:val="0"/>
        </w:rPr>
        <w:tab/>
        <w:t>Conditions of licence</w:t>
      </w:r>
      <w:bookmarkEnd w:id="161"/>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pPr>
      <w:r>
        <w:lastRenderedPageBreak/>
        <w:tab/>
        <w:t>(3)</w:t>
      </w:r>
      <w:r>
        <w:tab/>
        <w:t>Subsection (1) does not apply to a petroleum production licence granted under section 61A.</w:t>
      </w:r>
    </w:p>
    <w:p>
      <w:pPr>
        <w:pStyle w:val="Subsection"/>
      </w:pPr>
      <w:r>
        <w:tab/>
        <w:t>(4)</w:t>
      </w:r>
      <w:r>
        <w:tab/>
        <w:t>The Minister may, by written notice given to the licensee, vary a petroleum production licence granted under section 61A by imposing one or more conditions to which the licence is subject.</w:t>
      </w:r>
    </w:p>
    <w:p>
      <w:pPr>
        <w:pStyle w:val="Subsection"/>
      </w:pPr>
      <w:r>
        <w:tab/>
        <w:t>(5)</w:t>
      </w:r>
      <w:r>
        <w:tab/>
        <w:t>A notice under subsection (4) may only be given within 14 days after the grant of the petroleum production licence.</w:t>
      </w:r>
    </w:p>
    <w:p>
      <w:pPr>
        <w:pStyle w:val="Subsection"/>
      </w:pPr>
      <w:r>
        <w:tab/>
        <w:t>(6)</w:t>
      </w:r>
      <w:r>
        <w:tab/>
        <w:t>A variation under subsection (4) takes effect on the day on which notice of the variation is given to the licensee.</w:t>
      </w:r>
    </w:p>
    <w:p>
      <w:pPr>
        <w:pStyle w:val="Footnotesection"/>
        <w:ind w:left="890" w:hanging="890"/>
      </w:pPr>
      <w:r>
        <w:tab/>
        <w:t>[Section 66 amended: No. 35 of 2007 s. 56; No. 7 of 2017 s. 22.]</w:t>
      </w:r>
    </w:p>
    <w:p>
      <w:pPr>
        <w:pStyle w:val="Heading5"/>
        <w:rPr>
          <w:snapToGrid w:val="0"/>
        </w:rPr>
      </w:pPr>
      <w:bookmarkStart w:id="162" w:name="_Toc98946950"/>
      <w:r>
        <w:rPr>
          <w:rStyle w:val="CharSectno"/>
        </w:rPr>
        <w:t>67</w:t>
      </w:r>
      <w:r>
        <w:rPr>
          <w:snapToGrid w:val="0"/>
        </w:rPr>
        <w:t>.</w:t>
      </w:r>
      <w:r>
        <w:rPr>
          <w:snapToGrid w:val="0"/>
        </w:rPr>
        <w:tab/>
        <w:t>Storage of petroleum underground</w:t>
      </w:r>
      <w:bookmarkEnd w:id="162"/>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lastRenderedPageBreak/>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No. 28 of 1994 s. 34; amended: No. 42 of 2010 s. 62(15).]</w:t>
      </w:r>
    </w:p>
    <w:p>
      <w:pPr>
        <w:pStyle w:val="Heading5"/>
        <w:rPr>
          <w:snapToGrid w:val="0"/>
        </w:rPr>
      </w:pPr>
      <w:bookmarkStart w:id="163" w:name="_Toc98946951"/>
      <w:r>
        <w:rPr>
          <w:rStyle w:val="CharSectno"/>
        </w:rPr>
        <w:t>68</w:t>
      </w:r>
      <w:r>
        <w:rPr>
          <w:snapToGrid w:val="0"/>
        </w:rPr>
        <w:t>.</w:t>
      </w:r>
      <w:r>
        <w:rPr>
          <w:snapToGrid w:val="0"/>
        </w:rPr>
        <w:tab/>
        <w:t>Directions as to recovery of petroleum</w:t>
      </w:r>
      <w:bookmarkEnd w:id="16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lastRenderedPageBreak/>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No. 12 of 1990 s. 51.]</w:t>
      </w:r>
    </w:p>
    <w:p>
      <w:pPr>
        <w:pStyle w:val="Heading5"/>
        <w:rPr>
          <w:snapToGrid w:val="0"/>
        </w:rPr>
      </w:pPr>
      <w:bookmarkStart w:id="164" w:name="_Toc98946952"/>
      <w:r>
        <w:rPr>
          <w:rStyle w:val="CharSectno"/>
        </w:rPr>
        <w:t>69</w:t>
      </w:r>
      <w:r>
        <w:rPr>
          <w:snapToGrid w:val="0"/>
        </w:rPr>
        <w:t>.</w:t>
      </w:r>
      <w:r>
        <w:rPr>
          <w:snapToGrid w:val="0"/>
        </w:rPr>
        <w:tab/>
        <w:t>Unit development</w:t>
      </w:r>
      <w:bookmarkEnd w:id="164"/>
    </w:p>
    <w:p>
      <w:pPr>
        <w:pStyle w:val="Subsection"/>
      </w:pPr>
      <w:r>
        <w:tab/>
        <w:t>(1A)</w:t>
      </w:r>
      <w:r>
        <w:tab/>
        <w:t xml:space="preserve">In this section — </w:t>
      </w:r>
    </w:p>
    <w:p>
      <w:pPr>
        <w:pStyle w:val="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the Northern Territory or the Commonwealth, to carry on operations for the recovery of petroleum from the pool; or</w:t>
      </w:r>
    </w:p>
    <w:p>
      <w:pPr>
        <w:pStyle w:val="Indenti"/>
      </w:pPr>
      <w:r>
        <w:tab/>
        <w:t>(ii)</w:t>
      </w:r>
      <w:r>
        <w:tab/>
        <w:t xml:space="preserve">a geothermal resources area that is partly in a particular licence area of a geothermal licensee and partly in another area, whether in the State or </w:t>
      </w:r>
      <w:r>
        <w:lastRenderedPageBreak/>
        <w:t>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w:t>
      </w:r>
      <w:r>
        <w:rPr>
          <w:snapToGrid w:val="0"/>
        </w:rPr>
        <w:lastRenderedPageBreak/>
        <w:t xml:space="preserve">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lastRenderedPageBreak/>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 or</w:t>
      </w:r>
    </w:p>
    <w:p>
      <w:pPr>
        <w:pStyle w:val="Indenta"/>
        <w:keepNext/>
      </w:pPr>
      <w:r>
        <w:lastRenderedPageBreak/>
        <w:tab/>
        <w:t>(c)</w:t>
      </w:r>
      <w:r>
        <w:tab/>
        <w:t>the offshore area,</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the other State or the Territory if paragraph (a) or (b) applies and with the Joint Authority if paragraph (c) applies.</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the other State or the Territory.</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 and with the approval of the Joint Authority if subsection (11)(c) applies.</w:t>
      </w:r>
    </w:p>
    <w:p>
      <w:pPr>
        <w:pStyle w:val="Footnotesection"/>
        <w:ind w:left="890" w:hanging="890"/>
      </w:pPr>
      <w:r>
        <w:tab/>
        <w:t>[Section 69 amended: No. 12 of 1990 s. 52; No. 35 of 2007 s. 57; No. 7 of 2017 s. 23.]</w:t>
      </w:r>
    </w:p>
    <w:p>
      <w:pPr>
        <w:pStyle w:val="Heading3"/>
      </w:pPr>
      <w:bookmarkStart w:id="165" w:name="_Toc97629658"/>
      <w:bookmarkStart w:id="166" w:name="_Toc97630011"/>
      <w:bookmarkStart w:id="167" w:name="_Toc97630549"/>
      <w:bookmarkStart w:id="168" w:name="_Toc98748464"/>
      <w:bookmarkStart w:id="169" w:name="_Toc98766104"/>
      <w:bookmarkStart w:id="170" w:name="_Toc98834371"/>
      <w:bookmarkStart w:id="171" w:name="_Toc98946953"/>
      <w:r>
        <w:rPr>
          <w:rStyle w:val="CharDivNo"/>
        </w:rPr>
        <w:lastRenderedPageBreak/>
        <w:t>Division 3A</w:t>
      </w:r>
      <w:r>
        <w:t> — </w:t>
      </w:r>
      <w:r>
        <w:rPr>
          <w:rStyle w:val="CharDivText"/>
        </w:rPr>
        <w:t>Petroleum titles and geothermal titles may subsist in respect of same blocks</w:t>
      </w:r>
      <w:bookmarkEnd w:id="165"/>
      <w:bookmarkEnd w:id="166"/>
      <w:bookmarkEnd w:id="167"/>
      <w:bookmarkEnd w:id="168"/>
      <w:bookmarkEnd w:id="169"/>
      <w:bookmarkEnd w:id="170"/>
      <w:bookmarkEnd w:id="171"/>
    </w:p>
    <w:p>
      <w:pPr>
        <w:pStyle w:val="Footnoteheading"/>
        <w:keepNext/>
      </w:pPr>
      <w:r>
        <w:tab/>
        <w:t>[Heading inserted: No. 35 of 2007 s. 58.]</w:t>
      </w:r>
    </w:p>
    <w:p>
      <w:pPr>
        <w:pStyle w:val="Heading5"/>
      </w:pPr>
      <w:bookmarkStart w:id="172" w:name="_Toc98946954"/>
      <w:r>
        <w:rPr>
          <w:rStyle w:val="CharSectno"/>
        </w:rPr>
        <w:t>69A</w:t>
      </w:r>
      <w:r>
        <w:t>.</w:t>
      </w:r>
      <w:r>
        <w:tab/>
        <w:t>Petroleum titles and geothermal titles may subsist in respect of same blocks</w:t>
      </w:r>
      <w:bookmarkEnd w:id="172"/>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lastRenderedPageBreak/>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lastRenderedPageBreak/>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No. 35 of 2007 s. 58.]</w:t>
      </w:r>
    </w:p>
    <w:p>
      <w:pPr>
        <w:pStyle w:val="Ednotesection"/>
      </w:pPr>
      <w:r>
        <w:t>[</w:t>
      </w:r>
      <w:r>
        <w:rPr>
          <w:b/>
          <w:bCs/>
        </w:rPr>
        <w:t>69B</w:t>
      </w:r>
      <w:r>
        <w:rPr>
          <w:b/>
          <w:bCs/>
        </w:rPr>
        <w:noBreakHyphen/>
        <w:t>69I.</w:t>
      </w:r>
      <w:r>
        <w:tab/>
        <w:t>Deleted: No. 52 of 1995 s. 37.]</w:t>
      </w:r>
    </w:p>
    <w:p>
      <w:pPr>
        <w:pStyle w:val="Heading3"/>
      </w:pPr>
      <w:bookmarkStart w:id="173" w:name="_Toc97629660"/>
      <w:bookmarkStart w:id="174" w:name="_Toc97630013"/>
      <w:bookmarkStart w:id="175" w:name="_Toc97630551"/>
      <w:bookmarkStart w:id="176" w:name="_Toc98748466"/>
      <w:bookmarkStart w:id="177" w:name="_Toc98766106"/>
      <w:bookmarkStart w:id="178" w:name="_Toc98834373"/>
      <w:bookmarkStart w:id="179" w:name="_Toc98946955"/>
      <w:r>
        <w:rPr>
          <w:rStyle w:val="CharDivNo"/>
        </w:rPr>
        <w:t>Division 4</w:t>
      </w:r>
      <w:r>
        <w:rPr>
          <w:snapToGrid w:val="0"/>
        </w:rPr>
        <w:t> — </w:t>
      </w:r>
      <w:r>
        <w:rPr>
          <w:rStyle w:val="CharDivText"/>
        </w:rPr>
        <w:t>Registration of instruments</w:t>
      </w:r>
      <w:bookmarkEnd w:id="173"/>
      <w:bookmarkEnd w:id="174"/>
      <w:bookmarkEnd w:id="175"/>
      <w:bookmarkEnd w:id="176"/>
      <w:bookmarkEnd w:id="177"/>
      <w:bookmarkEnd w:id="178"/>
      <w:bookmarkEnd w:id="179"/>
    </w:p>
    <w:p>
      <w:pPr>
        <w:pStyle w:val="Heading5"/>
        <w:rPr>
          <w:snapToGrid w:val="0"/>
        </w:rPr>
      </w:pPr>
      <w:bookmarkStart w:id="180" w:name="_Toc98946956"/>
      <w:r>
        <w:rPr>
          <w:rStyle w:val="CharSectno"/>
        </w:rPr>
        <w:t>69J</w:t>
      </w:r>
      <w:r>
        <w:rPr>
          <w:snapToGrid w:val="0"/>
        </w:rPr>
        <w:t>.</w:t>
      </w:r>
      <w:r>
        <w:rPr>
          <w:snapToGrid w:val="0"/>
        </w:rPr>
        <w:tab/>
        <w:t>Term used: title</w:t>
      </w:r>
      <w:bookmarkEnd w:id="180"/>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No. 12 of 1990 s. 53; amended: No. 78 of 1990 s. 7; renumbered: No. 21 of 1993 s. 45.]</w:t>
      </w:r>
    </w:p>
    <w:p>
      <w:pPr>
        <w:pStyle w:val="Heading5"/>
        <w:rPr>
          <w:snapToGrid w:val="0"/>
        </w:rPr>
      </w:pPr>
      <w:bookmarkStart w:id="181" w:name="_Toc98946957"/>
      <w:r>
        <w:rPr>
          <w:rStyle w:val="CharSectno"/>
        </w:rPr>
        <w:t>70</w:t>
      </w:r>
      <w:r>
        <w:rPr>
          <w:snapToGrid w:val="0"/>
        </w:rPr>
        <w:t>.</w:t>
      </w:r>
      <w:r>
        <w:rPr>
          <w:snapToGrid w:val="0"/>
        </w:rPr>
        <w:tab/>
        <w:t>Register of certain instruments to be kept</w:t>
      </w:r>
      <w:bookmarkEnd w:id="181"/>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 xml:space="preserve">in the case of a permit, drilling reservation, lease or licence, setting out an accurate description (including, </w:t>
      </w:r>
      <w:r>
        <w:rPr>
          <w:snapToGrid w:val="0"/>
        </w:rPr>
        <w:lastRenderedPageBreak/>
        <w:t>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No. 12 of 1990 s. 54; No. 78 of 1990 s. 7; No. 28 of 1994 s. 35; No. 42 of 2010 s. 45.]</w:t>
      </w:r>
    </w:p>
    <w:p>
      <w:pPr>
        <w:pStyle w:val="Heading5"/>
        <w:rPr>
          <w:snapToGrid w:val="0"/>
        </w:rPr>
      </w:pPr>
      <w:bookmarkStart w:id="182" w:name="_Toc98946958"/>
      <w:r>
        <w:rPr>
          <w:rStyle w:val="CharSectno"/>
        </w:rPr>
        <w:lastRenderedPageBreak/>
        <w:t>71</w:t>
      </w:r>
      <w:r>
        <w:rPr>
          <w:snapToGrid w:val="0"/>
        </w:rPr>
        <w:t>.</w:t>
      </w:r>
      <w:r>
        <w:rPr>
          <w:snapToGrid w:val="0"/>
        </w:rPr>
        <w:tab/>
        <w:t>Memorials to be entered of permits determined etc.</w:t>
      </w:r>
      <w:bookmarkEnd w:id="18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No. 12 of 1990 s. 55; No. 78 of 1990 s. 7.]</w:t>
      </w:r>
    </w:p>
    <w:p>
      <w:pPr>
        <w:pStyle w:val="Heading5"/>
        <w:spacing w:before="180"/>
        <w:rPr>
          <w:snapToGrid w:val="0"/>
        </w:rPr>
      </w:pPr>
      <w:bookmarkStart w:id="183" w:name="_Toc98946959"/>
      <w:r>
        <w:rPr>
          <w:rStyle w:val="CharSectno"/>
        </w:rPr>
        <w:t>72</w:t>
      </w:r>
      <w:r>
        <w:rPr>
          <w:snapToGrid w:val="0"/>
        </w:rPr>
        <w:t>.</w:t>
      </w:r>
      <w:r>
        <w:rPr>
          <w:snapToGrid w:val="0"/>
        </w:rPr>
        <w:tab/>
        <w:t>Approval and registration of transfers</w:t>
      </w:r>
      <w:bookmarkEnd w:id="183"/>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lastRenderedPageBreak/>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xml:space="preserve">, enter in the </w:t>
      </w:r>
      <w:r>
        <w:rPr>
          <w:snapToGrid w:val="0"/>
        </w:rPr>
        <w:lastRenderedPageBreak/>
        <w:t>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No. 12 of 1990 s. 56; amended: No. 78 of 1990 s. 7; No. 28 of 1994 s. 36; No. 35 of 2007 s. 59.]</w:t>
      </w:r>
    </w:p>
    <w:p>
      <w:pPr>
        <w:pStyle w:val="Heading5"/>
        <w:rPr>
          <w:snapToGrid w:val="0"/>
        </w:rPr>
      </w:pPr>
      <w:bookmarkStart w:id="184" w:name="_Toc98946960"/>
      <w:r>
        <w:rPr>
          <w:rStyle w:val="CharSectno"/>
        </w:rPr>
        <w:t>73</w:t>
      </w:r>
      <w:r>
        <w:rPr>
          <w:snapToGrid w:val="0"/>
        </w:rPr>
        <w:t>.</w:t>
      </w:r>
      <w:r>
        <w:rPr>
          <w:snapToGrid w:val="0"/>
        </w:rPr>
        <w:tab/>
        <w:t>Entries in Register on devolution of title</w:t>
      </w:r>
      <w:bookmarkEnd w:id="18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 xml:space="preserve">The Minister shall, if he is satisfied that the rights of the holder have devolved upon the applicant by operation of law and on payment of the prescribed fee, enter the name of the applicant in </w:t>
      </w:r>
      <w:r>
        <w:rPr>
          <w:snapToGrid w:val="0"/>
        </w:rPr>
        <w:lastRenderedPageBreak/>
        <w:t>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No. 69 of 1981 s. 34; No. 12 of 1990 s. 57.]</w:t>
      </w:r>
    </w:p>
    <w:p>
      <w:pPr>
        <w:pStyle w:val="Ednotesection"/>
        <w:spacing w:before="200"/>
        <w:ind w:left="890" w:hanging="890"/>
      </w:pPr>
      <w:r>
        <w:t>[</w:t>
      </w:r>
      <w:r>
        <w:rPr>
          <w:b/>
        </w:rPr>
        <w:t>74.</w:t>
      </w:r>
      <w:r>
        <w:tab/>
        <w:t>Deleted: No. 12 of 1990 s. 58.]</w:t>
      </w:r>
    </w:p>
    <w:p>
      <w:pPr>
        <w:pStyle w:val="Heading5"/>
        <w:spacing w:before="180"/>
        <w:rPr>
          <w:snapToGrid w:val="0"/>
        </w:rPr>
      </w:pPr>
      <w:bookmarkStart w:id="185" w:name="_Toc98946961"/>
      <w:r>
        <w:rPr>
          <w:rStyle w:val="CharSectno"/>
        </w:rPr>
        <w:t>75</w:t>
      </w:r>
      <w:r>
        <w:rPr>
          <w:snapToGrid w:val="0"/>
        </w:rPr>
        <w:t>.</w:t>
      </w:r>
      <w:r>
        <w:rPr>
          <w:snapToGrid w:val="0"/>
        </w:rPr>
        <w:tab/>
        <w:t>Approval of dealings creating interests etc. in existing titles</w:t>
      </w:r>
      <w:bookmarkEnd w:id="18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 xml:space="preserve">an interest in relation to an existing permit, drilling reservation, lease or licence, being an interest known as an overriding royalty interest, a </w:t>
      </w:r>
      <w:r>
        <w:rPr>
          <w:snapToGrid w:val="0"/>
        </w:rPr>
        <w:lastRenderedPageBreak/>
        <w:t>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keepNext/>
        <w:rPr>
          <w:snapToGrid w:val="0"/>
        </w:rPr>
      </w:pPr>
      <w:r>
        <w:rPr>
          <w:snapToGrid w:val="0"/>
        </w:rPr>
        <w:lastRenderedPageBreak/>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lastRenderedPageBreak/>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t>
      </w:r>
      <w:r>
        <w:rPr>
          <w:snapToGrid w:val="0"/>
        </w:rPr>
        <w:lastRenderedPageBreak/>
        <w:t xml:space="preserve">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lastRenderedPageBreak/>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No. 12 of 1990 s. 58; amended: No. 78 of 1990 s. 7; No. 28 of 1994 s. 37; No. 20 of 2003 s. 35; No. 35 of 2007 s. 60.]</w:t>
      </w:r>
    </w:p>
    <w:p>
      <w:pPr>
        <w:pStyle w:val="Heading5"/>
        <w:rPr>
          <w:snapToGrid w:val="0"/>
        </w:rPr>
      </w:pPr>
      <w:bookmarkStart w:id="186" w:name="_Toc98946962"/>
      <w:r>
        <w:rPr>
          <w:rStyle w:val="CharSectno"/>
        </w:rPr>
        <w:t>75A</w:t>
      </w:r>
      <w:r>
        <w:rPr>
          <w:snapToGrid w:val="0"/>
        </w:rPr>
        <w:t>.</w:t>
      </w:r>
      <w:r>
        <w:rPr>
          <w:snapToGrid w:val="0"/>
        </w:rPr>
        <w:tab/>
        <w:t>Approval of dealings in future interests etc.</w:t>
      </w:r>
      <w:bookmarkEnd w:id="186"/>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lastRenderedPageBreak/>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No. 12 of 1990 s. 58; amended: No. 78 of 1990 s. 7.]</w:t>
      </w:r>
    </w:p>
    <w:p>
      <w:pPr>
        <w:pStyle w:val="Heading5"/>
        <w:rPr>
          <w:snapToGrid w:val="0"/>
        </w:rPr>
      </w:pPr>
      <w:bookmarkStart w:id="187" w:name="_Toc98946963"/>
      <w:r>
        <w:rPr>
          <w:rStyle w:val="CharSectno"/>
        </w:rPr>
        <w:t>76</w:t>
      </w:r>
      <w:r>
        <w:rPr>
          <w:snapToGrid w:val="0"/>
        </w:rPr>
        <w:t>.</w:t>
      </w:r>
      <w:r>
        <w:rPr>
          <w:snapToGrid w:val="0"/>
        </w:rPr>
        <w:tab/>
        <w:t>True consideration to be shown in transfer or dealing</w:t>
      </w:r>
      <w:bookmarkEnd w:id="187"/>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lastRenderedPageBreak/>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No. 12 of 1990 s. 59; No. 35 of 2007 s. 61; No. 42 of 2010 s. 62(15).]</w:t>
      </w:r>
    </w:p>
    <w:p>
      <w:pPr>
        <w:pStyle w:val="Heading5"/>
        <w:rPr>
          <w:snapToGrid w:val="0"/>
        </w:rPr>
      </w:pPr>
      <w:bookmarkStart w:id="188" w:name="_Toc98946964"/>
      <w:r>
        <w:rPr>
          <w:rStyle w:val="CharSectno"/>
        </w:rPr>
        <w:t>77</w:t>
      </w:r>
      <w:r>
        <w:rPr>
          <w:snapToGrid w:val="0"/>
        </w:rPr>
        <w:t>.</w:t>
      </w:r>
      <w:r>
        <w:rPr>
          <w:snapToGrid w:val="0"/>
        </w:rPr>
        <w:tab/>
        <w:t>Minister not concerned with certain matters</w:t>
      </w:r>
      <w:bookmarkEnd w:id="188"/>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No. 12 of 1990 s. 60.]</w:t>
      </w:r>
    </w:p>
    <w:p>
      <w:pPr>
        <w:pStyle w:val="Heading5"/>
        <w:rPr>
          <w:snapToGrid w:val="0"/>
        </w:rPr>
      </w:pPr>
      <w:bookmarkStart w:id="189" w:name="_Toc98946965"/>
      <w:r>
        <w:rPr>
          <w:rStyle w:val="CharSectno"/>
        </w:rPr>
        <w:t>78</w:t>
      </w:r>
      <w:r>
        <w:rPr>
          <w:snapToGrid w:val="0"/>
        </w:rPr>
        <w:t>.</w:t>
      </w:r>
      <w:r>
        <w:rPr>
          <w:snapToGrid w:val="0"/>
        </w:rPr>
        <w:tab/>
        <w:t>Power of Minister to require information as to transfers or dealings</w:t>
      </w:r>
      <w:bookmarkEnd w:id="18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keepNext/>
        <w:keepLines/>
        <w:rPr>
          <w:snapToGrid w:val="0"/>
        </w:rPr>
      </w:pPr>
      <w:r>
        <w:rPr>
          <w:snapToGrid w:val="0"/>
        </w:rPr>
        <w:lastRenderedPageBreak/>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No. 12 of 1990 s. 61; No. 28 of 1994 s. 38; No. 42 of 2010 s. 62(2) and (3).]</w:t>
      </w:r>
    </w:p>
    <w:p>
      <w:pPr>
        <w:pStyle w:val="Heading5"/>
        <w:rPr>
          <w:snapToGrid w:val="0"/>
        </w:rPr>
      </w:pPr>
      <w:bookmarkStart w:id="190" w:name="_Toc98946966"/>
      <w:r>
        <w:rPr>
          <w:rStyle w:val="CharSectno"/>
        </w:rPr>
        <w:t>79</w:t>
      </w:r>
      <w:r>
        <w:rPr>
          <w:snapToGrid w:val="0"/>
        </w:rPr>
        <w:t>.</w:t>
      </w:r>
      <w:r>
        <w:rPr>
          <w:snapToGrid w:val="0"/>
        </w:rPr>
        <w:tab/>
        <w:t>Production and inspection of documents</w:t>
      </w:r>
      <w:bookmarkEnd w:id="190"/>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lastRenderedPageBreak/>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No. 12 of 1990 s. 62; No. 42 of 2010 s. 62(4).]</w:t>
      </w:r>
    </w:p>
    <w:p>
      <w:pPr>
        <w:pStyle w:val="Heading5"/>
        <w:rPr>
          <w:snapToGrid w:val="0"/>
        </w:rPr>
      </w:pPr>
      <w:bookmarkStart w:id="191" w:name="_Toc98946967"/>
      <w:r>
        <w:rPr>
          <w:rStyle w:val="CharSectno"/>
        </w:rPr>
        <w:t>80</w:t>
      </w:r>
      <w:r>
        <w:rPr>
          <w:snapToGrid w:val="0"/>
        </w:rPr>
        <w:t>.</w:t>
      </w:r>
      <w:r>
        <w:rPr>
          <w:snapToGrid w:val="0"/>
        </w:rPr>
        <w:tab/>
        <w:t>Inspection of Register and instruments</w:t>
      </w:r>
      <w:bookmarkEnd w:id="191"/>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No. 69 of 1981 s. 34; No. 12 of 1990 s. 63.]</w:t>
      </w:r>
    </w:p>
    <w:p>
      <w:pPr>
        <w:pStyle w:val="Heading5"/>
        <w:rPr>
          <w:snapToGrid w:val="0"/>
        </w:rPr>
      </w:pPr>
      <w:bookmarkStart w:id="192" w:name="_Toc98946968"/>
      <w:r>
        <w:rPr>
          <w:rStyle w:val="CharSectno"/>
        </w:rPr>
        <w:t>81</w:t>
      </w:r>
      <w:r>
        <w:rPr>
          <w:snapToGrid w:val="0"/>
        </w:rPr>
        <w:t>.</w:t>
      </w:r>
      <w:r>
        <w:rPr>
          <w:snapToGrid w:val="0"/>
        </w:rPr>
        <w:tab/>
        <w:t>Evidentiary provisions</w:t>
      </w:r>
      <w:bookmarkEnd w:id="192"/>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lastRenderedPageBreak/>
        <w:tab/>
        <w:t>[Section 81 amended: No. 69 of 1981 s. 34; No. 12 of 1990 s. 64; No. 55 of 2004 s. 917.]</w:t>
      </w:r>
    </w:p>
    <w:p>
      <w:pPr>
        <w:pStyle w:val="Heading5"/>
        <w:rPr>
          <w:snapToGrid w:val="0"/>
        </w:rPr>
      </w:pPr>
      <w:bookmarkStart w:id="193" w:name="_Toc98946969"/>
      <w:r>
        <w:rPr>
          <w:rStyle w:val="CharSectno"/>
        </w:rPr>
        <w:t>81A</w:t>
      </w:r>
      <w:r>
        <w:rPr>
          <w:snapToGrid w:val="0"/>
        </w:rPr>
        <w:t>.</w:t>
      </w:r>
      <w:r>
        <w:rPr>
          <w:snapToGrid w:val="0"/>
        </w:rPr>
        <w:tab/>
        <w:t>Minister may make corrections to, and entries in, Register</w:t>
      </w:r>
      <w:bookmarkEnd w:id="193"/>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No. 12 of 1990 s. 65.]</w:t>
      </w:r>
    </w:p>
    <w:p>
      <w:pPr>
        <w:pStyle w:val="Heading5"/>
        <w:spacing w:before="180"/>
        <w:rPr>
          <w:snapToGrid w:val="0"/>
        </w:rPr>
      </w:pPr>
      <w:bookmarkStart w:id="194" w:name="_Toc98946970"/>
      <w:r>
        <w:rPr>
          <w:rStyle w:val="CharSectno"/>
        </w:rPr>
        <w:lastRenderedPageBreak/>
        <w:t>82</w:t>
      </w:r>
      <w:r>
        <w:rPr>
          <w:snapToGrid w:val="0"/>
        </w:rPr>
        <w:t>.</w:t>
      </w:r>
      <w:r>
        <w:rPr>
          <w:snapToGrid w:val="0"/>
        </w:rPr>
        <w:tab/>
        <w:t>Application to State Administrative Tribunal for orders</w:t>
      </w:r>
      <w:bookmarkEnd w:id="194"/>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No. 55 of 2004 s. 918.]</w:t>
      </w:r>
    </w:p>
    <w:p>
      <w:pPr>
        <w:pStyle w:val="Ednotesection"/>
        <w:spacing w:before="240"/>
      </w:pPr>
      <w:r>
        <w:t>[</w:t>
      </w:r>
      <w:r>
        <w:rPr>
          <w:b/>
          <w:bCs/>
        </w:rPr>
        <w:t>83.</w:t>
      </w:r>
      <w:r>
        <w:rPr>
          <w:b/>
          <w:bCs/>
        </w:rPr>
        <w:tab/>
      </w:r>
      <w:r>
        <w:t>Deleted: No. 13 of 2005 s. 6.]</w:t>
      </w:r>
    </w:p>
    <w:p>
      <w:pPr>
        <w:pStyle w:val="Heading5"/>
        <w:spacing w:before="240"/>
        <w:rPr>
          <w:snapToGrid w:val="0"/>
        </w:rPr>
      </w:pPr>
      <w:bookmarkStart w:id="195" w:name="_Toc98946971"/>
      <w:r>
        <w:rPr>
          <w:rStyle w:val="CharSectno"/>
        </w:rPr>
        <w:t>84</w:t>
      </w:r>
      <w:r>
        <w:rPr>
          <w:snapToGrid w:val="0"/>
        </w:rPr>
        <w:t>.</w:t>
      </w:r>
      <w:r>
        <w:rPr>
          <w:snapToGrid w:val="0"/>
        </w:rPr>
        <w:tab/>
        <w:t>Offences connected with Register and certain documents</w:t>
      </w:r>
      <w:bookmarkEnd w:id="195"/>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 xml:space="preserve">produces or tenders in evidence a document falsely purporting to be a copy of or extract from an entry in the </w:t>
      </w:r>
      <w:r>
        <w:rPr>
          <w:snapToGrid w:val="0"/>
        </w:rPr>
        <w:lastRenderedPageBreak/>
        <w:t>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No. 12 of 1990 s. 66; No. 42 of 2010 s. 62(5) and (6).]</w:t>
      </w:r>
    </w:p>
    <w:p>
      <w:pPr>
        <w:pStyle w:val="Heading5"/>
        <w:rPr>
          <w:snapToGrid w:val="0"/>
        </w:rPr>
      </w:pPr>
      <w:bookmarkStart w:id="196" w:name="_Toc98946972"/>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96"/>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No. 55 of 2004 s. 919; No. 35 of 2007 s. 62.]</w:t>
      </w:r>
    </w:p>
    <w:p>
      <w:pPr>
        <w:pStyle w:val="Heading5"/>
        <w:rPr>
          <w:snapToGrid w:val="0"/>
        </w:rPr>
      </w:pPr>
      <w:bookmarkStart w:id="197" w:name="_Toc98946973"/>
      <w:r>
        <w:rPr>
          <w:rStyle w:val="CharSectno"/>
        </w:rPr>
        <w:t>86</w:t>
      </w:r>
      <w:r>
        <w:rPr>
          <w:snapToGrid w:val="0"/>
        </w:rPr>
        <w:t>.</w:t>
      </w:r>
      <w:r>
        <w:rPr>
          <w:snapToGrid w:val="0"/>
        </w:rPr>
        <w:tab/>
        <w:t>Exemption from duty</w:t>
      </w:r>
      <w:bookmarkEnd w:id="197"/>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No. 12 of 1990 s. 67; No. 78 of 1990 s. 7; No. 31 of 2008 s. 34.]</w:t>
      </w:r>
    </w:p>
    <w:p>
      <w:pPr>
        <w:pStyle w:val="Heading3"/>
        <w:keepLines/>
      </w:pPr>
      <w:bookmarkStart w:id="198" w:name="_Toc97629679"/>
      <w:bookmarkStart w:id="199" w:name="_Toc97630032"/>
      <w:bookmarkStart w:id="200" w:name="_Toc97630570"/>
      <w:bookmarkStart w:id="201" w:name="_Toc98748485"/>
      <w:bookmarkStart w:id="202" w:name="_Toc98766125"/>
      <w:bookmarkStart w:id="203" w:name="_Toc98834392"/>
      <w:bookmarkStart w:id="204" w:name="_Toc98946974"/>
      <w:r>
        <w:rPr>
          <w:rStyle w:val="CharDivNo"/>
        </w:rPr>
        <w:lastRenderedPageBreak/>
        <w:t>Division 5</w:t>
      </w:r>
      <w:r>
        <w:rPr>
          <w:snapToGrid w:val="0"/>
        </w:rPr>
        <w:t> — </w:t>
      </w:r>
      <w:r>
        <w:rPr>
          <w:rStyle w:val="CharDivText"/>
        </w:rPr>
        <w:t>General</w:t>
      </w:r>
      <w:bookmarkEnd w:id="198"/>
      <w:bookmarkEnd w:id="199"/>
      <w:bookmarkEnd w:id="200"/>
      <w:bookmarkEnd w:id="201"/>
      <w:bookmarkEnd w:id="202"/>
      <w:bookmarkEnd w:id="203"/>
      <w:bookmarkEnd w:id="204"/>
    </w:p>
    <w:p>
      <w:pPr>
        <w:pStyle w:val="Ednotesection"/>
        <w:keepNext/>
        <w:keepLines/>
        <w:ind w:left="890" w:hanging="890"/>
      </w:pPr>
      <w:r>
        <w:t>[</w:t>
      </w:r>
      <w:r>
        <w:rPr>
          <w:b/>
        </w:rPr>
        <w:t>87.</w:t>
      </w:r>
      <w:r>
        <w:tab/>
        <w:t>Deleted: No. 12 of 1990 s. 68.]</w:t>
      </w:r>
    </w:p>
    <w:p>
      <w:pPr>
        <w:pStyle w:val="Heading5"/>
        <w:spacing w:before="180"/>
        <w:rPr>
          <w:snapToGrid w:val="0"/>
        </w:rPr>
      </w:pPr>
      <w:bookmarkStart w:id="205" w:name="_Toc98946975"/>
      <w:r>
        <w:rPr>
          <w:rStyle w:val="CharSectno"/>
        </w:rPr>
        <w:t>88</w:t>
      </w:r>
      <w:r>
        <w:rPr>
          <w:snapToGrid w:val="0"/>
        </w:rPr>
        <w:t>.</w:t>
      </w:r>
      <w:r>
        <w:rPr>
          <w:snapToGrid w:val="0"/>
        </w:rPr>
        <w:tab/>
        <w:t>Notice of grants of permits etc. to be published</w:t>
      </w:r>
      <w:bookmarkEnd w:id="205"/>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No. 12 of 1990 s. 69; No. 78 of 1990 s. 7; No. 28 of 1994 s. 39.]</w:t>
      </w:r>
    </w:p>
    <w:p>
      <w:pPr>
        <w:pStyle w:val="Heading5"/>
        <w:rPr>
          <w:snapToGrid w:val="0"/>
        </w:rPr>
      </w:pPr>
      <w:bookmarkStart w:id="206" w:name="_Toc98946976"/>
      <w:r>
        <w:rPr>
          <w:rStyle w:val="CharSectno"/>
        </w:rPr>
        <w:t>89</w:t>
      </w:r>
      <w:r>
        <w:rPr>
          <w:snapToGrid w:val="0"/>
        </w:rPr>
        <w:t>.</w:t>
      </w:r>
      <w:r>
        <w:rPr>
          <w:snapToGrid w:val="0"/>
        </w:rPr>
        <w:tab/>
        <w:t>Date of effect of certain surrenders, cancellations and variations</w:t>
      </w:r>
      <w:bookmarkEnd w:id="206"/>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lastRenderedPageBreak/>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No. 12 of 1990 s. 70; No. 78 of 1990 s. 7.]</w:t>
      </w:r>
    </w:p>
    <w:p>
      <w:pPr>
        <w:pStyle w:val="Heading5"/>
        <w:rPr>
          <w:snapToGrid w:val="0"/>
        </w:rPr>
      </w:pPr>
      <w:bookmarkStart w:id="207" w:name="_Toc98946977"/>
      <w:r>
        <w:rPr>
          <w:rStyle w:val="CharSectno"/>
        </w:rPr>
        <w:t>90</w:t>
      </w:r>
      <w:r>
        <w:rPr>
          <w:snapToGrid w:val="0"/>
        </w:rPr>
        <w:t>.</w:t>
      </w:r>
      <w:r>
        <w:rPr>
          <w:snapToGrid w:val="0"/>
        </w:rPr>
        <w:tab/>
        <w:t>Commencement of works</w:t>
      </w:r>
      <w:bookmarkEnd w:id="207"/>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No. 12 of 1990 s. 71; No. 78 of 1990 s. 7; No. 42 of 2010 s. 62(7).]</w:t>
      </w:r>
    </w:p>
    <w:p>
      <w:pPr>
        <w:pStyle w:val="Heading5"/>
        <w:rPr>
          <w:snapToGrid w:val="0"/>
        </w:rPr>
      </w:pPr>
      <w:bookmarkStart w:id="208" w:name="_Toc98946978"/>
      <w:r>
        <w:rPr>
          <w:rStyle w:val="CharSectno"/>
        </w:rPr>
        <w:lastRenderedPageBreak/>
        <w:t>91</w:t>
      </w:r>
      <w:r>
        <w:rPr>
          <w:snapToGrid w:val="0"/>
        </w:rPr>
        <w:t>.</w:t>
      </w:r>
      <w:r>
        <w:rPr>
          <w:snapToGrid w:val="0"/>
        </w:rPr>
        <w:tab/>
        <w:t>Work practices</w:t>
      </w:r>
      <w:bookmarkEnd w:id="208"/>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keepNext/>
        <w:rPr>
          <w:snapToGrid w:val="0"/>
        </w:rPr>
      </w:pPr>
      <w:r>
        <w:rPr>
          <w:snapToGrid w:val="0"/>
        </w:rPr>
        <w:lastRenderedPageBreak/>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 xml:space="preserve">field practice — prevent water or any other matter entering any geothermal </w:t>
      </w:r>
      <w:r>
        <w:lastRenderedPageBreak/>
        <w:t>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No. 12 of 1990 s. 72; No. 78 of 1990 s. 7; No. 28 of 1994 s. 40; No. 13 of 2005 s. 7; No. 35 of 2007 s. 63; No. 42 of 2010 s. 62(8).]</w:t>
      </w:r>
    </w:p>
    <w:p>
      <w:pPr>
        <w:pStyle w:val="Heading5"/>
        <w:rPr>
          <w:snapToGrid w:val="0"/>
        </w:rPr>
      </w:pPr>
      <w:bookmarkStart w:id="209" w:name="_Toc98946979"/>
      <w:r>
        <w:rPr>
          <w:rStyle w:val="CharSectno"/>
        </w:rPr>
        <w:t>91A</w:t>
      </w:r>
      <w:r>
        <w:rPr>
          <w:snapToGrid w:val="0"/>
        </w:rPr>
        <w:t>.</w:t>
      </w:r>
      <w:r>
        <w:rPr>
          <w:snapToGrid w:val="0"/>
        </w:rPr>
        <w:tab/>
        <w:t>Conditions relating to insurance</w:t>
      </w:r>
      <w:bookmarkEnd w:id="209"/>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 xml:space="preserve">The conditions subject to which a special prospecting authority or access authority is granted may include a condition that the registered holder maintain, as directed by the Minister from time to time, insurance against expenses or liabilities or specified </w:t>
      </w:r>
      <w:r>
        <w:rPr>
          <w:snapToGrid w:val="0"/>
        </w:rPr>
        <w:lastRenderedPageBreak/>
        <w:t>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No. 28 of 1994 s. 41; amended: No. 35 of 2007 s. 64.]</w:t>
      </w:r>
    </w:p>
    <w:p>
      <w:pPr>
        <w:pStyle w:val="Heading5"/>
        <w:rPr>
          <w:snapToGrid w:val="0"/>
        </w:rPr>
      </w:pPr>
      <w:bookmarkStart w:id="210" w:name="_Toc98946980"/>
      <w:r>
        <w:rPr>
          <w:rStyle w:val="CharSectno"/>
        </w:rPr>
        <w:t>91B</w:t>
      </w:r>
      <w:r>
        <w:rPr>
          <w:snapToGrid w:val="0"/>
        </w:rPr>
        <w:t>.</w:t>
      </w:r>
      <w:r>
        <w:rPr>
          <w:snapToGrid w:val="0"/>
        </w:rPr>
        <w:tab/>
        <w:t>Conditions prohibiting entry on certain land</w:t>
      </w:r>
      <w:bookmarkEnd w:id="210"/>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lastRenderedPageBreak/>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No. 17 of 1999 s. 27.]</w:t>
      </w:r>
    </w:p>
    <w:p>
      <w:pPr>
        <w:pStyle w:val="Heading5"/>
        <w:keepLines w:val="0"/>
        <w:spacing w:before="240"/>
        <w:rPr>
          <w:snapToGrid w:val="0"/>
        </w:rPr>
      </w:pPr>
      <w:bookmarkStart w:id="211" w:name="_Toc98946981"/>
      <w:r>
        <w:rPr>
          <w:rStyle w:val="CharSectno"/>
        </w:rPr>
        <w:t>92</w:t>
      </w:r>
      <w:r>
        <w:rPr>
          <w:snapToGrid w:val="0"/>
        </w:rPr>
        <w:t>.</w:t>
      </w:r>
      <w:r>
        <w:rPr>
          <w:snapToGrid w:val="0"/>
        </w:rPr>
        <w:tab/>
        <w:t>Maintenance etc. of property</w:t>
      </w:r>
      <w:bookmarkEnd w:id="211"/>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rPr>
          <w:snapToGrid w:val="0"/>
        </w:rPr>
      </w:pPr>
      <w:r>
        <w:rPr>
          <w:snapToGrid w:val="0"/>
        </w:rPr>
        <w:lastRenderedPageBreak/>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No. 12 of 1990 s. 74; No. 78 of 1990 s. 7; No. 28 of 1994 s. 42; No. 42 of 2010 s. 62(9).]</w:t>
      </w:r>
    </w:p>
    <w:p>
      <w:pPr>
        <w:pStyle w:val="Heading5"/>
        <w:rPr>
          <w:snapToGrid w:val="0"/>
        </w:rPr>
      </w:pPr>
      <w:bookmarkStart w:id="212" w:name="_Toc98946982"/>
      <w:r>
        <w:rPr>
          <w:rStyle w:val="CharSectno"/>
        </w:rPr>
        <w:t>93</w:t>
      </w:r>
      <w:r>
        <w:rPr>
          <w:snapToGrid w:val="0"/>
        </w:rPr>
        <w:t>.</w:t>
      </w:r>
      <w:r>
        <w:rPr>
          <w:snapToGrid w:val="0"/>
        </w:rPr>
        <w:tab/>
        <w:t>Operation of s. 91, 91A and 92 subject to this Act and other laws</w:t>
      </w:r>
      <w:bookmarkEnd w:id="212"/>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No. 28 of 1994 s. 43.]</w:t>
      </w:r>
    </w:p>
    <w:p>
      <w:pPr>
        <w:pStyle w:val="Ednotesection"/>
        <w:spacing w:before="180"/>
      </w:pPr>
      <w:r>
        <w:t>[</w:t>
      </w:r>
      <w:r>
        <w:rPr>
          <w:b/>
        </w:rPr>
        <w:t>94.</w:t>
      </w:r>
      <w:r>
        <w:tab/>
        <w:t>Deleted: No. 42 of 2010 s. 46.]</w:t>
      </w:r>
    </w:p>
    <w:p>
      <w:pPr>
        <w:pStyle w:val="Heading5"/>
        <w:spacing w:before="180"/>
        <w:rPr>
          <w:snapToGrid w:val="0"/>
        </w:rPr>
      </w:pPr>
      <w:bookmarkStart w:id="213" w:name="_Toc98946983"/>
      <w:r>
        <w:rPr>
          <w:rStyle w:val="CharSectno"/>
        </w:rPr>
        <w:t>95</w:t>
      </w:r>
      <w:r>
        <w:rPr>
          <w:snapToGrid w:val="0"/>
        </w:rPr>
        <w:t>.</w:t>
      </w:r>
      <w:r>
        <w:rPr>
          <w:snapToGrid w:val="0"/>
        </w:rPr>
        <w:tab/>
        <w:t>Directions by Minister</w:t>
      </w:r>
      <w:bookmarkEnd w:id="213"/>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lastRenderedPageBreak/>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 xml:space="preserve">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w:t>
      </w:r>
      <w:r>
        <w:rPr>
          <w:snapToGrid w:val="0"/>
        </w:rPr>
        <w:lastRenderedPageBreak/>
        <w:t>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No. 12 of 1990 s. 76; amended: No. 78 of 1990 s. 7; No. 35 of 2007 s. 65; No. 42 of 2010 s. 62(15).]</w:t>
      </w:r>
    </w:p>
    <w:p>
      <w:pPr>
        <w:pStyle w:val="Heading5"/>
        <w:spacing w:before="180"/>
        <w:rPr>
          <w:snapToGrid w:val="0"/>
        </w:rPr>
      </w:pPr>
      <w:bookmarkStart w:id="214" w:name="_Toc98946984"/>
      <w:r>
        <w:rPr>
          <w:rStyle w:val="CharSectno"/>
        </w:rPr>
        <w:t>96</w:t>
      </w:r>
      <w:r>
        <w:rPr>
          <w:snapToGrid w:val="0"/>
        </w:rPr>
        <w:t>.</w:t>
      </w:r>
      <w:r>
        <w:rPr>
          <w:snapToGrid w:val="0"/>
        </w:rPr>
        <w:tab/>
        <w:t>Compliance with directions</w:t>
      </w:r>
      <w:bookmarkEnd w:id="214"/>
    </w:p>
    <w:p>
      <w:pPr>
        <w:pStyle w:val="Subsection"/>
        <w:rPr>
          <w:snapToGrid w:val="0"/>
        </w:rPr>
      </w:pPr>
      <w:r>
        <w:rPr>
          <w:snapToGrid w:val="0"/>
        </w:rPr>
        <w:tab/>
        <w:t>(1)</w:t>
      </w:r>
      <w:r>
        <w:rPr>
          <w:snapToGrid w:val="0"/>
        </w:rPr>
        <w:tab/>
        <w:t xml:space="preserve">Where a person does not comply with a direction given or applicable to the person under this Part or under the regulations, </w:t>
      </w:r>
      <w:r>
        <w:rPr>
          <w:snapToGrid w:val="0"/>
        </w:rPr>
        <w:lastRenderedPageBreak/>
        <w:t>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No. 12 of 1990 s. 77.]</w:t>
      </w:r>
    </w:p>
    <w:p>
      <w:pPr>
        <w:pStyle w:val="Heading5"/>
        <w:spacing w:before="180"/>
        <w:rPr>
          <w:snapToGrid w:val="0"/>
        </w:rPr>
      </w:pPr>
      <w:bookmarkStart w:id="215" w:name="_Toc98946985"/>
      <w:r>
        <w:rPr>
          <w:rStyle w:val="CharSectno"/>
        </w:rPr>
        <w:t>97</w:t>
      </w:r>
      <w:r>
        <w:rPr>
          <w:snapToGrid w:val="0"/>
        </w:rPr>
        <w:t>.</w:t>
      </w:r>
      <w:r>
        <w:rPr>
          <w:snapToGrid w:val="0"/>
        </w:rPr>
        <w:tab/>
        <w:t>Variation and suspension of, and exemption from compliance with, conditions</w:t>
      </w:r>
      <w:bookmarkEnd w:id="2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lastRenderedPageBreak/>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lastRenderedPageBreak/>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No. 12 of 1990 s. 78; No. 78 of 1990 s. 7; No. 28 of 1994 s. 44.]</w:t>
      </w:r>
    </w:p>
    <w:p>
      <w:pPr>
        <w:pStyle w:val="Heading5"/>
      </w:pPr>
      <w:bookmarkStart w:id="216" w:name="_Toc98946986"/>
      <w:r>
        <w:rPr>
          <w:rStyle w:val="CharSectno"/>
        </w:rPr>
        <w:t>97A</w:t>
      </w:r>
      <w:r>
        <w:t>.</w:t>
      </w:r>
      <w:r>
        <w:tab/>
        <w:t>Variation of petroleum title by including area as result of change to boundary of offshore area</w:t>
      </w:r>
      <w:bookmarkEnd w:id="216"/>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lastRenderedPageBreak/>
        <w:tab/>
        <w:t>(c)</w:t>
      </w:r>
      <w:r>
        <w:tab/>
        <w:t xml:space="preserve">a Commonwealth licence; </w:t>
      </w:r>
    </w:p>
    <w:p>
      <w:pPr>
        <w:pStyle w:val="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Defstart"/>
      </w:pPr>
      <w:r>
        <w:tab/>
      </w:r>
      <w:r>
        <w:rPr>
          <w:rStyle w:val="CharDefText"/>
        </w:rPr>
        <w:t>petroleum title</w:t>
      </w:r>
      <w:r>
        <w:t xml:space="preserve"> means a petroleum exploration permit, petroleum retention lease or fixed</w:t>
      </w:r>
      <w:r>
        <w:noBreakHyphen/>
        <w:t>term WA petroleum production licence;</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lastRenderedPageBreak/>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27 block covered by the petroleum title immediately adjoined at least one other section 27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lastRenderedPageBreak/>
        <w:tab/>
        <w:t>(4)</w:t>
      </w:r>
      <w:r>
        <w:tab/>
        <w:t xml:space="preserve">The conditions mentioned in subsection (2)(c)(ii) are — </w:t>
      </w:r>
    </w:p>
    <w:p>
      <w:pPr>
        <w:pStyle w:val="Indenta"/>
      </w:pPr>
      <w:r>
        <w:tab/>
        <w:t>(a)</w:t>
      </w:r>
      <w:r>
        <w:tab/>
        <w:t>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petroleum exploration permit — </w:t>
      </w:r>
    </w:p>
    <w:p>
      <w:pPr>
        <w:pStyle w:val="Indenta"/>
      </w:pPr>
      <w:r>
        <w:tab/>
        <w:t>(a)</w:t>
      </w:r>
      <w:r>
        <w:tab/>
        <w:t xml:space="preserve">the Minister must, by written notice given to the permittee, vary the permit to include in the permit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permit area because of the variation are, for the remainder of the term of the permit, blocks in relation to which the permit is in force.</w:t>
      </w:r>
    </w:p>
    <w:p>
      <w:pPr>
        <w:pStyle w:val="Subsection"/>
      </w:pPr>
      <w:r>
        <w:lastRenderedPageBreak/>
        <w:tab/>
        <w:t>(8)</w:t>
      </w:r>
      <w:r>
        <w:tab/>
        <w:t xml:space="preserve">If the relevant petroleum title is a petroleum retention lease — </w:t>
      </w:r>
    </w:p>
    <w:p>
      <w:pPr>
        <w:pStyle w:val="Indenta"/>
      </w:pPr>
      <w:r>
        <w:tab/>
        <w:t>(a)</w:t>
      </w:r>
      <w:r>
        <w:tab/>
        <w:t xml:space="preserve">the Minister must, by written notice given to the lessee, vary the lease to include in the lease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lease area because of the variation are, for the remainder of the term of the lease, blocks in relation to which the lease is in force.</w:t>
      </w:r>
    </w:p>
    <w:p>
      <w:pPr>
        <w:pStyle w:val="Subsection"/>
      </w:pPr>
      <w:r>
        <w:tab/>
        <w:t>(9)</w:t>
      </w:r>
      <w:r>
        <w:tab/>
        <w:t xml:space="preserve">If the relevant petroleum title is a petroleum production licence — </w:t>
      </w:r>
    </w:p>
    <w:p>
      <w:pPr>
        <w:pStyle w:val="Indenta"/>
      </w:pPr>
      <w:r>
        <w:tab/>
        <w:t>(a)</w:t>
      </w:r>
      <w:r>
        <w:tab/>
        <w:t xml:space="preserve">the Minister must, by written notice given to the licensee, vary the licence to include in the licence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lastRenderedPageBreak/>
        <w:tab/>
        <w:t>(12)</w:t>
      </w:r>
      <w:r>
        <w:tab/>
        <w:t xml:space="preserve">For the purposes of this section, a section 27 block immediately adjoins another section 27 block if — </w:t>
      </w:r>
    </w:p>
    <w:p>
      <w:pPr>
        <w:pStyle w:val="Indenta"/>
      </w:pPr>
      <w:r>
        <w:tab/>
        <w:t>(a)</w:t>
      </w:r>
      <w:r>
        <w:tab/>
        <w:t xml:space="preserve">the graticular section that constitutes or includes that section 27 block and the graticular section that constitutes or includes that other section 27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27 block and that other section 27 block are in the same graticular section.</w:t>
      </w:r>
    </w:p>
    <w:p>
      <w:pPr>
        <w:pStyle w:val="Subsection"/>
      </w:pPr>
      <w:r>
        <w:tab/>
        <w:t>(13)</w:t>
      </w:r>
      <w:r>
        <w:tab/>
        <w:t xml:space="preserve">For the purposes of this section — </w:t>
      </w:r>
    </w:p>
    <w:p>
      <w:pPr>
        <w:pStyle w:val="Indenta"/>
      </w:pPr>
      <w:r>
        <w:tab/>
        <w:t>(a)</w:t>
      </w:r>
      <w:r>
        <w:tab/>
        <w:t>a petroleum exploration permit granted otherwise than by way of renewal corresponds to a Commonwealth permit granted otherwise than by way of renewal; and</w:t>
      </w:r>
    </w:p>
    <w:p>
      <w:pPr>
        <w:pStyle w:val="Indenta"/>
      </w:pPr>
      <w:r>
        <w:tab/>
        <w:t>(b)</w:t>
      </w:r>
      <w:r>
        <w:tab/>
        <w:t>a petroleum retention lease corresponds to a Commonwealth lease; and</w:t>
      </w:r>
    </w:p>
    <w:p>
      <w:pPr>
        <w:pStyle w:val="Indenta"/>
      </w:pPr>
      <w:r>
        <w:tab/>
        <w:t>(c)</w:t>
      </w:r>
      <w:r>
        <w:tab/>
        <w:t>a fixed</w:t>
      </w:r>
      <w:r>
        <w:noBreakHyphen/>
        <w:t>term WA petroleum production licence granted otherwise than by way of renewal corresponds to a Commonwealth licence granted otherwise than by way of renewal; and</w:t>
      </w:r>
    </w:p>
    <w:p>
      <w:pPr>
        <w:pStyle w:val="Indenta"/>
      </w:pPr>
      <w:r>
        <w:tab/>
        <w:t>(d)</w:t>
      </w:r>
      <w:r>
        <w:tab/>
        <w:t>a petroleum exploration permit granted by way of first renewal corresponds to a Commonwealth permit granted by way of first renewal; and</w:t>
      </w:r>
    </w:p>
    <w:p>
      <w:pPr>
        <w:pStyle w:val="Indenta"/>
      </w:pPr>
      <w:r>
        <w:tab/>
        <w:t>(e)</w:t>
      </w:r>
      <w:r>
        <w:tab/>
        <w:t>a fixed</w:t>
      </w:r>
      <w:r>
        <w:noBreakHyphen/>
        <w:t>term WA petroleum production licence granted by way of first renewal corresponds to a Commonwealth licence granted by way of first renewal; and</w:t>
      </w:r>
    </w:p>
    <w:p>
      <w:pPr>
        <w:pStyle w:val="Indenta"/>
      </w:pPr>
      <w:r>
        <w:tab/>
        <w:t>(f)</w:t>
      </w:r>
      <w:r>
        <w:tab/>
        <w:t>a petroleum exploration permit granted by way of second renewal corresponds to a Commonwealth permit granted by way of second renewal; and</w:t>
      </w:r>
    </w:p>
    <w:p>
      <w:pPr>
        <w:pStyle w:val="Indenta"/>
        <w:keepNext/>
        <w:keepLines/>
      </w:pPr>
      <w:r>
        <w:lastRenderedPageBreak/>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27 block that was covered by the Commonwealth title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ind w:left="890" w:hanging="890"/>
      </w:pPr>
      <w:r>
        <w:tab/>
        <w:t>[Section 97A inserted: No. 7 of 2017 s. 24.]</w:t>
      </w:r>
    </w:p>
    <w:p>
      <w:pPr>
        <w:pStyle w:val="Heading5"/>
        <w:spacing w:before="240"/>
        <w:rPr>
          <w:snapToGrid w:val="0"/>
        </w:rPr>
      </w:pPr>
      <w:bookmarkStart w:id="217" w:name="_Toc98946987"/>
      <w:r>
        <w:rPr>
          <w:rStyle w:val="CharSectno"/>
        </w:rPr>
        <w:t>98</w:t>
      </w:r>
      <w:r>
        <w:rPr>
          <w:snapToGrid w:val="0"/>
        </w:rPr>
        <w:t>.</w:t>
      </w:r>
      <w:r>
        <w:rPr>
          <w:snapToGrid w:val="0"/>
        </w:rPr>
        <w:tab/>
        <w:t>Surrender of permits etc.</w:t>
      </w:r>
      <w:bookmarkEnd w:id="217"/>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lastRenderedPageBreak/>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keepNext/>
        <w:keepLines/>
        <w:spacing w:before="120"/>
        <w:rPr>
          <w:snapToGrid w:val="0"/>
        </w:rPr>
      </w:pPr>
      <w:r>
        <w:rPr>
          <w:snapToGrid w:val="0"/>
        </w:rPr>
        <w:lastRenderedPageBreak/>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No. 12 of 1990 s. 79; No. 78 of 1990 s. 7.]</w:t>
      </w:r>
    </w:p>
    <w:p>
      <w:pPr>
        <w:pStyle w:val="Heading5"/>
        <w:spacing w:before="180"/>
        <w:rPr>
          <w:snapToGrid w:val="0"/>
        </w:rPr>
      </w:pPr>
      <w:bookmarkStart w:id="218" w:name="_Toc98946988"/>
      <w:r>
        <w:rPr>
          <w:rStyle w:val="CharSectno"/>
        </w:rPr>
        <w:t>99</w:t>
      </w:r>
      <w:r>
        <w:rPr>
          <w:snapToGrid w:val="0"/>
        </w:rPr>
        <w:t>.</w:t>
      </w:r>
      <w:r>
        <w:rPr>
          <w:snapToGrid w:val="0"/>
        </w:rPr>
        <w:tab/>
        <w:t>Cancellation of permits etc.</w:t>
      </w:r>
      <w:bookmarkEnd w:id="218"/>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 xml:space="preserve">he has, by instrument in writing served on the permittee, holder of the drilling reservation, lessee or licensee, as the case may be, given not less than one month’s notice </w:t>
      </w:r>
      <w:r>
        <w:rPr>
          <w:snapToGrid w:val="0"/>
        </w:rPr>
        <w:lastRenderedPageBreak/>
        <w:t>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No. 12 of 1990 s. 80; No. 78 of 1990 s. 7.]</w:t>
      </w:r>
    </w:p>
    <w:p>
      <w:pPr>
        <w:pStyle w:val="Heading5"/>
        <w:keepNext w:val="0"/>
        <w:keepLines w:val="0"/>
        <w:rPr>
          <w:snapToGrid w:val="0"/>
        </w:rPr>
      </w:pPr>
      <w:bookmarkStart w:id="219" w:name="_Toc98946989"/>
      <w:r>
        <w:rPr>
          <w:rStyle w:val="CharSectno"/>
        </w:rPr>
        <w:t>100</w:t>
      </w:r>
      <w:r>
        <w:rPr>
          <w:snapToGrid w:val="0"/>
        </w:rPr>
        <w:t>.</w:t>
      </w:r>
      <w:r>
        <w:rPr>
          <w:snapToGrid w:val="0"/>
        </w:rPr>
        <w:tab/>
        <w:t>Cancellation of permit etc. not affected by other provisions</w:t>
      </w:r>
      <w:bookmarkEnd w:id="219"/>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keepNext/>
        <w:keepLines/>
        <w:rPr>
          <w:snapToGrid w:val="0"/>
        </w:rPr>
      </w:pPr>
      <w:r>
        <w:rPr>
          <w:snapToGrid w:val="0"/>
        </w:rPr>
        <w:lastRenderedPageBreak/>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No. 12 of 1990 s. 81; No. 78 of 1990 s. 7.]</w:t>
      </w:r>
    </w:p>
    <w:p>
      <w:pPr>
        <w:pStyle w:val="Heading5"/>
        <w:rPr>
          <w:snapToGrid w:val="0"/>
        </w:rPr>
      </w:pPr>
      <w:bookmarkStart w:id="220" w:name="_Toc98946990"/>
      <w:r>
        <w:rPr>
          <w:rStyle w:val="CharSectno"/>
        </w:rPr>
        <w:t>101</w:t>
      </w:r>
      <w:r>
        <w:rPr>
          <w:snapToGrid w:val="0"/>
        </w:rPr>
        <w:t>.</w:t>
      </w:r>
      <w:r>
        <w:rPr>
          <w:snapToGrid w:val="0"/>
        </w:rPr>
        <w:tab/>
        <w:t>Removal of property etc. by permittee etc.</w:t>
      </w:r>
      <w:bookmarkEnd w:id="220"/>
    </w:p>
    <w:p>
      <w:pPr>
        <w:pStyle w:val="Subsection"/>
        <w:rPr>
          <w:snapToGrid w:val="0"/>
        </w:rPr>
      </w:pPr>
      <w:r>
        <w:rPr>
          <w:snapToGrid w:val="0"/>
        </w:rPr>
        <w:tab/>
        <w:t>(1)</w:t>
      </w:r>
      <w:r>
        <w:rPr>
          <w:snapToGrid w:val="0"/>
        </w:rPr>
        <w:tab/>
        <w:t xml:space="preserve">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w:t>
      </w:r>
      <w:r>
        <w:rPr>
          <w:snapToGrid w:val="0"/>
        </w:rPr>
        <w:lastRenderedPageBreak/>
        <w:t>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 xml:space="preserve">subject to this Part and to the regulations, to make provision, to the satisfaction of the Minister, for the </w:t>
      </w:r>
      <w:r>
        <w:rPr>
          <w:snapToGrid w:val="0"/>
        </w:rPr>
        <w:lastRenderedPageBreak/>
        <w:t>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No. 12 of 1990 s. 82; No. 78 of 1990 s. 7; No. 42 of 2010 s. 62(10).]</w:t>
      </w:r>
    </w:p>
    <w:p>
      <w:pPr>
        <w:pStyle w:val="Heading5"/>
        <w:rPr>
          <w:snapToGrid w:val="0"/>
        </w:rPr>
      </w:pPr>
      <w:bookmarkStart w:id="221" w:name="_Toc98946991"/>
      <w:r>
        <w:rPr>
          <w:rStyle w:val="CharSectno"/>
        </w:rPr>
        <w:t>102</w:t>
      </w:r>
      <w:r>
        <w:rPr>
          <w:snapToGrid w:val="0"/>
        </w:rPr>
        <w:t>.</w:t>
      </w:r>
      <w:r>
        <w:rPr>
          <w:snapToGrid w:val="0"/>
        </w:rPr>
        <w:tab/>
        <w:t>Removal of property etc. by Minister</w:t>
      </w:r>
      <w:bookmarkEnd w:id="221"/>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xml:space="preserve">, direct that the owner or owners of that property shall remove it from that area, or dispose of it </w:t>
      </w:r>
      <w:r>
        <w:rPr>
          <w:snapToGrid w:val="0"/>
        </w:rPr>
        <w:lastRenderedPageBreak/>
        <w:t>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No. 12 of 1990 s. 83; No. 78 of 1990 s. 7.]</w:t>
      </w:r>
    </w:p>
    <w:p>
      <w:pPr>
        <w:pStyle w:val="Ednotesection"/>
      </w:pPr>
      <w:r>
        <w:t>[</w:t>
      </w:r>
      <w:r>
        <w:rPr>
          <w:b/>
        </w:rPr>
        <w:t>103, 104.</w:t>
      </w:r>
      <w:r>
        <w:tab/>
        <w:t>Deleted: No. 42 of 2010 s. 47.]</w:t>
      </w:r>
    </w:p>
    <w:p>
      <w:pPr>
        <w:pStyle w:val="Heading5"/>
        <w:rPr>
          <w:snapToGrid w:val="0"/>
        </w:rPr>
      </w:pPr>
      <w:bookmarkStart w:id="222" w:name="_Toc98946992"/>
      <w:r>
        <w:rPr>
          <w:rStyle w:val="CharSectno"/>
        </w:rPr>
        <w:t>105</w:t>
      </w:r>
      <w:r>
        <w:rPr>
          <w:snapToGrid w:val="0"/>
        </w:rPr>
        <w:t>.</w:t>
      </w:r>
      <w:r>
        <w:rPr>
          <w:snapToGrid w:val="0"/>
        </w:rPr>
        <w:tab/>
        <w:t>Special prospecting authorities</w:t>
      </w:r>
      <w:bookmarkEnd w:id="22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 xml:space="preserve">if the Minister considers it appropriate to do so and so specifies in the special prospecting authority, authorise the applicant to apply for the </w:t>
      </w:r>
      <w:r>
        <w:rPr>
          <w:snapToGrid w:val="0"/>
        </w:rPr>
        <w:lastRenderedPageBreak/>
        <w:t>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lastRenderedPageBreak/>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authorised by the special prospecting authority or to make arrangements </w:t>
      </w:r>
      <w:r>
        <w:rPr>
          <w:snapToGrid w:val="0"/>
        </w:rPr>
        <w:lastRenderedPageBreak/>
        <w:t>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No. 12 of 1990 s. 85; No. 28 of 1994 s. 45; No. 13 of 2005 s. 16(2); No. 35 of 2007 s. 66; No. 42 of 2010 s. 48 and 62(15).]</w:t>
      </w:r>
    </w:p>
    <w:p>
      <w:pPr>
        <w:pStyle w:val="Heading5"/>
        <w:rPr>
          <w:snapToGrid w:val="0"/>
        </w:rPr>
      </w:pPr>
      <w:bookmarkStart w:id="223" w:name="_Toc98946993"/>
      <w:r>
        <w:rPr>
          <w:rStyle w:val="CharSectno"/>
        </w:rPr>
        <w:t>106</w:t>
      </w:r>
      <w:r>
        <w:rPr>
          <w:snapToGrid w:val="0"/>
        </w:rPr>
        <w:t>.</w:t>
      </w:r>
      <w:r>
        <w:rPr>
          <w:snapToGrid w:val="0"/>
        </w:rPr>
        <w:tab/>
        <w:t>Access authorities</w:t>
      </w:r>
      <w:bookmarkEnd w:id="223"/>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 xml:space="preserve">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w:t>
      </w:r>
      <w:r>
        <w:rPr>
          <w:snapToGrid w:val="0"/>
        </w:rPr>
        <w:lastRenderedPageBreak/>
        <w:t>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lastRenderedPageBreak/>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 xml:space="preserve">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w:t>
      </w:r>
      <w:r>
        <w:lastRenderedPageBreak/>
        <w:t>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lastRenderedPageBreak/>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 xml:space="preserve">subject to this Part and to the regulations, to make provision, to the satisfaction of the Minister, for the </w:t>
      </w:r>
      <w:r>
        <w:rPr>
          <w:snapToGrid w:val="0"/>
        </w:rPr>
        <w:lastRenderedPageBreak/>
        <w:t>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lastRenderedPageBreak/>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No. 12 of 1990 s. 86; No. 78 of 1990 s. 7; No. 28 of 1994 s. 46; No. 13 of 2005 s. 16(2); No. 35 of 2007 s. 67; No. 42 of 2010 s. 49 and 62(15).]</w:t>
      </w:r>
    </w:p>
    <w:p>
      <w:pPr>
        <w:pStyle w:val="Heading5"/>
        <w:rPr>
          <w:snapToGrid w:val="0"/>
        </w:rPr>
      </w:pPr>
      <w:bookmarkStart w:id="224" w:name="_Toc98946994"/>
      <w:r>
        <w:rPr>
          <w:rStyle w:val="CharSectno"/>
        </w:rPr>
        <w:t>107</w:t>
      </w:r>
      <w:r>
        <w:rPr>
          <w:snapToGrid w:val="0"/>
        </w:rPr>
        <w:t>.</w:t>
      </w:r>
      <w:r>
        <w:rPr>
          <w:snapToGrid w:val="0"/>
        </w:rPr>
        <w:tab/>
        <w:t>Removal, disposal or sale of property</w:t>
      </w:r>
      <w:bookmarkEnd w:id="224"/>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lastRenderedPageBreak/>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No. 12 of 1990 s. 87; No. 78 of 1990 s. 7.]</w:t>
      </w:r>
    </w:p>
    <w:p>
      <w:pPr>
        <w:pStyle w:val="Ednotesection"/>
      </w:pPr>
      <w:r>
        <w:t>[</w:t>
      </w:r>
      <w:r>
        <w:rPr>
          <w:b/>
        </w:rPr>
        <w:t>108.</w:t>
      </w:r>
      <w:r>
        <w:tab/>
        <w:t>Deleted: No. 28 of 1994 s. 47.]</w:t>
      </w:r>
    </w:p>
    <w:p>
      <w:pPr>
        <w:pStyle w:val="Heading5"/>
        <w:rPr>
          <w:snapToGrid w:val="0"/>
        </w:rPr>
      </w:pPr>
      <w:bookmarkStart w:id="225" w:name="_Toc98946995"/>
      <w:r>
        <w:rPr>
          <w:rStyle w:val="CharSectno"/>
        </w:rPr>
        <w:t>109</w:t>
      </w:r>
      <w:r>
        <w:rPr>
          <w:snapToGrid w:val="0"/>
        </w:rPr>
        <w:t>.</w:t>
      </w:r>
      <w:r>
        <w:rPr>
          <w:snapToGrid w:val="0"/>
        </w:rPr>
        <w:tab/>
        <w:t>Minister etc. may require information to be furnished etc.</w:t>
      </w:r>
      <w:bookmarkEnd w:id="225"/>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 xml:space="preserve">to attend before him or a person specified in the instrument, at such time and place as is so specified and </w:t>
      </w:r>
      <w:r>
        <w:rPr>
          <w:snapToGrid w:val="0"/>
        </w:rPr>
        <w:lastRenderedPageBreak/>
        <w:t>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No. 35 of 2007 s. 68; No. 42 of 2010 s. 50.]</w:t>
      </w:r>
    </w:p>
    <w:p>
      <w:pPr>
        <w:pStyle w:val="Heading5"/>
        <w:rPr>
          <w:snapToGrid w:val="0"/>
        </w:rPr>
      </w:pPr>
      <w:bookmarkStart w:id="226" w:name="_Toc98946996"/>
      <w:r>
        <w:rPr>
          <w:rStyle w:val="CharSectno"/>
        </w:rPr>
        <w:t>110</w:t>
      </w:r>
      <w:r>
        <w:rPr>
          <w:snapToGrid w:val="0"/>
        </w:rPr>
        <w:t>.</w:t>
      </w:r>
      <w:r>
        <w:rPr>
          <w:snapToGrid w:val="0"/>
        </w:rPr>
        <w:tab/>
        <w:t>Power to examine on oath</w:t>
      </w:r>
      <w:bookmarkEnd w:id="226"/>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227" w:name="_Toc98946997"/>
      <w:r>
        <w:rPr>
          <w:rStyle w:val="CharSectno"/>
        </w:rPr>
        <w:lastRenderedPageBreak/>
        <w:t>111</w:t>
      </w:r>
      <w:r>
        <w:rPr>
          <w:snapToGrid w:val="0"/>
        </w:rPr>
        <w:t>.</w:t>
      </w:r>
      <w:r>
        <w:rPr>
          <w:snapToGrid w:val="0"/>
        </w:rPr>
        <w:tab/>
        <w:t>Failing to furnish information etc.</w:t>
      </w:r>
      <w:bookmarkEnd w:id="227"/>
    </w:p>
    <w:p>
      <w:pPr>
        <w:pStyle w:val="Subsection"/>
        <w:keepNext/>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No. 12 of 1990 s. 89; No. 42 of 2010 s. 62(15).]</w:t>
      </w:r>
    </w:p>
    <w:p>
      <w:pPr>
        <w:pStyle w:val="Ednotesection"/>
        <w:spacing w:before="160"/>
        <w:ind w:left="890" w:hanging="890"/>
      </w:pPr>
      <w:r>
        <w:t>[</w:t>
      </w:r>
      <w:r>
        <w:rPr>
          <w:b/>
        </w:rPr>
        <w:t>112.</w:t>
      </w:r>
      <w:r>
        <w:tab/>
        <w:t>Deleted: No. 42 of 2010 s. 51.]</w:t>
      </w:r>
    </w:p>
    <w:p>
      <w:pPr>
        <w:pStyle w:val="Heading5"/>
        <w:spacing w:before="160"/>
        <w:rPr>
          <w:snapToGrid w:val="0"/>
        </w:rPr>
      </w:pPr>
      <w:bookmarkStart w:id="228" w:name="_Toc98946998"/>
      <w:r>
        <w:rPr>
          <w:rStyle w:val="CharSectno"/>
        </w:rPr>
        <w:t>112A</w:t>
      </w:r>
      <w:r>
        <w:rPr>
          <w:snapToGrid w:val="0"/>
        </w:rPr>
        <w:t>.</w:t>
      </w:r>
      <w:r>
        <w:rPr>
          <w:snapToGrid w:val="0"/>
        </w:rPr>
        <w:tab/>
      </w:r>
      <w:r>
        <w:t>Exclusion zones</w:t>
      </w:r>
      <w:bookmarkEnd w:id="228"/>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w:t>
      </w:r>
      <w:r>
        <w:t xml:space="preserve">an </w:t>
      </w:r>
      <w:r>
        <w:rPr>
          <w:rStyle w:val="CharDefText"/>
        </w:rPr>
        <w:t>exclusion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r>
      <w:r>
        <w:t>An exclusion</w:t>
      </w:r>
      <w:r>
        <w:rPr>
          <w:snapToGrid w:val="0"/>
        </w:rPr>
        <w:t xml:space="preserve">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lastRenderedPageBreak/>
        <w:tab/>
        <w:t>(3)</w:t>
      </w:r>
      <w:r>
        <w:rPr>
          <w:snapToGrid w:val="0"/>
        </w:rPr>
        <w:tab/>
        <w:t xml:space="preserve">The owner and the person in command or in charge of a vessel shall ensure that the vessel does not enter or remain in </w:t>
      </w:r>
      <w:r>
        <w:t>an exclusion</w:t>
      </w:r>
      <w:r>
        <w:rPr>
          <w:snapToGrid w:val="0"/>
        </w:rPr>
        <w:t xml:space="preserve">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No. 28 of 1994 s. 49; amended: No. 42 of 2010 s. 62(11); No. 36 of 2020 s. 302.]</w:t>
      </w:r>
    </w:p>
    <w:p>
      <w:pPr>
        <w:pStyle w:val="Heading5"/>
        <w:rPr>
          <w:snapToGrid w:val="0"/>
        </w:rPr>
      </w:pPr>
      <w:bookmarkStart w:id="229" w:name="_Toc98946999"/>
      <w:r>
        <w:rPr>
          <w:rStyle w:val="CharSectno"/>
        </w:rPr>
        <w:t>113</w:t>
      </w:r>
      <w:r>
        <w:rPr>
          <w:snapToGrid w:val="0"/>
        </w:rPr>
        <w:t>.</w:t>
      </w:r>
      <w:r>
        <w:rPr>
          <w:snapToGrid w:val="0"/>
        </w:rPr>
        <w:tab/>
        <w:t>Discovery of water to be notified</w:t>
      </w:r>
      <w:bookmarkEnd w:id="229"/>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No. 12 of 1990 s. 91; No. 78 of 1990 s. 7; No. 28 of 1994 s. 50; No. 35 of 2007 s. 70; No. 42 of 2010 s. 62(15).]</w:t>
      </w:r>
    </w:p>
    <w:p>
      <w:pPr>
        <w:pStyle w:val="Ednotesection"/>
      </w:pPr>
      <w:r>
        <w:t>[</w:t>
      </w:r>
      <w:r>
        <w:rPr>
          <w:b/>
        </w:rPr>
        <w:t>114</w:t>
      </w:r>
      <w:r>
        <w:t>.</w:t>
      </w:r>
      <w:r>
        <w:tab/>
        <w:t>Deleted: No. 42 of 2010 s. 52.]</w:t>
      </w:r>
    </w:p>
    <w:p>
      <w:pPr>
        <w:pStyle w:val="Heading5"/>
        <w:rPr>
          <w:snapToGrid w:val="0"/>
        </w:rPr>
      </w:pPr>
      <w:bookmarkStart w:id="230" w:name="_Toc98947000"/>
      <w:r>
        <w:rPr>
          <w:rStyle w:val="CharSectno"/>
        </w:rPr>
        <w:t>115</w:t>
      </w:r>
      <w:r>
        <w:rPr>
          <w:snapToGrid w:val="0"/>
        </w:rPr>
        <w:t>.</w:t>
      </w:r>
      <w:r>
        <w:rPr>
          <w:snapToGrid w:val="0"/>
        </w:rPr>
        <w:tab/>
        <w:t>Records etc. to be kept</w:t>
      </w:r>
      <w:bookmarkEnd w:id="230"/>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lastRenderedPageBreak/>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No. 12 of 1990 s. 93; No. 78 of 1990 s. 7; No. 28 of 1994 s. 52; No. 42 of 2010 s. 62(12).]</w:t>
      </w:r>
    </w:p>
    <w:p>
      <w:pPr>
        <w:pStyle w:val="Heading5"/>
      </w:pPr>
      <w:bookmarkStart w:id="231" w:name="_Toc98947001"/>
      <w:r>
        <w:rPr>
          <w:rStyle w:val="CharSectno"/>
        </w:rPr>
        <w:t>116A</w:t>
      </w:r>
      <w:r>
        <w:t>.</w:t>
      </w:r>
      <w:r>
        <w:tab/>
        <w:t>Data management: regulations</w:t>
      </w:r>
      <w:bookmarkEnd w:id="231"/>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lastRenderedPageBreak/>
        <w:tab/>
        <w:t>(2)</w:t>
      </w:r>
      <w:r>
        <w:tab/>
        <w:t>A requirement under section 115 is in addition to a requirement under regulations made for the purposes of this section.</w:t>
      </w:r>
    </w:p>
    <w:p>
      <w:pPr>
        <w:pStyle w:val="Footnotesection"/>
        <w:spacing w:before="140"/>
        <w:ind w:left="890" w:hanging="890"/>
      </w:pPr>
      <w:r>
        <w:tab/>
        <w:t>[Section 116A inserted: No. 42 of 2010 s. 53.]</w:t>
      </w:r>
    </w:p>
    <w:p>
      <w:pPr>
        <w:pStyle w:val="Heading5"/>
        <w:rPr>
          <w:snapToGrid w:val="0"/>
        </w:rPr>
      </w:pPr>
      <w:bookmarkStart w:id="232" w:name="_Toc98947002"/>
      <w:r>
        <w:rPr>
          <w:rStyle w:val="CharSectno"/>
        </w:rPr>
        <w:t>116</w:t>
      </w:r>
      <w:r>
        <w:rPr>
          <w:snapToGrid w:val="0"/>
        </w:rPr>
        <w:t>.</w:t>
      </w:r>
      <w:r>
        <w:rPr>
          <w:snapToGrid w:val="0"/>
        </w:rPr>
        <w:tab/>
        <w:t>Scientific investigations</w:t>
      </w:r>
      <w:bookmarkEnd w:id="232"/>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No. 35 of 2007 s. 71.]</w:t>
      </w:r>
    </w:p>
    <w:p>
      <w:pPr>
        <w:pStyle w:val="Heading5"/>
        <w:rPr>
          <w:snapToGrid w:val="0"/>
        </w:rPr>
      </w:pPr>
      <w:bookmarkStart w:id="233" w:name="_Toc98947003"/>
      <w:r>
        <w:rPr>
          <w:rStyle w:val="CharSectno"/>
        </w:rPr>
        <w:t>117</w:t>
      </w:r>
      <w:r>
        <w:rPr>
          <w:snapToGrid w:val="0"/>
        </w:rPr>
        <w:t>.</w:t>
      </w:r>
      <w:r>
        <w:rPr>
          <w:snapToGrid w:val="0"/>
        </w:rPr>
        <w:tab/>
        <w:t>Interference with other rights etc.</w:t>
      </w:r>
      <w:bookmarkEnd w:id="233"/>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w:t>
      </w:r>
      <w:r>
        <w:lastRenderedPageBreak/>
        <w:t>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No. 12 of 1990 s. 94; No. 78 of 1990 s. 7; No. 35 of 2007 s. 72; No. 42 of 2010 s. 54 and 62(15).]</w:t>
      </w:r>
    </w:p>
    <w:p>
      <w:pPr>
        <w:pStyle w:val="Heading5"/>
        <w:spacing w:before="180"/>
      </w:pPr>
      <w:bookmarkStart w:id="234" w:name="_Toc98947004"/>
      <w:r>
        <w:rPr>
          <w:rStyle w:val="CharSectno"/>
        </w:rPr>
        <w:t>117A</w:t>
      </w:r>
      <w:r>
        <w:t>.</w:t>
      </w:r>
      <w:r>
        <w:tab/>
        <w:t>Interfering with petroleum operation or geothermal energy operation</w:t>
      </w:r>
      <w:bookmarkEnd w:id="234"/>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No. 13 of 2005 s. 8; amended: No. 35 of 2007 s. 86.]</w:t>
      </w:r>
    </w:p>
    <w:p>
      <w:pPr>
        <w:pStyle w:val="Heading5"/>
        <w:spacing w:before="180"/>
        <w:rPr>
          <w:snapToGrid w:val="0"/>
        </w:rPr>
      </w:pPr>
      <w:bookmarkStart w:id="235" w:name="_Toc98947005"/>
      <w:r>
        <w:rPr>
          <w:rStyle w:val="CharSectno"/>
        </w:rPr>
        <w:t>118</w:t>
      </w:r>
      <w:r>
        <w:rPr>
          <w:snapToGrid w:val="0"/>
        </w:rPr>
        <w:t>.</w:t>
      </w:r>
      <w:r>
        <w:rPr>
          <w:snapToGrid w:val="0"/>
        </w:rPr>
        <w:tab/>
        <w:t>Inspectors</w:t>
      </w:r>
      <w:bookmarkEnd w:id="235"/>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lastRenderedPageBreak/>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No. 12 of 1990 s. 95; No. 13 of 2005 s. 9; No. 42 of 2010 s. 62(13).]</w:t>
      </w:r>
    </w:p>
    <w:p>
      <w:pPr>
        <w:pStyle w:val="Heading5"/>
        <w:spacing w:before="180"/>
        <w:rPr>
          <w:snapToGrid w:val="0"/>
        </w:rPr>
      </w:pPr>
      <w:bookmarkStart w:id="236" w:name="_Toc98947006"/>
      <w:r>
        <w:rPr>
          <w:rStyle w:val="CharSectno"/>
        </w:rPr>
        <w:t>119</w:t>
      </w:r>
      <w:r>
        <w:rPr>
          <w:snapToGrid w:val="0"/>
        </w:rPr>
        <w:t>.</w:t>
      </w:r>
      <w:r>
        <w:rPr>
          <w:snapToGrid w:val="0"/>
        </w:rPr>
        <w:tab/>
        <w:t>Powers of inspectors</w:t>
      </w:r>
      <w:bookmarkEnd w:id="236"/>
    </w:p>
    <w:p>
      <w:pPr>
        <w:pStyle w:val="Subsection"/>
        <w:keepNext/>
        <w:keepLines/>
        <w:rPr>
          <w:snapToGrid w:val="0"/>
        </w:rPr>
      </w:pPr>
      <w:r>
        <w:rPr>
          <w:snapToGrid w:val="0"/>
        </w:rPr>
        <w:tab/>
        <w:t>(1)</w:t>
      </w:r>
      <w:r>
        <w:rPr>
          <w:snapToGrid w:val="0"/>
        </w:rPr>
        <w:tab/>
        <w:t>For the purposes of this Act</w:t>
      </w:r>
      <w:r>
        <w:t xml:space="preserve">,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lastRenderedPageBreak/>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No. 12 of 1990 s. 96; No. 13 of 2005 s. 10; No. 35 of 2007 s. 73; No. 42 of 2010 s. 62(14); No. 36 of 2020 s. 303.]</w:t>
      </w:r>
    </w:p>
    <w:p>
      <w:pPr>
        <w:pStyle w:val="Heading5"/>
      </w:pPr>
      <w:bookmarkStart w:id="237" w:name="_Toc98947007"/>
      <w:r>
        <w:rPr>
          <w:rStyle w:val="CharSectno"/>
        </w:rPr>
        <w:t>119A</w:t>
      </w:r>
      <w:r>
        <w:t>.</w:t>
      </w:r>
      <w:r>
        <w:tab/>
        <w:t>Protection from liability for wrongdoing</w:t>
      </w:r>
      <w:bookmarkEnd w:id="23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No. 13 of 2005 s. 11.]</w:t>
      </w:r>
    </w:p>
    <w:p>
      <w:pPr>
        <w:pStyle w:val="Ednotesection"/>
        <w:ind w:left="890" w:hanging="890"/>
      </w:pPr>
      <w:r>
        <w:t>[</w:t>
      </w:r>
      <w:r>
        <w:rPr>
          <w:b/>
          <w:bCs/>
        </w:rPr>
        <w:t>120.</w:t>
      </w:r>
      <w:r>
        <w:tab/>
        <w:t>Deleted: No. 35 of 2007 s. 12(2).]</w:t>
      </w:r>
    </w:p>
    <w:p>
      <w:pPr>
        <w:pStyle w:val="Heading5"/>
        <w:rPr>
          <w:snapToGrid w:val="0"/>
        </w:rPr>
      </w:pPr>
      <w:bookmarkStart w:id="238" w:name="_Toc98947008"/>
      <w:r>
        <w:rPr>
          <w:rStyle w:val="CharSectno"/>
        </w:rPr>
        <w:t>121</w:t>
      </w:r>
      <w:r>
        <w:rPr>
          <w:snapToGrid w:val="0"/>
        </w:rPr>
        <w:t>.</w:t>
      </w:r>
      <w:r>
        <w:rPr>
          <w:snapToGrid w:val="0"/>
        </w:rPr>
        <w:tab/>
        <w:t>Continuing offences</w:t>
      </w:r>
      <w:bookmarkEnd w:id="238"/>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lastRenderedPageBreak/>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No. 12 of 1990 s. 98; No. 13 of 2005 s. 16(1).]</w:t>
      </w:r>
    </w:p>
    <w:p>
      <w:pPr>
        <w:pStyle w:val="Heading5"/>
      </w:pPr>
      <w:bookmarkStart w:id="239" w:name="_Toc98947009"/>
      <w:r>
        <w:rPr>
          <w:rStyle w:val="CharSectno"/>
        </w:rPr>
        <w:t>122</w:t>
      </w:r>
      <w:r>
        <w:t>.</w:t>
      </w:r>
      <w:r>
        <w:tab/>
        <w:t>Crimes and other offences</w:t>
      </w:r>
      <w:bookmarkEnd w:id="239"/>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No. 4 of 2004 s. 58.]</w:t>
      </w:r>
    </w:p>
    <w:p>
      <w:pPr>
        <w:pStyle w:val="Heading5"/>
        <w:rPr>
          <w:snapToGrid w:val="0"/>
        </w:rPr>
      </w:pPr>
      <w:bookmarkStart w:id="240" w:name="_Toc98947010"/>
      <w:r>
        <w:rPr>
          <w:rStyle w:val="CharSectno"/>
        </w:rPr>
        <w:t>123</w:t>
      </w:r>
      <w:r>
        <w:rPr>
          <w:snapToGrid w:val="0"/>
        </w:rPr>
        <w:t>.</w:t>
      </w:r>
      <w:r>
        <w:rPr>
          <w:snapToGrid w:val="0"/>
        </w:rPr>
        <w:tab/>
        <w:t>Orders for forfeiture etc. in respect of certain offences</w:t>
      </w:r>
      <w:bookmarkEnd w:id="240"/>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lastRenderedPageBreak/>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No. 28 of 1994 s. 53; No. 35 of 2007 s. 74.]</w:t>
      </w:r>
    </w:p>
    <w:p>
      <w:pPr>
        <w:pStyle w:val="Heading5"/>
        <w:rPr>
          <w:snapToGrid w:val="0"/>
        </w:rPr>
      </w:pPr>
      <w:bookmarkStart w:id="241" w:name="_Toc98947011"/>
      <w:r>
        <w:rPr>
          <w:rStyle w:val="CharSectno"/>
        </w:rPr>
        <w:t>124</w:t>
      </w:r>
      <w:r>
        <w:rPr>
          <w:snapToGrid w:val="0"/>
        </w:rPr>
        <w:t>.</w:t>
      </w:r>
      <w:r>
        <w:rPr>
          <w:snapToGrid w:val="0"/>
        </w:rPr>
        <w:tab/>
        <w:t>Power of Attorney General to direct disposal of goods</w:t>
      </w:r>
      <w:bookmarkEnd w:id="24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242" w:name="_Toc98947012"/>
      <w:r>
        <w:rPr>
          <w:rStyle w:val="CharSectno"/>
        </w:rPr>
        <w:lastRenderedPageBreak/>
        <w:t>125</w:t>
      </w:r>
      <w:r>
        <w:rPr>
          <w:snapToGrid w:val="0"/>
        </w:rPr>
        <w:t>.</w:t>
      </w:r>
      <w:r>
        <w:rPr>
          <w:snapToGrid w:val="0"/>
        </w:rPr>
        <w:tab/>
        <w:t>Time for bringing proceedings for offences</w:t>
      </w:r>
      <w:bookmarkEnd w:id="242"/>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No. 13 of 2005 s. 12.]</w:t>
      </w:r>
    </w:p>
    <w:p>
      <w:pPr>
        <w:pStyle w:val="Heading5"/>
        <w:rPr>
          <w:snapToGrid w:val="0"/>
        </w:rPr>
      </w:pPr>
      <w:bookmarkStart w:id="243" w:name="_Toc98947013"/>
      <w:r>
        <w:rPr>
          <w:rStyle w:val="CharSectno"/>
        </w:rPr>
        <w:t>126</w:t>
      </w:r>
      <w:r>
        <w:rPr>
          <w:snapToGrid w:val="0"/>
        </w:rPr>
        <w:t>.</w:t>
      </w:r>
      <w:r>
        <w:rPr>
          <w:snapToGrid w:val="0"/>
        </w:rPr>
        <w:tab/>
        <w:t>Judicial notice</w:t>
      </w:r>
      <w:bookmarkEnd w:id="24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44" w:name="_Toc98947014"/>
      <w:r>
        <w:rPr>
          <w:rStyle w:val="CharSectno"/>
        </w:rPr>
        <w:t>126A</w:t>
      </w:r>
      <w:r>
        <w:t>.</w:t>
      </w:r>
      <w:r>
        <w:tab/>
        <w:t>Evidentiary matters</w:t>
      </w:r>
      <w:bookmarkEnd w:id="244"/>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lastRenderedPageBreak/>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w:t>
      </w:r>
    </w:p>
    <w:p>
      <w:pPr>
        <w:pStyle w:val="Ednotepara"/>
      </w:pPr>
      <w:r>
        <w:tab/>
        <w:t>[(c)</w:t>
      </w:r>
      <w:r>
        <w:tab/>
        <w:t>deleted]</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No. 13 of 2005 s. 13; amended: No. 35 of 2007 s. 86; No. 17 of 2014 s. 8; No. 36 of 2020 s. 304.]</w:t>
      </w:r>
    </w:p>
    <w:p>
      <w:pPr>
        <w:pStyle w:val="Heading5"/>
        <w:spacing w:before="240"/>
        <w:rPr>
          <w:snapToGrid w:val="0"/>
        </w:rPr>
      </w:pPr>
      <w:bookmarkStart w:id="245" w:name="_Toc98947015"/>
      <w:r>
        <w:rPr>
          <w:rStyle w:val="CharSectno"/>
        </w:rPr>
        <w:lastRenderedPageBreak/>
        <w:t>127</w:t>
      </w:r>
      <w:r>
        <w:rPr>
          <w:snapToGrid w:val="0"/>
        </w:rPr>
        <w:t>.</w:t>
      </w:r>
      <w:r>
        <w:rPr>
          <w:snapToGrid w:val="0"/>
        </w:rPr>
        <w:tab/>
        <w:t>Service of documents</w:t>
      </w:r>
      <w:bookmarkEnd w:id="245"/>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lastRenderedPageBreak/>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No. 12 of 1990 s. 100.]</w:t>
      </w:r>
    </w:p>
    <w:p>
      <w:pPr>
        <w:pStyle w:val="Heading5"/>
        <w:spacing w:before="180"/>
        <w:rPr>
          <w:snapToGrid w:val="0"/>
        </w:rPr>
      </w:pPr>
      <w:bookmarkStart w:id="246" w:name="_Toc98947016"/>
      <w:r>
        <w:rPr>
          <w:rStyle w:val="CharSectno"/>
        </w:rPr>
        <w:t>127A</w:t>
      </w:r>
      <w:r>
        <w:rPr>
          <w:snapToGrid w:val="0"/>
        </w:rPr>
        <w:t>.</w:t>
      </w:r>
      <w:r>
        <w:rPr>
          <w:snapToGrid w:val="0"/>
        </w:rPr>
        <w:tab/>
        <w:t>Service of documents on 2 or more permittees etc.</w:t>
      </w:r>
      <w:bookmarkEnd w:id="24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lastRenderedPageBreak/>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No. 12 of 1990 s. 101.]</w:t>
      </w:r>
    </w:p>
    <w:p>
      <w:pPr>
        <w:pStyle w:val="Heading3"/>
        <w:keepNext w:val="0"/>
      </w:pPr>
      <w:bookmarkStart w:id="247" w:name="_Toc97629722"/>
      <w:bookmarkStart w:id="248" w:name="_Toc97630075"/>
      <w:bookmarkStart w:id="249" w:name="_Toc97630613"/>
      <w:bookmarkStart w:id="250" w:name="_Toc98748528"/>
      <w:bookmarkStart w:id="251" w:name="_Toc98766168"/>
      <w:bookmarkStart w:id="252" w:name="_Toc98834435"/>
      <w:bookmarkStart w:id="253" w:name="_Toc98947017"/>
      <w:r>
        <w:rPr>
          <w:rStyle w:val="CharDivNo"/>
        </w:rPr>
        <w:t>Division 6</w:t>
      </w:r>
      <w:r>
        <w:rPr>
          <w:snapToGrid w:val="0"/>
        </w:rPr>
        <w:t> — </w:t>
      </w:r>
      <w:r>
        <w:rPr>
          <w:rStyle w:val="CharDivText"/>
        </w:rPr>
        <w:t>Transitional provisions</w:t>
      </w:r>
      <w:bookmarkEnd w:id="247"/>
      <w:bookmarkEnd w:id="248"/>
      <w:bookmarkEnd w:id="249"/>
      <w:bookmarkEnd w:id="250"/>
      <w:bookmarkEnd w:id="251"/>
      <w:bookmarkEnd w:id="252"/>
      <w:bookmarkEnd w:id="253"/>
    </w:p>
    <w:p>
      <w:pPr>
        <w:pStyle w:val="Heading5"/>
        <w:spacing w:before="180"/>
        <w:rPr>
          <w:snapToGrid w:val="0"/>
        </w:rPr>
      </w:pPr>
      <w:bookmarkStart w:id="254" w:name="_Toc98947018"/>
      <w:r>
        <w:rPr>
          <w:rStyle w:val="CharSectno"/>
        </w:rPr>
        <w:t>128</w:t>
      </w:r>
      <w:r>
        <w:rPr>
          <w:snapToGrid w:val="0"/>
        </w:rPr>
        <w:t>.</w:t>
      </w:r>
      <w:r>
        <w:rPr>
          <w:snapToGrid w:val="0"/>
        </w:rPr>
        <w:tab/>
        <w:t>Terms used</w:t>
      </w:r>
      <w:bookmarkEnd w:id="254"/>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lastRenderedPageBreak/>
        <w:tab/>
      </w:r>
      <w:r>
        <w:rPr>
          <w:rStyle w:val="CharDefText"/>
        </w:rPr>
        <w:t>former provisions</w:t>
      </w:r>
      <w:r>
        <w:t xml:space="preserve"> means the provisions of the </w:t>
      </w:r>
      <w:r>
        <w:rPr>
          <w:i/>
        </w:rPr>
        <w:t>Petroleum Act 1936</w:t>
      </w:r>
      <w:r>
        <w:t> </w:t>
      </w:r>
      <w:r>
        <w:rPr>
          <w:vertAlign w:val="superscript"/>
        </w:rPr>
        <w:t>1</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 No. 113 of 1985 s. 6; No. 90 of 1987 s. 5; No. 42 of 2010 s. 55.]</w:t>
      </w:r>
    </w:p>
    <w:p>
      <w:pPr>
        <w:pStyle w:val="Heading5"/>
        <w:spacing w:before="180"/>
        <w:rPr>
          <w:snapToGrid w:val="0"/>
        </w:rPr>
      </w:pPr>
      <w:bookmarkStart w:id="255" w:name="_Toc98947019"/>
      <w:r>
        <w:rPr>
          <w:rStyle w:val="CharSectno"/>
        </w:rPr>
        <w:t>129</w:t>
      </w:r>
      <w:r>
        <w:rPr>
          <w:snapToGrid w:val="0"/>
        </w:rPr>
        <w:t>.</w:t>
      </w:r>
      <w:r>
        <w:rPr>
          <w:snapToGrid w:val="0"/>
        </w:rPr>
        <w:tab/>
        <w:t>This Division prevails over other provisions</w:t>
      </w:r>
      <w:bookmarkEnd w:id="255"/>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256" w:name="_Toc98947020"/>
      <w:r>
        <w:rPr>
          <w:rStyle w:val="CharSectno"/>
        </w:rPr>
        <w:t>130</w:t>
      </w:r>
      <w:r>
        <w:rPr>
          <w:snapToGrid w:val="0"/>
        </w:rPr>
        <w:t>.</w:t>
      </w:r>
      <w:r>
        <w:rPr>
          <w:snapToGrid w:val="0"/>
        </w:rPr>
        <w:tab/>
        <w:t>Cessation of operation of former provisions</w:t>
      </w:r>
      <w:bookmarkEnd w:id="256"/>
    </w:p>
    <w:p>
      <w:pPr>
        <w:pStyle w:val="Subsection"/>
        <w:rPr>
          <w:snapToGrid w:val="0"/>
        </w:rPr>
      </w:pPr>
      <w:r>
        <w:rPr>
          <w:snapToGrid w:val="0"/>
        </w:rPr>
        <w:tab/>
        <w:t>(1)</w:t>
      </w:r>
      <w:r>
        <w:rPr>
          <w:snapToGrid w:val="0"/>
        </w:rPr>
        <w:tab/>
        <w:t xml:space="preserve">Subject to this Division, on the commencing day the former provisions shall cease to apply to or in relation to the carrying </w:t>
      </w:r>
      <w:r>
        <w:rPr>
          <w:snapToGrid w:val="0"/>
        </w:rPr>
        <w:lastRenderedPageBreak/>
        <w:t>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2</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257" w:name="_Toc98947021"/>
      <w:r>
        <w:rPr>
          <w:rStyle w:val="CharSectno"/>
        </w:rPr>
        <w:t>131</w:t>
      </w:r>
      <w:r>
        <w:rPr>
          <w:snapToGrid w:val="0"/>
        </w:rPr>
        <w:t>.</w:t>
      </w:r>
      <w:r>
        <w:rPr>
          <w:snapToGrid w:val="0"/>
        </w:rPr>
        <w:tab/>
        <w:t>Prohibition on granting of instruments under former provisions after commencing day</w:t>
      </w:r>
      <w:bookmarkEnd w:id="257"/>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258" w:name="_Toc98947022"/>
      <w:r>
        <w:rPr>
          <w:rStyle w:val="CharSectno"/>
        </w:rPr>
        <w:t>132</w:t>
      </w:r>
      <w:r>
        <w:rPr>
          <w:snapToGrid w:val="0"/>
        </w:rPr>
        <w:t>.</w:t>
      </w:r>
      <w:r>
        <w:rPr>
          <w:snapToGrid w:val="0"/>
        </w:rPr>
        <w:tab/>
        <w:t>Rights of holders of existing prescribed instruments</w:t>
      </w:r>
      <w:bookmarkEnd w:id="258"/>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 xml:space="preserve">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w:t>
      </w:r>
      <w:r>
        <w:rPr>
          <w:snapToGrid w:val="0"/>
        </w:rPr>
        <w:lastRenderedPageBreak/>
        <w:t>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259" w:name="_Toc98947023"/>
      <w:r>
        <w:rPr>
          <w:rStyle w:val="CharSectno"/>
        </w:rPr>
        <w:t>133</w:t>
      </w:r>
      <w:r>
        <w:rPr>
          <w:snapToGrid w:val="0"/>
        </w:rPr>
        <w:t>.</w:t>
      </w:r>
      <w:r>
        <w:rPr>
          <w:snapToGrid w:val="0"/>
        </w:rPr>
        <w:tab/>
        <w:t>Holders of existing instruments may be granted permits under this Part</w:t>
      </w:r>
      <w:bookmarkEnd w:id="25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lastRenderedPageBreak/>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No. 69 of 1981 s. 34.]</w:t>
      </w:r>
    </w:p>
    <w:p>
      <w:pPr>
        <w:pStyle w:val="Heading5"/>
        <w:keepNext w:val="0"/>
        <w:keepLines w:val="0"/>
        <w:rPr>
          <w:snapToGrid w:val="0"/>
        </w:rPr>
      </w:pPr>
      <w:bookmarkStart w:id="260" w:name="_Toc98947024"/>
      <w:r>
        <w:rPr>
          <w:rStyle w:val="CharSectno"/>
        </w:rPr>
        <w:t>134</w:t>
      </w:r>
      <w:r>
        <w:rPr>
          <w:snapToGrid w:val="0"/>
        </w:rPr>
        <w:t>.</w:t>
      </w:r>
      <w:r>
        <w:rPr>
          <w:snapToGrid w:val="0"/>
        </w:rPr>
        <w:tab/>
        <w:t>Transitional provisions relating to Barrow Island lease</w:t>
      </w:r>
      <w:bookmarkEnd w:id="260"/>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261" w:name="_Toc98947025"/>
      <w:r>
        <w:rPr>
          <w:rStyle w:val="CharSectno"/>
        </w:rPr>
        <w:t>134A</w:t>
      </w:r>
      <w:r>
        <w:rPr>
          <w:snapToGrid w:val="0"/>
        </w:rPr>
        <w:t>.</w:t>
      </w:r>
      <w:r>
        <w:rPr>
          <w:snapToGrid w:val="0"/>
        </w:rPr>
        <w:tab/>
        <w:t>Application of former provisions after coming into operation of variation agreement</w:t>
      </w:r>
      <w:bookmarkEnd w:id="261"/>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lastRenderedPageBreak/>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262" w:name="_Toc98947026"/>
      <w:r>
        <w:rPr>
          <w:snapToGrid w:val="0"/>
        </w:rPr>
        <w:t>71.</w:t>
      </w:r>
      <w:r>
        <w:rPr>
          <w:snapToGrid w:val="0"/>
        </w:rPr>
        <w:tab/>
        <w:t>Interpretation</w:t>
      </w:r>
      <w:bookmarkEnd w:id="262"/>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263" w:name="_Toc98947027"/>
      <w:r>
        <w:rPr>
          <w:snapToGrid w:val="0"/>
        </w:rPr>
        <w:t xml:space="preserve">72. </w:t>
      </w:r>
      <w:r>
        <w:rPr>
          <w:snapToGrid w:val="0"/>
        </w:rPr>
        <w:tab/>
        <w:t>Statements, information and records</w:t>
      </w:r>
      <w:bookmarkEnd w:id="263"/>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264" w:name="_Toc98947028"/>
      <w:r>
        <w:rPr>
          <w:snapToGrid w:val="0"/>
        </w:rPr>
        <w:lastRenderedPageBreak/>
        <w:t>73.</w:t>
      </w:r>
      <w:r>
        <w:rPr>
          <w:snapToGrid w:val="0"/>
        </w:rPr>
        <w:tab/>
        <w:t>Powers of officers</w:t>
      </w:r>
      <w:bookmarkEnd w:id="264"/>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265" w:name="_Toc98947029"/>
      <w:r>
        <w:rPr>
          <w:snapToGrid w:val="0"/>
        </w:rPr>
        <w:t>74.</w:t>
      </w:r>
      <w:r>
        <w:rPr>
          <w:snapToGrid w:val="0"/>
        </w:rPr>
        <w:tab/>
        <w:t>Royalty a debt due to the State</w:t>
      </w:r>
      <w:bookmarkEnd w:id="265"/>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266" w:name="_Toc98947030"/>
      <w:r>
        <w:rPr>
          <w:snapToGrid w:val="0"/>
        </w:rPr>
        <w:t>75.</w:t>
      </w:r>
      <w:r>
        <w:rPr>
          <w:snapToGrid w:val="0"/>
        </w:rPr>
        <w:tab/>
        <w:t>Offences</w:t>
      </w:r>
      <w:bookmarkEnd w:id="266"/>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267" w:name="_Toc98947031"/>
      <w:r>
        <w:rPr>
          <w:snapToGrid w:val="0"/>
        </w:rPr>
        <w:t>117.</w:t>
      </w:r>
      <w:r>
        <w:rPr>
          <w:snapToGrid w:val="0"/>
        </w:rPr>
        <w:tab/>
        <w:t>Application of regulations to Barrow Island lease</w:t>
      </w:r>
      <w:bookmarkEnd w:id="267"/>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lastRenderedPageBreak/>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No. 113 of 1985 s. 7; amended: No. 90 of 1987 s. 6; No. 28 of 1994 s. 54; No. 42 of 2010 s. 56 and 62(15).]</w:t>
      </w:r>
    </w:p>
    <w:p>
      <w:pPr>
        <w:pStyle w:val="Ednotesection"/>
      </w:pPr>
      <w:r>
        <w:t>[</w:t>
      </w:r>
      <w:r>
        <w:rPr>
          <w:b/>
        </w:rPr>
        <w:t>134B.</w:t>
      </w:r>
      <w:r>
        <w:tab/>
        <w:t>Deleted: No. 28 of 1994 s. 55.]</w:t>
      </w:r>
    </w:p>
    <w:p>
      <w:pPr>
        <w:pStyle w:val="Heading5"/>
        <w:rPr>
          <w:snapToGrid w:val="0"/>
        </w:rPr>
      </w:pPr>
      <w:bookmarkStart w:id="268" w:name="_Toc98947032"/>
      <w:r>
        <w:rPr>
          <w:rStyle w:val="CharSectno"/>
        </w:rPr>
        <w:t>135</w:t>
      </w:r>
      <w:r>
        <w:rPr>
          <w:snapToGrid w:val="0"/>
        </w:rPr>
        <w:t>.</w:t>
      </w:r>
      <w:r>
        <w:rPr>
          <w:snapToGrid w:val="0"/>
        </w:rPr>
        <w:tab/>
        <w:t>Certain portions of blocks to be blocks</w:t>
      </w:r>
      <w:bookmarkEnd w:id="268"/>
    </w:p>
    <w:p>
      <w:pPr>
        <w:pStyle w:val="Subsection"/>
        <w:rPr>
          <w:snapToGrid w:val="0"/>
        </w:rPr>
      </w:pPr>
      <w:r>
        <w:rPr>
          <w:snapToGrid w:val="0"/>
        </w:rPr>
        <w:tab/>
        <w:t>(1)</w:t>
      </w:r>
      <w:r>
        <w:rPr>
          <w:snapToGrid w:val="0"/>
        </w:rPr>
        <w:tab/>
        <w:t xml:space="preserve">Where the area in respect of which a permit, drilling reservation, lease, licence or prescribed instrument is in force includes one </w:t>
      </w:r>
      <w:r>
        <w:rPr>
          <w:snapToGrid w:val="0"/>
        </w:rPr>
        <w:lastRenderedPageBreak/>
        <w:t>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lastRenderedPageBreak/>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No. 12 of 1990 s. 102; No. 78 of 1990 s. 7.]</w:t>
      </w:r>
    </w:p>
    <w:p>
      <w:pPr>
        <w:pStyle w:val="Heading5"/>
        <w:rPr>
          <w:snapToGrid w:val="0"/>
        </w:rPr>
      </w:pPr>
      <w:bookmarkStart w:id="269" w:name="_Toc98947033"/>
      <w:r>
        <w:rPr>
          <w:rStyle w:val="CharSectno"/>
        </w:rPr>
        <w:t>136</w:t>
      </w:r>
      <w:r>
        <w:rPr>
          <w:snapToGrid w:val="0"/>
        </w:rPr>
        <w:t>.</w:t>
      </w:r>
      <w:r>
        <w:rPr>
          <w:snapToGrid w:val="0"/>
        </w:rPr>
        <w:tab/>
        <w:t>Certain petroleum exploration or recovery activities not prohibited by s. 29 or 49</w:t>
      </w:r>
      <w:bookmarkEnd w:id="269"/>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No. 113 of 1985 s. 8.]</w:t>
      </w:r>
    </w:p>
    <w:p>
      <w:pPr>
        <w:pStyle w:val="Heading3"/>
      </w:pPr>
      <w:bookmarkStart w:id="270" w:name="_Toc97629739"/>
      <w:bookmarkStart w:id="271" w:name="_Toc97630092"/>
      <w:bookmarkStart w:id="272" w:name="_Toc97630630"/>
      <w:bookmarkStart w:id="273" w:name="_Toc98748545"/>
      <w:bookmarkStart w:id="274" w:name="_Toc98766185"/>
      <w:bookmarkStart w:id="275" w:name="_Toc98834452"/>
      <w:bookmarkStart w:id="276" w:name="_Toc98947034"/>
      <w:r>
        <w:rPr>
          <w:rStyle w:val="CharDivNo"/>
        </w:rPr>
        <w:t>Division 7</w:t>
      </w:r>
      <w:r>
        <w:rPr>
          <w:snapToGrid w:val="0"/>
        </w:rPr>
        <w:t> — </w:t>
      </w:r>
      <w:r>
        <w:rPr>
          <w:rStyle w:val="CharDivText"/>
        </w:rPr>
        <w:t>Fees and royalties</w:t>
      </w:r>
      <w:bookmarkEnd w:id="270"/>
      <w:bookmarkEnd w:id="271"/>
      <w:bookmarkEnd w:id="272"/>
      <w:bookmarkEnd w:id="273"/>
      <w:bookmarkEnd w:id="274"/>
      <w:bookmarkEnd w:id="275"/>
      <w:bookmarkEnd w:id="276"/>
    </w:p>
    <w:p>
      <w:pPr>
        <w:pStyle w:val="Heading5"/>
        <w:rPr>
          <w:snapToGrid w:val="0"/>
        </w:rPr>
      </w:pPr>
      <w:bookmarkStart w:id="277" w:name="_Toc98947035"/>
      <w:r>
        <w:rPr>
          <w:rStyle w:val="CharSectno"/>
        </w:rPr>
        <w:t>137</w:t>
      </w:r>
      <w:r>
        <w:rPr>
          <w:snapToGrid w:val="0"/>
        </w:rPr>
        <w:t>.</w:t>
      </w:r>
      <w:r>
        <w:rPr>
          <w:snapToGrid w:val="0"/>
        </w:rPr>
        <w:tab/>
        <w:t>Permit and drilling reservation fees</w:t>
      </w:r>
      <w:bookmarkEnd w:id="277"/>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lastRenderedPageBreak/>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No. 69 of 1981 s. 34; No. 12 of 1990 s. 103; No. 78 of 1990 s. 7.]</w:t>
      </w:r>
    </w:p>
    <w:p>
      <w:pPr>
        <w:pStyle w:val="Heading5"/>
        <w:spacing w:before="180"/>
        <w:rPr>
          <w:snapToGrid w:val="0"/>
        </w:rPr>
      </w:pPr>
      <w:bookmarkStart w:id="278" w:name="_Toc98947036"/>
      <w:r>
        <w:rPr>
          <w:rStyle w:val="CharSectno"/>
        </w:rPr>
        <w:t>137A</w:t>
      </w:r>
      <w:r>
        <w:rPr>
          <w:snapToGrid w:val="0"/>
        </w:rPr>
        <w:t>.</w:t>
      </w:r>
      <w:r>
        <w:rPr>
          <w:snapToGrid w:val="0"/>
        </w:rPr>
        <w:tab/>
        <w:t>Lease fees</w:t>
      </w:r>
      <w:bookmarkEnd w:id="278"/>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No. 12 of 1990 s. 104.]</w:t>
      </w:r>
    </w:p>
    <w:p>
      <w:pPr>
        <w:pStyle w:val="Heading5"/>
        <w:spacing w:before="180"/>
        <w:rPr>
          <w:snapToGrid w:val="0"/>
        </w:rPr>
      </w:pPr>
      <w:bookmarkStart w:id="279" w:name="_Toc98947037"/>
      <w:r>
        <w:rPr>
          <w:rStyle w:val="CharSectno"/>
        </w:rPr>
        <w:t>138</w:t>
      </w:r>
      <w:r>
        <w:rPr>
          <w:snapToGrid w:val="0"/>
        </w:rPr>
        <w:t>.</w:t>
      </w:r>
      <w:r>
        <w:rPr>
          <w:snapToGrid w:val="0"/>
        </w:rPr>
        <w:tab/>
        <w:t>Licence fees</w:t>
      </w:r>
      <w:bookmarkEnd w:id="279"/>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No. 69 of 1981 s. 34; No. 12 of 1990 s. 105; No. 28 of 1994 s. 56.]</w:t>
      </w:r>
    </w:p>
    <w:p>
      <w:pPr>
        <w:pStyle w:val="Heading5"/>
        <w:spacing w:before="180"/>
        <w:rPr>
          <w:snapToGrid w:val="0"/>
        </w:rPr>
      </w:pPr>
      <w:bookmarkStart w:id="280" w:name="_Toc98947038"/>
      <w:r>
        <w:rPr>
          <w:rStyle w:val="CharSectno"/>
        </w:rPr>
        <w:t>139</w:t>
      </w:r>
      <w:r>
        <w:rPr>
          <w:snapToGrid w:val="0"/>
        </w:rPr>
        <w:t>.</w:t>
      </w:r>
      <w:r>
        <w:rPr>
          <w:snapToGrid w:val="0"/>
        </w:rPr>
        <w:tab/>
        <w:t>Time of payment of fees</w:t>
      </w:r>
      <w:bookmarkEnd w:id="280"/>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lastRenderedPageBreak/>
        <w:tab/>
        <w:t>(b)</w:t>
      </w:r>
      <w:r>
        <w:rPr>
          <w:snapToGrid w:val="0"/>
        </w:rPr>
        <w:tab/>
        <w:t>in the case of a year of the term of a permit, drilling reservation, lease or licence other than the first, the anniversary of that day.</w:t>
      </w:r>
    </w:p>
    <w:p>
      <w:pPr>
        <w:pStyle w:val="Footnotesection"/>
      </w:pPr>
      <w:r>
        <w:tab/>
        <w:t>[Section 139 amended: No. 12 of 1990 s. 106; No. 28 of 1994 s. 57.]</w:t>
      </w:r>
    </w:p>
    <w:p>
      <w:pPr>
        <w:pStyle w:val="Heading5"/>
        <w:rPr>
          <w:snapToGrid w:val="0"/>
        </w:rPr>
      </w:pPr>
      <w:bookmarkStart w:id="281" w:name="_Toc98947039"/>
      <w:r>
        <w:rPr>
          <w:rStyle w:val="CharSectno"/>
        </w:rPr>
        <w:t>140</w:t>
      </w:r>
      <w:r>
        <w:rPr>
          <w:snapToGrid w:val="0"/>
        </w:rPr>
        <w:t>.</w:t>
      </w:r>
      <w:r>
        <w:rPr>
          <w:snapToGrid w:val="0"/>
        </w:rPr>
        <w:tab/>
        <w:t>Penalty for late payment of fees</w:t>
      </w:r>
      <w:bookmarkEnd w:id="281"/>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No. 12 of 1990 s. 107; No. 28 of 1994 s. 58.]</w:t>
      </w:r>
    </w:p>
    <w:p>
      <w:pPr>
        <w:pStyle w:val="Heading5"/>
        <w:rPr>
          <w:snapToGrid w:val="0"/>
        </w:rPr>
      </w:pPr>
      <w:bookmarkStart w:id="282" w:name="_Toc98947040"/>
      <w:r>
        <w:rPr>
          <w:rStyle w:val="CharSectno"/>
        </w:rPr>
        <w:t>141</w:t>
      </w:r>
      <w:r>
        <w:rPr>
          <w:snapToGrid w:val="0"/>
        </w:rPr>
        <w:t>.</w:t>
      </w:r>
      <w:r>
        <w:rPr>
          <w:snapToGrid w:val="0"/>
        </w:rPr>
        <w:tab/>
        <w:t>Fees and penalties debts due to Crown</w:t>
      </w:r>
      <w:bookmarkEnd w:id="282"/>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No. 12 of 1990 s. 108; No. 78 of 1990 s. 7.]</w:t>
      </w:r>
    </w:p>
    <w:p>
      <w:pPr>
        <w:pStyle w:val="Heading5"/>
        <w:rPr>
          <w:snapToGrid w:val="0"/>
        </w:rPr>
      </w:pPr>
      <w:bookmarkStart w:id="283" w:name="_Toc98947041"/>
      <w:r>
        <w:rPr>
          <w:rStyle w:val="CharSectno"/>
        </w:rPr>
        <w:t>142</w:t>
      </w:r>
      <w:r>
        <w:rPr>
          <w:snapToGrid w:val="0"/>
        </w:rPr>
        <w:t>.</w:t>
      </w:r>
      <w:r>
        <w:rPr>
          <w:snapToGrid w:val="0"/>
        </w:rPr>
        <w:tab/>
        <w:t>Royalty</w:t>
      </w:r>
      <w:bookmarkEnd w:id="283"/>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 xml:space="preserve">recovered by the permittee, holder </w:t>
      </w:r>
      <w:r>
        <w:rPr>
          <w:snapToGrid w:val="0"/>
        </w:rPr>
        <w:lastRenderedPageBreak/>
        <w:t>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 xml:space="preserve">Notwithstanding the provisions of section 52(3) and subsection (5), where a secondary licence is granted to the holder of a primary licence, the Minister may determine that the prescribed rate or rates in respect of petroleum recovered under </w:t>
      </w:r>
      <w:r>
        <w:rPr>
          <w:snapToGrid w:val="0"/>
        </w:rPr>
        <w:lastRenderedPageBreak/>
        <w:t>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No. 12 of 1990 s. 109; No. 78 of 1990 s. 7; No. 11 of 1994 s. 5; No. 35 of 2007 s. 75.]</w:t>
      </w:r>
    </w:p>
    <w:p>
      <w:pPr>
        <w:pStyle w:val="Heading5"/>
        <w:rPr>
          <w:snapToGrid w:val="0"/>
        </w:rPr>
      </w:pPr>
      <w:bookmarkStart w:id="284" w:name="_Toc98947042"/>
      <w:r>
        <w:rPr>
          <w:rStyle w:val="CharSectno"/>
        </w:rPr>
        <w:t>143</w:t>
      </w:r>
      <w:r>
        <w:rPr>
          <w:snapToGrid w:val="0"/>
        </w:rPr>
        <w:t>.</w:t>
      </w:r>
      <w:r>
        <w:rPr>
          <w:snapToGrid w:val="0"/>
        </w:rPr>
        <w:tab/>
        <w:t>Reduction of royalty in certain cases</w:t>
      </w:r>
      <w:bookmarkEnd w:id="284"/>
    </w:p>
    <w:p>
      <w:pPr>
        <w:pStyle w:val="Subsection"/>
        <w:rPr>
          <w:snapToGrid w:val="0"/>
        </w:rPr>
      </w:pPr>
      <w:r>
        <w:rPr>
          <w:snapToGrid w:val="0"/>
        </w:rPr>
        <w:tab/>
        <w:t>(1)</w:t>
      </w:r>
      <w:r>
        <w:rPr>
          <w:snapToGrid w:val="0"/>
        </w:rPr>
        <w:tab/>
        <w:t xml:space="preserve">Where the Minister is satisfied that the rate of recovery of petroleum from a well has become so reduced that, having regard to the rate of royalty fixed by section 142, further </w:t>
      </w:r>
      <w:r>
        <w:rPr>
          <w:snapToGrid w:val="0"/>
        </w:rPr>
        <w:lastRenderedPageBreak/>
        <w:t>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No. 35 of 2007 s. 76.]</w:t>
      </w:r>
    </w:p>
    <w:p>
      <w:pPr>
        <w:pStyle w:val="Heading5"/>
        <w:rPr>
          <w:snapToGrid w:val="0"/>
        </w:rPr>
      </w:pPr>
      <w:bookmarkStart w:id="285" w:name="_Toc98947043"/>
      <w:r>
        <w:rPr>
          <w:rStyle w:val="CharSectno"/>
        </w:rPr>
        <w:t>144</w:t>
      </w:r>
      <w:r>
        <w:rPr>
          <w:snapToGrid w:val="0"/>
        </w:rPr>
        <w:t>.</w:t>
      </w:r>
      <w:r>
        <w:rPr>
          <w:snapToGrid w:val="0"/>
        </w:rPr>
        <w:tab/>
        <w:t>Royalty not payable in certain cases</w:t>
      </w:r>
      <w:bookmarkEnd w:id="28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lastRenderedPageBreak/>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No. 12 of 1990 s. 110; No. 78 of 1990 s. 7; No. 28 of 1994 s. 59; No. 35 of 2007 s. 77.]</w:t>
      </w:r>
    </w:p>
    <w:p>
      <w:pPr>
        <w:pStyle w:val="Heading5"/>
        <w:rPr>
          <w:snapToGrid w:val="0"/>
        </w:rPr>
      </w:pPr>
      <w:bookmarkStart w:id="286" w:name="_Toc98947044"/>
      <w:r>
        <w:rPr>
          <w:rStyle w:val="CharSectno"/>
        </w:rPr>
        <w:lastRenderedPageBreak/>
        <w:t>144A</w:t>
      </w:r>
      <w:r>
        <w:rPr>
          <w:snapToGrid w:val="0"/>
        </w:rPr>
        <w:t>.</w:t>
      </w:r>
      <w:r>
        <w:rPr>
          <w:snapToGrid w:val="0"/>
        </w:rPr>
        <w:tab/>
        <w:t>Royalty value</w:t>
      </w:r>
      <w:bookmarkEnd w:id="286"/>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No. 11 of 1994 s. 6; amended: No. 35 of 2007 s. 78.]</w:t>
      </w:r>
    </w:p>
    <w:p>
      <w:pPr>
        <w:pStyle w:val="Heading5"/>
        <w:rPr>
          <w:snapToGrid w:val="0"/>
        </w:rPr>
      </w:pPr>
      <w:bookmarkStart w:id="287" w:name="_Toc98947045"/>
      <w:r>
        <w:rPr>
          <w:rStyle w:val="CharSectno"/>
        </w:rPr>
        <w:t>145</w:t>
      </w:r>
      <w:r>
        <w:rPr>
          <w:snapToGrid w:val="0"/>
        </w:rPr>
        <w:t>.</w:t>
      </w:r>
      <w:r>
        <w:rPr>
          <w:snapToGrid w:val="0"/>
        </w:rPr>
        <w:tab/>
        <w:t>Ascertainment of value of petroleum or geothermal energy</w:t>
      </w:r>
      <w:bookmarkEnd w:id="287"/>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No. 12 of 1990 s. 111; No. 78 of 1990 s. 7; No. 35 of 2007 s. 79.]</w:t>
      </w:r>
    </w:p>
    <w:p>
      <w:pPr>
        <w:pStyle w:val="Heading5"/>
        <w:rPr>
          <w:snapToGrid w:val="0"/>
        </w:rPr>
      </w:pPr>
      <w:bookmarkStart w:id="288" w:name="_Toc98947046"/>
      <w:r>
        <w:rPr>
          <w:rStyle w:val="CharSectno"/>
        </w:rPr>
        <w:t>146</w:t>
      </w:r>
      <w:r>
        <w:rPr>
          <w:snapToGrid w:val="0"/>
        </w:rPr>
        <w:t>.</w:t>
      </w:r>
      <w:r>
        <w:rPr>
          <w:snapToGrid w:val="0"/>
        </w:rPr>
        <w:tab/>
        <w:t>Ascertainment of well</w:t>
      </w:r>
      <w:r>
        <w:rPr>
          <w:snapToGrid w:val="0"/>
        </w:rPr>
        <w:noBreakHyphen/>
        <w:t>head</w:t>
      </w:r>
      <w:bookmarkEnd w:id="288"/>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xml:space="preserve">, is such valve station as is </w:t>
      </w:r>
      <w:r>
        <w:rPr>
          <w:snapToGrid w:val="0"/>
        </w:rPr>
        <w:lastRenderedPageBreak/>
        <w:t>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112; No. 78 of 1990 s. 7; No. 35 of 2007 s. 80.]</w:t>
      </w:r>
    </w:p>
    <w:p>
      <w:pPr>
        <w:pStyle w:val="Heading5"/>
        <w:rPr>
          <w:snapToGrid w:val="0"/>
        </w:rPr>
      </w:pPr>
      <w:bookmarkStart w:id="289" w:name="_Toc98947047"/>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289"/>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No. 12 of 1990 s. 113; No. 78 of 1990 s. 7; No. 35 of 2007 s. 81.]</w:t>
      </w:r>
    </w:p>
    <w:p>
      <w:pPr>
        <w:pStyle w:val="Heading5"/>
        <w:rPr>
          <w:snapToGrid w:val="0"/>
        </w:rPr>
      </w:pPr>
      <w:bookmarkStart w:id="290" w:name="_Toc98947048"/>
      <w:r>
        <w:rPr>
          <w:rStyle w:val="CharSectno"/>
        </w:rPr>
        <w:t>148</w:t>
      </w:r>
      <w:r>
        <w:rPr>
          <w:snapToGrid w:val="0"/>
        </w:rPr>
        <w:t>.</w:t>
      </w:r>
      <w:r>
        <w:rPr>
          <w:snapToGrid w:val="0"/>
        </w:rPr>
        <w:tab/>
        <w:t>Payment of royalty and penalty for late payment</w:t>
      </w:r>
      <w:bookmarkEnd w:id="290"/>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 xml:space="preserve">Where the amount of royalty under this Act is not paid as provided by subsection (1), there is payable to the Minister by </w:t>
      </w:r>
      <w:r>
        <w:rPr>
          <w:snapToGrid w:val="0"/>
        </w:rPr>
        <w:lastRenderedPageBreak/>
        <w:t>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No. 12 of 1990 s. 114; No. 78 of 1990 s. 7; No. 28 of 1994 s. 60; No. 35 of 2007 s. 82.]</w:t>
      </w:r>
    </w:p>
    <w:p>
      <w:pPr>
        <w:pStyle w:val="Heading5"/>
        <w:rPr>
          <w:snapToGrid w:val="0"/>
        </w:rPr>
      </w:pPr>
      <w:bookmarkStart w:id="291" w:name="_Toc98947049"/>
      <w:r>
        <w:rPr>
          <w:rStyle w:val="CharSectno"/>
        </w:rPr>
        <w:t>149</w:t>
      </w:r>
      <w:r>
        <w:rPr>
          <w:snapToGrid w:val="0"/>
        </w:rPr>
        <w:t>.</w:t>
      </w:r>
      <w:r>
        <w:rPr>
          <w:snapToGrid w:val="0"/>
        </w:rPr>
        <w:tab/>
        <w:t>Royalty or late payment amount is debt due to Crown</w:t>
      </w:r>
      <w:bookmarkEnd w:id="291"/>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No. 12 of 1990 s. 115; No. 78 of 1990 s. 7.]</w:t>
      </w:r>
    </w:p>
    <w:p>
      <w:pPr>
        <w:pStyle w:val="Ednotepart"/>
      </w:pPr>
      <w:r>
        <w:t>[Part IIIA (s. 149A</w:t>
      </w:r>
      <w:r>
        <w:noBreakHyphen/>
        <w:t>149C) deleted: No. 36 of 2020 s. 305.]</w:t>
      </w:r>
    </w:p>
    <w:p>
      <w:pPr>
        <w:pStyle w:val="Heading2"/>
      </w:pPr>
      <w:bookmarkStart w:id="292" w:name="_Toc97629759"/>
      <w:bookmarkStart w:id="293" w:name="_Toc97630112"/>
      <w:bookmarkStart w:id="294" w:name="_Toc97630650"/>
      <w:bookmarkStart w:id="295" w:name="_Toc98748565"/>
      <w:bookmarkStart w:id="296" w:name="_Toc98766201"/>
      <w:bookmarkStart w:id="297" w:name="_Toc98834468"/>
      <w:bookmarkStart w:id="298" w:name="_Toc98947050"/>
      <w:r>
        <w:rPr>
          <w:rStyle w:val="CharPartNo"/>
        </w:rPr>
        <w:lastRenderedPageBreak/>
        <w:t>Part IVA</w:t>
      </w:r>
      <w:r>
        <w:rPr>
          <w:b w:val="0"/>
        </w:rPr>
        <w:t> </w:t>
      </w:r>
      <w:r>
        <w:t>—</w:t>
      </w:r>
      <w:r>
        <w:rPr>
          <w:b w:val="0"/>
        </w:rPr>
        <w:t> </w:t>
      </w:r>
      <w:r>
        <w:rPr>
          <w:rStyle w:val="CharPartText"/>
        </w:rPr>
        <w:t>Release of information</w:t>
      </w:r>
      <w:bookmarkEnd w:id="292"/>
      <w:bookmarkEnd w:id="293"/>
      <w:bookmarkEnd w:id="294"/>
      <w:bookmarkEnd w:id="295"/>
      <w:bookmarkEnd w:id="296"/>
      <w:bookmarkEnd w:id="297"/>
      <w:bookmarkEnd w:id="298"/>
    </w:p>
    <w:p>
      <w:pPr>
        <w:pStyle w:val="Footnoteheading"/>
        <w:spacing w:before="80"/>
      </w:pPr>
      <w:r>
        <w:tab/>
        <w:t>[Heading inserted: No. 42 of 2010 s. 57.]</w:t>
      </w:r>
    </w:p>
    <w:p>
      <w:pPr>
        <w:pStyle w:val="Heading3"/>
        <w:spacing w:before="180"/>
      </w:pPr>
      <w:bookmarkStart w:id="299" w:name="_Toc97629760"/>
      <w:bookmarkStart w:id="300" w:name="_Toc97630113"/>
      <w:bookmarkStart w:id="301" w:name="_Toc97630651"/>
      <w:bookmarkStart w:id="302" w:name="_Toc98748566"/>
      <w:bookmarkStart w:id="303" w:name="_Toc98766202"/>
      <w:bookmarkStart w:id="304" w:name="_Toc98834469"/>
      <w:bookmarkStart w:id="305" w:name="_Toc98947051"/>
      <w:r>
        <w:rPr>
          <w:rStyle w:val="CharDivNo"/>
        </w:rPr>
        <w:t>Division 1</w:t>
      </w:r>
      <w:r>
        <w:t> — </w:t>
      </w:r>
      <w:r>
        <w:rPr>
          <w:rStyle w:val="CharDivText"/>
        </w:rPr>
        <w:t>Preliminary</w:t>
      </w:r>
      <w:bookmarkEnd w:id="299"/>
      <w:bookmarkEnd w:id="300"/>
      <w:bookmarkEnd w:id="301"/>
      <w:bookmarkEnd w:id="302"/>
      <w:bookmarkEnd w:id="303"/>
      <w:bookmarkEnd w:id="304"/>
      <w:bookmarkEnd w:id="305"/>
    </w:p>
    <w:p>
      <w:pPr>
        <w:pStyle w:val="Footnoteheading"/>
        <w:spacing w:before="80"/>
      </w:pPr>
      <w:r>
        <w:tab/>
        <w:t>[Heading inserted: No. 42 of 2010 s. 57.]</w:t>
      </w:r>
    </w:p>
    <w:p>
      <w:pPr>
        <w:pStyle w:val="Heading5"/>
        <w:spacing w:before="160"/>
      </w:pPr>
      <w:bookmarkStart w:id="306" w:name="_Toc98947052"/>
      <w:r>
        <w:rPr>
          <w:rStyle w:val="CharSectno"/>
        </w:rPr>
        <w:t>150A</w:t>
      </w:r>
      <w:r>
        <w:t>.</w:t>
      </w:r>
      <w:r>
        <w:tab/>
        <w:t>Terms used</w:t>
      </w:r>
      <w:bookmarkEnd w:id="306"/>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r>
        <w:tab/>
        <w:t>[Section 150A inserted: No. 42 of 2010 s. 57.]</w:t>
      </w:r>
    </w:p>
    <w:p>
      <w:pPr>
        <w:pStyle w:val="Heading3"/>
      </w:pPr>
      <w:bookmarkStart w:id="307" w:name="_Toc97629762"/>
      <w:bookmarkStart w:id="308" w:name="_Toc97630115"/>
      <w:bookmarkStart w:id="309" w:name="_Toc97630653"/>
      <w:bookmarkStart w:id="310" w:name="_Toc98748568"/>
      <w:bookmarkStart w:id="311" w:name="_Toc98766204"/>
      <w:bookmarkStart w:id="312" w:name="_Toc98834471"/>
      <w:bookmarkStart w:id="313" w:name="_Toc98947053"/>
      <w:r>
        <w:rPr>
          <w:rStyle w:val="CharDivNo"/>
        </w:rPr>
        <w:lastRenderedPageBreak/>
        <w:t>Division 2</w:t>
      </w:r>
      <w:r>
        <w:t> — </w:t>
      </w:r>
      <w:r>
        <w:rPr>
          <w:rStyle w:val="CharDivText"/>
        </w:rPr>
        <w:t>Protection of confidentiality of information and samples</w:t>
      </w:r>
      <w:bookmarkEnd w:id="307"/>
      <w:bookmarkEnd w:id="308"/>
      <w:bookmarkEnd w:id="309"/>
      <w:bookmarkEnd w:id="310"/>
      <w:bookmarkEnd w:id="311"/>
      <w:bookmarkEnd w:id="312"/>
      <w:bookmarkEnd w:id="313"/>
    </w:p>
    <w:p>
      <w:pPr>
        <w:pStyle w:val="Footnoteheading"/>
        <w:spacing w:before="80"/>
      </w:pPr>
      <w:r>
        <w:tab/>
        <w:t>[Heading inserted: No. 42 of 2010 s. 57.]</w:t>
      </w:r>
    </w:p>
    <w:p>
      <w:pPr>
        <w:pStyle w:val="Heading4"/>
        <w:spacing w:before="180"/>
      </w:pPr>
      <w:bookmarkStart w:id="314" w:name="_Toc97629763"/>
      <w:bookmarkStart w:id="315" w:name="_Toc97630116"/>
      <w:bookmarkStart w:id="316" w:name="_Toc97630654"/>
      <w:bookmarkStart w:id="317" w:name="_Toc98748569"/>
      <w:bookmarkStart w:id="318" w:name="_Toc98766205"/>
      <w:bookmarkStart w:id="319" w:name="_Toc98834472"/>
      <w:bookmarkStart w:id="320" w:name="_Toc98947054"/>
      <w:r>
        <w:t>Subdivision 1 — Information and samples obtained by the Minister</w:t>
      </w:r>
      <w:bookmarkEnd w:id="314"/>
      <w:bookmarkEnd w:id="315"/>
      <w:bookmarkEnd w:id="316"/>
      <w:bookmarkEnd w:id="317"/>
      <w:bookmarkEnd w:id="318"/>
      <w:bookmarkEnd w:id="319"/>
      <w:bookmarkEnd w:id="320"/>
    </w:p>
    <w:p>
      <w:pPr>
        <w:pStyle w:val="Footnoteheading"/>
        <w:spacing w:before="80"/>
      </w:pPr>
      <w:r>
        <w:tab/>
        <w:t>[Heading inserted: No. 42 of 2010 s. 57.]</w:t>
      </w:r>
    </w:p>
    <w:p>
      <w:pPr>
        <w:pStyle w:val="Heading5"/>
        <w:spacing w:before="180"/>
      </w:pPr>
      <w:bookmarkStart w:id="321" w:name="_Toc98947055"/>
      <w:r>
        <w:rPr>
          <w:rStyle w:val="CharSectno"/>
        </w:rPr>
        <w:t>150B</w:t>
      </w:r>
      <w:r>
        <w:t>.</w:t>
      </w:r>
      <w:r>
        <w:tab/>
        <w:t>Protection of confidentiality of information obtained by Minister</w:t>
      </w:r>
      <w:bookmarkEnd w:id="321"/>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150B inserted: No. 42 of 2010 s. 57.]</w:t>
      </w:r>
    </w:p>
    <w:p>
      <w:pPr>
        <w:pStyle w:val="Heading5"/>
        <w:spacing w:before="180"/>
      </w:pPr>
      <w:bookmarkStart w:id="322" w:name="_Toc98947056"/>
      <w:r>
        <w:rPr>
          <w:rStyle w:val="CharSectno"/>
        </w:rPr>
        <w:t>150C</w:t>
      </w:r>
      <w:r>
        <w:t>.</w:t>
      </w:r>
      <w:r>
        <w:tab/>
        <w:t>Protection of confidentiality of samples obtained by Minister</w:t>
      </w:r>
      <w:bookmarkEnd w:id="322"/>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lastRenderedPageBreak/>
        <w:tab/>
        <w:t>(d)</w:t>
      </w:r>
      <w:r>
        <w:tab/>
        <w:t>for the purposes of the administration of this Act.</w:t>
      </w:r>
    </w:p>
    <w:p>
      <w:pPr>
        <w:pStyle w:val="Footnotesection"/>
        <w:ind w:left="890" w:hanging="890"/>
      </w:pPr>
      <w:r>
        <w:tab/>
        <w:t>[Section 150C inserted: No. 42 of 2010 s. 57.]</w:t>
      </w:r>
    </w:p>
    <w:p>
      <w:pPr>
        <w:pStyle w:val="Heading5"/>
        <w:spacing w:before="240"/>
      </w:pPr>
      <w:bookmarkStart w:id="323" w:name="_Toc98947057"/>
      <w:r>
        <w:rPr>
          <w:rStyle w:val="CharSectno"/>
        </w:rPr>
        <w:t>150D</w:t>
      </w:r>
      <w:r>
        <w:t>.</w:t>
      </w:r>
      <w:r>
        <w:tab/>
        <w:t>Information or samples obtained by Minister can be made available to certain persons</w:t>
      </w:r>
      <w:bookmarkEnd w:id="323"/>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r>
        <w:tab/>
        <w:t>[Section 150D inserted: No. 42 of 2010 s. 57.]</w:t>
      </w:r>
    </w:p>
    <w:p>
      <w:pPr>
        <w:pStyle w:val="Heading4"/>
        <w:spacing w:before="180"/>
      </w:pPr>
      <w:bookmarkStart w:id="324" w:name="_Toc97629767"/>
      <w:bookmarkStart w:id="325" w:name="_Toc97630120"/>
      <w:bookmarkStart w:id="326" w:name="_Toc97630658"/>
      <w:bookmarkStart w:id="327" w:name="_Toc98748573"/>
      <w:bookmarkStart w:id="328" w:name="_Toc98766209"/>
      <w:bookmarkStart w:id="329" w:name="_Toc98834476"/>
      <w:bookmarkStart w:id="330" w:name="_Toc98947058"/>
      <w:r>
        <w:t>Subdivision 2 — Information and samples obtained by another Minister</w:t>
      </w:r>
      <w:bookmarkEnd w:id="324"/>
      <w:bookmarkEnd w:id="325"/>
      <w:bookmarkEnd w:id="326"/>
      <w:bookmarkEnd w:id="327"/>
      <w:bookmarkEnd w:id="328"/>
      <w:bookmarkEnd w:id="329"/>
      <w:bookmarkEnd w:id="330"/>
    </w:p>
    <w:p>
      <w:pPr>
        <w:pStyle w:val="Footnoteheading"/>
      </w:pPr>
      <w:r>
        <w:tab/>
        <w:t>[Heading inserted: No. 42 of 2010 s. 57.]</w:t>
      </w:r>
    </w:p>
    <w:p>
      <w:pPr>
        <w:pStyle w:val="Heading5"/>
        <w:spacing w:before="240"/>
      </w:pPr>
      <w:bookmarkStart w:id="331" w:name="_Toc98947059"/>
      <w:r>
        <w:rPr>
          <w:rStyle w:val="CharSectno"/>
        </w:rPr>
        <w:t>150E</w:t>
      </w:r>
      <w:r>
        <w:t>.</w:t>
      </w:r>
      <w:r>
        <w:tab/>
        <w:t>Protection of confidentiality of information obtained by another Minister</w:t>
      </w:r>
      <w:bookmarkEnd w:id="331"/>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150E inserted: No. 42 of 2010 s. 57.]</w:t>
      </w:r>
    </w:p>
    <w:p>
      <w:pPr>
        <w:pStyle w:val="Heading5"/>
        <w:keepNext w:val="0"/>
        <w:keepLines w:val="0"/>
        <w:pageBreakBefore/>
        <w:spacing w:before="0"/>
      </w:pPr>
      <w:bookmarkStart w:id="332" w:name="_Toc98947060"/>
      <w:r>
        <w:rPr>
          <w:rStyle w:val="CharSectno"/>
        </w:rPr>
        <w:lastRenderedPageBreak/>
        <w:t>150F</w:t>
      </w:r>
      <w:r>
        <w:t>.</w:t>
      </w:r>
      <w:r>
        <w:tab/>
        <w:t>Protection of confidentiality of samples obtained by another Minister</w:t>
      </w:r>
      <w:bookmarkEnd w:id="332"/>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150F inserted: No. 42 of 2010 s. 57.]</w:t>
      </w:r>
    </w:p>
    <w:p>
      <w:pPr>
        <w:pStyle w:val="Heading5"/>
      </w:pPr>
      <w:bookmarkStart w:id="333" w:name="_Toc98947061"/>
      <w:r>
        <w:rPr>
          <w:rStyle w:val="CharSectno"/>
        </w:rPr>
        <w:t>150G</w:t>
      </w:r>
      <w:r>
        <w:t>.</w:t>
      </w:r>
      <w:r>
        <w:tab/>
        <w:t>Information or samples obtained by another Minister can be made available to certain persons</w:t>
      </w:r>
      <w:bookmarkEnd w:id="333"/>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r>
        <w:tab/>
        <w:t>[Section 150G inserted: No. 42 of 2010 s. 57.]</w:t>
      </w:r>
    </w:p>
    <w:p>
      <w:pPr>
        <w:pStyle w:val="Heading4"/>
      </w:pPr>
      <w:bookmarkStart w:id="334" w:name="_Toc97629771"/>
      <w:bookmarkStart w:id="335" w:name="_Toc97630124"/>
      <w:bookmarkStart w:id="336" w:name="_Toc97630662"/>
      <w:bookmarkStart w:id="337" w:name="_Toc98748577"/>
      <w:bookmarkStart w:id="338" w:name="_Toc98766213"/>
      <w:bookmarkStart w:id="339" w:name="_Toc98834480"/>
      <w:bookmarkStart w:id="340" w:name="_Toc98947062"/>
      <w:r>
        <w:t>Subdivision 3 — Miscellaneous</w:t>
      </w:r>
      <w:bookmarkEnd w:id="334"/>
      <w:bookmarkEnd w:id="335"/>
      <w:bookmarkEnd w:id="336"/>
      <w:bookmarkEnd w:id="337"/>
      <w:bookmarkEnd w:id="338"/>
      <w:bookmarkEnd w:id="339"/>
      <w:bookmarkEnd w:id="340"/>
    </w:p>
    <w:p>
      <w:pPr>
        <w:pStyle w:val="Footnoteheading"/>
      </w:pPr>
      <w:r>
        <w:tab/>
        <w:t>[Heading inserted: No. 42 of 2010 s. 57.]</w:t>
      </w:r>
    </w:p>
    <w:p>
      <w:pPr>
        <w:pStyle w:val="Heading5"/>
      </w:pPr>
      <w:bookmarkStart w:id="341" w:name="_Toc98947063"/>
      <w:r>
        <w:rPr>
          <w:rStyle w:val="CharSectno"/>
        </w:rPr>
        <w:t>150H</w:t>
      </w:r>
      <w:r>
        <w:t>.</w:t>
      </w:r>
      <w:r>
        <w:tab/>
        <w:t>Fees</w:t>
      </w:r>
      <w:bookmarkEnd w:id="341"/>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lastRenderedPageBreak/>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No. 42 of 2010 s. 57.]</w:t>
      </w:r>
    </w:p>
    <w:p>
      <w:pPr>
        <w:pStyle w:val="Heading2"/>
      </w:pPr>
      <w:bookmarkStart w:id="342" w:name="_Toc97629773"/>
      <w:bookmarkStart w:id="343" w:name="_Toc97630126"/>
      <w:bookmarkStart w:id="344" w:name="_Toc97630664"/>
      <w:bookmarkStart w:id="345" w:name="_Toc98748579"/>
      <w:bookmarkStart w:id="346" w:name="_Toc98766215"/>
      <w:bookmarkStart w:id="347" w:name="_Toc98834482"/>
      <w:bookmarkStart w:id="348" w:name="_Toc98947064"/>
      <w:r>
        <w:rPr>
          <w:rStyle w:val="CharPartNo"/>
        </w:rPr>
        <w:lastRenderedPageBreak/>
        <w:t>Part IV</w:t>
      </w:r>
      <w:r>
        <w:rPr>
          <w:rStyle w:val="CharDivNo"/>
        </w:rPr>
        <w:t> </w:t>
      </w:r>
      <w:r>
        <w:t>—</w:t>
      </w:r>
      <w:r>
        <w:rPr>
          <w:rStyle w:val="CharDivText"/>
        </w:rPr>
        <w:t> </w:t>
      </w:r>
      <w:r>
        <w:rPr>
          <w:rStyle w:val="CharPartText"/>
        </w:rPr>
        <w:t>Miscellaneous</w:t>
      </w:r>
      <w:bookmarkEnd w:id="342"/>
      <w:bookmarkEnd w:id="343"/>
      <w:bookmarkEnd w:id="344"/>
      <w:bookmarkEnd w:id="345"/>
      <w:bookmarkEnd w:id="346"/>
      <w:bookmarkEnd w:id="347"/>
      <w:bookmarkEnd w:id="348"/>
    </w:p>
    <w:p>
      <w:pPr>
        <w:pStyle w:val="Heading5"/>
        <w:rPr>
          <w:snapToGrid w:val="0"/>
        </w:rPr>
      </w:pPr>
      <w:bookmarkStart w:id="349" w:name="_Toc98947065"/>
      <w:r>
        <w:rPr>
          <w:rStyle w:val="CharSectno"/>
        </w:rPr>
        <w:t>150</w:t>
      </w:r>
      <w:r>
        <w:rPr>
          <w:snapToGrid w:val="0"/>
        </w:rPr>
        <w:t>.</w:t>
      </w:r>
      <w:r>
        <w:rPr>
          <w:snapToGrid w:val="0"/>
        </w:rPr>
        <w:tab/>
        <w:t>Jurisdiction of Magistrates Court</w:t>
      </w:r>
      <w:bookmarkEnd w:id="349"/>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No. 59 of 2004 s. 141.]</w:t>
      </w:r>
    </w:p>
    <w:p>
      <w:pPr>
        <w:pStyle w:val="Heading5"/>
        <w:rPr>
          <w:snapToGrid w:val="0"/>
        </w:rPr>
      </w:pPr>
      <w:bookmarkStart w:id="350" w:name="_Toc98947066"/>
      <w:r>
        <w:rPr>
          <w:rStyle w:val="CharSectno"/>
        </w:rPr>
        <w:t>151</w:t>
      </w:r>
      <w:r>
        <w:rPr>
          <w:snapToGrid w:val="0"/>
        </w:rPr>
        <w:t>.</w:t>
      </w:r>
      <w:r>
        <w:rPr>
          <w:snapToGrid w:val="0"/>
        </w:rPr>
        <w:tab/>
        <w:t>Special case may be reserved for Supreme Court</w:t>
      </w:r>
      <w:bookmarkEnd w:id="350"/>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xml:space="preserve">, on the application of any party to the </w:t>
      </w:r>
      <w:r>
        <w:rPr>
          <w:snapToGrid w:val="0"/>
        </w:rPr>
        <w:lastRenderedPageBreak/>
        <w:t>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No. 12 of 1990 s. 116; No. 59 of 2004 s. 141.]</w:t>
      </w:r>
    </w:p>
    <w:p>
      <w:pPr>
        <w:pStyle w:val="Heading5"/>
      </w:pPr>
      <w:bookmarkStart w:id="351" w:name="_Toc98947067"/>
      <w:r>
        <w:rPr>
          <w:rStyle w:val="CharSectno"/>
        </w:rPr>
        <w:t>152</w:t>
      </w:r>
      <w:r>
        <w:t>.</w:t>
      </w:r>
      <w:r>
        <w:tab/>
        <w:t xml:space="preserve">Certain things are not personal property for purposes of </w:t>
      </w:r>
      <w:r>
        <w:rPr>
          <w:i/>
          <w:iCs/>
        </w:rPr>
        <w:t>Personal Property Securities Act 2009</w:t>
      </w:r>
      <w:r>
        <w:t xml:space="preserve"> (Commonwealth)</w:t>
      </w:r>
      <w:bookmarkEnd w:id="35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No. 42 of 2011 s. 87.]</w:t>
      </w:r>
    </w:p>
    <w:p>
      <w:pPr>
        <w:pStyle w:val="Ednotesection"/>
      </w:pPr>
      <w:r>
        <w:t>[</w:t>
      </w:r>
      <w:r>
        <w:rPr>
          <w:b/>
        </w:rPr>
        <w:t>152A, 152B.</w:t>
      </w:r>
      <w:r>
        <w:tab/>
        <w:t>Deleted: No. 28 of 1994 s. 61.]</w:t>
      </w:r>
    </w:p>
    <w:p>
      <w:pPr>
        <w:pStyle w:val="Heading5"/>
        <w:spacing w:before="180"/>
        <w:rPr>
          <w:snapToGrid w:val="0"/>
        </w:rPr>
      </w:pPr>
      <w:bookmarkStart w:id="352" w:name="_Toc98947068"/>
      <w:r>
        <w:rPr>
          <w:rStyle w:val="CharSectno"/>
        </w:rPr>
        <w:t>153</w:t>
      </w:r>
      <w:r>
        <w:rPr>
          <w:snapToGrid w:val="0"/>
        </w:rPr>
        <w:t>.</w:t>
      </w:r>
      <w:r>
        <w:rPr>
          <w:snapToGrid w:val="0"/>
        </w:rPr>
        <w:tab/>
        <w:t>Regulations</w:t>
      </w:r>
      <w:bookmarkEnd w:id="352"/>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 xml:space="preserve">In particular, but without limiting the generality of subsection (1), the regulations may make provision for securing, </w:t>
      </w:r>
      <w:r>
        <w:rPr>
          <w:snapToGrid w:val="0"/>
        </w:rPr>
        <w:lastRenderedPageBreak/>
        <w:t>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lastRenderedPageBreak/>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lastRenderedPageBreak/>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No. 12 of 1990 s. 118; No. 78 of 1990 s. 7; No. 28 of 1994 s. 62; No. 13 of 2005 s. 15; No. 35 of 2007 s. 83 and 87; No. 42 of 2010 s. 58; No. 36 of 2020 s. 306.]</w:t>
      </w:r>
    </w:p>
    <w:p>
      <w:pPr>
        <w:pStyle w:val="Heading5"/>
      </w:pPr>
      <w:bookmarkStart w:id="353" w:name="_Toc98947069"/>
      <w:r>
        <w:rPr>
          <w:rStyle w:val="CharSectno"/>
        </w:rPr>
        <w:t>154</w:t>
      </w:r>
      <w:r>
        <w:t>.</w:t>
      </w:r>
      <w:r>
        <w:tab/>
        <w:t>Further transitional provisions</w:t>
      </w:r>
      <w:bookmarkEnd w:id="353"/>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lastRenderedPageBreak/>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No. 42 of 2010 s. 59.]</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Ednoteschedule"/>
      </w:pPr>
      <w:r>
        <w:t>[Schedule 1 (Div. 1</w:t>
      </w:r>
      <w:r>
        <w:noBreakHyphen/>
        <w:t>6) deleted: No. 36 of 2020 s. 307.]</w:t>
      </w:r>
    </w:p>
    <w:p>
      <w:pPr>
        <w:pStyle w:val="yScheduleHeading"/>
      </w:pPr>
      <w:bookmarkStart w:id="354" w:name="_Toc97629880"/>
      <w:bookmarkStart w:id="355" w:name="_Toc97630233"/>
      <w:bookmarkStart w:id="356" w:name="_Toc97630771"/>
      <w:bookmarkStart w:id="357" w:name="_Toc98748686"/>
      <w:bookmarkStart w:id="358" w:name="_Toc98766221"/>
      <w:bookmarkStart w:id="359" w:name="_Toc98834488"/>
      <w:bookmarkStart w:id="360" w:name="_Toc98947070"/>
      <w:r>
        <w:rPr>
          <w:rStyle w:val="CharSchNo"/>
        </w:rPr>
        <w:lastRenderedPageBreak/>
        <w:t>Schedule 2</w:t>
      </w:r>
      <w:r>
        <w:t> — </w:t>
      </w:r>
      <w:r>
        <w:rPr>
          <w:rStyle w:val="CharSchText"/>
        </w:rPr>
        <w:t>Further transitional provisions</w:t>
      </w:r>
      <w:bookmarkEnd w:id="354"/>
      <w:bookmarkEnd w:id="355"/>
      <w:bookmarkEnd w:id="356"/>
      <w:bookmarkEnd w:id="357"/>
      <w:bookmarkEnd w:id="358"/>
      <w:bookmarkEnd w:id="359"/>
      <w:bookmarkEnd w:id="360"/>
    </w:p>
    <w:p>
      <w:pPr>
        <w:pStyle w:val="yShoulderClause"/>
      </w:pPr>
      <w:r>
        <w:t>[s. 154]</w:t>
      </w:r>
    </w:p>
    <w:p>
      <w:pPr>
        <w:pStyle w:val="yFootnoteheading"/>
      </w:pPr>
      <w:r>
        <w:tab/>
        <w:t>[Heading inserted: No. 42 of 2010 s. 61.]</w:t>
      </w:r>
    </w:p>
    <w:p>
      <w:pPr>
        <w:pStyle w:val="yHeading3"/>
      </w:pPr>
      <w:bookmarkStart w:id="361" w:name="_Toc97629881"/>
      <w:bookmarkStart w:id="362" w:name="_Toc97630234"/>
      <w:bookmarkStart w:id="363" w:name="_Toc97630772"/>
      <w:bookmarkStart w:id="364" w:name="_Toc98748687"/>
      <w:bookmarkStart w:id="365" w:name="_Toc98766222"/>
      <w:bookmarkStart w:id="366" w:name="_Toc98834489"/>
      <w:bookmarkStart w:id="367" w:name="_Toc9894707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61"/>
      <w:bookmarkEnd w:id="362"/>
      <w:bookmarkEnd w:id="363"/>
      <w:bookmarkEnd w:id="364"/>
      <w:bookmarkEnd w:id="365"/>
      <w:bookmarkEnd w:id="366"/>
      <w:bookmarkEnd w:id="367"/>
    </w:p>
    <w:p>
      <w:pPr>
        <w:pStyle w:val="yFootnoteheading"/>
      </w:pPr>
      <w:r>
        <w:tab/>
        <w:t>[Heading inserted: No. 42 of 2010 s. 61.]</w:t>
      </w:r>
    </w:p>
    <w:p>
      <w:pPr>
        <w:pStyle w:val="yHeading5"/>
      </w:pPr>
      <w:bookmarkStart w:id="368" w:name="_Toc98947072"/>
      <w:r>
        <w:rPr>
          <w:rStyle w:val="CharSClsNo"/>
        </w:rPr>
        <w:t>1</w:t>
      </w:r>
      <w:r>
        <w:t>.</w:t>
      </w:r>
      <w:r>
        <w:tab/>
        <w:t>Terms used</w:t>
      </w:r>
      <w:bookmarkEnd w:id="368"/>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No. 42 of 2010 s. 61.]</w:t>
      </w:r>
    </w:p>
    <w:p>
      <w:pPr>
        <w:pStyle w:val="yHeading5"/>
      </w:pPr>
      <w:bookmarkStart w:id="369" w:name="_Toc98947073"/>
      <w:r>
        <w:rPr>
          <w:rStyle w:val="CharSClsNo"/>
        </w:rPr>
        <w:t>2</w:t>
      </w:r>
      <w:r>
        <w:t>.</w:t>
      </w:r>
      <w:r>
        <w:tab/>
        <w:t>Section 41(5) (permit renewals)</w:t>
      </w:r>
      <w:bookmarkEnd w:id="369"/>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No. 42 of 2010 s. 61.]</w:t>
      </w:r>
    </w:p>
    <w:p>
      <w:pPr>
        <w:pStyle w:val="yHeading5"/>
      </w:pPr>
      <w:bookmarkStart w:id="370" w:name="_Toc98947074"/>
      <w:r>
        <w:rPr>
          <w:rStyle w:val="CharSClsNo"/>
        </w:rPr>
        <w:t>3</w:t>
      </w:r>
      <w:r>
        <w:t>.</w:t>
      </w:r>
      <w:r>
        <w:tab/>
        <w:t>Section 112 (release of information)</w:t>
      </w:r>
      <w:bookmarkEnd w:id="370"/>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lastRenderedPageBreak/>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pPr>
        <w:pStyle w:val="nHeading2"/>
      </w:pPr>
      <w:bookmarkStart w:id="372" w:name="_Toc97629885"/>
      <w:bookmarkStart w:id="373" w:name="_Toc97630238"/>
      <w:bookmarkStart w:id="374" w:name="_Toc97630776"/>
      <w:bookmarkStart w:id="375" w:name="_Toc98748691"/>
      <w:bookmarkStart w:id="376" w:name="_Toc98766226"/>
      <w:bookmarkStart w:id="377" w:name="_Toc98834493"/>
      <w:bookmarkStart w:id="378" w:name="_Toc98947075"/>
      <w:r>
        <w:lastRenderedPageBreak/>
        <w:t>Notes</w:t>
      </w:r>
      <w:bookmarkEnd w:id="372"/>
      <w:bookmarkEnd w:id="373"/>
      <w:bookmarkEnd w:id="374"/>
      <w:bookmarkEnd w:id="375"/>
      <w:bookmarkEnd w:id="376"/>
      <w:bookmarkEnd w:id="377"/>
      <w:bookmarkEnd w:id="378"/>
    </w:p>
    <w:p>
      <w:pPr>
        <w:pStyle w:val="nStatement"/>
      </w:pPr>
      <w:r>
        <w:t xml:space="preserve">This is a compilation of the </w:t>
      </w:r>
      <w:r>
        <w:rPr>
          <w:i/>
          <w:noProof/>
        </w:rPr>
        <w:t>Petroleum and Geothermal Energy Resources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379" w:name="_Toc98947076"/>
      <w:r>
        <w:t>Compilation table</w:t>
      </w:r>
      <w:bookmarkEnd w:id="37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Petroleum Act 1967</w:t>
            </w:r>
            <w:r>
              <w:rPr>
                <w:iCs/>
              </w:rPr>
              <w:t xml:space="preserve"> </w:t>
            </w:r>
            <w:r>
              <w:rPr>
                <w:iCs/>
                <w:vertAlign w:val="superscript"/>
              </w:rPr>
              <w:t>4</w:t>
            </w:r>
          </w:p>
        </w:tc>
        <w:tc>
          <w:tcPr>
            <w:tcW w:w="1134" w:type="dxa"/>
          </w:tcPr>
          <w:p>
            <w:pPr>
              <w:pStyle w:val="nTable"/>
              <w:spacing w:after="40"/>
            </w:pPr>
            <w:r>
              <w:t>72 of 1967</w:t>
            </w:r>
          </w:p>
        </w:tc>
        <w:tc>
          <w:tcPr>
            <w:tcW w:w="1134" w:type="dxa"/>
          </w:tcPr>
          <w:p>
            <w:pPr>
              <w:pStyle w:val="nTable"/>
              <w:spacing w:after="40"/>
            </w:pPr>
            <w:r>
              <w:t>11 Dec 1967</w:t>
            </w:r>
          </w:p>
        </w:tc>
        <w:tc>
          <w:tcPr>
            <w:tcW w:w="2552" w:type="dxa"/>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5</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(Mining) Act 1981</w:t>
            </w:r>
            <w:r>
              <w:t xml:space="preserve"> Pt. III</w:t>
            </w:r>
            <w:r>
              <w:rPr>
                <w:vertAlign w:val="superscript"/>
              </w:rPr>
              <w:t> 6</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Barrow Island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2" w:type="dxa"/>
          </w:tcPr>
          <w:p>
            <w:pPr>
              <w:pStyle w:val="nTable"/>
              <w:spacing w:after="40"/>
            </w:pPr>
            <w:r>
              <w:t>7 Jan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2" w:type="dxa"/>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7</w:t>
            </w:r>
            <w:r>
              <w:rPr>
                <w:vertAlign w:val="superscript"/>
              </w:rPr>
              <w:noBreakHyphen/>
              <w:t>13</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2" w:type="dxa"/>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2" w:type="dxa"/>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14-16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17, 18</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lastRenderedPageBreak/>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19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w:t>
            </w:r>
            <w:r>
              <w:rPr>
                <w:i/>
                <w:iCs/>
              </w:rPr>
              <w:t>Gazette</w:t>
            </w:r>
            <w:r>
              <w:t xml:space="preserve"> 23 Jun 2009 p. 2470)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lastRenderedPageBreak/>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2"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Legislation Amendment Act 2017</w:t>
            </w:r>
            <w:r>
              <w:rPr>
                <w:snapToGrid w:val="0"/>
              </w:rPr>
              <w:t xml:space="preserve"> Pt. 2</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rPr>
              <w:t>Work Health and Safety Act 2020</w:t>
            </w:r>
            <w:r>
              <w:t xml:space="preserve"> Pt. 15 Div. 3 Subdiv. 1</w:t>
            </w:r>
          </w:p>
        </w:tc>
        <w:tc>
          <w:tcPr>
            <w:tcW w:w="1134" w:type="dxa"/>
            <w:tcBorders>
              <w:bottom w:val="single" w:sz="4" w:space="0" w:color="auto"/>
            </w:tcBorders>
            <w:shd w:val="clear" w:color="auto" w:fill="auto"/>
          </w:tcPr>
          <w:p>
            <w:pPr>
              <w:pStyle w:val="nTable"/>
              <w:spacing w:after="40"/>
            </w:pPr>
            <w:r>
              <w:t>36 of 2020</w:t>
            </w:r>
          </w:p>
        </w:tc>
        <w:tc>
          <w:tcPr>
            <w:tcW w:w="1134" w:type="dxa"/>
            <w:tcBorders>
              <w:bottom w:val="single" w:sz="4" w:space="0" w:color="auto"/>
            </w:tcBorders>
            <w:shd w:val="clear" w:color="auto" w:fill="auto"/>
          </w:tcPr>
          <w:p>
            <w:pPr>
              <w:pStyle w:val="nTable"/>
              <w:spacing w:after="40"/>
            </w:pPr>
            <w:r>
              <w:t>10 Nov 2020</w:t>
            </w:r>
          </w:p>
        </w:tc>
        <w:tc>
          <w:tcPr>
            <w:tcW w:w="2552" w:type="dxa"/>
            <w:tcBorders>
              <w:bottom w:val="single" w:sz="4" w:space="0" w:color="auto"/>
            </w:tcBorders>
            <w:shd w:val="clear" w:color="auto" w:fill="auto"/>
          </w:tcPr>
          <w:p>
            <w:pPr>
              <w:pStyle w:val="nTable"/>
              <w:spacing w:after="40"/>
              <w:rPr>
                <w:snapToGrid w:val="0"/>
              </w:rPr>
            </w:pPr>
            <w:r>
              <w:t>31 Mar 2022 (see s. 2(1)(c) and SL 2022/18 cl. 2)</w:t>
            </w:r>
          </w:p>
        </w:tc>
      </w:tr>
    </w:tbl>
    <w:p>
      <w:pPr>
        <w:pStyle w:val="nHeading3"/>
      </w:pPr>
      <w:bookmarkStart w:id="380" w:name="_Toc98947077"/>
      <w:r>
        <w:lastRenderedPageBreak/>
        <w:t>Uncommenced provisions table</w:t>
      </w:r>
      <w:bookmarkEnd w:id="38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p>
        </w:tc>
        <w:tc>
          <w:tcPr>
            <w:tcW w:w="1134" w:type="dxa"/>
            <w:tcBorders>
              <w:top w:val="single" w:sz="8" w:space="0" w:color="auto"/>
              <w:bottom w:val="single" w:sz="4" w:space="0" w:color="auto"/>
            </w:tcBorders>
            <w:shd w:val="clear" w:color="auto" w:fill="auto"/>
          </w:tcPr>
          <w:p>
            <w:pPr>
              <w:pStyle w:val="nTable"/>
              <w:spacing w:after="40"/>
            </w:pPr>
            <w:r>
              <w:t>60 of 1999</w:t>
            </w:r>
          </w:p>
        </w:tc>
        <w:tc>
          <w:tcPr>
            <w:tcW w:w="1134" w:type="dxa"/>
            <w:tcBorders>
              <w:top w:val="single" w:sz="8" w:space="0" w:color="auto"/>
              <w:bottom w:val="single" w:sz="4" w:space="0" w:color="auto"/>
            </w:tcBorders>
            <w:shd w:val="clear" w:color="auto" w:fill="auto"/>
          </w:tcPr>
          <w:p>
            <w:pPr>
              <w:pStyle w:val="nTable"/>
              <w:spacing w:after="40"/>
            </w:pPr>
            <w:r>
              <w:t>10 Jan 2000</w:t>
            </w:r>
          </w:p>
        </w:tc>
        <w:tc>
          <w:tcPr>
            <w:tcW w:w="2552" w:type="dxa"/>
            <w:tcBorders>
              <w:top w:val="single" w:sz="8" w:space="0" w:color="auto"/>
              <w:bottom w:val="single" w:sz="4" w:space="0" w:color="auto"/>
            </w:tcBorders>
            <w:shd w:val="clear" w:color="auto" w:fill="auto"/>
          </w:tcPr>
          <w:p>
            <w:pPr>
              <w:pStyle w:val="nTable"/>
              <w:spacing w:after="40"/>
            </w:pPr>
            <w:r>
              <w:t>s. 7.3 operative on earliest of commencement of Pt. 2 (except s. 2.2), Pt. 3 (except s. 3.1) and Pt. 4</w:t>
            </w:r>
          </w:p>
        </w:tc>
      </w:tr>
    </w:tbl>
    <w:p>
      <w:pPr>
        <w:pStyle w:val="nHeading3"/>
      </w:pPr>
      <w:bookmarkStart w:id="381" w:name="_Toc98947078"/>
      <w:r>
        <w:t>Other notes</w:t>
      </w:r>
      <w:bookmarkEnd w:id="381"/>
    </w:p>
    <w:p>
      <w:pPr>
        <w:pStyle w:val="nNote"/>
        <w:spacing w:before="160"/>
        <w:rPr>
          <w:snapToGrid w:val="0"/>
        </w:rPr>
      </w:pPr>
      <w:r>
        <w:rPr>
          <w:snapToGrid w:val="0"/>
          <w:vertAlign w:val="superscript"/>
        </w:rPr>
        <w:t>1</w:t>
      </w:r>
      <w:r>
        <w:rPr>
          <w:snapToGrid w:val="0"/>
        </w:rPr>
        <w:tab/>
        <w:t xml:space="preserve">The </w:t>
      </w:r>
      <w:r>
        <w:rPr>
          <w:i/>
        </w:rPr>
        <w:t>Petroleum Act 1936</w:t>
      </w:r>
      <w:r>
        <w:rPr>
          <w:snapToGrid w:val="0"/>
        </w:rPr>
        <w:t xml:space="preserve"> was repealed by this Act, s. 3.</w:t>
      </w:r>
    </w:p>
    <w:p>
      <w:pPr>
        <w:pStyle w:val="nNote"/>
        <w:rPr>
          <w:snapToGrid w:val="0"/>
        </w:rPr>
      </w:pPr>
      <w:r>
        <w:rPr>
          <w:snapToGrid w:val="0"/>
          <w:vertAlign w:val="superscript"/>
        </w:rPr>
        <w:t>2</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r>
        <w:rPr>
          <w:vertAlign w:val="superscript"/>
        </w:rPr>
        <w:t>4</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r>
        <w:rPr>
          <w:snapToGrid w:val="0"/>
          <w:vertAlign w:val="superscript"/>
        </w:rPr>
        <w:t>6</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r>
        <w:rPr>
          <w:snapToGrid w:val="0"/>
          <w:vertAlign w:val="superscript"/>
        </w:rPr>
        <w:t>7</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lastRenderedPageBreak/>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 xml:space="preserve">a lessee under a lease of a block or blocks for which a permit was granted before the commencement of this </w:t>
      </w:r>
      <w:r>
        <w:rPr>
          <w:snapToGrid w:val="0"/>
        </w:rPr>
        <w:lastRenderedPageBreak/>
        <w:t>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lastRenderedPageBreak/>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lastRenderedPageBreak/>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A direction in force under section 95 of the principal Act immediately before the commencement of this section shall, after that commencement, continue to apply to the person or persons to </w:t>
      </w:r>
      <w:r>
        <w:rPr>
          <w:snapToGrid w:val="0"/>
        </w:rPr>
        <w:lastRenderedPageBreak/>
        <w:t>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r>
        <w:rPr>
          <w:snapToGrid w:val="0"/>
          <w:vertAlign w:val="superscript"/>
        </w:rPr>
        <w:lastRenderedPageBreak/>
        <w:t>15</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r>
        <w:rPr>
          <w:snapToGrid w:val="0"/>
          <w:vertAlign w:val="superscript"/>
        </w:rPr>
        <w:t>17</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r>
        <w:rPr>
          <w:vertAlign w:val="superscript"/>
        </w:rPr>
        <w:t>18</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r>
        <w:rPr>
          <w:vertAlign w:val="superscript"/>
        </w:rPr>
        <w:lastRenderedPageBreak/>
        <w:t>19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83" w:name="_Toc98947079"/>
      <w:r>
        <w:rPr>
          <w:sz w:val="28"/>
        </w:rPr>
        <w:lastRenderedPageBreak/>
        <w:t>Defined terms</w:t>
      </w:r>
      <w:bookmarkEnd w:id="3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 7B(2)</w:t>
      </w:r>
    </w:p>
    <w:p>
      <w:pPr>
        <w:pStyle w:val="DefinedTerms"/>
      </w:pPr>
      <w:r>
        <w:t>affected area</w:t>
      </w:r>
      <w:r>
        <w:tab/>
        <w:t>6A(3)</w:t>
      </w:r>
    </w:p>
    <w:p>
      <w:pPr>
        <w:pStyle w:val="DefinedTerms"/>
      </w:pPr>
      <w:r>
        <w:t>affected lessee</w:t>
      </w:r>
      <w:r>
        <w:tab/>
        <w:t>24(1)</w:t>
      </w:r>
    </w:p>
    <w:p>
      <w:pPr>
        <w:pStyle w:val="DefinedTerms"/>
      </w:pPr>
      <w:r>
        <w:t>amending Act</w:t>
      </w:r>
      <w:r>
        <w:tab/>
        <w:t>154(3), Sch. 2 cl. 1</w:t>
      </w:r>
    </w:p>
    <w:p>
      <w:pPr>
        <w:pStyle w:val="DefinedTerms"/>
      </w:pPr>
      <w:r>
        <w:t>applicable document</w:t>
      </w:r>
      <w:r>
        <w:tab/>
        <w:t>150A</w:t>
      </w:r>
    </w:p>
    <w:p>
      <w:pPr>
        <w:pStyle w:val="DefinedTerms"/>
      </w:pPr>
      <w:r>
        <w:t>application for a primary licence</w:t>
      </w:r>
      <w:r>
        <w:tab/>
        <w:t>5(1)</w:t>
      </w:r>
    </w:p>
    <w:p>
      <w:pPr>
        <w:pStyle w:val="DefinedTerms"/>
      </w:pPr>
      <w:r>
        <w:t>application for a secondary licence</w:t>
      </w:r>
      <w:r>
        <w:tab/>
        <w:t>5(1)</w:t>
      </w:r>
    </w:p>
    <w:p>
      <w:pPr>
        <w:pStyle w:val="DefinedTerms"/>
      </w:pPr>
      <w:r>
        <w:t>apportionment provision</w:t>
      </w:r>
      <w:r>
        <w:tab/>
        <w:t>7B(8) and (12)</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Australian/New Zealand Standard</w:t>
      </w:r>
      <w:r>
        <w:tab/>
        <w:t>126A(4)</w:t>
      </w:r>
    </w:p>
    <w:p>
      <w:pPr>
        <w:pStyle w:val="DefinedTerms"/>
      </w:pPr>
      <w:r>
        <w:t>Australian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boundary-change permit</w:t>
      </w:r>
      <w:r>
        <w:tab/>
        <w:t>5(1)</w:t>
      </w:r>
    </w:p>
    <w:p>
      <w:pPr>
        <w:pStyle w:val="DefinedTerms"/>
      </w:pPr>
      <w:r>
        <w:t>CEO</w:t>
      </w:r>
      <w:r>
        <w:tab/>
        <w:t>126A(4)</w:t>
      </w:r>
    </w:p>
    <w:p>
      <w:pPr>
        <w:pStyle w:val="DefinedTerms"/>
      </w:pPr>
      <w:r>
        <w:t>charge</w:t>
      </w:r>
      <w:r>
        <w:tab/>
        <w:t>75(15)</w:t>
      </w:r>
    </w:p>
    <w:p>
      <w:pPr>
        <w:pStyle w:val="DefinedTerms"/>
      </w:pPr>
      <w:r>
        <w:t>commencement</w:t>
      </w:r>
      <w:r>
        <w:tab/>
        <w:t>150A</w:t>
      </w:r>
    </w:p>
    <w:p>
      <w:pPr>
        <w:pStyle w:val="DefinedTerms"/>
      </w:pPr>
      <w:r>
        <w:t>commencement day</w:t>
      </w:r>
      <w:r>
        <w:tab/>
        <w:t>41(9), 42A(1), 56(9)</w:t>
      </w:r>
    </w:p>
    <w:p>
      <w:pPr>
        <w:pStyle w:val="DefinedTerms"/>
      </w:pPr>
      <w:r>
        <w:t>commencing day</w:t>
      </w:r>
      <w:r>
        <w:tab/>
        <w:t>128</w:t>
      </w:r>
    </w:p>
    <w:p>
      <w:pPr>
        <w:pStyle w:val="DefinedTerms"/>
      </w:pPr>
      <w:r>
        <w:t>Commonwealth Act</w:t>
      </w:r>
      <w:r>
        <w:tab/>
        <w:t>5(1)</w:t>
      </w:r>
    </w:p>
    <w:p>
      <w:pPr>
        <w:pStyle w:val="DefinedTerms"/>
      </w:pPr>
      <w:r>
        <w:t>Commonwealth instrument</w:t>
      </w:r>
      <w:r>
        <w:tab/>
        <w:t>6A(1)</w:t>
      </w:r>
    </w:p>
    <w:p>
      <w:pPr>
        <w:pStyle w:val="DefinedTerms"/>
      </w:pPr>
      <w:r>
        <w:t>Commonwealth lease</w:t>
      </w:r>
      <w:r>
        <w:tab/>
        <w:t>5(1)</w:t>
      </w:r>
    </w:p>
    <w:p>
      <w:pPr>
        <w:pStyle w:val="DefinedTerms"/>
      </w:pPr>
      <w:r>
        <w:t>Commonwealth licence</w:t>
      </w:r>
      <w:r>
        <w:tab/>
        <w:t>5(1)</w:t>
      </w:r>
    </w:p>
    <w:p>
      <w:pPr>
        <w:pStyle w:val="DefinedTerms"/>
      </w:pPr>
      <w:r>
        <w:t>Commonwealth permit</w:t>
      </w:r>
      <w:r>
        <w:tab/>
        <w:t>5(1)</w:t>
      </w:r>
    </w:p>
    <w:p>
      <w:pPr>
        <w:pStyle w:val="DefinedTerms"/>
      </w:pPr>
      <w:r>
        <w:t>Commonwealth title</w:t>
      </w:r>
      <w:r>
        <w:tab/>
        <w:t>97A(1)</w:t>
      </w:r>
    </w:p>
    <w:p>
      <w:pPr>
        <w:pStyle w:val="DefinedTerms"/>
      </w:pPr>
      <w:r>
        <w:t>compensable lessee</w:t>
      </w:r>
      <w:r>
        <w:tab/>
        <w:t>21(1)</w:t>
      </w:r>
    </w:p>
    <w:p>
      <w:pPr>
        <w:pStyle w:val="DefinedTerms"/>
      </w:pPr>
      <w:r>
        <w:t>construct</w:t>
      </w:r>
      <w:r>
        <w:tab/>
        <w:t>5(1)</w:t>
      </w:r>
    </w:p>
    <w:p>
      <w:pPr>
        <w:pStyle w:val="DefinedTerms"/>
      </w:pPr>
      <w:r>
        <w:t>construction</w:t>
      </w:r>
      <w:r>
        <w:tab/>
        <w:t>5(1)</w:t>
      </w:r>
    </w:p>
    <w:p>
      <w:pPr>
        <w:pStyle w:val="DefinedTerms"/>
      </w:pPr>
      <w:r>
        <w:t>court</w:t>
      </w:r>
      <w:r>
        <w:tab/>
        <w:t>126(2)</w:t>
      </w:r>
    </w:p>
    <w:p>
      <w:pPr>
        <w:pStyle w:val="DefinedTerms"/>
      </w:pPr>
      <w:r>
        <w:t>Crown land</w:t>
      </w:r>
      <w:r>
        <w:tab/>
        <w:t>5(1)</w:t>
      </w:r>
    </w:p>
    <w:p>
      <w:pPr>
        <w:pStyle w:val="DefinedTerms"/>
      </w:pPr>
      <w:r>
        <w:t>dealing</w:t>
      </w:r>
      <w:r>
        <w:tab/>
        <w:t>69(10)</w:t>
      </w:r>
    </w:p>
    <w:p>
      <w:pPr>
        <w:pStyle w:val="DefinedTerms"/>
      </w:pPr>
      <w:r>
        <w:t>debenture</w:t>
      </w:r>
      <w:r>
        <w:tab/>
        <w:t>75(15)</w:t>
      </w:r>
    </w:p>
    <w:p>
      <w:pPr>
        <w:pStyle w:val="DefinedTerms"/>
      </w:pPr>
      <w:r>
        <w:t>document</w:t>
      </w:r>
      <w:r>
        <w:tab/>
        <w:t>5(1)</w:t>
      </w:r>
    </w:p>
    <w:p>
      <w:pPr>
        <w:pStyle w:val="DefinedTerms"/>
      </w:pPr>
      <w:r>
        <w:t>documentary information</w:t>
      </w:r>
      <w:r>
        <w:tab/>
        <w:t>150A</w:t>
      </w:r>
    </w:p>
    <w:p>
      <w:pPr>
        <w:pStyle w:val="DefinedTerms"/>
      </w:pPr>
      <w:r>
        <w:t>drilling reservation</w:t>
      </w:r>
      <w:r>
        <w:tab/>
        <w:t>5(1)</w:t>
      </w:r>
    </w:p>
    <w:p>
      <w:pPr>
        <w:pStyle w:val="DefinedTerms"/>
      </w:pPr>
      <w:r>
        <w:t>drilling reservation application</w:t>
      </w:r>
      <w:r>
        <w:tab/>
        <w:t>43DA(1)</w:t>
      </w:r>
    </w:p>
    <w:p>
      <w:pPr>
        <w:pStyle w:val="DefinedTerms"/>
      </w:pPr>
      <w:r>
        <w:lastRenderedPageBreak/>
        <w:t>exclusion zone</w:t>
      </w:r>
      <w:r>
        <w:tab/>
        <w:t>112A(1)</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fixed-term WA petroleum production licence</w:t>
      </w:r>
      <w:r>
        <w:tab/>
        <w:t>97A(1)</w:t>
      </w:r>
    </w:p>
    <w:p>
      <w:pPr>
        <w:pStyle w:val="DefinedTerms"/>
      </w:pPr>
      <w:r>
        <w:t>former area</w:t>
      </w:r>
      <w:r>
        <w:tab/>
        <w:t>133(2)</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oil-field practice</w:t>
      </w:r>
      <w:r>
        <w:tab/>
        <w:t>5(1)</w:t>
      </w:r>
    </w:p>
    <w:p>
      <w:pPr>
        <w:pStyle w:val="DefinedTerms"/>
      </w:pPr>
      <w:r>
        <w:t>granted</w:t>
      </w:r>
      <w:r>
        <w:tab/>
        <w:t>5(1)</w:t>
      </w:r>
    </w:p>
    <w:p>
      <w:pPr>
        <w:pStyle w:val="DefinedTerms"/>
      </w:pPr>
      <w:r>
        <w:t>graticular section</w:t>
      </w:r>
      <w:r>
        <w:tab/>
        <w:t>5(1)</w:t>
      </w:r>
    </w:p>
    <w:p>
      <w:pPr>
        <w:pStyle w:val="DefinedTerms"/>
      </w:pPr>
      <w:r>
        <w:t>holder</w:t>
      </w:r>
      <w:r>
        <w:tab/>
        <w:t>91B(1)</w:t>
      </w:r>
    </w:p>
    <w:p>
      <w:pPr>
        <w:pStyle w:val="DefinedTerms"/>
      </w:pPr>
      <w:r>
        <w:t>holder of a drilling reservation</w:t>
      </w:r>
      <w:r>
        <w:tab/>
        <w:t>5(1)</w:t>
      </w:r>
    </w:p>
    <w:p>
      <w:pPr>
        <w:pStyle w:val="DefinedTerms"/>
      </w:pPr>
      <w:r>
        <w:t>inshore area</w:t>
      </w:r>
      <w:r>
        <w:tab/>
        <w:t>6A(1)</w:t>
      </w:r>
    </w:p>
    <w:p>
      <w:pPr>
        <w:pStyle w:val="DefinedTerms"/>
      </w:pPr>
      <w:r>
        <w:t>inspector</w:t>
      </w:r>
      <w:r>
        <w:tab/>
        <w:t>5(1)</w:t>
      </w:r>
    </w:p>
    <w:p>
      <w:pPr>
        <w:pStyle w:val="DefinedTerms"/>
      </w:pPr>
      <w:r>
        <w:t>Joint Authority</w:t>
      </w:r>
      <w:r>
        <w:tab/>
        <w:t>7B(7), 69(1A)</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location</w:t>
      </w:r>
      <w:r>
        <w:tab/>
        <w:t>5(1)</w:t>
      </w:r>
    </w:p>
    <w:p>
      <w:pPr>
        <w:pStyle w:val="DefinedTerms"/>
      </w:pPr>
      <w:r>
        <w:t>marine reserve</w:t>
      </w:r>
      <w:r>
        <w:tab/>
        <w:t>28A(3)</w:t>
      </w:r>
    </w:p>
    <w:p>
      <w:pPr>
        <w:pStyle w:val="DefinedTerms"/>
      </w:pPr>
      <w:r>
        <w:t>mining sample</w:t>
      </w:r>
      <w:r>
        <w:tab/>
        <w:t>150A</w:t>
      </w:r>
    </w:p>
    <w:p>
      <w:pPr>
        <w:pStyle w:val="DefinedTerms"/>
      </w:pPr>
      <w:r>
        <w:t>Minister of another jurisdiction</w:t>
      </w:r>
      <w:r>
        <w:tab/>
        <w:t>150A</w:t>
      </w:r>
    </w:p>
    <w:p>
      <w:pPr>
        <w:pStyle w:val="DefinedTerms"/>
      </w:pPr>
      <w:r>
        <w:t>native title holders</w:t>
      </w:r>
      <w:r>
        <w:tab/>
        <w:t>24A(3)</w:t>
      </w:r>
    </w:p>
    <w:p>
      <w:pPr>
        <w:pStyle w:val="DefinedTerms"/>
      </w:pPr>
      <w:r>
        <w:t>offshore area</w:t>
      </w:r>
      <w:r>
        <w:tab/>
        <w:t>5(1), 69(1A)</w:t>
      </w:r>
    </w:p>
    <w:p>
      <w:pPr>
        <w:pStyle w:val="DefinedTerms"/>
      </w:pPr>
      <w:r>
        <w:t>oil shale</w:t>
      </w:r>
      <w:r>
        <w:tab/>
        <w:t>5(1)</w:t>
      </w:r>
    </w:p>
    <w:p>
      <w:pPr>
        <w:pStyle w:val="DefinedTerms"/>
      </w:pPr>
      <w:r>
        <w:lastRenderedPageBreak/>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original licence</w:t>
      </w:r>
      <w:r>
        <w:tab/>
        <w:t>61(1)</w:t>
      </w:r>
    </w:p>
    <w:p>
      <w:pPr>
        <w:pStyle w:val="DefinedTerms"/>
      </w:pPr>
      <w:r>
        <w:t>original permit</w:t>
      </w:r>
      <w:r>
        <w:tab/>
        <w:t>37A(1)</w:t>
      </w:r>
    </w:p>
    <w:p>
      <w:pPr>
        <w:pStyle w:val="DefinedTerms"/>
      </w:pPr>
      <w:r>
        <w:t>other area</w:t>
      </w:r>
      <w:r>
        <w:tab/>
        <w:t>7B(8) and (12)</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97A(1), 106(13)</w:t>
      </w:r>
    </w:p>
    <w:p>
      <w:pPr>
        <w:pStyle w:val="DefinedTerms"/>
      </w:pPr>
      <w:r>
        <w:t>prescribed instrument</w:t>
      </w:r>
      <w:r>
        <w:tab/>
        <w:t>128</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regulation 3</w:t>
      </w:r>
      <w:r>
        <w:tab/>
        <w:t>Sch. 2 cl. 1</w:t>
      </w:r>
    </w:p>
    <w:p>
      <w:pPr>
        <w:pStyle w:val="DefinedTerms"/>
      </w:pPr>
      <w:r>
        <w:t>regulations</w:t>
      </w:r>
      <w:r>
        <w:tab/>
        <w:t>5(1)</w:t>
      </w:r>
    </w:p>
    <w:p>
      <w:pPr>
        <w:pStyle w:val="DefinedTerms"/>
      </w:pPr>
      <w:r>
        <w:t>relevant area</w:t>
      </w:r>
      <w:r>
        <w:tab/>
        <w:t>37B(2), 41(7), 48CD(2), 56(7), 61A(2), 97A(2)</w:t>
      </w:r>
    </w:p>
    <w:p>
      <w:pPr>
        <w:pStyle w:val="DefinedTerms"/>
      </w:pPr>
      <w:r>
        <w:t>relevant petroleum title</w:t>
      </w:r>
      <w:r>
        <w:tab/>
        <w:t>97A(5) and (6)</w:t>
      </w:r>
    </w:p>
    <w:p>
      <w:pPr>
        <w:pStyle w:val="DefinedTerms"/>
      </w:pPr>
      <w:r>
        <w:t>relevant section 27 blocks</w:t>
      </w:r>
      <w:r>
        <w:tab/>
        <w:t>37B(5) and (6), 48CD(2), 61A(2)</w:t>
      </w:r>
    </w:p>
    <w:p>
      <w:pPr>
        <w:pStyle w:val="DefinedTerms"/>
      </w:pPr>
      <w:r>
        <w:t>relevant time</w:t>
      </w:r>
      <w:r>
        <w:tab/>
        <w:t xml:space="preserve">37B(3) and (4), 48CD(3) and (4), </w:t>
      </w:r>
      <w:r>
        <w:br/>
      </w:r>
      <w:r>
        <w:tab/>
        <w:t>61A(3) and (4), 97A(3) and (4)</w:t>
      </w:r>
    </w:p>
    <w:p>
      <w:pPr>
        <w:pStyle w:val="DefinedTerms"/>
      </w:pPr>
      <w:r>
        <w:t>relinquished area</w:t>
      </w:r>
      <w:r>
        <w:tab/>
        <w:t>5(1)</w:t>
      </w:r>
    </w:p>
    <w:p>
      <w:pPr>
        <w:pStyle w:val="DefinedTerms"/>
      </w:pPr>
      <w:r>
        <w:t>reservoir</w:t>
      </w:r>
      <w:r>
        <w:tab/>
        <w:t>16(2)</w:t>
      </w:r>
    </w:p>
    <w:p>
      <w:pPr>
        <w:pStyle w:val="DefinedTerms"/>
      </w:pPr>
      <w:r>
        <w:t>royalty period</w:t>
      </w:r>
      <w:r>
        <w:tab/>
        <w:t>5(1)</w:t>
      </w:r>
    </w:p>
    <w:p>
      <w:pPr>
        <w:pStyle w:val="DefinedTerms"/>
      </w:pPr>
      <w:r>
        <w:lastRenderedPageBreak/>
        <w:t>royalty value</w:t>
      </w:r>
      <w:r>
        <w:tab/>
        <w:t>5(1)</w:t>
      </w:r>
    </w:p>
    <w:p>
      <w:pPr>
        <w:pStyle w:val="DefinedTerms"/>
      </w:pPr>
      <w:r>
        <w:t>second affected area</w:t>
      </w:r>
      <w:r>
        <w:tab/>
        <w:t>6A(5)</w:t>
      </w:r>
    </w:p>
    <w:p>
      <w:pPr>
        <w:pStyle w:val="DefinedTerms"/>
      </w:pPr>
      <w:r>
        <w:t>secondary licence</w:t>
      </w:r>
      <w:r>
        <w:tab/>
        <w:t>5(1)</w:t>
      </w:r>
    </w:p>
    <w:p>
      <w:pPr>
        <w:pStyle w:val="DefinedTerms"/>
      </w:pPr>
      <w:r>
        <w:t>section 27 block</w:t>
      </w:r>
      <w:r>
        <w:tab/>
        <w:t>37B(1), 47(1A), 48CD(1), 61A(1), 97A(1)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unit development</w:t>
      </w:r>
      <w:r>
        <w:tab/>
        <w:t>69(1)</w:t>
      </w:r>
    </w:p>
    <w:p>
      <w:pPr>
        <w:pStyle w:val="DefinedTerms"/>
      </w:pPr>
      <w:r>
        <w:t>unused area</w:t>
      </w:r>
      <w:r>
        <w:tab/>
        <w:t>48CA(1) and (2)</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1" w:name="Schedule"/>
    <w:bookmarkEnd w:id="3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2" w:name="Compilation"/>
    <w:bookmarkEnd w:id="38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84" w:name="DefinedTerms"/>
    <w:bookmarkEnd w:id="3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5" w:name="Coversheet"/>
    <w:bookmarkEnd w:id="3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4B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0C5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89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2E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E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04127"/>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 w:name="WAFER_20201109154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4936_GUID" w:val="a6922370-be4a-4bc9-99ff-89d82e252b69"/>
    <w:docVar w:name="WAFER_202203081041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27_GUID" w:val="f93e7a0d-5234-42b8-9456-aa89f8d1e3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BC863548-10CD-414B-B1E9-CF2F0CF6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74377</Words>
  <Characters>356269</Characters>
  <Application>Microsoft Office Word</Application>
  <DocSecurity>0</DocSecurity>
  <Lines>9135</Lines>
  <Paragraphs>4439</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426207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1967 - 08-e0-00</dc:title>
  <dc:subject/>
  <dc:creator/>
  <cp:keywords/>
  <dc:description/>
  <cp:lastModifiedBy>Master Repository Process</cp:lastModifiedBy>
  <cp:revision>4</cp:revision>
  <cp:lastPrinted>2016-01-20T01:35:00Z</cp:lastPrinted>
  <dcterms:created xsi:type="dcterms:W3CDTF">2022-03-30T04:16:00Z</dcterms:created>
  <dcterms:modified xsi:type="dcterms:W3CDTF">2022-03-30T04:16:00Z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AsAtDate">
    <vt:lpwstr>31 Mar 2022</vt:lpwstr>
  </property>
  <property fmtid="{D5CDD505-2E9C-101B-9397-08002B2CF9AE}" pid="9" name="Suffix">
    <vt:lpwstr>08-e0-00</vt:lpwstr>
  </property>
  <property fmtid="{D5CDD505-2E9C-101B-9397-08002B2CF9AE}" pid="10" name="CommencementDate">
    <vt:lpwstr>20220331</vt:lpwstr>
  </property>
</Properties>
</file>