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Interpretation Act 1984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_Toc100568767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_Toc100568768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_Toc100568769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_Toc100568770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interpretation provisions</w:t>
      </w:r>
    </w:p>
    <w:p>
      <w:pPr>
        <w:pStyle w:val="TOC8"/>
        <w:rPr>
          <w:rFonts w:asciiTheme="minorHAnsi" w:eastAsiaTheme="minorEastAsia" w:hAnsiTheme="minorHAnsi" w:cstheme="minorBidi"/>
          <w:szCs w:val="22"/>
        </w:rPr>
      </w:pPr>
      <w:r>
        <w:t>5</w:t>
      </w:r>
      <w:r>
        <w:rPr>
          <w:snapToGrid w:val="0"/>
        </w:rPr>
        <w:t>.</w:t>
      </w:r>
      <w:r>
        <w:rPr>
          <w:snapToGrid w:val="0"/>
        </w:rPr>
        <w:tab/>
        <w:t>Terms used in written laws</w:t>
      </w:r>
      <w:r>
        <w:tab/>
      </w:r>
      <w:r>
        <w:fldChar w:fldCharType="begin"/>
      </w:r>
      <w:r>
        <w:instrText xml:space="preserve"> PAGEREF _Toc100568772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Definitions in a written law, application of</w:t>
      </w:r>
      <w:r>
        <w:tab/>
      </w:r>
      <w:r>
        <w:fldChar w:fldCharType="begin"/>
      </w:r>
      <w:r>
        <w:instrText xml:space="preserve"> PAGEREF _Toc100568773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Written laws to be construed subject to State’s legislative power</w:t>
      </w:r>
      <w:r>
        <w:tab/>
      </w:r>
      <w:r>
        <w:fldChar w:fldCharType="begin"/>
      </w:r>
      <w:r>
        <w:instrText xml:space="preserve"> PAGEREF _Toc100568774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Written laws always speaking</w:t>
      </w:r>
      <w:r>
        <w:tab/>
      </w:r>
      <w:r>
        <w:fldChar w:fldCharType="begin"/>
      </w:r>
      <w:r>
        <w:instrText xml:space="preserve"> PAGEREF _Toc100568775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Parts of speech and grammatical forms</w:t>
      </w:r>
      <w:r>
        <w:tab/>
      </w:r>
      <w:r>
        <w:fldChar w:fldCharType="begin"/>
      </w:r>
      <w:r>
        <w:instrText xml:space="preserve"> PAGEREF _Toc100568776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Gender and number</w:t>
      </w:r>
      <w:r>
        <w:tab/>
      </w:r>
      <w:r>
        <w:fldChar w:fldCharType="begin"/>
      </w:r>
      <w:r>
        <w:instrText xml:space="preserve"> PAGEREF _Toc100568777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Sovereign, references to</w:t>
      </w:r>
      <w:r>
        <w:tab/>
      </w:r>
      <w:r>
        <w:fldChar w:fldCharType="begin"/>
      </w:r>
      <w:r>
        <w:instrText xml:space="preserve"> PAGEREF _Toc100568778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references to</w:t>
      </w:r>
      <w:r>
        <w:tab/>
      </w:r>
      <w:r>
        <w:fldChar w:fldCharType="begin"/>
      </w:r>
      <w:r>
        <w:instrText xml:space="preserve"> PAGEREF _Toc100568779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British subject etc., references to</w:t>
      </w:r>
      <w:r>
        <w:tab/>
      </w:r>
      <w:r>
        <w:fldChar w:fldCharType="begin"/>
      </w:r>
      <w:r>
        <w:instrText xml:space="preserve"> PAGEREF _Toc100568780 \h </w:instrText>
      </w:r>
      <w:r>
        <w:fldChar w:fldCharType="separate"/>
      </w:r>
      <w:r>
        <w:t>13</w:t>
      </w:r>
      <w:r>
        <w:fldChar w:fldCharType="end"/>
      </w:r>
    </w:p>
    <w:p>
      <w:pPr>
        <w:pStyle w:val="TOC8"/>
        <w:rPr>
          <w:rFonts w:asciiTheme="minorHAnsi" w:eastAsiaTheme="minorEastAsia" w:hAnsiTheme="minorHAnsi" w:cstheme="minorBidi"/>
          <w:szCs w:val="22"/>
        </w:rPr>
      </w:pPr>
      <w:r>
        <w:t>13A.</w:t>
      </w:r>
      <w:r>
        <w:tab/>
        <w:t>De facto relationship and de facto partner, references to</w:t>
      </w:r>
      <w:r>
        <w:tab/>
      </w:r>
      <w:r>
        <w:fldChar w:fldCharType="begin"/>
      </w:r>
      <w:r>
        <w:instrText xml:space="preserve"> PAGEREF _Toc100568781 \h </w:instrText>
      </w:r>
      <w:r>
        <w:fldChar w:fldCharType="separate"/>
      </w:r>
      <w:r>
        <w:t>14</w:t>
      </w:r>
      <w:r>
        <w:fldChar w:fldCharType="end"/>
      </w:r>
    </w:p>
    <w:p>
      <w:pPr>
        <w:pStyle w:val="TOC8"/>
        <w:rPr>
          <w:rFonts w:asciiTheme="minorHAnsi" w:eastAsiaTheme="minorEastAsia" w:hAnsiTheme="minorHAnsi" w:cstheme="minorBidi"/>
          <w:szCs w:val="22"/>
        </w:rPr>
      </w:pPr>
      <w:r>
        <w:t>13B.</w:t>
      </w:r>
      <w:r>
        <w:tab/>
        <w:t>Standards Association of Australia, references to</w:t>
      </w:r>
      <w:r>
        <w:tab/>
      </w:r>
      <w:r>
        <w:fldChar w:fldCharType="begin"/>
      </w:r>
      <w:r>
        <w:instrText xml:space="preserve"> PAGEREF _Toc100568782 \h </w:instrText>
      </w:r>
      <w:r>
        <w:fldChar w:fldCharType="separate"/>
      </w:r>
      <w:r>
        <w:t>15</w:t>
      </w:r>
      <w:r>
        <w:fldChar w:fldCharType="end"/>
      </w:r>
    </w:p>
    <w:p>
      <w:pPr>
        <w:pStyle w:val="TOC8"/>
        <w:rPr>
          <w:rFonts w:asciiTheme="minorHAnsi" w:eastAsiaTheme="minorEastAsia" w:hAnsiTheme="minorHAnsi" w:cstheme="minorBidi"/>
          <w:szCs w:val="22"/>
        </w:rPr>
      </w:pPr>
      <w:r>
        <w:t>13CA.</w:t>
      </w:r>
      <w:r>
        <w:tab/>
        <w:t>Local government districts, references to</w:t>
      </w:r>
      <w:r>
        <w:tab/>
      </w:r>
      <w:r>
        <w:fldChar w:fldCharType="begin"/>
      </w:r>
      <w:r>
        <w:instrText xml:space="preserve"> PAGEREF _Toc100568783 \h </w:instrText>
      </w:r>
      <w:r>
        <w:fldChar w:fldCharType="separate"/>
      </w:r>
      <w:r>
        <w:t>15</w:t>
      </w:r>
      <w:r>
        <w:fldChar w:fldCharType="end"/>
      </w:r>
    </w:p>
    <w:p>
      <w:pPr>
        <w:pStyle w:val="TOC8"/>
        <w:rPr>
          <w:rFonts w:asciiTheme="minorHAnsi" w:eastAsiaTheme="minorEastAsia" w:hAnsiTheme="minorHAnsi" w:cstheme="minorBidi"/>
          <w:szCs w:val="22"/>
        </w:rPr>
      </w:pPr>
      <w:r>
        <w:t>13C.</w:t>
      </w:r>
      <w:r>
        <w:tab/>
        <w:t>When death of a person occurs</w:t>
      </w:r>
      <w:r>
        <w:tab/>
      </w:r>
      <w:r>
        <w:fldChar w:fldCharType="begin"/>
      </w:r>
      <w:r>
        <w:instrText xml:space="preserve"> PAGEREF _Toc100568784 \h </w:instrText>
      </w:r>
      <w:r>
        <w:fldChar w:fldCharType="separate"/>
      </w:r>
      <w:r>
        <w:t>16</w:t>
      </w:r>
      <w:r>
        <w:fldChar w:fldCharType="end"/>
      </w:r>
    </w:p>
    <w:p>
      <w:pPr>
        <w:pStyle w:val="TOC8"/>
        <w:rPr>
          <w:rFonts w:asciiTheme="minorHAnsi" w:eastAsiaTheme="minorEastAsia" w:hAnsiTheme="minorHAnsi" w:cstheme="minorBidi"/>
          <w:szCs w:val="22"/>
        </w:rPr>
      </w:pPr>
      <w:r>
        <w:t>13D.</w:t>
      </w:r>
      <w:r>
        <w:tab/>
        <w:t>Bankrupt and related expressions, references to</w:t>
      </w:r>
      <w:r>
        <w:tab/>
      </w:r>
      <w:r>
        <w:fldChar w:fldCharType="begin"/>
      </w:r>
      <w:r>
        <w:instrText xml:space="preserve"> PAGEREF _Toc100568785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References to 2 or more provisions to be inclusive</w:t>
      </w:r>
      <w:r>
        <w:tab/>
      </w:r>
      <w:r>
        <w:fldChar w:fldCharType="begin"/>
      </w:r>
      <w:r>
        <w:instrText xml:space="preserve"> PAGEREF _Toc100568786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Internal references in written laws, construction of</w:t>
      </w:r>
      <w:r>
        <w:tab/>
      </w:r>
      <w:r>
        <w:fldChar w:fldCharType="begin"/>
      </w:r>
      <w:r>
        <w:instrText xml:space="preserve"> PAGEREF _Toc100568787 \h </w:instrText>
      </w:r>
      <w:r>
        <w:fldChar w:fldCharType="separate"/>
      </w:r>
      <w:r>
        <w:t>17</w:t>
      </w:r>
      <w:r>
        <w:fldChar w:fldCharType="end"/>
      </w:r>
    </w:p>
    <w:p>
      <w:pPr>
        <w:pStyle w:val="TOC8"/>
        <w:rPr>
          <w:rFonts w:asciiTheme="minorHAnsi" w:eastAsiaTheme="minorEastAsia" w:hAnsiTheme="minorHAnsi" w:cstheme="minorBidi"/>
          <w:szCs w:val="22"/>
        </w:rPr>
      </w:pPr>
      <w:r>
        <w:t>15A.</w:t>
      </w:r>
      <w:r>
        <w:tab/>
        <w:t>Reference to paragraph</w:t>
      </w:r>
      <w:r>
        <w:tab/>
      </w:r>
      <w:r>
        <w:fldChar w:fldCharType="begin"/>
      </w:r>
      <w:r>
        <w:instrText xml:space="preserve"> PAGEREF _Toc100568788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Reference to written law is to written law as amended</w:t>
      </w:r>
      <w:r>
        <w:tab/>
      </w:r>
      <w:r>
        <w:fldChar w:fldCharType="begin"/>
      </w:r>
      <w:r>
        <w:instrText xml:space="preserve"> PAGEREF _Toc100568789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Disjunctive construction of “or”</w:t>
      </w:r>
      <w:r>
        <w:tab/>
      </w:r>
      <w:r>
        <w:fldChar w:fldCharType="begin"/>
      </w:r>
      <w:r>
        <w:instrText xml:space="preserve"> PAGEREF _Toc100568790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Purpose or object of written law, use of in interpretation</w:t>
      </w:r>
      <w:r>
        <w:tab/>
      </w:r>
      <w:r>
        <w:fldChar w:fldCharType="begin"/>
      </w:r>
      <w:r>
        <w:instrText xml:space="preserve"> PAGEREF _Toc100568791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Extrinsic material, use of in interpretation</w:t>
      </w:r>
      <w:r>
        <w:tab/>
      </w:r>
      <w:r>
        <w:fldChar w:fldCharType="begin"/>
      </w:r>
      <w:r>
        <w:instrText xml:space="preserve"> PAGEREF _Toc100568792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Commencement and citation</w:t>
      </w:r>
    </w:p>
    <w:p>
      <w:pPr>
        <w:pStyle w:val="TOC8"/>
        <w:rPr>
          <w:rFonts w:asciiTheme="minorHAnsi" w:eastAsiaTheme="minorEastAsia" w:hAnsiTheme="minorHAnsi" w:cstheme="minorBidi"/>
          <w:szCs w:val="22"/>
        </w:rPr>
      </w:pPr>
      <w:r>
        <w:t>20</w:t>
      </w:r>
      <w:r>
        <w:rPr>
          <w:snapToGrid w:val="0"/>
        </w:rPr>
        <w:t>.</w:t>
      </w:r>
      <w:r>
        <w:rPr>
          <w:snapToGrid w:val="0"/>
        </w:rPr>
        <w:tab/>
        <w:t>Commencement of Acts</w:t>
      </w:r>
      <w:r>
        <w:tab/>
      </w:r>
      <w:r>
        <w:fldChar w:fldCharType="begin"/>
      </w:r>
      <w:r>
        <w:instrText xml:space="preserve"> PAGEREF _Toc100568794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Time of commencement of written laws</w:t>
      </w:r>
      <w:r>
        <w:tab/>
      </w:r>
      <w:r>
        <w:fldChar w:fldCharType="begin"/>
      </w:r>
      <w:r>
        <w:instrText xml:space="preserve"> PAGEREF _Toc100568795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Act commencing on proclamation, commencement of certain provisions of</w:t>
      </w:r>
      <w:r>
        <w:tab/>
      </w:r>
      <w:r>
        <w:fldChar w:fldCharType="begin"/>
      </w:r>
      <w:r>
        <w:instrText xml:space="preserve"> PAGEREF _Toc100568796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Proclamation of commencement of Act, construction of power to make</w:t>
      </w:r>
      <w:r>
        <w:tab/>
      </w:r>
      <w:r>
        <w:fldChar w:fldCharType="begin"/>
      </w:r>
      <w:r>
        <w:instrText xml:space="preserve"> PAGEREF _Toc100568797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Date of assent, evidence of</w:t>
      </w:r>
      <w:r>
        <w:tab/>
      </w:r>
      <w:r>
        <w:fldChar w:fldCharType="begin"/>
      </w:r>
      <w:r>
        <w:instrText xml:space="preserve"> PAGEREF _Toc100568798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Some powers in Act may be exercised before it commences</w:t>
      </w:r>
      <w:r>
        <w:tab/>
      </w:r>
      <w:r>
        <w:fldChar w:fldCharType="begin"/>
      </w:r>
      <w:r>
        <w:instrText xml:space="preserve"> PAGEREF _Toc100568799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Citation of written laws</w:t>
      </w:r>
      <w:r>
        <w:tab/>
      </w:r>
      <w:r>
        <w:fldChar w:fldCharType="begin"/>
      </w:r>
      <w:r>
        <w:instrText xml:space="preserve"> PAGEREF _Toc100568800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References to commencement of written law if different provisions commence on different days</w:t>
      </w:r>
      <w:r>
        <w:tab/>
      </w:r>
      <w:r>
        <w:fldChar w:fldCharType="begin"/>
      </w:r>
      <w:r>
        <w:instrText xml:space="preserve"> PAGEREF _Toc100568801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 — Provisions as to enactment and operation of written law</w:t>
      </w:r>
    </w:p>
    <w:p>
      <w:pPr>
        <w:pStyle w:val="TOC8"/>
        <w:rPr>
          <w:rFonts w:asciiTheme="minorHAnsi" w:eastAsiaTheme="minorEastAsia" w:hAnsiTheme="minorHAnsi" w:cstheme="minorBidi"/>
          <w:szCs w:val="22"/>
        </w:rPr>
      </w:pPr>
      <w:r>
        <w:t>28</w:t>
      </w:r>
      <w:r>
        <w:rPr>
          <w:snapToGrid w:val="0"/>
        </w:rPr>
        <w:t>.</w:t>
      </w:r>
      <w:r>
        <w:rPr>
          <w:snapToGrid w:val="0"/>
        </w:rPr>
        <w:tab/>
        <w:t>Acts deemed public Acts</w:t>
      </w:r>
      <w:r>
        <w:tab/>
      </w:r>
      <w:r>
        <w:fldChar w:fldCharType="begin"/>
      </w:r>
      <w:r>
        <w:instrText xml:space="preserve"> PAGEREF _Toc100568803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Sections to be substantive enactments</w:t>
      </w:r>
      <w:r>
        <w:tab/>
      </w:r>
      <w:r>
        <w:fldChar w:fldCharType="begin"/>
      </w:r>
      <w:r>
        <w:instrText xml:space="preserve"> PAGEREF _Toc100568804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Act may be amended in same session</w:t>
      </w:r>
      <w:r>
        <w:tab/>
      </w:r>
      <w:r>
        <w:fldChar w:fldCharType="begin"/>
      </w:r>
      <w:r>
        <w:instrText xml:space="preserve"> PAGEREF _Toc100568805 \h </w:instrText>
      </w:r>
      <w:r>
        <w:fldChar w:fldCharType="separate"/>
      </w:r>
      <w:r>
        <w:t>26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Preambles, schedules etc. to form part of written law</w:t>
      </w:r>
      <w:r>
        <w:tab/>
      </w:r>
      <w:r>
        <w:fldChar w:fldCharType="begin"/>
      </w:r>
      <w:r>
        <w:instrText xml:space="preserve"> PAGEREF _Toc100568806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Headings, marginal notes and footnotes</w:t>
      </w:r>
      <w:r>
        <w:tab/>
      </w:r>
      <w:r>
        <w:fldChar w:fldCharType="begin"/>
      </w:r>
      <w:r>
        <w:instrText xml:space="preserve"> PAGEREF _Toc100568807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 — Repeal of written law</w:t>
      </w:r>
    </w:p>
    <w:p>
      <w:pPr>
        <w:pStyle w:val="TOC8"/>
        <w:rPr>
          <w:rFonts w:asciiTheme="minorHAnsi" w:eastAsiaTheme="minorEastAsia" w:hAnsiTheme="minorHAnsi" w:cstheme="minorBidi"/>
          <w:szCs w:val="22"/>
        </w:rPr>
      </w:pPr>
      <w:r>
        <w:t>33</w:t>
      </w:r>
      <w:r>
        <w:rPr>
          <w:snapToGrid w:val="0"/>
        </w:rPr>
        <w:t>.</w:t>
      </w:r>
      <w:r>
        <w:rPr>
          <w:snapToGrid w:val="0"/>
        </w:rPr>
        <w:tab/>
        <w:t>Repeal of written law includes repeal of amendments</w:t>
      </w:r>
      <w:r>
        <w:tab/>
      </w:r>
      <w:r>
        <w:fldChar w:fldCharType="begin"/>
      </w:r>
      <w:r>
        <w:instrText xml:space="preserve"> PAGEREF _Toc100568809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Repeal of repealing enactment, effect of</w:t>
      </w:r>
      <w:r>
        <w:tab/>
      </w:r>
      <w:r>
        <w:fldChar w:fldCharType="begin"/>
      </w:r>
      <w:r>
        <w:instrText xml:space="preserve"> PAGEREF _Toc100568810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Repeal and substitution of provision, effect of</w:t>
      </w:r>
      <w:r>
        <w:tab/>
      </w:r>
      <w:r>
        <w:fldChar w:fldCharType="begin"/>
      </w:r>
      <w:r>
        <w:instrText xml:space="preserve"> PAGEREF _Toc100568811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Repealing and re</w:t>
      </w:r>
      <w:r>
        <w:rPr>
          <w:snapToGrid w:val="0"/>
        </w:rPr>
        <w:noBreakHyphen/>
        <w:t>enacting a provision, effect of</w:t>
      </w:r>
      <w:r>
        <w:tab/>
      </w:r>
      <w:r>
        <w:fldChar w:fldCharType="begin"/>
      </w:r>
      <w:r>
        <w:instrText xml:space="preserve"> PAGEREF _Toc100568812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General savings on repeal</w:t>
      </w:r>
      <w:r>
        <w:tab/>
      </w:r>
      <w:r>
        <w:fldChar w:fldCharType="begin"/>
      </w:r>
      <w:r>
        <w:instrText xml:space="preserve"> PAGEREF _Toc100568813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Repeal of Act, effect of on subsidiary legislation</w:t>
      </w:r>
      <w:r>
        <w:tab/>
      </w:r>
      <w:r>
        <w:fldChar w:fldCharType="begin"/>
      </w:r>
      <w:r>
        <w:instrText xml:space="preserve"> PAGEREF _Toc100568814 \h </w:instrText>
      </w:r>
      <w:r>
        <w:fldChar w:fldCharType="separate"/>
      </w:r>
      <w:r>
        <w:t>29</w:t>
      </w:r>
      <w:r>
        <w:fldChar w:fldCharType="end"/>
      </w:r>
    </w:p>
    <w:p>
      <w:pPr>
        <w:pStyle w:val="TOC8"/>
        <w:rPr>
          <w:rFonts w:asciiTheme="minorHAnsi" w:eastAsiaTheme="minorEastAsia" w:hAnsiTheme="minorHAnsi" w:cstheme="minorBidi"/>
          <w:szCs w:val="22"/>
        </w:rPr>
      </w:pPr>
      <w:r>
        <w:lastRenderedPageBreak/>
        <w:t>39</w:t>
      </w:r>
      <w:r>
        <w:rPr>
          <w:snapToGrid w:val="0"/>
        </w:rPr>
        <w:t>.</w:t>
      </w:r>
      <w:r>
        <w:rPr>
          <w:snapToGrid w:val="0"/>
        </w:rPr>
        <w:tab/>
        <w:t>Expiry of enactment, effect of</w:t>
      </w:r>
      <w:r>
        <w:tab/>
      </w:r>
      <w:r>
        <w:fldChar w:fldCharType="begin"/>
      </w:r>
      <w:r>
        <w:instrText xml:space="preserve"> PAGEREF _Toc100568815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VI — Subsidiary legislation</w:t>
      </w:r>
    </w:p>
    <w:p>
      <w:pPr>
        <w:pStyle w:val="TOC8"/>
        <w:rPr>
          <w:rFonts w:asciiTheme="minorHAnsi" w:eastAsiaTheme="minorEastAsia" w:hAnsiTheme="minorHAnsi" w:cstheme="minorBidi"/>
          <w:szCs w:val="22"/>
        </w:rPr>
      </w:pPr>
      <w:r>
        <w:t>40</w:t>
      </w:r>
      <w:r>
        <w:rPr>
          <w:snapToGrid w:val="0"/>
        </w:rPr>
        <w:t>.</w:t>
      </w:r>
      <w:r>
        <w:rPr>
          <w:snapToGrid w:val="0"/>
        </w:rPr>
        <w:tab/>
        <w:t>Governor to make subsidiary legislation</w:t>
      </w:r>
      <w:r>
        <w:tab/>
      </w:r>
      <w:r>
        <w:fldChar w:fldCharType="begin"/>
      </w:r>
      <w:r>
        <w:instrText xml:space="preserve"> PAGEREF _Toc100568817 \h </w:instrText>
      </w:r>
      <w:r>
        <w:fldChar w:fldCharType="separate"/>
      </w:r>
      <w:r>
        <w:t>30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Publication and commencement of subsidiary legislation</w:t>
      </w:r>
      <w:r>
        <w:tab/>
      </w:r>
      <w:r>
        <w:fldChar w:fldCharType="begin"/>
      </w:r>
      <w:r>
        <w:instrText xml:space="preserve"> PAGEREF _Toc100568818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Laying regulations, rules, local laws and by</w:t>
      </w:r>
      <w:r>
        <w:rPr>
          <w:snapToGrid w:val="0"/>
        </w:rPr>
        <w:noBreakHyphen/>
        <w:t>laws before Parliament, and disallowance</w:t>
      </w:r>
      <w:r>
        <w:tab/>
      </w:r>
      <w:r>
        <w:fldChar w:fldCharType="begin"/>
      </w:r>
      <w:r>
        <w:instrText xml:space="preserve"> PAGEREF _Toc100568819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Power to make subsidiary legislation, general provisions about</w:t>
      </w:r>
      <w:r>
        <w:tab/>
      </w:r>
      <w:r>
        <w:fldChar w:fldCharType="begin"/>
      </w:r>
      <w:r>
        <w:instrText xml:space="preserve"> PAGEREF _Toc100568820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Words and expressions in subsidiary legislation, meaning of</w:t>
      </w:r>
      <w:r>
        <w:tab/>
      </w:r>
      <w:r>
        <w:fldChar w:fldCharType="begin"/>
      </w:r>
      <w:r>
        <w:instrText xml:space="preserve"> PAGEREF _Toc100568821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Fees and charges</w:t>
      </w:r>
      <w:r>
        <w:tab/>
      </w:r>
      <w:r>
        <w:fldChar w:fldCharType="begin"/>
      </w:r>
      <w:r>
        <w:instrText xml:space="preserve"> PAGEREF _Toc100568822 \h </w:instrText>
      </w:r>
      <w:r>
        <w:fldChar w:fldCharType="separate"/>
      </w:r>
      <w:r>
        <w:t>35</w:t>
      </w:r>
      <w:r>
        <w:fldChar w:fldCharType="end"/>
      </w:r>
    </w:p>
    <w:p>
      <w:pPr>
        <w:pStyle w:val="TOC8"/>
        <w:rPr>
          <w:rFonts w:asciiTheme="minorHAnsi" w:eastAsiaTheme="minorEastAsia" w:hAnsiTheme="minorHAnsi" w:cstheme="minorBidi"/>
          <w:szCs w:val="22"/>
        </w:rPr>
      </w:pPr>
      <w:r>
        <w:t>45A.</w:t>
      </w:r>
      <w:r>
        <w:tab/>
        <w:t>Fees for licences, effect of power to prescribe</w:t>
      </w:r>
      <w:r>
        <w:tab/>
      </w:r>
      <w:r>
        <w:fldChar w:fldCharType="begin"/>
      </w:r>
      <w:r>
        <w:instrText xml:space="preserve"> PAGEREF _Toc100568823 \h </w:instrText>
      </w:r>
      <w:r>
        <w:fldChar w:fldCharType="separate"/>
      </w:r>
      <w:r>
        <w:t>36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Reference to written law includes reference to subsidiary legislation made under it</w:t>
      </w:r>
      <w:r>
        <w:tab/>
      </w:r>
      <w:r>
        <w:fldChar w:fldCharType="begin"/>
      </w:r>
      <w:r>
        <w:instrText xml:space="preserve"> PAGEREF _Toc100568824 \h </w:instrText>
      </w:r>
      <w:r>
        <w:fldChar w:fldCharType="separate"/>
      </w:r>
      <w:r>
        <w:t>36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Acts done under subsidiary legislation deemed done under Act</w:t>
      </w:r>
      <w:r>
        <w:tab/>
      </w:r>
      <w:r>
        <w:fldChar w:fldCharType="begin"/>
      </w:r>
      <w:r>
        <w:instrText xml:space="preserve"> PAGEREF _Toc100568825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VII — Statutory powers and duties</w:t>
      </w:r>
    </w:p>
    <w:p>
      <w:pPr>
        <w:pStyle w:val="TOC8"/>
        <w:rPr>
          <w:rFonts w:asciiTheme="minorHAnsi" w:eastAsiaTheme="minorEastAsia" w:hAnsiTheme="minorHAnsi" w:cstheme="minorBidi"/>
          <w:szCs w:val="22"/>
        </w:rPr>
      </w:pPr>
      <w:r>
        <w:t>48</w:t>
      </w:r>
      <w:r>
        <w:rPr>
          <w:snapToGrid w:val="0"/>
        </w:rPr>
        <w:t>.</w:t>
      </w:r>
      <w:r>
        <w:rPr>
          <w:snapToGrid w:val="0"/>
        </w:rPr>
        <w:tab/>
        <w:t>Time for exercise of power or performance of duty</w:t>
      </w:r>
      <w:r>
        <w:tab/>
      </w:r>
      <w:r>
        <w:fldChar w:fldCharType="begin"/>
      </w:r>
      <w:r>
        <w:instrText xml:space="preserve"> PAGEREF _Toc100568827 \h </w:instrText>
      </w:r>
      <w:r>
        <w:fldChar w:fldCharType="separate"/>
      </w:r>
      <w:r>
        <w:t>38</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Judicial acts and service of process may be done on any day</w:t>
      </w:r>
      <w:r>
        <w:tab/>
      </w:r>
      <w:r>
        <w:fldChar w:fldCharType="begin"/>
      </w:r>
      <w:r>
        <w:instrText xml:space="preserve"> PAGEREF _Toc100568828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Public officer’s powers and duties may be exercised by acting officer etc.</w:t>
      </w:r>
      <w:r>
        <w:tab/>
      </w:r>
      <w:r>
        <w:fldChar w:fldCharType="begin"/>
      </w:r>
      <w:r>
        <w:instrText xml:space="preserve"> PAGEREF _Toc100568829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Statutory powers, construction of</w:t>
      </w:r>
      <w:r>
        <w:tab/>
      </w:r>
      <w:r>
        <w:fldChar w:fldCharType="begin"/>
      </w:r>
      <w:r>
        <w:instrText xml:space="preserve"> PAGEREF _Toc100568830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issue licences and other authorisations is discretionary</w:t>
      </w:r>
      <w:r>
        <w:tab/>
      </w:r>
      <w:r>
        <w:fldChar w:fldCharType="begin"/>
      </w:r>
      <w:r>
        <w:instrText xml:space="preserve"> PAGEREF _Toc100568831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Power to appoint includes power to remove, suspend, appoint acting officer etc.</w:t>
      </w:r>
      <w:r>
        <w:tab/>
      </w:r>
      <w:r>
        <w:fldChar w:fldCharType="begin"/>
      </w:r>
      <w:r>
        <w:instrText xml:space="preserve"> PAGEREF _Toc100568832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Appointments may be by name or office</w:t>
      </w:r>
      <w:r>
        <w:tab/>
      </w:r>
      <w:r>
        <w:fldChar w:fldCharType="begin"/>
      </w:r>
      <w:r>
        <w:instrText xml:space="preserve"> PAGEREF _Toc100568833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Statutory bodies, majority and quorum provisions</w:t>
      </w:r>
      <w:r>
        <w:tab/>
      </w:r>
      <w:r>
        <w:fldChar w:fldCharType="begin"/>
      </w:r>
      <w:r>
        <w:instrText xml:space="preserve"> PAGEREF _Toc100568834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Errors when exercising certain powers or duties may be corrected</w:t>
      </w:r>
      <w:r>
        <w:tab/>
      </w:r>
      <w:r>
        <w:fldChar w:fldCharType="begin"/>
      </w:r>
      <w:r>
        <w:instrText xml:space="preserve"> PAGEREF _Toc100568835 \h </w:instrText>
      </w:r>
      <w:r>
        <w:fldChar w:fldCharType="separate"/>
      </w:r>
      <w:r>
        <w:t>42</w:t>
      </w:r>
      <w:r>
        <w:fldChar w:fldCharType="end"/>
      </w:r>
    </w:p>
    <w:p>
      <w:pPr>
        <w:pStyle w:val="TOC8"/>
        <w:rPr>
          <w:rFonts w:asciiTheme="minorHAnsi" w:eastAsiaTheme="minorEastAsia" w:hAnsiTheme="minorHAnsi" w:cstheme="minorBidi"/>
          <w:szCs w:val="22"/>
        </w:rPr>
      </w:pPr>
      <w:r>
        <w:rPr>
          <w:snapToGrid w:val="0"/>
        </w:rPr>
        <w:t>56.</w:t>
      </w:r>
      <w:r>
        <w:rPr>
          <w:snapToGrid w:val="0"/>
        </w:rPr>
        <w:tab/>
        <w:t>“May” imports a discretion, “shall” is imperative</w:t>
      </w:r>
      <w:r>
        <w:tab/>
      </w:r>
      <w:r>
        <w:fldChar w:fldCharType="begin"/>
      </w:r>
      <w:r>
        <w:instrText xml:space="preserve"> PAGEREF _Toc100568836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Statutory bodies, powers of not affected by vacancies etc.</w:t>
      </w:r>
      <w:r>
        <w:tab/>
      </w:r>
      <w:r>
        <w:fldChar w:fldCharType="begin"/>
      </w:r>
      <w:r>
        <w:instrText xml:space="preserve"> PAGEREF _Toc100568837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Delegates, performance of functions by</w:t>
      </w:r>
      <w:r>
        <w:tab/>
      </w:r>
      <w:r>
        <w:fldChar w:fldCharType="begin"/>
      </w:r>
      <w:r>
        <w:instrText xml:space="preserve"> PAGEREF _Toc100568838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Power to delegate, effect of</w:t>
      </w:r>
      <w:r>
        <w:tab/>
      </w:r>
      <w:r>
        <w:fldChar w:fldCharType="begin"/>
      </w:r>
      <w:r>
        <w:instrText xml:space="preserve"> PAGEREF _Toc100568839 \h </w:instrText>
      </w:r>
      <w:r>
        <w:fldChar w:fldCharType="separate"/>
      </w:r>
      <w:r>
        <w:t>43</w:t>
      </w:r>
      <w:r>
        <w:fldChar w:fldCharType="end"/>
      </w:r>
    </w:p>
    <w:p>
      <w:pPr>
        <w:pStyle w:val="TOC8"/>
        <w:rPr>
          <w:rFonts w:asciiTheme="minorHAnsi" w:eastAsiaTheme="minorEastAsia" w:hAnsiTheme="minorHAnsi" w:cstheme="minorBidi"/>
          <w:szCs w:val="22"/>
        </w:rPr>
      </w:pPr>
      <w:r>
        <w:lastRenderedPageBreak/>
        <w:t>60</w:t>
      </w:r>
      <w:r>
        <w:rPr>
          <w:snapToGrid w:val="0"/>
        </w:rPr>
        <w:t>.</w:t>
      </w:r>
      <w:r>
        <w:rPr>
          <w:snapToGrid w:val="0"/>
        </w:rPr>
        <w:tab/>
        <w:t>Governor to act with advice of Executive Council</w:t>
      </w:r>
      <w:r>
        <w:tab/>
      </w:r>
      <w:r>
        <w:fldChar w:fldCharType="begin"/>
      </w:r>
      <w:r>
        <w:instrText xml:space="preserve"> PAGEREF _Toc100568840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VIII — Provisions regarding time and distance</w:t>
      </w:r>
    </w:p>
    <w:p>
      <w:pPr>
        <w:pStyle w:val="TOC8"/>
        <w:rPr>
          <w:rFonts w:asciiTheme="minorHAnsi" w:eastAsiaTheme="minorEastAsia" w:hAnsiTheme="minorHAnsi" w:cstheme="minorBidi"/>
          <w:szCs w:val="22"/>
        </w:rPr>
      </w:pPr>
      <w:r>
        <w:t>61</w:t>
      </w:r>
      <w:r>
        <w:rPr>
          <w:snapToGrid w:val="0"/>
        </w:rPr>
        <w:t>.</w:t>
      </w:r>
      <w:r>
        <w:rPr>
          <w:snapToGrid w:val="0"/>
        </w:rPr>
        <w:tab/>
        <w:t>Time, computation of</w:t>
      </w:r>
      <w:r>
        <w:tab/>
      </w:r>
      <w:r>
        <w:fldChar w:fldCharType="begin"/>
      </w:r>
      <w:r>
        <w:instrText xml:space="preserve"> PAGEREF _Toc100568842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Months, reckoning of</w:t>
      </w:r>
      <w:r>
        <w:tab/>
      </w:r>
      <w:r>
        <w:fldChar w:fldCharType="begin"/>
      </w:r>
      <w:r>
        <w:instrText xml:space="preserve"> PAGEREF _Toc100568843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Time for doing acts if no time fixed</w:t>
      </w:r>
      <w:r>
        <w:tab/>
      </w:r>
      <w:r>
        <w:fldChar w:fldCharType="begin"/>
      </w:r>
      <w:r>
        <w:instrText xml:space="preserve"> PAGEREF _Toc100568844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 to extend time, construction of</w:t>
      </w:r>
      <w:r>
        <w:tab/>
      </w:r>
      <w:r>
        <w:fldChar w:fldCharType="begin"/>
      </w:r>
      <w:r>
        <w:instrText xml:space="preserve"> PAGEREF _Toc100568845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Distance, measurement of</w:t>
      </w:r>
      <w:r>
        <w:tab/>
      </w:r>
      <w:r>
        <w:fldChar w:fldCharType="begin"/>
      </w:r>
      <w:r>
        <w:instrText xml:space="preserve"> PAGEREF _Toc100568846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IX — Procedures and penalties</w:t>
      </w:r>
    </w:p>
    <w:p>
      <w:pPr>
        <w:pStyle w:val="TOC8"/>
        <w:rPr>
          <w:rFonts w:asciiTheme="minorHAnsi" w:eastAsiaTheme="minorEastAsia" w:hAnsiTheme="minorHAnsi" w:cstheme="minorBidi"/>
          <w:szCs w:val="22"/>
        </w:rPr>
      </w:pPr>
      <w:r>
        <w:t>66</w:t>
      </w:r>
      <w:r>
        <w:rPr>
          <w:snapToGrid w:val="0"/>
        </w:rPr>
        <w:t>.</w:t>
      </w:r>
      <w:r>
        <w:rPr>
          <w:snapToGrid w:val="0"/>
        </w:rPr>
        <w:tab/>
        <w:t>Rules of court</w:t>
      </w:r>
      <w:r>
        <w:tab/>
      </w:r>
      <w:r>
        <w:fldChar w:fldCharType="begin"/>
      </w:r>
      <w:r>
        <w:instrText xml:space="preserve"> PAGEREF _Toc100568848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Offences and proceedings for offences</w:t>
      </w:r>
      <w:r>
        <w:tab/>
      </w:r>
      <w:r>
        <w:fldChar w:fldCharType="begin"/>
      </w:r>
      <w:r>
        <w:instrText xml:space="preserve"> PAGEREF _Toc100568849 \h </w:instrText>
      </w:r>
      <w:r>
        <w:fldChar w:fldCharType="separate"/>
      </w:r>
      <w:r>
        <w:t>48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Bodies corporate, application of penal laws to</w:t>
      </w:r>
      <w:r>
        <w:tab/>
      </w:r>
      <w:r>
        <w:fldChar w:fldCharType="begin"/>
      </w:r>
      <w:r>
        <w:instrText xml:space="preserve"> PAGEREF _Toc100568850 \h </w:instrText>
      </w:r>
      <w:r>
        <w:fldChar w:fldCharType="separate"/>
      </w:r>
      <w:r>
        <w:t>49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Continuing offences</w:t>
      </w:r>
      <w:r>
        <w:tab/>
      </w:r>
      <w:r>
        <w:fldChar w:fldCharType="begin"/>
      </w:r>
      <w:r>
        <w:instrText xml:space="preserve"> PAGEREF _Toc100568851 \h </w:instrText>
      </w:r>
      <w:r>
        <w:fldChar w:fldCharType="separate"/>
      </w:r>
      <w:r>
        <w:t>49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Statutory penalties, construction of</w:t>
      </w:r>
      <w:r>
        <w:tab/>
      </w:r>
      <w:r>
        <w:fldChar w:fldCharType="begin"/>
      </w:r>
      <w:r>
        <w:instrText xml:space="preserve"> PAGEREF _Toc100568852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 provisions</w:t>
      </w:r>
    </w:p>
    <w:p>
      <w:pPr>
        <w:pStyle w:val="TOC8"/>
        <w:rPr>
          <w:rFonts w:asciiTheme="minorHAnsi" w:eastAsiaTheme="minorEastAsia" w:hAnsiTheme="minorHAnsi" w:cstheme="minorBidi"/>
          <w:szCs w:val="22"/>
        </w:rPr>
      </w:pPr>
      <w:r>
        <w:t>73</w:t>
      </w:r>
      <w:r>
        <w:rPr>
          <w:snapToGrid w:val="0"/>
        </w:rPr>
        <w:t>.</w:t>
      </w:r>
      <w:r>
        <w:rPr>
          <w:snapToGrid w:val="0"/>
        </w:rPr>
        <w:tab/>
        <w:t>State deemed established 1 June 1829</w:t>
      </w:r>
      <w:r>
        <w:tab/>
      </w:r>
      <w:r>
        <w:fldChar w:fldCharType="begin"/>
      </w:r>
      <w:r>
        <w:instrText xml:space="preserve"> PAGEREF _Toc100568854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Prescribed forms, certain deviations do not invalidate</w:t>
      </w:r>
      <w:r>
        <w:tab/>
      </w:r>
      <w:r>
        <w:fldChar w:fldCharType="begin"/>
      </w:r>
      <w:r>
        <w:instrText xml:space="preserve"> PAGEREF _Toc100568855 \h </w:instrText>
      </w:r>
      <w:r>
        <w:fldChar w:fldCharType="separate"/>
      </w:r>
      <w:r>
        <w:t>52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Service of documents by post</w:t>
      </w:r>
      <w:r>
        <w:tab/>
      </w:r>
      <w:r>
        <w:fldChar w:fldCharType="begin"/>
      </w:r>
      <w:r>
        <w:instrText xml:space="preserve"> PAGEREF _Toc100568856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Service of documents generally</w:t>
      </w:r>
      <w:r>
        <w:tab/>
      </w:r>
      <w:r>
        <w:fldChar w:fldCharType="begin"/>
      </w:r>
      <w:r>
        <w:instrText xml:space="preserve"> PAGEREF _Toc100568857 \h </w:instrText>
      </w:r>
      <w:r>
        <w:fldChar w:fldCharType="separate"/>
      </w:r>
      <w:r>
        <w:t>53</w:t>
      </w:r>
      <w:r>
        <w:fldChar w:fldCharType="end"/>
      </w:r>
    </w:p>
    <w:p>
      <w:pPr>
        <w:pStyle w:val="TOC8"/>
        <w:rPr>
          <w:rFonts w:asciiTheme="minorHAnsi" w:eastAsiaTheme="minorEastAsia" w:hAnsiTheme="minorHAnsi" w:cstheme="minorBidi"/>
          <w:szCs w:val="22"/>
        </w:rPr>
      </w:pPr>
      <w:r>
        <w:t>76A</w:t>
      </w:r>
      <w:r>
        <w:rPr>
          <w:snapToGrid w:val="0"/>
        </w:rPr>
        <w:t xml:space="preserve">. </w:t>
      </w:r>
      <w:r>
        <w:rPr>
          <w:snapToGrid w:val="0"/>
        </w:rPr>
        <w:tab/>
        <w:t>Written laws made before Australia Acts, validity of</w:t>
      </w:r>
      <w:r>
        <w:tab/>
      </w:r>
      <w:r>
        <w:fldChar w:fldCharType="begin"/>
      </w:r>
      <w:r>
        <w:instrText xml:space="preserve"> PAGEREF _Toc100568858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Repeal and saving</w:t>
      </w:r>
      <w:r>
        <w:tab/>
      </w:r>
      <w:r>
        <w:fldChar w:fldCharType="begin"/>
      </w:r>
      <w:r>
        <w:instrText xml:space="preserve"> PAGEREF _Toc100568859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_Toc100568861 \h </w:instrText>
      </w:r>
      <w:r>
        <w:fldChar w:fldCharType="separate"/>
      </w:r>
      <w:r>
        <w:t>55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_Toc100568862 \h </w:instrText>
      </w:r>
      <w:r>
        <w:fldChar w:fldCharType="separate"/>
      </w:r>
      <w:r>
        <w:t>58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_Toc100568863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3" w:name="_Toc100326469"/>
      <w:bookmarkStart w:id="4" w:name="_Toc100327099"/>
      <w:bookmarkStart w:id="5" w:name="_Toc100568766"/>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0568767"/>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w:t>
      </w:r>
      <w:r>
        <w:rPr>
          <w:snapToGrid w:val="0"/>
        </w:rPr>
        <w:t>.</w:t>
      </w:r>
    </w:p>
    <w:p>
      <w:pPr>
        <w:pStyle w:val="Heading5"/>
        <w:rPr>
          <w:snapToGrid w:val="0"/>
        </w:rPr>
      </w:pPr>
      <w:bookmarkStart w:id="7" w:name="_Toc100568768"/>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8" w:name="_Toc100568769"/>
      <w:r>
        <w:rPr>
          <w:rStyle w:val="CharSectno"/>
        </w:rPr>
        <w:t>3</w:t>
      </w:r>
      <w:r>
        <w:rPr>
          <w:snapToGrid w:val="0"/>
        </w:rPr>
        <w:t>.</w:t>
      </w:r>
      <w:r>
        <w:rPr>
          <w:snapToGrid w:val="0"/>
        </w:rPr>
        <w:tab/>
        <w:t>Application</w:t>
      </w:r>
      <w:bookmarkEnd w:id="8"/>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 or</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50 or 64 to an Act, written law, enactment, or subsidiary legislation passed or made after the commencement of this Act shall be construed so as not to include any enactment which continues or directly amends, but does not repeal entirely, the text of an existing written law</w:t>
      </w:r>
      <w:r>
        <w:rPr>
          <w:snapToGrid w:val="0"/>
          <w:vertAlign w:val="superscript"/>
        </w:rPr>
        <w:t> 1</w:t>
      </w:r>
      <w:r>
        <w:rPr>
          <w:snapToGrid w:val="0"/>
        </w:rPr>
        <w:t>.</w:t>
      </w:r>
    </w:p>
    <w:p>
      <w:pPr>
        <w:pStyle w:val="Footnotesection"/>
      </w:pPr>
      <w:r>
        <w:tab/>
        <w:t>[Section 3 amended: No. 34 of 2020 s. 93.]</w:t>
      </w:r>
    </w:p>
    <w:p>
      <w:pPr>
        <w:pStyle w:val="Heading5"/>
        <w:rPr>
          <w:snapToGrid w:val="0"/>
        </w:rPr>
      </w:pPr>
      <w:bookmarkStart w:id="9" w:name="_Toc100568770"/>
      <w:r>
        <w:rPr>
          <w:rStyle w:val="CharSectno"/>
        </w:rPr>
        <w:t>4</w:t>
      </w:r>
      <w:r>
        <w:rPr>
          <w:snapToGrid w:val="0"/>
        </w:rPr>
        <w:t>.</w:t>
      </w:r>
      <w:r>
        <w:rPr>
          <w:snapToGrid w:val="0"/>
        </w:rPr>
        <w:tab/>
        <w:t>Act binds Crown</w:t>
      </w:r>
      <w:bookmarkEnd w:id="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0" w:name="_Toc100326474"/>
      <w:bookmarkStart w:id="11" w:name="_Toc100327104"/>
      <w:bookmarkStart w:id="12" w:name="_Toc100568771"/>
      <w:r>
        <w:rPr>
          <w:rStyle w:val="CharPartNo"/>
        </w:rPr>
        <w:lastRenderedPageBreak/>
        <w:t>Part II</w:t>
      </w:r>
      <w:r>
        <w:rPr>
          <w:rStyle w:val="CharDivNo"/>
        </w:rPr>
        <w:t> </w:t>
      </w:r>
      <w:r>
        <w:t>—</w:t>
      </w:r>
      <w:r>
        <w:rPr>
          <w:rStyle w:val="CharDivText"/>
        </w:rPr>
        <w:t> </w:t>
      </w:r>
      <w:r>
        <w:rPr>
          <w:rStyle w:val="CharPartText"/>
        </w:rPr>
        <w:t>General interpretation provisions</w:t>
      </w:r>
      <w:bookmarkEnd w:id="10"/>
      <w:bookmarkEnd w:id="11"/>
      <w:bookmarkEnd w:id="12"/>
      <w:r>
        <w:rPr>
          <w:rStyle w:val="CharPartText"/>
        </w:rPr>
        <w:t xml:space="preserve"> </w:t>
      </w:r>
    </w:p>
    <w:p>
      <w:pPr>
        <w:pStyle w:val="Heading5"/>
        <w:rPr>
          <w:snapToGrid w:val="0"/>
        </w:rPr>
      </w:pPr>
      <w:bookmarkStart w:id="13" w:name="_Toc100568772"/>
      <w:r>
        <w:rPr>
          <w:rStyle w:val="CharSectno"/>
        </w:rPr>
        <w:t>5</w:t>
      </w:r>
      <w:r>
        <w:rPr>
          <w:snapToGrid w:val="0"/>
        </w:rPr>
        <w:t>.</w:t>
      </w:r>
      <w:r>
        <w:rPr>
          <w:snapToGrid w:val="0"/>
        </w:rPr>
        <w:tab/>
        <w:t>Terms used in written laws</w:t>
      </w:r>
      <w:bookmarkEnd w:id="13"/>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lastRenderedPageBreak/>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pPr>
      <w:r>
        <w:tab/>
        <w:t>(i)</w:t>
      </w:r>
      <w:r>
        <w:tab/>
        <w:t>an agency within the meaning of that Act; or</w:t>
      </w:r>
    </w:p>
    <w:p>
      <w:pPr>
        <w:pStyle w:val="Defsubpara"/>
      </w:pPr>
      <w:r>
        <w:tab/>
        <w:t>(ii)</w:t>
      </w:r>
      <w: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lastRenderedPageBreak/>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lastRenderedPageBreak/>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pPr>
      <w:r>
        <w:rPr>
          <w:b/>
        </w:rPr>
        <w:tab/>
      </w:r>
      <w:r>
        <w:rPr>
          <w:rStyle w:val="CharDefText"/>
        </w:rPr>
        <w:t>Governor</w:t>
      </w:r>
      <w:r>
        <w:t xml:space="preserve"> means the Governor of the State and includes the officer for the time being administering the Government of the State;</w:t>
      </w:r>
    </w:p>
    <w:p>
      <w:pPr>
        <w:pStyle w:val="Defstart"/>
      </w:pPr>
      <w:r>
        <w:rPr>
          <w:b/>
        </w:rPr>
        <w:tab/>
      </w:r>
      <w:r>
        <w:rPr>
          <w:rStyle w:val="CharDefText"/>
        </w:rPr>
        <w:t>Her Majesty</w:t>
      </w:r>
      <w:r>
        <w:t xml:space="preserve">, </w:t>
      </w:r>
      <w:r>
        <w:rPr>
          <w:rStyle w:val="CharDefText"/>
        </w:rPr>
        <w:t>His Majesty</w:t>
      </w:r>
      <w:r>
        <w:t xml:space="preserve">, </w:t>
      </w:r>
      <w:r>
        <w:rPr>
          <w:rStyle w:val="CharDefText"/>
        </w:rPr>
        <w:t>Queen</w:t>
      </w:r>
      <w:r>
        <w:t xml:space="preserve">, </w:t>
      </w:r>
      <w:r>
        <w:rPr>
          <w:rStyle w:val="CharDefText"/>
        </w:rPr>
        <w:t>King</w:t>
      </w:r>
      <w:r>
        <w:t xml:space="preserve">, or </w:t>
      </w:r>
      <w:r>
        <w:rPr>
          <w:rStyle w:val="CharDefText"/>
        </w:rPr>
        <w:t>Crown</w:t>
      </w:r>
      <w:r>
        <w:t xml:space="preserve"> means the Sovereign of the United Kingdom, Australia and Her other Realms and Territories, and Head of the Commonwealth and </w:t>
      </w:r>
      <w:r>
        <w:lastRenderedPageBreak/>
        <w:t>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lastRenderedPageBreak/>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spacing w:before="60"/>
      </w:pPr>
      <w:r>
        <w:rPr>
          <w:b/>
        </w:rPr>
        <w:lastRenderedPageBreak/>
        <w:tab/>
      </w:r>
      <w:r>
        <w:rPr>
          <w:rStyle w:val="CharDefText"/>
        </w:rPr>
        <w:t>public half</w:t>
      </w:r>
      <w:r>
        <w:rPr>
          <w:rStyle w:val="CharDefText"/>
        </w:rPr>
        <w:noBreakHyphen/>
        <w:t>holiday</w:t>
      </w:r>
      <w:r>
        <w:t>, in relation to an area, means a part of a day that is appointed or declared a public half</w:t>
      </w:r>
      <w:r>
        <w:noBreakHyphen/>
        <w:t xml:space="preserve">holiday for that area by or under the </w:t>
      </w:r>
      <w:r>
        <w:rPr>
          <w:i/>
        </w:rPr>
        <w:t>Public and Bank Holidays Act 1972</w:t>
      </w:r>
      <w:r>
        <w:t>;</w:t>
      </w:r>
    </w:p>
    <w:p>
      <w:pPr>
        <w:pStyle w:val="Defstart"/>
        <w:spacing w:before="60"/>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spacing w:before="60"/>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Defstart"/>
        <w:spacing w:before="60"/>
        <w:rPr>
          <w:b/>
        </w:rPr>
      </w:pPr>
      <w:r>
        <w:rPr>
          <w:b/>
        </w:rPr>
        <w:tab/>
      </w:r>
      <w:r>
        <w:rPr>
          <w:rStyle w:val="CharDefText"/>
        </w:rPr>
        <w:t>Public Service</w:t>
      </w:r>
      <w:r>
        <w:t xml:space="preserve"> has the meaning given by the </w:t>
      </w:r>
      <w:r>
        <w:rPr>
          <w:i/>
        </w:rPr>
        <w:t>Public Sector Management Act 1994</w:t>
      </w:r>
      <w:r>
        <w:t>;</w:t>
      </w:r>
    </w:p>
    <w:p>
      <w:pPr>
        <w:pStyle w:val="Defstart"/>
        <w:spacing w:before="60"/>
      </w:pPr>
      <w:r>
        <w:rPr>
          <w:b/>
        </w:rPr>
        <w:tab/>
      </w:r>
      <w:r>
        <w:rPr>
          <w:rStyle w:val="CharDefText"/>
        </w:rPr>
        <w:t>public service holiday</w:t>
      </w:r>
      <w:r>
        <w:t xml:space="preserve"> means a holiday prescribed as such under the </w:t>
      </w:r>
      <w:r>
        <w:rPr>
          <w:i/>
        </w:rPr>
        <w:t>Public Service Act 1978</w:t>
      </w:r>
      <w:r>
        <w:rPr>
          <w:vertAlign w:val="superscript"/>
        </w:rPr>
        <w:t xml:space="preserve"> 2</w:t>
      </w:r>
      <w:r>
        <w:t>;</w:t>
      </w:r>
    </w:p>
    <w:p>
      <w:pPr>
        <w:pStyle w:val="Defstart"/>
        <w:spacing w:before="60"/>
      </w:pPr>
      <w:r>
        <w:rPr>
          <w:b/>
        </w:rPr>
        <w:tab/>
      </w:r>
      <w:r>
        <w:rPr>
          <w:rStyle w:val="CharDefText"/>
        </w:rPr>
        <w:t>public service officer</w:t>
      </w:r>
      <w:r>
        <w:t xml:space="preserve"> has the meaning given in the </w:t>
      </w:r>
      <w:r>
        <w:rPr>
          <w:i/>
          <w:iCs/>
        </w:rPr>
        <w:t>Public Sector Management Act 1994</w:t>
      </w:r>
      <w:r>
        <w:t xml:space="preserve"> section 3(1);</w:t>
      </w:r>
    </w:p>
    <w:p>
      <w:pPr>
        <w:pStyle w:val="Defstart"/>
        <w:keepNext/>
        <w:spacing w:before="60"/>
      </w:pPr>
      <w:r>
        <w:rPr>
          <w:b/>
        </w:rPr>
        <w:tab/>
      </w:r>
      <w:r>
        <w:rPr>
          <w:rStyle w:val="CharDefText"/>
        </w:rPr>
        <w:t>publication</w:t>
      </w:r>
      <w:r>
        <w:t xml:space="preserve"> means — </w:t>
      </w:r>
    </w:p>
    <w:p>
      <w:pPr>
        <w:pStyle w:val="Defpara"/>
        <w:spacing w:before="60"/>
      </w:pPr>
      <w:r>
        <w:tab/>
        <w:t>(a)</w:t>
      </w:r>
      <w:r>
        <w:tab/>
        <w:t>all written and printed matter; and</w:t>
      </w:r>
    </w:p>
    <w:p>
      <w:pPr>
        <w:pStyle w:val="Defpara"/>
        <w:spacing w:before="60"/>
      </w:pPr>
      <w:r>
        <w:tab/>
        <w:t>(b)</w:t>
      </w:r>
      <w:r>
        <w:tab/>
        <w:t>any record, tape, wire, perforated roll, cinematograph film or images or other contrivance by means of which any words or ideas may be mechanically, electronically, or electrically produced, reproduced, represented, or conveyed; and</w:t>
      </w:r>
    </w:p>
    <w:p>
      <w:pPr>
        <w:pStyle w:val="Defpara"/>
        <w:spacing w:before="60"/>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spacing w:before="60"/>
      </w:pPr>
      <w:r>
        <w:tab/>
        <w:t>(d)</w:t>
      </w:r>
      <w:r>
        <w:tab/>
        <w:t>every copy and reproduction of a publication as defined in paragraphs (a), (b) and (c);</w:t>
      </w:r>
    </w:p>
    <w:p>
      <w:pPr>
        <w:pStyle w:val="Defstart"/>
        <w:spacing w:before="60"/>
      </w:pPr>
      <w:r>
        <w:rPr>
          <w:b/>
        </w:rPr>
        <w:tab/>
      </w:r>
      <w:r>
        <w:rPr>
          <w:rStyle w:val="CharDefText"/>
        </w:rPr>
        <w:t>regional local government</w:t>
      </w:r>
      <w:r>
        <w:t xml:space="preserve"> means a regional local government established under the </w:t>
      </w:r>
      <w:r>
        <w:rPr>
          <w:i/>
        </w:rPr>
        <w:t>Local Government Act 1995</w:t>
      </w:r>
      <w:r>
        <w:t>;</w:t>
      </w:r>
    </w:p>
    <w:p>
      <w:pPr>
        <w:pStyle w:val="Defstart"/>
        <w:spacing w:before="60"/>
      </w:pPr>
      <w:r>
        <w:tab/>
      </w:r>
      <w:r>
        <w:rPr>
          <w:rStyle w:val="CharDefText"/>
        </w:rPr>
        <w:t>regional subsidiary</w:t>
      </w:r>
      <w:r>
        <w:t xml:space="preserve"> means a regional subsidiary established under the </w:t>
      </w:r>
      <w:r>
        <w:rPr>
          <w:i/>
        </w:rPr>
        <w:t>Local Government Act 1995</w:t>
      </w:r>
      <w:r>
        <w:t>;</w:t>
      </w:r>
    </w:p>
    <w:p>
      <w:pPr>
        <w:pStyle w:val="Defstart"/>
        <w:spacing w:before="60"/>
      </w:pPr>
      <w:r>
        <w:rPr>
          <w:b/>
        </w:rPr>
        <w:lastRenderedPageBreak/>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lastRenderedPageBreak/>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rPr>
        <w:t>Territory</w:t>
      </w:r>
      <w:r>
        <w:t xml:space="preserve"> means a Territory of the Commonwealth;</w:t>
      </w:r>
    </w:p>
    <w:p>
      <w:pPr>
        <w:pStyle w:val="Defstart"/>
      </w:pPr>
      <w: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under</w:t>
      </w:r>
      <w:r>
        <w:t>,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w:t>
      </w:r>
      <w:r>
        <w:lastRenderedPageBreak/>
        <w:t xml:space="preserve">2005 s. 15; No. 59 of 2006 s. 73; No. 60 of 2006 s. 183; No. 77 of 2006 Sch. 1 cl. 92; No. 29 of 2008 s. 35(2); No. 47 of 2008 s. 69; No. 18 of 2009 s. 4; No. 31 of 2010 s. 4; No. 39 of 2010 s. 78; No. 26 of 2016 s. 64.] </w:t>
      </w:r>
    </w:p>
    <w:p>
      <w:pPr>
        <w:pStyle w:val="Heading5"/>
        <w:rPr>
          <w:snapToGrid w:val="0"/>
        </w:rPr>
      </w:pPr>
      <w:bookmarkStart w:id="14" w:name="_Toc100568773"/>
      <w:r>
        <w:rPr>
          <w:rStyle w:val="CharSectno"/>
        </w:rPr>
        <w:t>6</w:t>
      </w:r>
      <w:r>
        <w:rPr>
          <w:snapToGrid w:val="0"/>
        </w:rPr>
        <w:t>.</w:t>
      </w:r>
      <w:r>
        <w:rPr>
          <w:snapToGrid w:val="0"/>
        </w:rPr>
        <w:tab/>
        <w:t>Definitions in a written law, application of</w:t>
      </w:r>
      <w:bookmarkEnd w:id="14"/>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5" w:name="_Toc100568774"/>
      <w:r>
        <w:rPr>
          <w:rStyle w:val="CharSectno"/>
        </w:rPr>
        <w:t>7</w:t>
      </w:r>
      <w:r>
        <w:rPr>
          <w:snapToGrid w:val="0"/>
        </w:rPr>
        <w:t>.</w:t>
      </w:r>
      <w:r>
        <w:rPr>
          <w:snapToGrid w:val="0"/>
        </w:rPr>
        <w:tab/>
        <w:t>Written laws to be construed subject to State’s legislative power</w:t>
      </w:r>
      <w:bookmarkEnd w:id="15"/>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6" w:name="_Toc100568775"/>
      <w:r>
        <w:rPr>
          <w:rStyle w:val="CharSectno"/>
        </w:rPr>
        <w:t>8</w:t>
      </w:r>
      <w:r>
        <w:rPr>
          <w:snapToGrid w:val="0"/>
        </w:rPr>
        <w:t>.</w:t>
      </w:r>
      <w:r>
        <w:rPr>
          <w:snapToGrid w:val="0"/>
        </w:rPr>
        <w:tab/>
        <w:t>Written laws always speaking</w:t>
      </w:r>
      <w:bookmarkEnd w:id="16"/>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7" w:name="_Toc100568776"/>
      <w:r>
        <w:rPr>
          <w:rStyle w:val="CharSectno"/>
        </w:rPr>
        <w:t>9</w:t>
      </w:r>
      <w:r>
        <w:rPr>
          <w:snapToGrid w:val="0"/>
        </w:rPr>
        <w:t>.</w:t>
      </w:r>
      <w:r>
        <w:rPr>
          <w:snapToGrid w:val="0"/>
        </w:rPr>
        <w:tab/>
        <w:t>Parts of speech and grammatical forms</w:t>
      </w:r>
      <w:bookmarkEnd w:id="17"/>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8" w:name="_Toc100568777"/>
      <w:r>
        <w:rPr>
          <w:rStyle w:val="CharSectno"/>
        </w:rPr>
        <w:t>10</w:t>
      </w:r>
      <w:r>
        <w:rPr>
          <w:snapToGrid w:val="0"/>
        </w:rPr>
        <w:t>.</w:t>
      </w:r>
      <w:r>
        <w:rPr>
          <w:snapToGrid w:val="0"/>
        </w:rPr>
        <w:tab/>
        <w:t>Gender and number</w:t>
      </w:r>
      <w:bookmarkEnd w:id="18"/>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lastRenderedPageBreak/>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No. 73 of 1994 s. 4.] </w:t>
      </w:r>
    </w:p>
    <w:p>
      <w:pPr>
        <w:pStyle w:val="Heading5"/>
        <w:rPr>
          <w:snapToGrid w:val="0"/>
        </w:rPr>
      </w:pPr>
      <w:bookmarkStart w:id="19" w:name="_Toc100568778"/>
      <w:r>
        <w:rPr>
          <w:rStyle w:val="CharSectno"/>
        </w:rPr>
        <w:t>11</w:t>
      </w:r>
      <w:r>
        <w:rPr>
          <w:snapToGrid w:val="0"/>
        </w:rPr>
        <w:t>.</w:t>
      </w:r>
      <w:r>
        <w:rPr>
          <w:snapToGrid w:val="0"/>
        </w:rPr>
        <w:tab/>
        <w:t>Sovereign, references to</w:t>
      </w:r>
      <w:bookmarkEnd w:id="19"/>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20" w:name="_Toc100568779"/>
      <w:r>
        <w:rPr>
          <w:rStyle w:val="CharSectno"/>
        </w:rPr>
        <w:t>12</w:t>
      </w:r>
      <w:r>
        <w:rPr>
          <w:snapToGrid w:val="0"/>
        </w:rPr>
        <w:t>.</w:t>
      </w:r>
      <w:r>
        <w:rPr>
          <w:snapToGrid w:val="0"/>
        </w:rPr>
        <w:tab/>
        <w:t>Minister, references to</w:t>
      </w:r>
      <w:bookmarkEnd w:id="20"/>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 and</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21" w:name="_Toc100568780"/>
      <w:r>
        <w:rPr>
          <w:rStyle w:val="CharSectno"/>
        </w:rPr>
        <w:t>13</w:t>
      </w:r>
      <w:r>
        <w:rPr>
          <w:snapToGrid w:val="0"/>
        </w:rPr>
        <w:t>.</w:t>
      </w:r>
      <w:r>
        <w:rPr>
          <w:snapToGrid w:val="0"/>
        </w:rPr>
        <w:tab/>
        <w:t>British subject etc., references to</w:t>
      </w:r>
      <w:bookmarkEnd w:id="21"/>
    </w:p>
    <w:p>
      <w:pPr>
        <w:pStyle w:val="Subsection"/>
        <w:rPr>
          <w:snapToGrid w:val="0"/>
        </w:rPr>
      </w:pPr>
      <w:r>
        <w:rPr>
          <w:snapToGrid w:val="0"/>
        </w:rPr>
        <w:tab/>
        <w:t>(1)</w:t>
      </w:r>
      <w:r>
        <w:rPr>
          <w:snapToGrid w:val="0"/>
        </w:rPr>
        <w:tab/>
        <w:t>In this section — </w:t>
      </w:r>
    </w:p>
    <w:p>
      <w:pPr>
        <w:pStyle w:val="Defstart"/>
        <w:tabs>
          <w:tab w:val="left" w:pos="6804"/>
        </w:tabs>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iCs/>
          <w:spacing w:val="-4"/>
          <w:vertAlign w:val="superscript"/>
        </w:rPr>
        <w:t xml:space="preserve"> 3 </w:t>
      </w:r>
      <w:r>
        <w:rPr>
          <w:spacing w:val="-4"/>
        </w:rPr>
        <w:t>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 xml:space="preserve">A reference in any law of the State to a British subject or to a natural born or naturalized subject of Her Majesty or to any other like expression, shall be read as a reference to an </w:t>
      </w:r>
      <w:r>
        <w:rPr>
          <w:snapToGrid w:val="0"/>
        </w:rPr>
        <w:lastRenderedPageBreak/>
        <w:t>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22" w:name="_Toc100568781"/>
      <w:r>
        <w:rPr>
          <w:rStyle w:val="CharSectno"/>
        </w:rPr>
        <w:t>13A</w:t>
      </w:r>
      <w:r>
        <w:t>.</w:t>
      </w:r>
      <w:r>
        <w:tab/>
        <w:t>De facto relationship and de facto partner, references to</w:t>
      </w:r>
      <w:bookmarkEnd w:id="22"/>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keepLines/>
      </w:pPr>
      <w:r>
        <w:lastRenderedPageBreak/>
        <w:tab/>
        <w:t>(3)</w:t>
      </w:r>
      <w:r>
        <w:tab/>
        <w:t>It does not matter whether —</w:t>
      </w:r>
    </w:p>
    <w:p>
      <w:pPr>
        <w:pStyle w:val="Indenta"/>
        <w:keepNext/>
        <w:keepLines/>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No. 3 of 2002 s. 85.]</w:t>
      </w:r>
    </w:p>
    <w:p>
      <w:pPr>
        <w:pStyle w:val="Heading5"/>
      </w:pPr>
      <w:bookmarkStart w:id="23" w:name="_Toc100568782"/>
      <w:r>
        <w:rPr>
          <w:rStyle w:val="CharSectno"/>
        </w:rPr>
        <w:t>13B</w:t>
      </w:r>
      <w:r>
        <w:t>.</w:t>
      </w:r>
      <w:r>
        <w:tab/>
        <w:t>Standards Association of Australia, references to</w:t>
      </w:r>
      <w:bookmarkEnd w:id="23"/>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No. 74 of 2003 s. 69(3); renumbered as 13B under the Reprints Act 1984 s. 7(5)(c)(ii).]</w:t>
      </w:r>
    </w:p>
    <w:p>
      <w:pPr>
        <w:pStyle w:val="Heading5"/>
      </w:pPr>
      <w:bookmarkStart w:id="24" w:name="_Toc100568783"/>
      <w:r>
        <w:rPr>
          <w:rStyle w:val="CharSectno"/>
        </w:rPr>
        <w:t>13CA</w:t>
      </w:r>
      <w:r>
        <w:t>.</w:t>
      </w:r>
      <w:r>
        <w:tab/>
        <w:t>Local government districts, references to</w:t>
      </w:r>
      <w:bookmarkEnd w:id="24"/>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PermNoteHeading"/>
      </w:pPr>
      <w:r>
        <w:tab/>
        <w:t>Example for this section:</w:t>
      </w:r>
    </w:p>
    <w:p>
      <w:pPr>
        <w:pStyle w:val="PermNoteText"/>
      </w:pPr>
      <w:r>
        <w:tab/>
        <w:t>1.</w:t>
      </w:r>
      <w:r>
        <w:tab/>
        <w:t>“Perth local government district” refers to the local government district named Perth.</w:t>
      </w:r>
    </w:p>
    <w:p>
      <w:pPr>
        <w:pStyle w:val="PermNoteText"/>
      </w:pPr>
      <w:r>
        <w:tab/>
        <w:t>2.</w:t>
      </w:r>
      <w:r>
        <w:tab/>
        <w:t>“Narrogin (Shire) local government district” refers to the local government district named Narrogin (Shire).]</w:t>
      </w:r>
    </w:p>
    <w:p>
      <w:pPr>
        <w:pStyle w:val="Footnotesection"/>
      </w:pPr>
      <w:r>
        <w:tab/>
        <w:t>[Section 13CA inserted: No. 31 of 2010 s. 5; amended: No. 17 of 2014 s. 27.]</w:t>
      </w:r>
    </w:p>
    <w:p>
      <w:pPr>
        <w:pStyle w:val="Heading5"/>
      </w:pPr>
      <w:bookmarkStart w:id="25" w:name="_Toc100568784"/>
      <w:r>
        <w:rPr>
          <w:rStyle w:val="CharSectno"/>
        </w:rPr>
        <w:lastRenderedPageBreak/>
        <w:t>13C</w:t>
      </w:r>
      <w:r>
        <w:t>.</w:t>
      </w:r>
      <w:r>
        <w:tab/>
        <w:t>When death of a person occurs</w:t>
      </w:r>
      <w:bookmarkEnd w:id="25"/>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No. 29 of 2008 s. 35(3).]</w:t>
      </w:r>
    </w:p>
    <w:p>
      <w:pPr>
        <w:pStyle w:val="Heading5"/>
      </w:pPr>
      <w:bookmarkStart w:id="26" w:name="_Toc100568785"/>
      <w:r>
        <w:rPr>
          <w:rStyle w:val="CharSectno"/>
        </w:rPr>
        <w:t>13D</w:t>
      </w:r>
      <w:r>
        <w:t>.</w:t>
      </w:r>
      <w:r>
        <w:tab/>
        <w:t>Bankrupt and related expressions, references to</w:t>
      </w:r>
      <w:bookmarkEnd w:id="26"/>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No. 18 of 2009 s. 5.]</w:t>
      </w:r>
    </w:p>
    <w:p>
      <w:pPr>
        <w:pStyle w:val="Heading5"/>
        <w:rPr>
          <w:snapToGrid w:val="0"/>
        </w:rPr>
      </w:pPr>
      <w:bookmarkStart w:id="27" w:name="_Toc100568786"/>
      <w:r>
        <w:rPr>
          <w:rStyle w:val="CharSectno"/>
        </w:rPr>
        <w:lastRenderedPageBreak/>
        <w:t>14</w:t>
      </w:r>
      <w:r>
        <w:rPr>
          <w:snapToGrid w:val="0"/>
        </w:rPr>
        <w:t>.</w:t>
      </w:r>
      <w:r>
        <w:rPr>
          <w:snapToGrid w:val="0"/>
        </w:rPr>
        <w:tab/>
        <w:t>References to 2 or more provisions to be inclusive</w:t>
      </w:r>
      <w:bookmarkEnd w:id="27"/>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28" w:name="_Toc100568787"/>
      <w:r>
        <w:rPr>
          <w:rStyle w:val="CharSectno"/>
        </w:rPr>
        <w:t>15</w:t>
      </w:r>
      <w:r>
        <w:rPr>
          <w:snapToGrid w:val="0"/>
        </w:rPr>
        <w:t>.</w:t>
      </w:r>
      <w:r>
        <w:rPr>
          <w:snapToGrid w:val="0"/>
        </w:rPr>
        <w:tab/>
        <w:t>Internal references in written laws, construction of</w:t>
      </w:r>
      <w:bookmarkEnd w:id="28"/>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29" w:name="_Toc100568788"/>
      <w:r>
        <w:rPr>
          <w:rStyle w:val="CharSectno"/>
        </w:rPr>
        <w:lastRenderedPageBreak/>
        <w:t>15A</w:t>
      </w:r>
      <w:r>
        <w:t>.</w:t>
      </w:r>
      <w:r>
        <w:tab/>
        <w:t>Reference to paragraph</w:t>
      </w:r>
      <w:bookmarkEnd w:id="29"/>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No. 31 of 2010 s. 6.]</w:t>
      </w:r>
    </w:p>
    <w:p>
      <w:pPr>
        <w:pStyle w:val="Heading5"/>
        <w:rPr>
          <w:snapToGrid w:val="0"/>
        </w:rPr>
      </w:pPr>
      <w:bookmarkStart w:id="30" w:name="_Toc100568789"/>
      <w:r>
        <w:rPr>
          <w:rStyle w:val="CharSectno"/>
        </w:rPr>
        <w:t>16</w:t>
      </w:r>
      <w:r>
        <w:rPr>
          <w:snapToGrid w:val="0"/>
        </w:rPr>
        <w:t>.</w:t>
      </w:r>
      <w:r>
        <w:rPr>
          <w:snapToGrid w:val="0"/>
        </w:rPr>
        <w:tab/>
        <w:t>Reference to written law is to written law as amended</w:t>
      </w:r>
      <w:bookmarkEnd w:id="30"/>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31" w:name="_Toc100568790"/>
      <w:r>
        <w:rPr>
          <w:rStyle w:val="CharSectno"/>
        </w:rPr>
        <w:t>17</w:t>
      </w:r>
      <w:r>
        <w:rPr>
          <w:snapToGrid w:val="0"/>
        </w:rPr>
        <w:t>.</w:t>
      </w:r>
      <w:r>
        <w:rPr>
          <w:snapToGrid w:val="0"/>
        </w:rPr>
        <w:tab/>
        <w:t>Disjunctive construction of “or”</w:t>
      </w:r>
      <w:bookmarkEnd w:id="31"/>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32" w:name="_Toc100568791"/>
      <w:r>
        <w:rPr>
          <w:rStyle w:val="CharSectno"/>
        </w:rPr>
        <w:t>18</w:t>
      </w:r>
      <w:r>
        <w:rPr>
          <w:snapToGrid w:val="0"/>
        </w:rPr>
        <w:t>.</w:t>
      </w:r>
      <w:r>
        <w:rPr>
          <w:snapToGrid w:val="0"/>
        </w:rPr>
        <w:tab/>
        <w:t>Purpose or object of written law, use of in interpretation</w:t>
      </w:r>
      <w:bookmarkEnd w:id="32"/>
    </w:p>
    <w:p>
      <w:pPr>
        <w:pStyle w:val="Subsection"/>
        <w:rPr>
          <w:snapToGrid w:val="0"/>
        </w:rPr>
      </w:pPr>
      <w:r>
        <w:rPr>
          <w:snapToGrid w:val="0"/>
        </w:rPr>
        <w:tab/>
      </w:r>
      <w:r>
        <w:rPr>
          <w:snapToGrid w:val="0"/>
        </w:rPr>
        <w:tab/>
        <w:t xml:space="preserve">In the interpretation of a provision of a written law, a construction that would promote the purpose or object underlying the written law (whether that purpose or object is </w:t>
      </w:r>
      <w:r>
        <w:rPr>
          <w:snapToGrid w:val="0"/>
        </w:rPr>
        <w:lastRenderedPageBreak/>
        <w:t>expressly stated in the written law or not) shall be preferred to a construction that would not promote that purpose or object.</w:t>
      </w:r>
    </w:p>
    <w:p>
      <w:pPr>
        <w:pStyle w:val="Heading5"/>
        <w:rPr>
          <w:snapToGrid w:val="0"/>
        </w:rPr>
      </w:pPr>
      <w:bookmarkStart w:id="33" w:name="_Toc100568792"/>
      <w:r>
        <w:rPr>
          <w:rStyle w:val="CharSectno"/>
        </w:rPr>
        <w:t>19</w:t>
      </w:r>
      <w:r>
        <w:rPr>
          <w:snapToGrid w:val="0"/>
        </w:rPr>
        <w:t>.</w:t>
      </w:r>
      <w:r>
        <w:rPr>
          <w:snapToGrid w:val="0"/>
        </w:rPr>
        <w:tab/>
        <w:t>Extrinsic material, use of in interpretation</w:t>
      </w:r>
      <w:bookmarkEnd w:id="33"/>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 and</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 and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 and</w:t>
      </w:r>
    </w:p>
    <w:p>
      <w:pPr>
        <w:pStyle w:val="Indenta"/>
        <w:rPr>
          <w:snapToGrid w:val="0"/>
        </w:rPr>
      </w:pPr>
      <w:r>
        <w:rPr>
          <w:snapToGrid w:val="0"/>
        </w:rPr>
        <w:lastRenderedPageBreak/>
        <w:tab/>
        <w:t>(d)</w:t>
      </w:r>
      <w:r>
        <w:rPr>
          <w:snapToGrid w:val="0"/>
        </w:rPr>
        <w:tab/>
        <w:t>any treaty or other international agreement that is referred to in the written law; and</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 and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 and</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34" w:name="_Toc100326496"/>
      <w:bookmarkStart w:id="35" w:name="_Toc100327126"/>
      <w:bookmarkStart w:id="36" w:name="_Toc100568793"/>
      <w:r>
        <w:rPr>
          <w:rStyle w:val="CharPartNo"/>
        </w:rPr>
        <w:lastRenderedPageBreak/>
        <w:t>Part III</w:t>
      </w:r>
      <w:r>
        <w:rPr>
          <w:rStyle w:val="CharDivNo"/>
        </w:rPr>
        <w:t> </w:t>
      </w:r>
      <w:r>
        <w:t>—</w:t>
      </w:r>
      <w:r>
        <w:rPr>
          <w:rStyle w:val="CharDivText"/>
        </w:rPr>
        <w:t> </w:t>
      </w:r>
      <w:r>
        <w:rPr>
          <w:rStyle w:val="CharPartText"/>
        </w:rPr>
        <w:t>Commencement and citation</w:t>
      </w:r>
      <w:bookmarkEnd w:id="34"/>
      <w:bookmarkEnd w:id="35"/>
      <w:bookmarkEnd w:id="36"/>
      <w:r>
        <w:rPr>
          <w:rStyle w:val="CharPartText"/>
        </w:rPr>
        <w:t xml:space="preserve"> </w:t>
      </w:r>
    </w:p>
    <w:p>
      <w:pPr>
        <w:pStyle w:val="Heading5"/>
        <w:spacing w:before="240"/>
        <w:rPr>
          <w:snapToGrid w:val="0"/>
        </w:rPr>
      </w:pPr>
      <w:bookmarkStart w:id="37" w:name="_Toc100568794"/>
      <w:r>
        <w:rPr>
          <w:rStyle w:val="CharSectno"/>
        </w:rPr>
        <w:t>20</w:t>
      </w:r>
      <w:r>
        <w:rPr>
          <w:snapToGrid w:val="0"/>
        </w:rPr>
        <w:t>.</w:t>
      </w:r>
      <w:r>
        <w:rPr>
          <w:snapToGrid w:val="0"/>
        </w:rPr>
        <w:tab/>
        <w:t>Commencement of Acts</w:t>
      </w:r>
      <w:bookmarkEnd w:id="37"/>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38" w:name="_Toc100568795"/>
      <w:r>
        <w:rPr>
          <w:rStyle w:val="CharSectno"/>
        </w:rPr>
        <w:t>21</w:t>
      </w:r>
      <w:r>
        <w:rPr>
          <w:snapToGrid w:val="0"/>
        </w:rPr>
        <w:t>.</w:t>
      </w:r>
      <w:r>
        <w:rPr>
          <w:snapToGrid w:val="0"/>
        </w:rPr>
        <w:tab/>
        <w:t>Time of commencement of written laws</w:t>
      </w:r>
      <w:bookmarkEnd w:id="38"/>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39" w:name="_Toc100568796"/>
      <w:r>
        <w:rPr>
          <w:rStyle w:val="CharSectno"/>
        </w:rPr>
        <w:t>22</w:t>
      </w:r>
      <w:r>
        <w:rPr>
          <w:snapToGrid w:val="0"/>
        </w:rPr>
        <w:t>.</w:t>
      </w:r>
      <w:r>
        <w:rPr>
          <w:snapToGrid w:val="0"/>
        </w:rPr>
        <w:tab/>
        <w:t>Act commencing on proclamation, commencement of certain provisions of</w:t>
      </w:r>
      <w:bookmarkEnd w:id="39"/>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40" w:name="_Toc100568797"/>
      <w:r>
        <w:rPr>
          <w:rStyle w:val="CharSectno"/>
        </w:rPr>
        <w:lastRenderedPageBreak/>
        <w:t>23</w:t>
      </w:r>
      <w:r>
        <w:rPr>
          <w:snapToGrid w:val="0"/>
        </w:rPr>
        <w:t>.</w:t>
      </w:r>
      <w:r>
        <w:rPr>
          <w:snapToGrid w:val="0"/>
        </w:rPr>
        <w:tab/>
        <w:t>Proclamation of commencement of Act, construction of power to make</w:t>
      </w:r>
      <w:bookmarkEnd w:id="40"/>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41" w:name="_Toc100568798"/>
      <w:r>
        <w:rPr>
          <w:rStyle w:val="CharSectno"/>
        </w:rPr>
        <w:t>24</w:t>
      </w:r>
      <w:r>
        <w:rPr>
          <w:snapToGrid w:val="0"/>
        </w:rPr>
        <w:t>.</w:t>
      </w:r>
      <w:r>
        <w:rPr>
          <w:snapToGrid w:val="0"/>
        </w:rPr>
        <w:tab/>
        <w:t>Date of assent, evidence of</w:t>
      </w:r>
      <w:bookmarkEnd w:id="41"/>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42" w:name="_Toc100568799"/>
      <w:r>
        <w:rPr>
          <w:rStyle w:val="CharSectno"/>
        </w:rPr>
        <w:t>25</w:t>
      </w:r>
      <w:r>
        <w:rPr>
          <w:snapToGrid w:val="0"/>
        </w:rPr>
        <w:t>.</w:t>
      </w:r>
      <w:r>
        <w:rPr>
          <w:snapToGrid w:val="0"/>
        </w:rPr>
        <w:tab/>
        <w:t>Some powers in Act may be exercised before it commences</w:t>
      </w:r>
      <w:bookmarkEnd w:id="42"/>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 or</w:t>
      </w:r>
    </w:p>
    <w:p>
      <w:pPr>
        <w:pStyle w:val="Indenta"/>
        <w:rPr>
          <w:snapToGrid w:val="0"/>
        </w:rPr>
      </w:pPr>
      <w:r>
        <w:rPr>
          <w:snapToGrid w:val="0"/>
        </w:rPr>
        <w:tab/>
        <w:t>(b)</w:t>
      </w:r>
      <w:r>
        <w:rPr>
          <w:snapToGrid w:val="0"/>
        </w:rPr>
        <w:tab/>
        <w:t>give or serve a notice or other document; or</w:t>
      </w:r>
    </w:p>
    <w:p>
      <w:pPr>
        <w:pStyle w:val="Indenta"/>
        <w:rPr>
          <w:snapToGrid w:val="0"/>
        </w:rPr>
      </w:pPr>
      <w:r>
        <w:rPr>
          <w:snapToGrid w:val="0"/>
        </w:rPr>
        <w:tab/>
        <w:t>(c)</w:t>
      </w:r>
      <w:r>
        <w:rPr>
          <w:snapToGrid w:val="0"/>
        </w:rPr>
        <w:tab/>
        <w:t>appoint a person to a specified office; or</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 xml:space="preserve">then the power may, notwithstanding that that provision has not commenced, but subject to subsections (3) and (4), be exercised at any time after the passing of the Act to the extent that it is </w:t>
      </w:r>
      <w:r>
        <w:rPr>
          <w:snapToGrid w:val="0"/>
        </w:rPr>
        <w:lastRenderedPageBreak/>
        <w:t>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 or</w:t>
      </w:r>
    </w:p>
    <w:p>
      <w:pPr>
        <w:pStyle w:val="Indenti"/>
        <w:rPr>
          <w:snapToGrid w:val="0"/>
        </w:rPr>
      </w:pPr>
      <w:r>
        <w:rPr>
          <w:snapToGrid w:val="0"/>
        </w:rPr>
        <w:tab/>
        <w:t>(ii)</w:t>
      </w:r>
      <w:r>
        <w:rPr>
          <w:snapToGrid w:val="0"/>
        </w:rPr>
        <w:tab/>
        <w:t>give or serve a notice or other document; or</w:t>
      </w:r>
    </w:p>
    <w:p>
      <w:pPr>
        <w:pStyle w:val="Indenti"/>
        <w:rPr>
          <w:snapToGrid w:val="0"/>
        </w:rPr>
      </w:pPr>
      <w:r>
        <w:rPr>
          <w:snapToGrid w:val="0"/>
        </w:rPr>
        <w:tab/>
        <w:t>(iii)</w:t>
      </w:r>
      <w:r>
        <w:rPr>
          <w:snapToGrid w:val="0"/>
        </w:rPr>
        <w:tab/>
        <w:t>appoint a person to a specified office; or</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lastRenderedPageBreak/>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r>
        <w:rPr>
          <w:snapToGrid w:val="0"/>
          <w:vertAlign w:val="superscript"/>
        </w:rPr>
        <w:t> 1</w:t>
      </w:r>
      <w:r>
        <w:rPr>
          <w:snapToGrid w:val="0"/>
        </w:rPr>
        <w:t>.</w:t>
      </w:r>
    </w:p>
    <w:p>
      <w:pPr>
        <w:pStyle w:val="Heading5"/>
        <w:rPr>
          <w:snapToGrid w:val="0"/>
        </w:rPr>
      </w:pPr>
      <w:bookmarkStart w:id="43" w:name="_Toc100568800"/>
      <w:r>
        <w:rPr>
          <w:rStyle w:val="CharSectno"/>
        </w:rPr>
        <w:t>26</w:t>
      </w:r>
      <w:r>
        <w:rPr>
          <w:snapToGrid w:val="0"/>
        </w:rPr>
        <w:t>.</w:t>
      </w:r>
      <w:r>
        <w:rPr>
          <w:snapToGrid w:val="0"/>
        </w:rPr>
        <w:tab/>
        <w:t>Citation of written laws</w:t>
      </w:r>
      <w:bookmarkEnd w:id="43"/>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lastRenderedPageBreak/>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No. 74 of 2003 s. 69(4).]</w:t>
      </w:r>
    </w:p>
    <w:p>
      <w:pPr>
        <w:pStyle w:val="Heading5"/>
        <w:rPr>
          <w:snapToGrid w:val="0"/>
        </w:rPr>
      </w:pPr>
      <w:bookmarkStart w:id="44" w:name="_Toc100568801"/>
      <w:r>
        <w:rPr>
          <w:rStyle w:val="CharSectno"/>
        </w:rPr>
        <w:t>27</w:t>
      </w:r>
      <w:r>
        <w:rPr>
          <w:snapToGrid w:val="0"/>
        </w:rPr>
        <w:t>.</w:t>
      </w:r>
      <w:r>
        <w:rPr>
          <w:snapToGrid w:val="0"/>
        </w:rPr>
        <w:tab/>
        <w:t>References to commencement of written law if different provisions commence on different days</w:t>
      </w:r>
      <w:bookmarkEnd w:id="44"/>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45" w:name="_Toc100326505"/>
      <w:bookmarkStart w:id="46" w:name="_Toc100327135"/>
      <w:bookmarkStart w:id="47" w:name="_Toc100568802"/>
      <w:r>
        <w:rPr>
          <w:rStyle w:val="CharPartNo"/>
        </w:rPr>
        <w:lastRenderedPageBreak/>
        <w:t>Part IV</w:t>
      </w:r>
      <w:r>
        <w:rPr>
          <w:rStyle w:val="CharDivNo"/>
        </w:rPr>
        <w:t> </w:t>
      </w:r>
      <w:r>
        <w:t>—</w:t>
      </w:r>
      <w:r>
        <w:rPr>
          <w:rStyle w:val="CharDivText"/>
        </w:rPr>
        <w:t> </w:t>
      </w:r>
      <w:r>
        <w:rPr>
          <w:rStyle w:val="CharPartText"/>
        </w:rPr>
        <w:t>Provisions as to enactment and operation of written law</w:t>
      </w:r>
      <w:bookmarkEnd w:id="45"/>
      <w:bookmarkEnd w:id="46"/>
      <w:bookmarkEnd w:id="47"/>
      <w:r>
        <w:rPr>
          <w:rStyle w:val="CharPartText"/>
        </w:rPr>
        <w:t xml:space="preserve"> </w:t>
      </w:r>
    </w:p>
    <w:p>
      <w:pPr>
        <w:pStyle w:val="Heading5"/>
        <w:rPr>
          <w:snapToGrid w:val="0"/>
        </w:rPr>
      </w:pPr>
      <w:bookmarkStart w:id="48" w:name="_Toc100568803"/>
      <w:r>
        <w:rPr>
          <w:rStyle w:val="CharSectno"/>
        </w:rPr>
        <w:t>28</w:t>
      </w:r>
      <w:r>
        <w:rPr>
          <w:snapToGrid w:val="0"/>
        </w:rPr>
        <w:t>.</w:t>
      </w:r>
      <w:r>
        <w:rPr>
          <w:snapToGrid w:val="0"/>
        </w:rPr>
        <w:tab/>
        <w:t>Acts deemed public Acts</w:t>
      </w:r>
      <w:bookmarkEnd w:id="48"/>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49" w:name="_Toc100568804"/>
      <w:r>
        <w:rPr>
          <w:rStyle w:val="CharSectno"/>
        </w:rPr>
        <w:t>29</w:t>
      </w:r>
      <w:r>
        <w:rPr>
          <w:snapToGrid w:val="0"/>
        </w:rPr>
        <w:t>.</w:t>
      </w:r>
      <w:r>
        <w:rPr>
          <w:snapToGrid w:val="0"/>
        </w:rPr>
        <w:tab/>
        <w:t>Sections to be substantive enactments</w:t>
      </w:r>
      <w:bookmarkEnd w:id="49"/>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50" w:name="_Toc100568805"/>
      <w:r>
        <w:rPr>
          <w:rStyle w:val="CharSectno"/>
        </w:rPr>
        <w:t>30</w:t>
      </w:r>
      <w:r>
        <w:rPr>
          <w:snapToGrid w:val="0"/>
        </w:rPr>
        <w:t>.</w:t>
      </w:r>
      <w:r>
        <w:rPr>
          <w:snapToGrid w:val="0"/>
        </w:rPr>
        <w:tab/>
        <w:t>Act may be amended in same session</w:t>
      </w:r>
      <w:bookmarkEnd w:id="50"/>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51" w:name="_Toc100568806"/>
      <w:r>
        <w:rPr>
          <w:rStyle w:val="CharSectno"/>
        </w:rPr>
        <w:t>31</w:t>
      </w:r>
      <w:r>
        <w:rPr>
          <w:snapToGrid w:val="0"/>
        </w:rPr>
        <w:t>.</w:t>
      </w:r>
      <w:r>
        <w:rPr>
          <w:snapToGrid w:val="0"/>
        </w:rPr>
        <w:tab/>
        <w:t>Preambles, schedules etc. to form part of written law</w:t>
      </w:r>
      <w:bookmarkEnd w:id="51"/>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52" w:name="_Toc100568807"/>
      <w:r>
        <w:rPr>
          <w:rStyle w:val="CharSectno"/>
        </w:rPr>
        <w:t>32</w:t>
      </w:r>
      <w:r>
        <w:rPr>
          <w:snapToGrid w:val="0"/>
        </w:rPr>
        <w:t>.</w:t>
      </w:r>
      <w:r>
        <w:rPr>
          <w:snapToGrid w:val="0"/>
        </w:rPr>
        <w:tab/>
        <w:t>Headings, marginal notes and footnotes</w:t>
      </w:r>
      <w:bookmarkEnd w:id="52"/>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60"/>
        <w:ind w:left="890" w:hanging="890"/>
      </w:pPr>
      <w:r>
        <w:tab/>
        <w:t xml:space="preserve">[Section 32 amended: No. 14 of 1996 s. 4.] </w:t>
      </w:r>
    </w:p>
    <w:p>
      <w:pPr>
        <w:pStyle w:val="Heading2"/>
      </w:pPr>
      <w:bookmarkStart w:id="53" w:name="_Toc100326511"/>
      <w:bookmarkStart w:id="54" w:name="_Toc100327141"/>
      <w:bookmarkStart w:id="55" w:name="_Toc100568808"/>
      <w:r>
        <w:rPr>
          <w:rStyle w:val="CharPartNo"/>
        </w:rPr>
        <w:lastRenderedPageBreak/>
        <w:t>Part V</w:t>
      </w:r>
      <w:r>
        <w:rPr>
          <w:rStyle w:val="CharDivNo"/>
        </w:rPr>
        <w:t> </w:t>
      </w:r>
      <w:r>
        <w:t>—</w:t>
      </w:r>
      <w:r>
        <w:rPr>
          <w:rStyle w:val="CharDivText"/>
        </w:rPr>
        <w:t> </w:t>
      </w:r>
      <w:r>
        <w:rPr>
          <w:rStyle w:val="CharPartText"/>
        </w:rPr>
        <w:t>Repeal of written law</w:t>
      </w:r>
      <w:bookmarkEnd w:id="53"/>
      <w:bookmarkEnd w:id="54"/>
      <w:bookmarkEnd w:id="55"/>
      <w:r>
        <w:rPr>
          <w:rStyle w:val="CharPartText"/>
        </w:rPr>
        <w:t xml:space="preserve"> </w:t>
      </w:r>
    </w:p>
    <w:p>
      <w:pPr>
        <w:pStyle w:val="Heading5"/>
        <w:spacing w:before="180"/>
        <w:rPr>
          <w:snapToGrid w:val="0"/>
        </w:rPr>
      </w:pPr>
      <w:bookmarkStart w:id="56" w:name="_Toc100568809"/>
      <w:r>
        <w:rPr>
          <w:rStyle w:val="CharSectno"/>
        </w:rPr>
        <w:t>33</w:t>
      </w:r>
      <w:r>
        <w:rPr>
          <w:snapToGrid w:val="0"/>
        </w:rPr>
        <w:t>.</w:t>
      </w:r>
      <w:r>
        <w:rPr>
          <w:snapToGrid w:val="0"/>
        </w:rPr>
        <w:tab/>
        <w:t>Repeal of written law includes repeal of amendments</w:t>
      </w:r>
      <w:bookmarkEnd w:id="56"/>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spacing w:before="180"/>
        <w:rPr>
          <w:snapToGrid w:val="0"/>
        </w:rPr>
      </w:pPr>
      <w:bookmarkStart w:id="57" w:name="_Toc100568810"/>
      <w:r>
        <w:rPr>
          <w:rStyle w:val="CharSectno"/>
        </w:rPr>
        <w:t>34</w:t>
      </w:r>
      <w:r>
        <w:rPr>
          <w:snapToGrid w:val="0"/>
        </w:rPr>
        <w:t>.</w:t>
      </w:r>
      <w:r>
        <w:rPr>
          <w:snapToGrid w:val="0"/>
        </w:rPr>
        <w:tab/>
        <w:t>Repeal of repealing enactment, effect of</w:t>
      </w:r>
      <w:bookmarkEnd w:id="57"/>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spacing w:before="180"/>
        <w:rPr>
          <w:snapToGrid w:val="0"/>
        </w:rPr>
      </w:pPr>
      <w:bookmarkStart w:id="58" w:name="_Toc100568811"/>
      <w:r>
        <w:rPr>
          <w:rStyle w:val="CharSectno"/>
        </w:rPr>
        <w:t>35</w:t>
      </w:r>
      <w:r>
        <w:rPr>
          <w:snapToGrid w:val="0"/>
        </w:rPr>
        <w:t>.</w:t>
      </w:r>
      <w:r>
        <w:rPr>
          <w:snapToGrid w:val="0"/>
        </w:rPr>
        <w:tab/>
        <w:t>Repeal and substitution of provision, effect of</w:t>
      </w:r>
      <w:bookmarkEnd w:id="58"/>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spacing w:before="180"/>
        <w:rPr>
          <w:snapToGrid w:val="0"/>
        </w:rPr>
      </w:pPr>
      <w:bookmarkStart w:id="59" w:name="_Toc100568812"/>
      <w:r>
        <w:rPr>
          <w:rStyle w:val="CharSectno"/>
        </w:rPr>
        <w:t>36</w:t>
      </w:r>
      <w:r>
        <w:rPr>
          <w:snapToGrid w:val="0"/>
        </w:rPr>
        <w:t>.</w:t>
      </w:r>
      <w:r>
        <w:rPr>
          <w:snapToGrid w:val="0"/>
        </w:rPr>
        <w:tab/>
        <w:t>Repealing and re</w:t>
      </w:r>
      <w:r>
        <w:rPr>
          <w:snapToGrid w:val="0"/>
        </w:rPr>
        <w:noBreakHyphen/>
        <w:t>enacting a provision, effect of</w:t>
      </w:r>
      <w:bookmarkEnd w:id="59"/>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 and</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 and</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 xml:space="preserve">which, at the commencement of the repealing law, are respectively in existence, or in force or operation, under or for </w:t>
      </w:r>
      <w:r>
        <w:rPr>
          <w:snapToGrid w:val="0"/>
        </w:rPr>
        <w:lastRenderedPageBreak/>
        <w:t>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60" w:name="_Toc100568813"/>
      <w:r>
        <w:rPr>
          <w:rStyle w:val="CharSectno"/>
        </w:rPr>
        <w:t>37</w:t>
      </w:r>
      <w:r>
        <w:rPr>
          <w:snapToGrid w:val="0"/>
        </w:rPr>
        <w:t>.</w:t>
      </w:r>
      <w:r>
        <w:rPr>
          <w:snapToGrid w:val="0"/>
        </w:rPr>
        <w:tab/>
        <w:t>General savings on repeal</w:t>
      </w:r>
      <w:bookmarkEnd w:id="60"/>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 xml:space="preserve">The inclusion in the repealing provisions of an enactment of any express saving with respect to the repeals effected thereby shall </w:t>
      </w:r>
      <w:r>
        <w:rPr>
          <w:snapToGrid w:val="0"/>
        </w:rPr>
        <w:lastRenderedPageBreak/>
        <w:t>not be taken to prejudice the operation of this section with respect to the effect of those repeals.</w:t>
      </w:r>
    </w:p>
    <w:p>
      <w:pPr>
        <w:pStyle w:val="Footnotesection"/>
      </w:pPr>
      <w:r>
        <w:tab/>
        <w:t xml:space="preserve">[Section 37 amended: No. 78 of 1995 s. 56.] </w:t>
      </w:r>
    </w:p>
    <w:p>
      <w:pPr>
        <w:pStyle w:val="Heading5"/>
        <w:rPr>
          <w:snapToGrid w:val="0"/>
        </w:rPr>
      </w:pPr>
      <w:bookmarkStart w:id="61" w:name="_Toc100568814"/>
      <w:r>
        <w:rPr>
          <w:rStyle w:val="CharSectno"/>
        </w:rPr>
        <w:t>38</w:t>
      </w:r>
      <w:r>
        <w:rPr>
          <w:snapToGrid w:val="0"/>
        </w:rPr>
        <w:t>.</w:t>
      </w:r>
      <w:r>
        <w:rPr>
          <w:snapToGrid w:val="0"/>
        </w:rPr>
        <w:tab/>
        <w:t>Repeal of Act, effect of on subsidiary legislation</w:t>
      </w:r>
      <w:bookmarkEnd w:id="61"/>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62" w:name="_Toc100568815"/>
      <w:r>
        <w:rPr>
          <w:rStyle w:val="CharSectno"/>
        </w:rPr>
        <w:t>39</w:t>
      </w:r>
      <w:r>
        <w:rPr>
          <w:snapToGrid w:val="0"/>
        </w:rPr>
        <w:t>.</w:t>
      </w:r>
      <w:r>
        <w:rPr>
          <w:snapToGrid w:val="0"/>
        </w:rPr>
        <w:tab/>
        <w:t>Expiry of enactment, effect of</w:t>
      </w:r>
      <w:bookmarkEnd w:id="62"/>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63" w:name="_Toc100326519"/>
      <w:bookmarkStart w:id="64" w:name="_Toc100327149"/>
      <w:bookmarkStart w:id="65" w:name="_Toc100568816"/>
      <w:r>
        <w:rPr>
          <w:rStyle w:val="CharPartNo"/>
        </w:rPr>
        <w:lastRenderedPageBreak/>
        <w:t>Part VI</w:t>
      </w:r>
      <w:r>
        <w:rPr>
          <w:rStyle w:val="CharDivNo"/>
        </w:rPr>
        <w:t> </w:t>
      </w:r>
      <w:r>
        <w:t>—</w:t>
      </w:r>
      <w:r>
        <w:rPr>
          <w:rStyle w:val="CharDivText"/>
        </w:rPr>
        <w:t> </w:t>
      </w:r>
      <w:r>
        <w:rPr>
          <w:rStyle w:val="CharPartText"/>
        </w:rPr>
        <w:t>Subsidiary legislation</w:t>
      </w:r>
      <w:bookmarkEnd w:id="63"/>
      <w:bookmarkEnd w:id="64"/>
      <w:bookmarkEnd w:id="65"/>
      <w:r>
        <w:rPr>
          <w:rStyle w:val="CharPartText"/>
        </w:rPr>
        <w:t xml:space="preserve"> </w:t>
      </w:r>
    </w:p>
    <w:p>
      <w:pPr>
        <w:pStyle w:val="Heading5"/>
        <w:spacing w:before="240"/>
        <w:rPr>
          <w:snapToGrid w:val="0"/>
        </w:rPr>
      </w:pPr>
      <w:bookmarkStart w:id="66" w:name="_Toc100568817"/>
      <w:r>
        <w:rPr>
          <w:rStyle w:val="CharSectno"/>
        </w:rPr>
        <w:t>40</w:t>
      </w:r>
      <w:r>
        <w:rPr>
          <w:snapToGrid w:val="0"/>
        </w:rPr>
        <w:t>.</w:t>
      </w:r>
      <w:r>
        <w:rPr>
          <w:snapToGrid w:val="0"/>
        </w:rPr>
        <w:tab/>
        <w:t>Governor to make subsidiary legislation</w:t>
      </w:r>
      <w:bookmarkEnd w:id="66"/>
      <w:r>
        <w:rPr>
          <w:snapToGrid w:val="0"/>
        </w:rPr>
        <w:t xml:space="preserve"> </w:t>
      </w:r>
    </w:p>
    <w:p>
      <w:pPr>
        <w:pStyle w:val="Subsection"/>
        <w:spacing w:before="180"/>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240"/>
        <w:rPr>
          <w:snapToGrid w:val="0"/>
        </w:rPr>
      </w:pPr>
      <w:bookmarkStart w:id="67" w:name="_Toc100568818"/>
      <w:r>
        <w:rPr>
          <w:rStyle w:val="CharSectno"/>
        </w:rPr>
        <w:t>41</w:t>
      </w:r>
      <w:r>
        <w:rPr>
          <w:snapToGrid w:val="0"/>
        </w:rPr>
        <w:t>.</w:t>
      </w:r>
      <w:r>
        <w:rPr>
          <w:snapToGrid w:val="0"/>
        </w:rPr>
        <w:tab/>
        <w:t>Publication and commencement of subsidiary legislation</w:t>
      </w:r>
      <w:bookmarkEnd w:id="67"/>
      <w:r>
        <w:rPr>
          <w:snapToGrid w:val="0"/>
        </w:rPr>
        <w:t xml:space="preserve"> </w:t>
      </w:r>
    </w:p>
    <w:p>
      <w:pPr>
        <w:pStyle w:val="Subsection"/>
        <w:spacing w:before="180"/>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240"/>
        <w:rPr>
          <w:snapToGrid w:val="0"/>
        </w:rPr>
      </w:pPr>
      <w:bookmarkStart w:id="68" w:name="_Toc100568819"/>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68"/>
      <w:r>
        <w:rPr>
          <w:snapToGrid w:val="0"/>
        </w:rPr>
        <w:t xml:space="preserve"> </w:t>
      </w:r>
    </w:p>
    <w:p>
      <w:pPr>
        <w:pStyle w:val="Subsection"/>
        <w:spacing w:before="180"/>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spacing w:before="180"/>
        <w:rPr>
          <w:snapToGrid w:val="0"/>
        </w:rPr>
      </w:pPr>
      <w:r>
        <w:rPr>
          <w:snapToGrid w:val="0"/>
        </w:rPr>
        <w:tab/>
        <w:t>(2)</w:t>
      </w:r>
      <w:r>
        <w:rPr>
          <w:snapToGrid w:val="0"/>
        </w:rPr>
        <w:tab/>
        <w:t xml:space="preserve">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w:t>
      </w:r>
      <w:r>
        <w:rPr>
          <w:snapToGrid w:val="0"/>
        </w:rPr>
        <w:lastRenderedPageBreak/>
        <w:t>affecting the validity or curing the invalidity of anything done or of the omission of anything in the meantime.</w:t>
      </w:r>
    </w:p>
    <w:p>
      <w:pPr>
        <w:pStyle w:val="Subsection"/>
        <w:spacing w:before="18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8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spacing w:before="18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80"/>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keepNext/>
        <w:rPr>
          <w:snapToGrid w:val="0"/>
        </w:rPr>
      </w:pPr>
      <w:r>
        <w:rPr>
          <w:snapToGrid w:val="0"/>
        </w:rPr>
        <w:lastRenderedPageBreak/>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No. 14 of 1996 s. 4.] </w:t>
      </w:r>
    </w:p>
    <w:p>
      <w:pPr>
        <w:pStyle w:val="Heading5"/>
        <w:rPr>
          <w:snapToGrid w:val="0"/>
        </w:rPr>
      </w:pPr>
      <w:bookmarkStart w:id="69" w:name="_Toc100568820"/>
      <w:r>
        <w:rPr>
          <w:rStyle w:val="CharSectno"/>
        </w:rPr>
        <w:t>43</w:t>
      </w:r>
      <w:r>
        <w:rPr>
          <w:snapToGrid w:val="0"/>
        </w:rPr>
        <w:t>.</w:t>
      </w:r>
      <w:r>
        <w:rPr>
          <w:snapToGrid w:val="0"/>
        </w:rPr>
        <w:tab/>
        <w:t>Power to make subsidiary legislation, general provisions about</w:t>
      </w:r>
      <w:bookmarkEnd w:id="69"/>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keepNext/>
        <w:keepLines/>
        <w:rPr>
          <w:snapToGrid w:val="0"/>
        </w:rPr>
      </w:pPr>
      <w:r>
        <w:rPr>
          <w:snapToGrid w:val="0"/>
        </w:rPr>
        <w:lastRenderedPageBreak/>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lastRenderedPageBreak/>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No. 14 of 1996 s. 4.] </w:t>
      </w:r>
    </w:p>
    <w:p>
      <w:pPr>
        <w:pStyle w:val="Heading5"/>
        <w:rPr>
          <w:snapToGrid w:val="0"/>
        </w:rPr>
      </w:pPr>
      <w:bookmarkStart w:id="70" w:name="_Toc100568821"/>
      <w:r>
        <w:rPr>
          <w:rStyle w:val="CharSectno"/>
        </w:rPr>
        <w:t>44</w:t>
      </w:r>
      <w:r>
        <w:rPr>
          <w:snapToGrid w:val="0"/>
        </w:rPr>
        <w:t>.</w:t>
      </w:r>
      <w:r>
        <w:rPr>
          <w:snapToGrid w:val="0"/>
        </w:rPr>
        <w:tab/>
        <w:t>Words and expressions in subsidiary legislation, meaning of</w:t>
      </w:r>
      <w:bookmarkEnd w:id="70"/>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lastRenderedPageBreak/>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71" w:name="_Toc100568822"/>
      <w:r>
        <w:rPr>
          <w:rStyle w:val="CharSectno"/>
        </w:rPr>
        <w:t>45</w:t>
      </w:r>
      <w:r>
        <w:rPr>
          <w:snapToGrid w:val="0"/>
        </w:rPr>
        <w:t>.</w:t>
      </w:r>
      <w:r>
        <w:rPr>
          <w:snapToGrid w:val="0"/>
        </w:rPr>
        <w:tab/>
        <w:t>Fees and charges</w:t>
      </w:r>
      <w:bookmarkEnd w:id="71"/>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 and</w:t>
      </w:r>
    </w:p>
    <w:p>
      <w:pPr>
        <w:pStyle w:val="Indenta"/>
        <w:rPr>
          <w:snapToGrid w:val="0"/>
        </w:rPr>
      </w:pPr>
      <w:r>
        <w:rPr>
          <w:snapToGrid w:val="0"/>
        </w:rPr>
        <w:tab/>
        <w:t>(b)</w:t>
      </w:r>
      <w:r>
        <w:rPr>
          <w:snapToGrid w:val="0"/>
        </w:rPr>
        <w:tab/>
        <w:t>maximum or minimum fees or charges; and</w:t>
      </w:r>
    </w:p>
    <w:p>
      <w:pPr>
        <w:pStyle w:val="Indenta"/>
        <w:rPr>
          <w:snapToGrid w:val="0"/>
        </w:rPr>
      </w:pPr>
      <w:r>
        <w:rPr>
          <w:snapToGrid w:val="0"/>
        </w:rPr>
        <w:tab/>
        <w:t>(c)</w:t>
      </w:r>
      <w:r>
        <w:rPr>
          <w:snapToGrid w:val="0"/>
        </w:rPr>
        <w:tab/>
        <w:t>maximum and minimum fees or charges; and</w:t>
      </w:r>
    </w:p>
    <w:p>
      <w:pPr>
        <w:pStyle w:val="Indenta"/>
        <w:rPr>
          <w:snapToGrid w:val="0"/>
        </w:rPr>
      </w:pPr>
      <w:r>
        <w:rPr>
          <w:snapToGrid w:val="0"/>
        </w:rPr>
        <w:tab/>
        <w:t>(d)</w:t>
      </w:r>
      <w:r>
        <w:rPr>
          <w:snapToGrid w:val="0"/>
        </w:rPr>
        <w:tab/>
      </w:r>
      <w:r>
        <w:rPr>
          <w:i/>
          <w:snapToGrid w:val="0"/>
        </w:rPr>
        <w:t>ad valorem</w:t>
      </w:r>
      <w:r>
        <w:rPr>
          <w:snapToGrid w:val="0"/>
        </w:rPr>
        <w:t xml:space="preserve"> fees or charges; and</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 or</w:t>
      </w:r>
    </w:p>
    <w:p>
      <w:pPr>
        <w:pStyle w:val="Indenta"/>
        <w:rPr>
          <w:snapToGrid w:val="0"/>
        </w:rPr>
      </w:pPr>
      <w:r>
        <w:rPr>
          <w:snapToGrid w:val="0"/>
        </w:rPr>
        <w:tab/>
        <w:t>(b)</w:t>
      </w:r>
      <w:r>
        <w:rPr>
          <w:snapToGrid w:val="0"/>
        </w:rPr>
        <w:tab/>
        <w:t>in respect of certain documents or classes of document; or</w:t>
      </w:r>
    </w:p>
    <w:p>
      <w:pPr>
        <w:pStyle w:val="Indenta"/>
        <w:rPr>
          <w:snapToGrid w:val="0"/>
        </w:rPr>
      </w:pPr>
      <w:r>
        <w:rPr>
          <w:snapToGrid w:val="0"/>
        </w:rPr>
        <w:tab/>
        <w:t>(c)</w:t>
      </w:r>
      <w:r>
        <w:rPr>
          <w:snapToGrid w:val="0"/>
        </w:rPr>
        <w:tab/>
        <w:t>when any event happens or ceases to happen; or</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 xml:space="preserve">and may be expressed to apply or to be applicable subject to such conditions as may be specified in the subsidiary legislation </w:t>
      </w:r>
      <w:r>
        <w:rPr>
          <w:snapToGrid w:val="0"/>
        </w:rPr>
        <w:lastRenderedPageBreak/>
        <w:t>or in the discretion of any person specified in the subsidiary legislation.</w:t>
      </w:r>
    </w:p>
    <w:p>
      <w:pPr>
        <w:pStyle w:val="Ednotesubsection"/>
      </w:pPr>
      <w:r>
        <w:tab/>
        <w:t>[(3)</w:t>
      </w:r>
      <w:r>
        <w:tab/>
        <w:t>deleted]</w:t>
      </w:r>
    </w:p>
    <w:p>
      <w:pPr>
        <w:pStyle w:val="Footnotesection"/>
      </w:pPr>
      <w:r>
        <w:tab/>
        <w:t>[Section 45 amended: No. 34 of 2020 s. 94.]</w:t>
      </w:r>
    </w:p>
    <w:p>
      <w:pPr>
        <w:pStyle w:val="Heading5"/>
      </w:pPr>
      <w:bookmarkStart w:id="72" w:name="_Toc100568823"/>
      <w:r>
        <w:rPr>
          <w:rStyle w:val="CharSectno"/>
        </w:rPr>
        <w:t>45A</w:t>
      </w:r>
      <w:r>
        <w:t>.</w:t>
      </w:r>
      <w:r>
        <w:tab/>
        <w:t>Fees for licences, effect of power to prescribe</w:t>
      </w:r>
      <w:bookmarkEnd w:id="72"/>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No. 54 of 1997 s. 3.]</w:t>
      </w:r>
    </w:p>
    <w:p>
      <w:pPr>
        <w:pStyle w:val="Heading5"/>
        <w:rPr>
          <w:snapToGrid w:val="0"/>
        </w:rPr>
      </w:pPr>
      <w:bookmarkStart w:id="73" w:name="_Toc100568824"/>
      <w:r>
        <w:rPr>
          <w:rStyle w:val="CharSectno"/>
        </w:rPr>
        <w:t>46</w:t>
      </w:r>
      <w:r>
        <w:rPr>
          <w:snapToGrid w:val="0"/>
        </w:rPr>
        <w:t>.</w:t>
      </w:r>
      <w:r>
        <w:rPr>
          <w:snapToGrid w:val="0"/>
        </w:rPr>
        <w:tab/>
        <w:t>Reference to written law includes reference to subsidiary legislation made under it</w:t>
      </w:r>
      <w:bookmarkEnd w:id="73"/>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lastRenderedPageBreak/>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No. 73 of 1994 s. 4.] </w:t>
      </w:r>
    </w:p>
    <w:p>
      <w:pPr>
        <w:pStyle w:val="Heading5"/>
        <w:rPr>
          <w:snapToGrid w:val="0"/>
        </w:rPr>
      </w:pPr>
      <w:bookmarkStart w:id="74" w:name="_Toc100568825"/>
      <w:r>
        <w:rPr>
          <w:rStyle w:val="CharSectno"/>
        </w:rPr>
        <w:t>47</w:t>
      </w:r>
      <w:r>
        <w:rPr>
          <w:snapToGrid w:val="0"/>
        </w:rPr>
        <w:t>.</w:t>
      </w:r>
      <w:r>
        <w:rPr>
          <w:snapToGrid w:val="0"/>
        </w:rPr>
        <w:tab/>
        <w:t>Acts done under subsidiary legislation deemed done under Act</w:t>
      </w:r>
      <w:bookmarkEnd w:id="74"/>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75" w:name="_Toc100326529"/>
      <w:bookmarkStart w:id="76" w:name="_Toc100327159"/>
      <w:bookmarkStart w:id="77" w:name="_Toc100568826"/>
      <w:r>
        <w:rPr>
          <w:rStyle w:val="CharPartNo"/>
        </w:rPr>
        <w:lastRenderedPageBreak/>
        <w:t>Part VII</w:t>
      </w:r>
      <w:r>
        <w:rPr>
          <w:rStyle w:val="CharDivNo"/>
        </w:rPr>
        <w:t> </w:t>
      </w:r>
      <w:r>
        <w:t>—</w:t>
      </w:r>
      <w:r>
        <w:rPr>
          <w:rStyle w:val="CharDivText"/>
        </w:rPr>
        <w:t> </w:t>
      </w:r>
      <w:r>
        <w:rPr>
          <w:rStyle w:val="CharPartText"/>
        </w:rPr>
        <w:t>Statutory powers and duties</w:t>
      </w:r>
      <w:bookmarkEnd w:id="75"/>
      <w:bookmarkEnd w:id="76"/>
      <w:bookmarkEnd w:id="77"/>
      <w:r>
        <w:rPr>
          <w:rStyle w:val="CharPartText"/>
        </w:rPr>
        <w:t xml:space="preserve"> </w:t>
      </w:r>
    </w:p>
    <w:p>
      <w:pPr>
        <w:pStyle w:val="Heading5"/>
        <w:rPr>
          <w:snapToGrid w:val="0"/>
        </w:rPr>
      </w:pPr>
      <w:bookmarkStart w:id="78" w:name="_Toc100568827"/>
      <w:r>
        <w:rPr>
          <w:rStyle w:val="CharSectno"/>
        </w:rPr>
        <w:t>48</w:t>
      </w:r>
      <w:r>
        <w:rPr>
          <w:snapToGrid w:val="0"/>
        </w:rPr>
        <w:t>.</w:t>
      </w:r>
      <w:r>
        <w:rPr>
          <w:snapToGrid w:val="0"/>
        </w:rPr>
        <w:tab/>
        <w:t>Time for exercise of power or performance of duty</w:t>
      </w:r>
      <w:bookmarkEnd w:id="78"/>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79" w:name="_Toc100568828"/>
      <w:r>
        <w:rPr>
          <w:rStyle w:val="CharSectno"/>
        </w:rPr>
        <w:t>48A</w:t>
      </w:r>
      <w:r>
        <w:rPr>
          <w:snapToGrid w:val="0"/>
        </w:rPr>
        <w:t>.</w:t>
      </w:r>
      <w:r>
        <w:rPr>
          <w:snapToGrid w:val="0"/>
        </w:rPr>
        <w:tab/>
        <w:t>Judicial acts and service of process may be done on any day</w:t>
      </w:r>
      <w:bookmarkEnd w:id="79"/>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No. 49 of 1997 s. 4(1).]</w:t>
      </w:r>
    </w:p>
    <w:p>
      <w:pPr>
        <w:pStyle w:val="Heading5"/>
        <w:spacing w:before="180"/>
        <w:rPr>
          <w:snapToGrid w:val="0"/>
        </w:rPr>
      </w:pPr>
      <w:bookmarkStart w:id="80" w:name="_Toc100568829"/>
      <w:r>
        <w:rPr>
          <w:rStyle w:val="CharSectno"/>
        </w:rPr>
        <w:t>49</w:t>
      </w:r>
      <w:r>
        <w:rPr>
          <w:snapToGrid w:val="0"/>
        </w:rPr>
        <w:t>.</w:t>
      </w:r>
      <w:r>
        <w:rPr>
          <w:snapToGrid w:val="0"/>
        </w:rPr>
        <w:tab/>
        <w:t>Public officer’s powers and duties may be exercised by acting officer etc.</w:t>
      </w:r>
      <w:bookmarkEnd w:id="80"/>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spacing w:before="180"/>
        <w:rPr>
          <w:snapToGrid w:val="0"/>
        </w:rPr>
      </w:pPr>
      <w:bookmarkStart w:id="81" w:name="_Toc100568830"/>
      <w:r>
        <w:rPr>
          <w:rStyle w:val="CharSectno"/>
        </w:rPr>
        <w:t>50</w:t>
      </w:r>
      <w:r>
        <w:rPr>
          <w:snapToGrid w:val="0"/>
        </w:rPr>
        <w:t>.</w:t>
      </w:r>
      <w:r>
        <w:rPr>
          <w:snapToGrid w:val="0"/>
        </w:rPr>
        <w:tab/>
        <w:t>Statutory powers, construction of</w:t>
      </w:r>
      <w:bookmarkEnd w:id="81"/>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 xml:space="preserve">to provide for, prohibit, control or regulate any matter, such power includes power to provide for the same by </w:t>
      </w:r>
      <w:r>
        <w:rPr>
          <w:snapToGrid w:val="0"/>
        </w:rPr>
        <w:lastRenderedPageBreak/>
        <w:t>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82" w:name="_Toc100568831"/>
      <w:r>
        <w:rPr>
          <w:rStyle w:val="CharSectno"/>
        </w:rPr>
        <w:t>51</w:t>
      </w:r>
      <w:r>
        <w:rPr>
          <w:snapToGrid w:val="0"/>
        </w:rPr>
        <w:t>.</w:t>
      </w:r>
      <w:r>
        <w:rPr>
          <w:snapToGrid w:val="0"/>
        </w:rPr>
        <w:tab/>
        <w:t>Power to issue licences and other authorisations is discretionary</w:t>
      </w:r>
      <w:bookmarkEnd w:id="82"/>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No. 54 of 2004 s. 175(3).]</w:t>
      </w:r>
    </w:p>
    <w:p>
      <w:pPr>
        <w:pStyle w:val="Heading5"/>
        <w:spacing w:before="120"/>
        <w:rPr>
          <w:snapToGrid w:val="0"/>
        </w:rPr>
      </w:pPr>
      <w:bookmarkStart w:id="83" w:name="_Toc100568832"/>
      <w:r>
        <w:rPr>
          <w:rStyle w:val="CharSectno"/>
        </w:rPr>
        <w:lastRenderedPageBreak/>
        <w:t>52</w:t>
      </w:r>
      <w:r>
        <w:rPr>
          <w:snapToGrid w:val="0"/>
        </w:rPr>
        <w:t>.</w:t>
      </w:r>
      <w:r>
        <w:rPr>
          <w:snapToGrid w:val="0"/>
        </w:rPr>
        <w:tab/>
        <w:t>Power to appoint includes power to remove, suspend, appoint acting officer etc.</w:t>
      </w:r>
      <w:bookmarkEnd w:id="83"/>
    </w:p>
    <w:p>
      <w:pPr>
        <w:pStyle w:val="Subsection"/>
        <w:spacing w:before="12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 and</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spacing w:before="120"/>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 and</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spacing w:before="120"/>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spacing w:before="120"/>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w:t>
      </w:r>
      <w:r>
        <w:rPr>
          <w:snapToGrid w:val="0"/>
        </w:rPr>
        <w:lastRenderedPageBreak/>
        <w:t>nomination or recommendation or subject to such approval, concurrence, or consent.</w:t>
      </w:r>
    </w:p>
    <w:p>
      <w:pPr>
        <w:pStyle w:val="Subsection"/>
        <w:spacing w:before="120"/>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r>
        <w:tab/>
        <w:t>[Section 52 amended: No. 31 of 2010 s. 7.]</w:t>
      </w:r>
    </w:p>
    <w:p>
      <w:pPr>
        <w:pStyle w:val="Heading5"/>
        <w:spacing w:before="180"/>
        <w:rPr>
          <w:snapToGrid w:val="0"/>
        </w:rPr>
      </w:pPr>
      <w:bookmarkStart w:id="84" w:name="_Toc100568833"/>
      <w:r>
        <w:rPr>
          <w:rStyle w:val="CharSectno"/>
        </w:rPr>
        <w:t>53</w:t>
      </w:r>
      <w:r>
        <w:rPr>
          <w:snapToGrid w:val="0"/>
        </w:rPr>
        <w:t>.</w:t>
      </w:r>
      <w:r>
        <w:rPr>
          <w:snapToGrid w:val="0"/>
        </w:rPr>
        <w:tab/>
        <w:t>Appointments may be by name or office</w:t>
      </w:r>
      <w:bookmarkEnd w:id="84"/>
      <w:r>
        <w:rPr>
          <w:snapToGrid w:val="0"/>
        </w:rPr>
        <w:t xml:space="preserve"> </w:t>
      </w:r>
    </w:p>
    <w:p>
      <w:pPr>
        <w:pStyle w:val="Subsection"/>
        <w:keepNext/>
        <w:spacing w:before="120"/>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 or</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spacing w:before="180"/>
        <w:rPr>
          <w:snapToGrid w:val="0"/>
        </w:rPr>
      </w:pPr>
      <w:bookmarkStart w:id="85" w:name="_Toc100568834"/>
      <w:r>
        <w:rPr>
          <w:rStyle w:val="CharSectno"/>
        </w:rPr>
        <w:t>54</w:t>
      </w:r>
      <w:r>
        <w:rPr>
          <w:snapToGrid w:val="0"/>
        </w:rPr>
        <w:t>.</w:t>
      </w:r>
      <w:r>
        <w:rPr>
          <w:snapToGrid w:val="0"/>
        </w:rPr>
        <w:tab/>
        <w:t>Statutory bodies, majority and quorum provisions</w:t>
      </w:r>
      <w:bookmarkEnd w:id="85"/>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lastRenderedPageBreak/>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86" w:name="_Toc100568835"/>
      <w:r>
        <w:rPr>
          <w:rStyle w:val="CharSectno"/>
        </w:rPr>
        <w:t>55</w:t>
      </w:r>
      <w:r>
        <w:rPr>
          <w:snapToGrid w:val="0"/>
        </w:rPr>
        <w:t>.</w:t>
      </w:r>
      <w:r>
        <w:rPr>
          <w:snapToGrid w:val="0"/>
        </w:rPr>
        <w:tab/>
        <w:t>Errors when exercising certain powers or duties may be corrected</w:t>
      </w:r>
      <w:bookmarkEnd w:id="86"/>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87" w:name="_Toc100568836"/>
      <w:r>
        <w:rPr>
          <w:snapToGrid w:val="0"/>
        </w:rPr>
        <w:t>56.</w:t>
      </w:r>
      <w:r>
        <w:rPr>
          <w:snapToGrid w:val="0"/>
        </w:rPr>
        <w:tab/>
        <w:t>“May” imports a discretion, “shall” is imperative</w:t>
      </w:r>
      <w:bookmarkEnd w:id="87"/>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88" w:name="_Toc100568837"/>
      <w:r>
        <w:rPr>
          <w:rStyle w:val="CharSectno"/>
        </w:rPr>
        <w:t>57</w:t>
      </w:r>
      <w:r>
        <w:rPr>
          <w:snapToGrid w:val="0"/>
        </w:rPr>
        <w:t>.</w:t>
      </w:r>
      <w:r>
        <w:rPr>
          <w:snapToGrid w:val="0"/>
        </w:rPr>
        <w:tab/>
        <w:t>Statutory bodies, powers of not affected by vacancies etc.</w:t>
      </w:r>
      <w:bookmarkEnd w:id="88"/>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 or</w:t>
      </w:r>
    </w:p>
    <w:p>
      <w:pPr>
        <w:pStyle w:val="Indenta"/>
        <w:keepNext/>
        <w:keepLines/>
        <w:rPr>
          <w:snapToGrid w:val="0"/>
        </w:rPr>
      </w:pPr>
      <w:r>
        <w:rPr>
          <w:snapToGrid w:val="0"/>
        </w:rPr>
        <w:lastRenderedPageBreak/>
        <w:tab/>
        <w:t>(b)</w:t>
      </w:r>
      <w:r>
        <w:rPr>
          <w:snapToGrid w:val="0"/>
        </w:rPr>
        <w:tab/>
        <w:t>any defect afterwards discovered in the appointment or qualification of a person purporting to be a member of the body or the deputy or alternate of a member; or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89" w:name="_Toc100568838"/>
      <w:r>
        <w:rPr>
          <w:rStyle w:val="CharSectno"/>
        </w:rPr>
        <w:t>58</w:t>
      </w:r>
      <w:r>
        <w:rPr>
          <w:snapToGrid w:val="0"/>
        </w:rPr>
        <w:t>.</w:t>
      </w:r>
      <w:r>
        <w:rPr>
          <w:snapToGrid w:val="0"/>
        </w:rPr>
        <w:tab/>
        <w:t>Delegates, performance of functions by</w:t>
      </w:r>
      <w:bookmarkEnd w:id="89"/>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90" w:name="_Toc100568839"/>
      <w:r>
        <w:rPr>
          <w:rStyle w:val="CharSectno"/>
        </w:rPr>
        <w:t>59</w:t>
      </w:r>
      <w:r>
        <w:rPr>
          <w:snapToGrid w:val="0"/>
        </w:rPr>
        <w:t>.</w:t>
      </w:r>
      <w:r>
        <w:rPr>
          <w:snapToGrid w:val="0"/>
        </w:rPr>
        <w:tab/>
        <w:t>Power to delegate, effect of</w:t>
      </w:r>
      <w:bookmarkEnd w:id="90"/>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lastRenderedPageBreak/>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91" w:name="_Toc100568840"/>
      <w:r>
        <w:rPr>
          <w:rStyle w:val="CharSectno"/>
        </w:rPr>
        <w:t>60</w:t>
      </w:r>
      <w:r>
        <w:rPr>
          <w:snapToGrid w:val="0"/>
        </w:rPr>
        <w:t>.</w:t>
      </w:r>
      <w:r>
        <w:rPr>
          <w:snapToGrid w:val="0"/>
        </w:rPr>
        <w:tab/>
        <w:t>Governor to act with advice of Executive Council</w:t>
      </w:r>
      <w:bookmarkEnd w:id="91"/>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92" w:name="_Toc100326544"/>
      <w:bookmarkStart w:id="93" w:name="_Toc100327174"/>
      <w:bookmarkStart w:id="94" w:name="_Toc100568841"/>
      <w:r>
        <w:rPr>
          <w:rStyle w:val="CharPartNo"/>
        </w:rPr>
        <w:lastRenderedPageBreak/>
        <w:t>Part VIII</w:t>
      </w:r>
      <w:r>
        <w:rPr>
          <w:rStyle w:val="CharDivNo"/>
        </w:rPr>
        <w:t> </w:t>
      </w:r>
      <w:r>
        <w:t>—</w:t>
      </w:r>
      <w:r>
        <w:rPr>
          <w:rStyle w:val="CharDivText"/>
        </w:rPr>
        <w:t> </w:t>
      </w:r>
      <w:r>
        <w:rPr>
          <w:rStyle w:val="CharPartText"/>
        </w:rPr>
        <w:t>Provisions regarding time and distance</w:t>
      </w:r>
      <w:bookmarkEnd w:id="92"/>
      <w:bookmarkEnd w:id="93"/>
      <w:bookmarkEnd w:id="94"/>
      <w:r>
        <w:rPr>
          <w:rStyle w:val="CharPartText"/>
        </w:rPr>
        <w:t xml:space="preserve"> </w:t>
      </w:r>
    </w:p>
    <w:p>
      <w:pPr>
        <w:pStyle w:val="Heading5"/>
        <w:rPr>
          <w:snapToGrid w:val="0"/>
        </w:rPr>
      </w:pPr>
      <w:bookmarkStart w:id="95" w:name="_Toc100568842"/>
      <w:r>
        <w:rPr>
          <w:rStyle w:val="CharSectno"/>
        </w:rPr>
        <w:t>61</w:t>
      </w:r>
      <w:r>
        <w:rPr>
          <w:snapToGrid w:val="0"/>
        </w:rPr>
        <w:t>.</w:t>
      </w:r>
      <w:r>
        <w:rPr>
          <w:snapToGrid w:val="0"/>
        </w:rPr>
        <w:tab/>
        <w:t>Time, computation of</w:t>
      </w:r>
      <w:bookmarkEnd w:id="95"/>
      <w:r>
        <w:rPr>
          <w:snapToGrid w:val="0"/>
        </w:rPr>
        <w:t xml:space="preserve"> </w:t>
      </w:r>
    </w:p>
    <w:p>
      <w:pPr>
        <w:pStyle w:val="Subsection"/>
        <w:spacing w:before="120"/>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lastRenderedPageBreak/>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96" w:name="_Toc100568843"/>
      <w:r>
        <w:rPr>
          <w:rStyle w:val="CharSectno"/>
        </w:rPr>
        <w:t>62</w:t>
      </w:r>
      <w:r>
        <w:rPr>
          <w:snapToGrid w:val="0"/>
        </w:rPr>
        <w:t>.</w:t>
      </w:r>
      <w:r>
        <w:rPr>
          <w:snapToGrid w:val="0"/>
        </w:rPr>
        <w:tab/>
        <w:t>Months, reckoning of</w:t>
      </w:r>
      <w:bookmarkEnd w:id="96"/>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97" w:name="_Toc100568844"/>
      <w:r>
        <w:rPr>
          <w:rStyle w:val="CharSectno"/>
        </w:rPr>
        <w:t>63</w:t>
      </w:r>
      <w:r>
        <w:rPr>
          <w:snapToGrid w:val="0"/>
        </w:rPr>
        <w:t>.</w:t>
      </w:r>
      <w:r>
        <w:rPr>
          <w:snapToGrid w:val="0"/>
        </w:rPr>
        <w:tab/>
        <w:t>Time for doing acts if no time fixed</w:t>
      </w:r>
      <w:bookmarkEnd w:id="97"/>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98" w:name="_Toc100568845"/>
      <w:r>
        <w:rPr>
          <w:rStyle w:val="CharSectno"/>
        </w:rPr>
        <w:lastRenderedPageBreak/>
        <w:t>64</w:t>
      </w:r>
      <w:r>
        <w:rPr>
          <w:snapToGrid w:val="0"/>
        </w:rPr>
        <w:t>.</w:t>
      </w:r>
      <w:r>
        <w:rPr>
          <w:snapToGrid w:val="0"/>
        </w:rPr>
        <w:tab/>
        <w:t>Power to extend time, construction of</w:t>
      </w:r>
      <w:bookmarkEnd w:id="98"/>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99" w:name="_Toc100568846"/>
      <w:r>
        <w:rPr>
          <w:rStyle w:val="CharSectno"/>
        </w:rPr>
        <w:t>65</w:t>
      </w:r>
      <w:r>
        <w:rPr>
          <w:snapToGrid w:val="0"/>
        </w:rPr>
        <w:t>.</w:t>
      </w:r>
      <w:r>
        <w:rPr>
          <w:snapToGrid w:val="0"/>
        </w:rPr>
        <w:tab/>
        <w:t>Distance, measurement of</w:t>
      </w:r>
      <w:bookmarkEnd w:id="99"/>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100" w:name="_Toc100326550"/>
      <w:bookmarkStart w:id="101" w:name="_Toc100327180"/>
      <w:bookmarkStart w:id="102" w:name="_Toc100568847"/>
      <w:r>
        <w:rPr>
          <w:rStyle w:val="CharPartNo"/>
        </w:rPr>
        <w:lastRenderedPageBreak/>
        <w:t>Part IX</w:t>
      </w:r>
      <w:r>
        <w:rPr>
          <w:rStyle w:val="CharDivNo"/>
        </w:rPr>
        <w:t> </w:t>
      </w:r>
      <w:r>
        <w:t>—</w:t>
      </w:r>
      <w:r>
        <w:rPr>
          <w:rStyle w:val="CharDivText"/>
        </w:rPr>
        <w:t> </w:t>
      </w:r>
      <w:r>
        <w:rPr>
          <w:rStyle w:val="CharPartText"/>
        </w:rPr>
        <w:t>Procedures and penalties</w:t>
      </w:r>
      <w:bookmarkEnd w:id="100"/>
      <w:bookmarkEnd w:id="101"/>
      <w:bookmarkEnd w:id="102"/>
      <w:r>
        <w:rPr>
          <w:rStyle w:val="CharPartText"/>
        </w:rPr>
        <w:t xml:space="preserve"> </w:t>
      </w:r>
    </w:p>
    <w:p>
      <w:pPr>
        <w:pStyle w:val="Heading5"/>
        <w:spacing w:before="240"/>
        <w:rPr>
          <w:snapToGrid w:val="0"/>
        </w:rPr>
      </w:pPr>
      <w:bookmarkStart w:id="103" w:name="_Toc100568848"/>
      <w:r>
        <w:rPr>
          <w:rStyle w:val="CharSectno"/>
        </w:rPr>
        <w:t>66</w:t>
      </w:r>
      <w:r>
        <w:rPr>
          <w:snapToGrid w:val="0"/>
        </w:rPr>
        <w:t>.</w:t>
      </w:r>
      <w:r>
        <w:rPr>
          <w:snapToGrid w:val="0"/>
        </w:rPr>
        <w:tab/>
        <w:t>Rules of court</w:t>
      </w:r>
      <w:bookmarkEnd w:id="103"/>
      <w:r>
        <w:rPr>
          <w:snapToGrid w:val="0"/>
        </w:rPr>
        <w:t xml:space="preserve"> </w:t>
      </w:r>
    </w:p>
    <w:p>
      <w:pPr>
        <w:pStyle w:val="Subsection"/>
        <w:spacing w:before="120"/>
        <w:rPr>
          <w:snapToGrid w:val="0"/>
        </w:rPr>
      </w:pPr>
      <w:r>
        <w:rPr>
          <w:snapToGrid w:val="0"/>
        </w:rPr>
        <w:tab/>
        <w:t>(1)</w:t>
      </w:r>
      <w:r>
        <w:rPr>
          <w:snapToGrid w:val="0"/>
        </w:rPr>
        <w:tab/>
        <w:t xml:space="preserve">In a written law, </w:t>
      </w:r>
      <w:r>
        <w:rPr>
          <w:rStyle w:val="CharDefText"/>
        </w:rPr>
        <w:t>rules of court</w:t>
      </w:r>
      <w:r>
        <w:rPr>
          <w:snapToGrid w:val="0"/>
        </w:rPr>
        <w:t>, in relation to any court or tribunal, means rules made by the authority having for the time being power to make rules or orders regulating the practice and procedure of such court or tribunal.</w:t>
      </w:r>
    </w:p>
    <w:p>
      <w:pPr>
        <w:pStyle w:val="Subsection"/>
        <w:spacing w:before="12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12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104" w:name="_Toc100568849"/>
      <w:r>
        <w:rPr>
          <w:rStyle w:val="CharSectno"/>
        </w:rPr>
        <w:t>67</w:t>
      </w:r>
      <w:r>
        <w:rPr>
          <w:snapToGrid w:val="0"/>
        </w:rPr>
        <w:t>.</w:t>
      </w:r>
      <w:r>
        <w:rPr>
          <w:snapToGrid w:val="0"/>
        </w:rPr>
        <w:tab/>
        <w:t>Offences and proceedings for offences</w:t>
      </w:r>
      <w:bookmarkEnd w:id="104"/>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80"/>
        <w:ind w:left="890" w:hanging="890"/>
      </w:pPr>
      <w:r>
        <w:tab/>
        <w:t xml:space="preserve">[Section 67 inserted: No. 92 of 1994 s. 15; amended: No. 4 of 2004 s. 58; No. 59 of 2004 s. 141; No. 84 of 2004 s. 78.] </w:t>
      </w:r>
    </w:p>
    <w:p>
      <w:pPr>
        <w:pStyle w:val="Ednotesection"/>
      </w:pPr>
      <w:r>
        <w:lastRenderedPageBreak/>
        <w:t>[</w:t>
      </w:r>
      <w:r>
        <w:rPr>
          <w:b/>
        </w:rPr>
        <w:t>68.</w:t>
      </w:r>
      <w:r>
        <w:tab/>
        <w:t xml:space="preserve">Deleted: No. 78 of 1995 s. 56.] </w:t>
      </w:r>
    </w:p>
    <w:p>
      <w:pPr>
        <w:pStyle w:val="Heading5"/>
        <w:rPr>
          <w:snapToGrid w:val="0"/>
        </w:rPr>
      </w:pPr>
      <w:bookmarkStart w:id="105" w:name="_Toc100568850"/>
      <w:r>
        <w:rPr>
          <w:rStyle w:val="CharSectno"/>
        </w:rPr>
        <w:t>69</w:t>
      </w:r>
      <w:r>
        <w:rPr>
          <w:snapToGrid w:val="0"/>
        </w:rPr>
        <w:t>.</w:t>
      </w:r>
      <w:r>
        <w:rPr>
          <w:snapToGrid w:val="0"/>
        </w:rPr>
        <w:tab/>
        <w:t>Bodies corporate, application of penal laws to</w:t>
      </w:r>
      <w:bookmarkEnd w:id="105"/>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No. 78 of 1995 s. 56.] </w:t>
      </w:r>
    </w:p>
    <w:p>
      <w:pPr>
        <w:pStyle w:val="Ednotesection"/>
      </w:pPr>
      <w:r>
        <w:t>[</w:t>
      </w:r>
      <w:r>
        <w:rPr>
          <w:b/>
        </w:rPr>
        <w:t>70.</w:t>
      </w:r>
      <w:r>
        <w:tab/>
        <w:t xml:space="preserve">Deleted: No. 78 of 1995 s. 56.] </w:t>
      </w:r>
    </w:p>
    <w:p>
      <w:pPr>
        <w:pStyle w:val="Heading5"/>
        <w:rPr>
          <w:snapToGrid w:val="0"/>
        </w:rPr>
      </w:pPr>
      <w:bookmarkStart w:id="106" w:name="_Toc100568851"/>
      <w:r>
        <w:rPr>
          <w:rStyle w:val="CharSectno"/>
        </w:rPr>
        <w:t>71</w:t>
      </w:r>
      <w:r>
        <w:rPr>
          <w:snapToGrid w:val="0"/>
        </w:rPr>
        <w:t>.</w:t>
      </w:r>
      <w:r>
        <w:rPr>
          <w:snapToGrid w:val="0"/>
        </w:rPr>
        <w:tab/>
        <w:t>Continuing offences</w:t>
      </w:r>
      <w:bookmarkEnd w:id="10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 and</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lastRenderedPageBreak/>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107" w:name="_Toc100568852"/>
      <w:r>
        <w:rPr>
          <w:rStyle w:val="CharSectno"/>
        </w:rPr>
        <w:t>72</w:t>
      </w:r>
      <w:r>
        <w:rPr>
          <w:snapToGrid w:val="0"/>
        </w:rPr>
        <w:t>.</w:t>
      </w:r>
      <w:r>
        <w:rPr>
          <w:snapToGrid w:val="0"/>
        </w:rPr>
        <w:tab/>
        <w:t>Statutory penalties, construction of</w:t>
      </w:r>
      <w:bookmarkEnd w:id="107"/>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 or</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lastRenderedPageBreak/>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No. 78 of 1995 s. 55; amended: No. 10 of 1998 s. 40(2); No. 24 of 2000 s. 19.] </w:t>
      </w:r>
    </w:p>
    <w:p>
      <w:pPr>
        <w:pStyle w:val="Heading2"/>
      </w:pPr>
      <w:bookmarkStart w:id="108" w:name="_Toc100326556"/>
      <w:bookmarkStart w:id="109" w:name="_Toc100327186"/>
      <w:bookmarkStart w:id="110" w:name="_Toc100568853"/>
      <w:r>
        <w:rPr>
          <w:rStyle w:val="CharPartNo"/>
        </w:rPr>
        <w:lastRenderedPageBreak/>
        <w:t>Part X</w:t>
      </w:r>
      <w:r>
        <w:rPr>
          <w:rStyle w:val="CharDivNo"/>
        </w:rPr>
        <w:t> </w:t>
      </w:r>
      <w:r>
        <w:t>—</w:t>
      </w:r>
      <w:r>
        <w:rPr>
          <w:rStyle w:val="CharDivText"/>
        </w:rPr>
        <w:t> </w:t>
      </w:r>
      <w:r>
        <w:rPr>
          <w:rStyle w:val="CharPartText"/>
        </w:rPr>
        <w:t>Miscellaneous provisions</w:t>
      </w:r>
      <w:bookmarkEnd w:id="108"/>
      <w:bookmarkEnd w:id="109"/>
      <w:bookmarkEnd w:id="110"/>
      <w:r>
        <w:rPr>
          <w:rStyle w:val="CharPartText"/>
        </w:rPr>
        <w:t xml:space="preserve"> </w:t>
      </w:r>
    </w:p>
    <w:p>
      <w:pPr>
        <w:pStyle w:val="Heading5"/>
        <w:rPr>
          <w:snapToGrid w:val="0"/>
        </w:rPr>
      </w:pPr>
      <w:bookmarkStart w:id="111" w:name="_Toc100568854"/>
      <w:r>
        <w:rPr>
          <w:rStyle w:val="CharSectno"/>
        </w:rPr>
        <w:t>73</w:t>
      </w:r>
      <w:r>
        <w:rPr>
          <w:snapToGrid w:val="0"/>
        </w:rPr>
        <w:t>.</w:t>
      </w:r>
      <w:r>
        <w:rPr>
          <w:snapToGrid w:val="0"/>
        </w:rPr>
        <w:tab/>
        <w:t>State deemed established 1 June 1829</w:t>
      </w:r>
      <w:bookmarkEnd w:id="111"/>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112" w:name="_Toc100568855"/>
      <w:r>
        <w:rPr>
          <w:rStyle w:val="CharSectno"/>
        </w:rPr>
        <w:t>74</w:t>
      </w:r>
      <w:r>
        <w:rPr>
          <w:snapToGrid w:val="0"/>
        </w:rPr>
        <w:t>.</w:t>
      </w:r>
      <w:r>
        <w:rPr>
          <w:snapToGrid w:val="0"/>
        </w:rPr>
        <w:tab/>
        <w:t>Prescribed forms, certain deviations do not invalidate</w:t>
      </w:r>
      <w:bookmarkEnd w:id="112"/>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113" w:name="_Toc100568856"/>
      <w:r>
        <w:rPr>
          <w:rStyle w:val="CharSectno"/>
        </w:rPr>
        <w:t>75</w:t>
      </w:r>
      <w:r>
        <w:rPr>
          <w:snapToGrid w:val="0"/>
        </w:rPr>
        <w:t>.</w:t>
      </w:r>
      <w:r>
        <w:rPr>
          <w:snapToGrid w:val="0"/>
        </w:rPr>
        <w:tab/>
        <w:t>Service of documents by post</w:t>
      </w:r>
      <w:bookmarkEnd w:id="113"/>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114" w:name="_Toc100568857"/>
      <w:r>
        <w:rPr>
          <w:rStyle w:val="CharSectno"/>
        </w:rPr>
        <w:lastRenderedPageBreak/>
        <w:t>76</w:t>
      </w:r>
      <w:r>
        <w:rPr>
          <w:snapToGrid w:val="0"/>
        </w:rPr>
        <w:t>.</w:t>
      </w:r>
      <w:r>
        <w:rPr>
          <w:snapToGrid w:val="0"/>
        </w:rPr>
        <w:tab/>
        <w:t>Service of documents generally</w:t>
      </w:r>
      <w:bookmarkEnd w:id="114"/>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115" w:name="_Toc100568858"/>
      <w:r>
        <w:rPr>
          <w:rStyle w:val="CharSectno"/>
        </w:rPr>
        <w:t>76A</w:t>
      </w:r>
      <w:r>
        <w:rPr>
          <w:snapToGrid w:val="0"/>
        </w:rPr>
        <w:t xml:space="preserve">. </w:t>
      </w:r>
      <w:r>
        <w:rPr>
          <w:snapToGrid w:val="0"/>
        </w:rPr>
        <w:tab/>
        <w:t>Written laws made before Australia Acts, validity of</w:t>
      </w:r>
      <w:bookmarkEnd w:id="115"/>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lastRenderedPageBreak/>
        <w:tab/>
        <w:t>(b)</w:t>
      </w:r>
      <w:r>
        <w:rPr>
          <w:snapToGrid w:val="0"/>
        </w:rPr>
        <w:tab/>
        <w:t>invalidate any Act because it was assented to by the Sovereign rather than the Governor.</w:t>
      </w:r>
    </w:p>
    <w:p>
      <w:pPr>
        <w:pStyle w:val="Footnotesection"/>
      </w:pPr>
      <w:r>
        <w:tab/>
        <w:t xml:space="preserve">[Section 76A inserted: No. 85 of 1994 s. 5.] </w:t>
      </w:r>
    </w:p>
    <w:p>
      <w:pPr>
        <w:pStyle w:val="Heading5"/>
        <w:rPr>
          <w:snapToGrid w:val="0"/>
        </w:rPr>
      </w:pPr>
      <w:bookmarkStart w:id="116" w:name="_Toc100568859"/>
      <w:r>
        <w:rPr>
          <w:rStyle w:val="CharSectno"/>
        </w:rPr>
        <w:t>77</w:t>
      </w:r>
      <w:r>
        <w:rPr>
          <w:snapToGrid w:val="0"/>
        </w:rPr>
        <w:t>.</w:t>
      </w:r>
      <w:r>
        <w:rPr>
          <w:snapToGrid w:val="0"/>
        </w:rPr>
        <w:tab/>
        <w:t>Repeal and saving</w:t>
      </w:r>
      <w:bookmarkEnd w:id="116"/>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r>
        <w:rPr>
          <w:snapToGrid w:val="0"/>
          <w:vertAlign w:val="superscript"/>
        </w:rPr>
        <w:t> 1</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r>
        <w:rPr>
          <w:snapToGrid w:val="0"/>
          <w:vertAlign w:val="superscript"/>
        </w:rPr>
        <w:t> 4</w:t>
      </w:r>
      <w:r>
        <w:rPr>
          <w:snapToGrid w:val="0"/>
        </w:rP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7" w:name="_Toc100326563"/>
      <w:bookmarkStart w:id="118" w:name="_Toc100327193"/>
      <w:bookmarkStart w:id="119" w:name="_Toc100568860"/>
      <w:r>
        <w:lastRenderedPageBreak/>
        <w:t>Notes</w:t>
      </w:r>
      <w:bookmarkEnd w:id="117"/>
      <w:bookmarkEnd w:id="118"/>
      <w:bookmarkEnd w:id="119"/>
    </w:p>
    <w:p>
      <w:pPr>
        <w:pStyle w:val="nStatement"/>
      </w:pPr>
      <w:r>
        <w:t xml:space="preserve">This is a compilation of the </w:t>
      </w:r>
      <w:r>
        <w:rPr>
          <w:i/>
          <w:noProof/>
        </w:rPr>
        <w:t>Interpretation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0" w:name="_Toc100568861"/>
      <w:r>
        <w:t>Compilation table</w:t>
      </w:r>
      <w:bookmarkEnd w:id="1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rPr>
              <w:t>Interpretation Act 1984</w:t>
            </w:r>
          </w:p>
        </w:tc>
        <w:tc>
          <w:tcPr>
            <w:tcW w:w="1134" w:type="dxa"/>
            <w:tcBorders>
              <w:top w:val="single" w:sz="8" w:space="0" w:color="auto"/>
            </w:tcBorders>
          </w:tcPr>
          <w:p>
            <w:pPr>
              <w:pStyle w:val="nTable"/>
              <w:spacing w:after="40"/>
            </w:pPr>
            <w:r>
              <w:t>12 of 1984</w:t>
            </w:r>
          </w:p>
        </w:tc>
        <w:tc>
          <w:tcPr>
            <w:tcW w:w="1134" w:type="dxa"/>
            <w:tcBorders>
              <w:top w:val="single" w:sz="8" w:space="0" w:color="auto"/>
            </w:tcBorders>
          </w:tcPr>
          <w:p>
            <w:pPr>
              <w:pStyle w:val="nTable"/>
              <w:spacing w:after="40"/>
            </w:pPr>
            <w:r>
              <w:t>31 May 1984</w:t>
            </w:r>
          </w:p>
        </w:tc>
        <w:tc>
          <w:tcPr>
            <w:tcW w:w="2552" w:type="dxa"/>
            <w:tcBorders>
              <w:top w:val="single" w:sz="8" w:space="0" w:color="auto"/>
            </w:tcBorders>
          </w:tcPr>
          <w:p>
            <w:pPr>
              <w:pStyle w:val="nTable"/>
              <w:spacing w:after="40"/>
            </w:pPr>
            <w:r>
              <w:t>1 Jul 1984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(Children’s Court) Act 1988 </w:t>
            </w:r>
            <w:r>
              <w:t>Pt. 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Corporations (Western Australia) Act 1990 </w:t>
            </w:r>
            <w:r>
              <w:t>s. 97</w:t>
            </w:r>
          </w:p>
        </w:tc>
        <w:tc>
          <w:tcPr>
            <w:tcW w:w="1134" w:type="dxa"/>
          </w:tcPr>
          <w:p>
            <w:pPr>
              <w:pStyle w:val="nTable"/>
              <w:spacing w:after="40"/>
            </w:pPr>
            <w:r>
              <w:t>105 of 1990</w:t>
            </w:r>
          </w:p>
        </w:tc>
        <w:tc>
          <w:tcPr>
            <w:tcW w:w="1134" w:type="dxa"/>
          </w:tcPr>
          <w:p>
            <w:pPr>
              <w:pStyle w:val="nTable"/>
              <w:spacing w:after="40"/>
            </w:pPr>
            <w:r>
              <w:t>2 Jan 1991</w:t>
            </w:r>
          </w:p>
        </w:tc>
        <w:tc>
          <w:tcPr>
            <w:tcW w:w="2552" w:type="dxa"/>
          </w:tcPr>
          <w:p>
            <w:pPr>
              <w:pStyle w:val="nTable"/>
              <w:spacing w:after="40"/>
            </w:pPr>
            <w:r>
              <w:t>1 Jan 1991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Financial Institutions (Western Australia) Act 1992 </w:t>
            </w:r>
            <w:r>
              <w:t>s. 21</w:t>
            </w:r>
          </w:p>
        </w:tc>
        <w:tc>
          <w:tcPr>
            <w:tcW w:w="1134" w:type="dxa"/>
          </w:tcPr>
          <w:p>
            <w:pPr>
              <w:pStyle w:val="nTable"/>
              <w:spacing w:after="40"/>
            </w:pPr>
            <w:r>
              <w:t>30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4 Nov 1992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Financial Administration Legislation Amendment Act 1993 </w:t>
            </w:r>
            <w:r>
              <w:t>s. 11</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Sector Management) Act 1994 </w:t>
            </w:r>
            <w:r>
              <w:t>s. 15</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Interpretation Amendment (Australia Acts) Act 1994</w:t>
            </w:r>
          </w:p>
        </w:tc>
        <w:tc>
          <w:tcPr>
            <w:tcW w:w="1134" w:type="dxa"/>
          </w:tcPr>
          <w:p>
            <w:pPr>
              <w:pStyle w:val="nTable"/>
              <w:spacing w:after="40"/>
            </w:pPr>
            <w:r>
              <w:t>85 of 1994</w:t>
            </w:r>
          </w:p>
        </w:tc>
        <w:tc>
          <w:tcPr>
            <w:tcW w:w="1134" w:type="dxa"/>
          </w:tcPr>
          <w:p>
            <w:pPr>
              <w:pStyle w:val="nTable"/>
              <w:spacing w:after="40"/>
            </w:pPr>
            <w:r>
              <w:t>20 Dec 1994</w:t>
            </w:r>
          </w:p>
        </w:tc>
        <w:tc>
          <w:tcPr>
            <w:tcW w:w="2552" w:type="dxa"/>
          </w:tcPr>
          <w:p>
            <w:pPr>
              <w:pStyle w:val="nTable"/>
              <w:spacing w:after="40"/>
            </w:pPr>
            <w:r>
              <w:t xml:space="preserve">3 Mar 1986 (see s. 2 and </w:t>
            </w:r>
            <w:r>
              <w:rPr>
                <w:i/>
              </w:rPr>
              <w:t>Gazette</w:t>
            </w:r>
            <w:r>
              <w:t xml:space="preserve"> 28 Feb 1986 p. 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lastRenderedPageBreak/>
              <w:t xml:space="preserve">Acts Amendment (Fines, Penalties and Infringement Notices) Act 1994 </w:t>
            </w:r>
            <w:r>
              <w:t>s. 15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Sentencing (Consequential Provisions) Act 1995 </w:t>
            </w:r>
            <w:r>
              <w:t>Pt. 41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15 Mar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(Auxiliary Judges) Act 1997 </w:t>
            </w:r>
            <w:r>
              <w:t>Pt. 3</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and Repeal (Family Court) Act 1997</w:t>
            </w:r>
            <w:r>
              <w:t xml:space="preserve"> s. 33</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Sunday Observance Laws Amendment and Repeal Act 1997 </w:t>
            </w:r>
            <w:r>
              <w:t>s. 4</w:t>
            </w:r>
            <w:r>
              <w:rPr>
                <w:vertAlign w:val="superscript"/>
              </w:rPr>
              <w:t xml:space="preserve">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Interpretation Amendment Act 1997</w:t>
            </w:r>
          </w:p>
        </w:tc>
        <w:tc>
          <w:tcPr>
            <w:tcW w:w="1134" w:type="dxa"/>
          </w:tcPr>
          <w:p>
            <w:pPr>
              <w:pStyle w:val="nTable"/>
              <w:spacing w:after="40"/>
            </w:pPr>
            <w:r>
              <w:t>54 of 1997</w:t>
            </w:r>
          </w:p>
        </w:tc>
        <w:tc>
          <w:tcPr>
            <w:tcW w:w="1134" w:type="dxa"/>
          </w:tcPr>
          <w:p>
            <w:pPr>
              <w:pStyle w:val="nTable"/>
              <w:spacing w:after="40"/>
            </w:pPr>
            <w:r>
              <w:t>12 Dec 1997</w:t>
            </w:r>
          </w:p>
        </w:tc>
        <w:tc>
          <w:tcPr>
            <w:tcW w:w="2552" w:type="dxa"/>
          </w:tcPr>
          <w:p>
            <w:pPr>
              <w:pStyle w:val="nTable"/>
              <w:spacing w:after="40"/>
            </w:pPr>
            <w:r>
              <w:t>12 Dec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(No. 2) 1998 </w:t>
            </w:r>
            <w:r>
              <w:t>s. 40</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1 Jan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(Financial Sector Reform) Act 1999 </w:t>
            </w:r>
            <w:r>
              <w:t>s. 89</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Statutes (Repeals and Minor Amendments) Act 2000 </w:t>
            </w:r>
            <w:r>
              <w:t>s. 19</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Acts Amendment (Lesbian and Gay Law Reform) Act 2002 </w:t>
            </w:r>
            <w:r>
              <w:t>Pt.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Taxation Administration (Consequential Provisions) Act 2002 </w:t>
            </w:r>
            <w:r>
              <w:t>s. 16</w:t>
            </w:r>
          </w:p>
        </w:tc>
        <w:tc>
          <w:tcPr>
            <w:tcW w:w="1134"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lastRenderedPageBreak/>
              <w:t>Statutes (Repeals and Minor Amendments) Act 2003</w:t>
            </w:r>
            <w:r>
              <w:t xml:space="preserve"> s. 69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4: The </w:t>
            </w:r>
            <w:r>
              <w:rPr>
                <w:b/>
                <w:i/>
              </w:rPr>
              <w:t xml:space="preserve">Interpretation Act 1984 </w:t>
            </w:r>
            <w:r>
              <w:rPr>
                <w:b/>
              </w:rPr>
              <w:t>as at 6 Feb 2004</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rPr>
                <w:vertAlign w:val="superscript"/>
              </w:rPr>
            </w:pPr>
            <w:r>
              <w:rPr>
                <w:i/>
              </w:rPr>
              <w:t>Criminal Code Amendment Act 2004</w:t>
            </w:r>
            <w:r>
              <w:t xml:space="preserve"> 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snapToGrid w:val="0"/>
              </w:rPr>
              <w:t>Acts Amendment (Court of Appeal) Act 2004</w:t>
            </w:r>
            <w:r>
              <w:rPr>
                <w:snapToGrid w:val="0"/>
              </w:rPr>
              <w:t xml:space="preserve"> s. 33</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State Administrative Tribunal Act 2004</w:t>
            </w:r>
            <w:r>
              <w:t xml:space="preserve"> s. 175</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pPr>
            <w:r>
              <w:t xml:space="preserve">1 Jan 2005 (see s. 2 and </w:t>
            </w:r>
            <w:r>
              <w:rPr>
                <w:i/>
              </w:rPr>
              <w:t>Gazette</w:t>
            </w:r>
            <w:r>
              <w:t xml:space="preserve"> 31 Dec 2004 p. 7129)</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Law Amendment (Simple Offences) Act 2004</w:t>
            </w:r>
            <w:r>
              <w:rPr>
                <w:snapToGrid w:val="0"/>
              </w:rPr>
              <w:t xml:space="preserve"> s. 36(12)</w:t>
            </w:r>
          </w:p>
        </w:tc>
        <w:tc>
          <w:tcPr>
            <w:tcW w:w="1134" w:type="dxa"/>
          </w:tcPr>
          <w:p>
            <w:pPr>
              <w:pStyle w:val="nTable"/>
              <w:spacing w:after="40"/>
              <w:rPr>
                <w:snapToGrid w:val="0"/>
              </w:rPr>
            </w:pPr>
            <w:r>
              <w:rPr>
                <w:snapToGrid w:val="0"/>
              </w:rPr>
              <w:t>70 of 2004</w:t>
            </w:r>
          </w:p>
        </w:tc>
        <w:tc>
          <w:tcPr>
            <w:tcW w:w="1134" w:type="dxa"/>
          </w:tcPr>
          <w:p>
            <w:pPr>
              <w:pStyle w:val="nTable"/>
              <w:spacing w:after="40"/>
              <w:rPr>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5: The </w:t>
            </w:r>
            <w:r>
              <w:rPr>
                <w:b/>
                <w:i/>
              </w:rPr>
              <w:t xml:space="preserve">Interpretation Act 1984 </w:t>
            </w:r>
            <w:r>
              <w:rPr>
                <w:b/>
              </w:rPr>
              <w:t>as at 12 Aug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13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Land Information Authority Act 2006</w:t>
            </w:r>
            <w:r>
              <w:rPr>
                <w:iCs/>
                <w:snapToGrid w:val="0"/>
              </w:rPr>
              <w:t xml:space="preserve"> s. 183</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lastRenderedPageBreak/>
              <w:t>Financial Legislation Amendment and Repeal Act 2006</w:t>
            </w:r>
            <w:r>
              <w:rPr>
                <w:iCs/>
                <w:snapToGrid w:val="0"/>
              </w:rPr>
              <w:t xml:space="preserve"> </w:t>
            </w:r>
            <w:r>
              <w:t>Sch. 1 cl. 92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1 Feb 2007 (see s. 2</w:t>
            </w:r>
            <w:r>
              <w:t xml:space="preserve">(1) </w:t>
            </w:r>
            <w:r>
              <w:rPr>
                <w:snapToGrid w:val="0"/>
              </w:rPr>
              <w:t xml:space="preserve">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6:  The </w:t>
            </w:r>
            <w:r>
              <w:rPr>
                <w:b/>
                <w:i/>
              </w:rPr>
              <w:t xml:space="preserve">Interpretation Act 1984 </w:t>
            </w:r>
            <w:r>
              <w:rPr>
                <w:b/>
              </w:rPr>
              <w:t>as at 25 May 2007</w:t>
            </w:r>
            <w:r>
              <w:t xml:space="preserve"> (includes amendments listed above except the amendments in the </w:t>
            </w:r>
            <w:r>
              <w:rPr>
                <w:i/>
                <w:snapToGrid w:val="0"/>
              </w:rPr>
              <w:t>Criminal Investigation (Consequential Provisions) Act 2006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vertAlign w:val="superscript"/>
              </w:rPr>
            </w:pPr>
            <w:r>
              <w:rPr>
                <w:i/>
                <w:snapToGrid w:val="0"/>
              </w:rPr>
              <w:t>Criminal Law Amendment (Homicide) Act 2008</w:t>
            </w:r>
            <w:r>
              <w:rPr>
                <w:iCs/>
                <w:snapToGrid w:val="0"/>
              </w:rPr>
              <w:t xml:space="preserve"> s. 35</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Surrogacy Act 2008 </w:t>
            </w:r>
            <w:r>
              <w:rPr>
                <w:snapToGrid w:val="0"/>
              </w:rPr>
              <w:t>Pt. 4 Div. 6</w:t>
            </w:r>
          </w:p>
        </w:tc>
        <w:tc>
          <w:tcPr>
            <w:tcW w:w="1134" w:type="dxa"/>
          </w:tcPr>
          <w:p>
            <w:pPr>
              <w:pStyle w:val="nTable"/>
              <w:spacing w:after="40"/>
            </w:pPr>
            <w:r>
              <w:t>47 of 2008</w:t>
            </w:r>
          </w:p>
        </w:tc>
        <w:tc>
          <w:tcPr>
            <w:tcW w:w="1134" w:type="dxa"/>
          </w:tcPr>
          <w:p>
            <w:pPr>
              <w:pStyle w:val="nTable"/>
              <w:spacing w:after="40"/>
            </w:pPr>
            <w:r>
              <w:t>10 Dec 2008</w:t>
            </w:r>
          </w:p>
        </w:tc>
        <w:tc>
          <w:tcPr>
            <w:tcW w:w="2552" w:type="dxa"/>
          </w:tcPr>
          <w:p>
            <w:pPr>
              <w:pStyle w:val="nTable"/>
              <w:spacing w:after="40"/>
              <w:rPr>
                <w:snapToGrid w:val="0"/>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Pt. 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Interpretation and Reprints Amendment Act 2010</w:t>
            </w:r>
            <w:r>
              <w:rPr>
                <w:iCs/>
                <w:snapToGrid w:val="0"/>
              </w:rPr>
              <w:t xml:space="preserve"> Pt. 2</w:t>
            </w:r>
          </w:p>
        </w:tc>
        <w:tc>
          <w:tcPr>
            <w:tcW w:w="1134" w:type="dxa"/>
          </w:tcPr>
          <w:p>
            <w:pPr>
              <w:pStyle w:val="nTable"/>
              <w:spacing w:after="40"/>
            </w:pPr>
            <w:r>
              <w:t>31 of 2010</w:t>
            </w:r>
          </w:p>
        </w:tc>
        <w:tc>
          <w:tcPr>
            <w:tcW w:w="1134" w:type="dxa"/>
          </w:tcPr>
          <w:p>
            <w:pPr>
              <w:pStyle w:val="nTable"/>
              <w:spacing w:after="40"/>
            </w:pPr>
            <w:r>
              <w:t>25 Aug 2010</w:t>
            </w:r>
          </w:p>
        </w:tc>
        <w:tc>
          <w:tcPr>
            <w:tcW w:w="2552" w:type="dxa"/>
          </w:tcPr>
          <w:p>
            <w:pPr>
              <w:pStyle w:val="nTable"/>
              <w:spacing w:after="40"/>
            </w:pPr>
            <w:r>
              <w:t>26 Aug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Public Sector Reform Act 2010</w:t>
            </w:r>
            <w:r>
              <w:rPr>
                <w:iCs/>
                <w:snapToGrid w:val="0"/>
              </w:rPr>
              <w:t xml:space="preserve"> s. 78</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 xml:space="preserve">Interpretation Act 1984 </w:t>
            </w:r>
            <w:r>
              <w:rPr>
                <w:b/>
              </w:rPr>
              <w:t>as at 21 Jan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Statutes (Repeals and Minor Amendments) Act 2014</w:t>
            </w:r>
            <w:r>
              <w:rPr>
                <w:snapToGrid w:val="0"/>
              </w:rPr>
              <w:t xml:space="preserve"> s. 27</w:t>
            </w:r>
          </w:p>
        </w:tc>
        <w:tc>
          <w:tcPr>
            <w:tcW w:w="1134" w:type="dxa"/>
          </w:tcPr>
          <w:p>
            <w:pPr>
              <w:pStyle w:val="nTable"/>
              <w:spacing w:after="40"/>
            </w:pPr>
            <w:r>
              <w:rPr>
                <w:snapToGrid w:val="0"/>
              </w:rPr>
              <w:t>17 of 2014</w:t>
            </w:r>
          </w:p>
        </w:tc>
        <w:tc>
          <w:tcPr>
            <w:tcW w:w="1134" w:type="dxa"/>
          </w:tcPr>
          <w:p>
            <w:pPr>
              <w:pStyle w:val="nTable"/>
              <w:spacing w:after="40"/>
            </w:pPr>
            <w:r>
              <w:t>2 Jul 2014</w:t>
            </w:r>
          </w:p>
        </w:tc>
        <w:tc>
          <w:tcPr>
            <w:tcW w:w="2552" w:type="dxa"/>
          </w:tcPr>
          <w:p>
            <w:pPr>
              <w:pStyle w:val="nTable"/>
              <w:spacing w:after="40"/>
            </w:pPr>
            <w:r>
              <w:rPr>
                <w:snapToGrid w:val="0"/>
              </w:rPr>
              <w:t xml:space="preserve">6 Sep 2014 (see s. 2(b) and </w:t>
            </w:r>
            <w:r>
              <w:rPr>
                <w:i/>
                <w:snapToGrid w:val="0"/>
              </w:rPr>
              <w:t>Gazette</w:t>
            </w:r>
            <w:r>
              <w:rPr>
                <w:snapToGrid w:val="0"/>
              </w:rPr>
              <w:t xml:space="preserve"> 5 Sep 2014 p. 3213)</w:t>
            </w:r>
          </w:p>
        </w:tc>
      </w:tr>
      <w:tr>
        <w:trPr>
          <w:cantSplit/>
        </w:trPr>
        <w:tc>
          <w:tcPr>
            <w:tcW w:w="2269" w:type="dxa"/>
            <w:tcBorders>
              <w:top w:val="nil"/>
              <w:bottom w:val="nil"/>
            </w:tcBorders>
          </w:tcPr>
          <w:p>
            <w:pPr>
              <w:pStyle w:val="nTable"/>
              <w:spacing w:after="40"/>
              <w:rPr>
                <w:i/>
                <w:snapToGrid w:val="0"/>
              </w:rPr>
            </w:pPr>
            <w:r>
              <w:rPr>
                <w:i/>
                <w:snapToGrid w:val="0"/>
              </w:rPr>
              <w:t>Local Government Legislation Amendment Act 2016</w:t>
            </w:r>
            <w:r>
              <w:rPr>
                <w:snapToGrid w:val="0"/>
              </w:rPr>
              <w:t xml:space="preserve"> Pt. 3 Div. 19</w:t>
            </w:r>
          </w:p>
        </w:tc>
        <w:tc>
          <w:tcPr>
            <w:tcW w:w="1134" w:type="dxa"/>
            <w:tcBorders>
              <w:top w:val="nil"/>
              <w:bottom w:val="nil"/>
            </w:tcBorders>
          </w:tcPr>
          <w:p>
            <w:pPr>
              <w:pStyle w:val="nTable"/>
              <w:spacing w:after="40"/>
              <w:rPr>
                <w:snapToGrid w:val="0"/>
              </w:rPr>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snapToGrid w:val="0"/>
              </w:rPr>
            </w:pPr>
            <w:r>
              <w:rPr>
                <w:i/>
              </w:rPr>
              <w:t>COVID</w:t>
            </w:r>
            <w:r>
              <w:rPr>
                <w:i/>
              </w:rPr>
              <w:noBreakHyphen/>
              <w:t>19 Response and Economic Recovery Omnibus Act 2020</w:t>
            </w:r>
            <w:r>
              <w:t xml:space="preserve"> Pt. 6 Div. 5 Subdiv. 1</w:t>
            </w:r>
          </w:p>
        </w:tc>
        <w:tc>
          <w:tcPr>
            <w:tcW w:w="1134" w:type="dxa"/>
            <w:tcBorders>
              <w:bottom w:val="single" w:sz="4" w:space="0" w:color="auto"/>
            </w:tcBorders>
          </w:tcPr>
          <w:p>
            <w:pPr>
              <w:pStyle w:val="nTable"/>
              <w:spacing w:after="40"/>
            </w:pPr>
            <w:r>
              <w:t>34 of 2020</w:t>
            </w:r>
          </w:p>
        </w:tc>
        <w:tc>
          <w:tcPr>
            <w:tcW w:w="1134" w:type="dxa"/>
            <w:tcBorders>
              <w:bottom w:val="single" w:sz="4" w:space="0" w:color="auto"/>
            </w:tcBorders>
          </w:tcPr>
          <w:p>
            <w:pPr>
              <w:pStyle w:val="nTable"/>
              <w:spacing w:after="40"/>
            </w:pPr>
            <w:r>
              <w:t>11 Sep 2020</w:t>
            </w:r>
          </w:p>
        </w:tc>
        <w:tc>
          <w:tcPr>
            <w:tcW w:w="2552" w:type="dxa"/>
            <w:tcBorders>
              <w:bottom w:val="single" w:sz="4" w:space="0" w:color="auto"/>
            </w:tcBorders>
          </w:tcPr>
          <w:p>
            <w:pPr>
              <w:pStyle w:val="nTable"/>
              <w:spacing w:after="40"/>
              <w:rPr>
                <w:snapToGrid w:val="0"/>
              </w:rPr>
            </w:pPr>
            <w:r>
              <w:rPr>
                <w:snapToGrid w:val="0"/>
              </w:rPr>
              <w:t>12 Sep 2020 (see s. 2(b))</w:t>
            </w:r>
          </w:p>
        </w:tc>
      </w:tr>
    </w:tbl>
    <w:p>
      <w:pPr>
        <w:pStyle w:val="nHeading3"/>
      </w:pPr>
      <w:bookmarkStart w:id="121" w:name="_Toc100568862"/>
      <w:r>
        <w:t>Uncommenced provisions table</w:t>
      </w:r>
      <w:bookmarkEnd w:id="12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Legislation Act 2021</w:t>
            </w:r>
            <w:r>
              <w:t xml:space="preserve"> Pt. 6 Div. 1</w:t>
            </w:r>
          </w:p>
        </w:tc>
        <w:tc>
          <w:tcPr>
            <w:tcW w:w="1134" w:type="dxa"/>
            <w:tcBorders>
              <w:bottom w:val="nil"/>
            </w:tcBorders>
          </w:tcPr>
          <w:p>
            <w:pPr>
              <w:pStyle w:val="nTable"/>
              <w:spacing w:after="40"/>
            </w:pPr>
            <w:r>
              <w:t>13 of 2021</w:t>
            </w:r>
          </w:p>
        </w:tc>
        <w:tc>
          <w:tcPr>
            <w:tcW w:w="1134" w:type="dxa"/>
            <w:tcBorders>
              <w:bottom w:val="nil"/>
            </w:tcBorders>
          </w:tcPr>
          <w:p>
            <w:pPr>
              <w:pStyle w:val="nTable"/>
              <w:spacing w:after="40"/>
            </w:pPr>
            <w:r>
              <w:t>24 Aug 2021</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rPr>
                <w:i/>
              </w:rPr>
            </w:pPr>
            <w:r>
              <w:rPr>
                <w:i/>
              </w:rPr>
              <w:lastRenderedPageBreak/>
              <w:t>Legal Profession Uniform Law Application Act 2022</w:t>
            </w:r>
            <w:r>
              <w:t xml:space="preserve"> Pt. 17 Div. 10</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t>To be proclaimed (see s. 2(c))</w:t>
            </w:r>
          </w:p>
        </w:tc>
      </w:tr>
    </w:tbl>
    <w:p>
      <w:pPr>
        <w:pStyle w:val="nHeading3"/>
      </w:pPr>
      <w:bookmarkStart w:id="122" w:name="_Toc100568863"/>
      <w:r>
        <w:t>Other notes</w:t>
      </w:r>
      <w:bookmarkEnd w:id="122"/>
    </w:p>
    <w:p>
      <w:pPr>
        <w:pStyle w:val="nNote"/>
        <w:spacing w:before="160"/>
        <w:rPr>
          <w:snapToGrid w:val="0"/>
        </w:rPr>
      </w:pPr>
      <w:r>
        <w:rPr>
          <w:snapToGrid w:val="0"/>
          <w:vertAlign w:val="superscript"/>
        </w:rPr>
        <w:t>1</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zHeading5"/>
        <w:rPr>
          <w:snapToGrid w:val="0"/>
        </w:rPr>
      </w:pPr>
      <w:r>
        <w:rPr>
          <w:snapToGrid w:val="0"/>
        </w:rPr>
        <w:t>11.</w:t>
      </w:r>
      <w:r>
        <w:rPr>
          <w:snapToGrid w:val="0"/>
        </w:rPr>
        <w:tab/>
        <w:t>Exercise of statutory power between passing and coming into operation of an Act or any provision thereof.</w:t>
      </w:r>
    </w:p>
    <w:p>
      <w:pPr>
        <w:pStyle w:val="nzSubsection"/>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w:t>
      </w:r>
      <w:r>
        <w:rPr>
          <w:snapToGrid w:val="0"/>
        </w:rPr>
        <w:noBreakHyphen/>
        <w:t>laws, to give notices, to prescribe forms, or to do any other thing for the purposes of the Act, the power that is or will be conferred may, unless the Act otherwise provides, be exercised at any time after the passing of the first</w:t>
      </w:r>
      <w:r>
        <w:rPr>
          <w:snapToGrid w:val="0"/>
        </w:rPr>
        <w:noBreakHyphen/>
        <w:t>mentioned Act but the exercise of the power does not confer a right or impose an obligation upon a person before the coming into operation of the first</w:t>
      </w:r>
      <w:r>
        <w:rPr>
          <w:snapToGrid w:val="0"/>
        </w:rPr>
        <w:noBreakHyphen/>
        <w:t>mentioned Act except in so far as is necessary or expedient for the purpose of making the first</w:t>
      </w:r>
      <w:r>
        <w:rPr>
          <w:snapToGrid w:val="0"/>
        </w:rPr>
        <w:noBreakHyphen/>
        <w:t>mentioned Act fully effective upon its coming into operation or the other Act fully effective when so amended.</w:t>
      </w:r>
    </w:p>
    <w:p>
      <w:pPr>
        <w:pStyle w:val="nzSubsection"/>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w:t>
      </w:r>
      <w:r>
        <w:rPr>
          <w:snapToGrid w:val="0"/>
        </w:rPr>
        <w:noBreakHyphen/>
        <w:t xml:space="preserve">enacted by the </w:t>
      </w:r>
      <w:r>
        <w:rPr>
          <w:i/>
          <w:iCs/>
          <w:snapToGrid w:val="0"/>
        </w:rPr>
        <w:t>Interpretation Act Amendment Act 1975</w:t>
      </w:r>
      <w:r>
        <w:rPr>
          <w:snapToGrid w:val="0"/>
        </w:rPr>
        <w:t xml:space="preserve"> had been in operation at that time.</w:t>
      </w:r>
    </w:p>
    <w:p>
      <w:pPr>
        <w:pStyle w:val="nzSubsection"/>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Note"/>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Note"/>
        <w:spacing w:before="160"/>
        <w:rPr>
          <w:snapToGrid w:val="0"/>
          <w:vertAlign w:val="superscript"/>
        </w:rPr>
      </w:pPr>
      <w:r>
        <w:rPr>
          <w:snapToGrid w:val="0"/>
          <w:vertAlign w:val="superscript"/>
        </w:rPr>
        <w:lastRenderedPageBreak/>
        <w:t>3</w:t>
      </w:r>
      <w:r>
        <w:rPr>
          <w:snapToGrid w:val="0"/>
        </w:rPr>
        <w:tab/>
        <w:t>Repealed by th</w:t>
      </w:r>
      <w:r>
        <w:rPr>
          <w:spacing w:val="-4"/>
        </w:rPr>
        <w:t xml:space="preserve">e </w:t>
      </w:r>
      <w:r>
        <w:rPr>
          <w:i/>
          <w:spacing w:val="-4"/>
        </w:rPr>
        <w:t xml:space="preserve">Australian Citizenship (Transitionals and Consequentials) Act 2007 </w:t>
      </w:r>
      <w:r>
        <w:rPr>
          <w:iCs/>
          <w:spacing w:val="-4"/>
        </w:rPr>
        <w:t>s. 42. Now see the</w:t>
      </w:r>
      <w:r>
        <w:rPr>
          <w:i/>
          <w:spacing w:val="-4"/>
        </w:rPr>
        <w:t xml:space="preserve"> Australian Citizenship Act 2007. </w:t>
      </w:r>
    </w:p>
    <w:p>
      <w:pPr>
        <w:pStyle w:val="nNote"/>
      </w:pPr>
      <w:r>
        <w:rPr>
          <w:vertAlign w:val="superscript"/>
        </w:rPr>
        <w:t>4</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zHeading5"/>
        <w:rPr>
          <w:snapToGrid w:val="0"/>
        </w:rPr>
      </w:pPr>
      <w:r>
        <w:rPr>
          <w:snapToGrid w:val="0"/>
        </w:rPr>
        <w:t>47.</w:t>
      </w:r>
      <w:r>
        <w:rPr>
          <w:snapToGrid w:val="0"/>
        </w:rPr>
        <w:tab/>
        <w:t>Sections in Second Schedule may be incorporated in Act by reference.</w:t>
      </w:r>
    </w:p>
    <w:p>
      <w:pPr>
        <w:pStyle w:val="nzSubsection"/>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zSubsection"/>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zMiscellaneousHeading"/>
        <w:rPr>
          <w:b/>
        </w:rPr>
      </w:pPr>
      <w:r>
        <w:rPr>
          <w:b/>
        </w:rPr>
        <w:t>The Second Schedule.</w:t>
      </w:r>
    </w:p>
    <w:p>
      <w:pPr>
        <w:pStyle w:val="nzMiscellaneousHeading"/>
        <w:rPr>
          <w:b/>
        </w:rPr>
      </w:pPr>
      <w:r>
        <w:rPr>
          <w:b/>
        </w:rPr>
        <w:t>A.</w:t>
      </w:r>
    </w:p>
    <w:p>
      <w:pPr>
        <w:pStyle w:val="nzMiscellaneousBody"/>
        <w:ind w:left="1418" w:hanging="851"/>
      </w:pP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zMiscellaneousHeading"/>
        <w:rPr>
          <w:b/>
        </w:rPr>
      </w:pPr>
      <w:r>
        <w:rPr>
          <w:b/>
        </w:rPr>
        <w:t>B.</w:t>
      </w:r>
    </w:p>
    <w:p>
      <w:pPr>
        <w:pStyle w:val="nzMiscellaneousBody"/>
        <w:ind w:left="1418" w:hanging="851"/>
      </w:pPr>
      <w:r>
        <w:rPr>
          <w:b/>
          <w:bCs/>
        </w:rPr>
        <w:tab/>
      </w:r>
      <w:r>
        <w:t>The complaint in respect of an offence against this Act shall be made and the proceedings commenced within one month after the offence thereby charged shall have been committed.</w:t>
      </w:r>
    </w:p>
    <w:p>
      <w:pPr>
        <w:pStyle w:val="nzMiscellaneousHeading"/>
        <w:rPr>
          <w:b/>
        </w:rPr>
      </w:pPr>
      <w:r>
        <w:rPr>
          <w:b/>
        </w:rPr>
        <w:t>C.</w:t>
      </w:r>
    </w:p>
    <w:p>
      <w:pPr>
        <w:pStyle w:val="nzMiscellaneousBody"/>
        <w:ind w:left="1418" w:hanging="851"/>
      </w:pPr>
      <w:r>
        <w:rPr>
          <w:b/>
          <w:bCs/>
        </w:rPr>
        <w:tab/>
      </w:r>
      <w:r>
        <w:t>The complaint in respect of an offence against this Act shall be made and the proceedings commenced within three months after the offence thereby charged shall have been committed.</w:t>
      </w:r>
    </w:p>
    <w:p>
      <w:pPr>
        <w:pStyle w:val="nzMiscellaneousHeading"/>
        <w:rPr>
          <w:b/>
        </w:rPr>
      </w:pPr>
      <w:r>
        <w:rPr>
          <w:b/>
        </w:rPr>
        <w:t>D.</w:t>
      </w:r>
    </w:p>
    <w:p>
      <w:pPr>
        <w:pStyle w:val="nzMiscellaneousBody"/>
        <w:ind w:left="1418" w:hanging="851"/>
      </w:pPr>
      <w:r>
        <w:tab/>
        <w:t>The complaint in respect of an offence against this Act shall be made and the proceedings commenced within six months after the offence thereby charged shall have been committed.</w:t>
      </w:r>
    </w:p>
    <w:p>
      <w:pPr>
        <w:pStyle w:val="nzMiscellaneousHeading"/>
        <w:rPr>
          <w:b/>
        </w:rPr>
      </w:pPr>
      <w:r>
        <w:rPr>
          <w:b/>
        </w:rPr>
        <w:lastRenderedPageBreak/>
        <w:t>E.</w:t>
      </w:r>
    </w:p>
    <w:p>
      <w:pPr>
        <w:pStyle w:val="nzMiscellaneousBody"/>
        <w:ind w:left="1418" w:hanging="851"/>
      </w:pPr>
      <w:r>
        <w:tab/>
        <w:t>The complaint in respect of an offence against this Act shall be made and the proceedings commenced within twelve months after the offence thereby charged shall have been committed.</w:t>
      </w:r>
    </w:p>
    <w:p>
      <w:pPr>
        <w:pStyle w:val="nzMiscellaneousHeading"/>
        <w:rPr>
          <w:b/>
        </w:rPr>
      </w:pPr>
      <w:r>
        <w:rPr>
          <w:b/>
        </w:rPr>
        <w:t>F.</w:t>
      </w:r>
    </w:p>
    <w:p>
      <w:pPr>
        <w:pStyle w:val="nzMiscellaneousBody"/>
        <w:ind w:left="1418" w:hanging="851"/>
      </w:pP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zMiscellaneousHeading"/>
        <w:rPr>
          <w:b/>
        </w:rPr>
      </w:pPr>
      <w:r>
        <w:rPr>
          <w:b/>
        </w:rPr>
        <w:t>G.</w:t>
      </w:r>
    </w:p>
    <w:p>
      <w:pPr>
        <w:pStyle w:val="nzMiscellaneousBody"/>
        <w:ind w:left="1418" w:hanging="851"/>
      </w:pP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w:t>
      </w:r>
      <w:r>
        <w:noBreakHyphen/>
        <w:t>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zMiscellaneousHeading"/>
        <w:rPr>
          <w:b/>
        </w:rPr>
      </w:pPr>
      <w:r>
        <w:rPr>
          <w:b/>
        </w:rPr>
        <w:t>H.</w:t>
      </w:r>
    </w:p>
    <w:p>
      <w:pPr>
        <w:pStyle w:val="nzMiscellaneousBody"/>
        <w:ind w:left="1418" w:hanging="851"/>
      </w:pPr>
      <w:r>
        <w:tab/>
        <w:t xml:space="preserve">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w:t>
      </w:r>
      <w:r>
        <w:lastRenderedPageBreak/>
        <w:t>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w:t>
      </w:r>
      <w:r>
        <w:noBreakHyphen/>
        <w:t>suit in any such action, the Court before which the action was brought may award treble costs to the defendant or such portion of those costs as the Court thinks fit.</w:t>
      </w:r>
    </w:p>
    <w:p>
      <w:pPr>
        <w:pStyle w:val="BlankClose"/>
      </w:pPr>
    </w:p>
    <w:p>
      <w:pPr>
        <w:pStyle w:val="nNote"/>
      </w:pPr>
      <w:r>
        <w:rPr>
          <w:vertAlign w:val="superscript"/>
        </w:rPr>
        <w:t>5</w:t>
      </w:r>
      <w:r>
        <w:tab/>
        <w:t xml:space="preserve">The </w:t>
      </w:r>
      <w:r>
        <w:rPr>
          <w:i/>
        </w:rPr>
        <w:t>Sunday Observance Laws Amendment and Repeal Act 1997</w:t>
      </w:r>
      <w:r>
        <w:t xml:space="preserve"> s. 4(2) is a transitional provision that is of no further effect.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124" w:name="_Toc100326567"/>
      <w:bookmarkStart w:id="125" w:name="_Toc100327197"/>
      <w:bookmarkStart w:id="126" w:name="_Toc100568864"/>
      <w:r>
        <w:rPr>
          <w:sz w:val="28"/>
        </w:rPr>
        <w:lastRenderedPageBreak/>
        <w:t>Defined terms</w:t>
      </w:r>
      <w:bookmarkEnd w:id="124"/>
      <w:bookmarkEnd w:id="125"/>
      <w:bookmarkEnd w:id="1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5</w:t>
      </w:r>
    </w:p>
    <w:p>
      <w:pPr>
        <w:pStyle w:val="DefinedTerms"/>
      </w:pPr>
      <w:r>
        <w:t>Act</w:t>
      </w:r>
      <w:r>
        <w:tab/>
        <w:t>5</w:t>
      </w:r>
    </w:p>
    <w:p>
      <w:pPr>
        <w:pStyle w:val="DefinedTerms"/>
      </w:pPr>
      <w:r>
        <w:t>Act of the Commonwealth</w:t>
      </w:r>
      <w:r>
        <w:tab/>
        <w:t>5</w:t>
      </w:r>
    </w:p>
    <w:p>
      <w:pPr>
        <w:pStyle w:val="DefinedTerms"/>
      </w:pPr>
      <w:r>
        <w:t>affidavit</w:t>
      </w:r>
      <w:r>
        <w:tab/>
        <w:t>5</w:t>
      </w:r>
    </w:p>
    <w:p>
      <w:pPr>
        <w:pStyle w:val="DefinedTerms"/>
      </w:pPr>
      <w:r>
        <w:t>alternative offence</w:t>
      </w:r>
      <w:r>
        <w:tab/>
        <w:t>5</w:t>
      </w:r>
    </w:p>
    <w:p>
      <w:pPr>
        <w:pStyle w:val="DefinedTerms"/>
      </w:pPr>
      <w:r>
        <w:t>amend</w:t>
      </w:r>
      <w:r>
        <w:tab/>
        <w:t>5</w:t>
      </w:r>
    </w:p>
    <w:p>
      <w:pPr>
        <w:pStyle w:val="DefinedTerms"/>
      </w:pPr>
      <w:r>
        <w:t>ASIC Law</w:t>
      </w:r>
      <w:r>
        <w:tab/>
        <w:t>5</w:t>
      </w:r>
    </w:p>
    <w:p>
      <w:pPr>
        <w:pStyle w:val="DefinedTerms"/>
      </w:pPr>
      <w:r>
        <w:t>ASIC Regulations</w:t>
      </w:r>
      <w:r>
        <w:tab/>
        <w:t>5</w:t>
      </w:r>
    </w:p>
    <w:p>
      <w:pPr>
        <w:pStyle w:val="DefinedTerms"/>
      </w:pPr>
      <w:r>
        <w:t>association</w:t>
      </w:r>
      <w:r>
        <w:tab/>
        <w:t>54(2)</w:t>
      </w:r>
    </w:p>
    <w:p>
      <w:pPr>
        <w:pStyle w:val="DefinedTerms"/>
      </w:pPr>
      <w:r>
        <w:t>Auditor General</w:t>
      </w:r>
      <w:r>
        <w:tab/>
        <w:t>5</w:t>
      </w:r>
    </w:p>
    <w:p>
      <w:pPr>
        <w:pStyle w:val="DefinedTerms"/>
      </w:pPr>
      <w:r>
        <w:t>Australia</w:t>
      </w:r>
      <w:r>
        <w:tab/>
        <w:t>5</w:t>
      </w:r>
    </w:p>
    <w:p>
      <w:pPr>
        <w:pStyle w:val="DefinedTerms"/>
      </w:pPr>
      <w:r>
        <w:t>Australia Acts</w:t>
      </w:r>
      <w:r>
        <w:tab/>
        <w:t>5</w:t>
      </w:r>
    </w:p>
    <w:p>
      <w:pPr>
        <w:pStyle w:val="DefinedTerms"/>
      </w:pPr>
      <w:r>
        <w:t>bank holiday</w:t>
      </w:r>
      <w:r>
        <w:tab/>
        <w:t>5</w:t>
      </w:r>
    </w:p>
    <w:p>
      <w:pPr>
        <w:pStyle w:val="DefinedTerms"/>
      </w:pPr>
      <w:r>
        <w:t>bankrupt and bankrupt or a person whose affairs are under insolvency laws</w:t>
      </w:r>
      <w:r>
        <w:tab/>
        <w:t>5</w:t>
      </w:r>
    </w:p>
    <w:p>
      <w:pPr>
        <w:pStyle w:val="DefinedTerms"/>
      </w:pPr>
      <w:r>
        <w:t>book</w:t>
      </w:r>
      <w:r>
        <w:tab/>
        <w:t>5</w:t>
      </w:r>
    </w:p>
    <w:p>
      <w:pPr>
        <w:pStyle w:val="DefinedTerms"/>
      </w:pPr>
      <w:r>
        <w:t>British possession</w:t>
      </w:r>
      <w:r>
        <w:tab/>
        <w:t>5</w:t>
      </w:r>
    </w:p>
    <w:p>
      <w:pPr>
        <w:pStyle w:val="DefinedTerms"/>
      </w:pPr>
      <w:r>
        <w:t>by</w:t>
      </w:r>
      <w:r>
        <w:noBreakHyphen/>
        <w:t>law</w:t>
      </w:r>
      <w:r>
        <w:tab/>
        <w:t>5</w:t>
      </w:r>
    </w:p>
    <w:p>
      <w:pPr>
        <w:pStyle w:val="DefinedTerms"/>
      </w:pPr>
      <w:r>
        <w:t>cause</w:t>
      </w:r>
      <w:r>
        <w:tab/>
        <w:t>52(2)</w:t>
      </w:r>
    </w:p>
    <w:p>
      <w:pPr>
        <w:pStyle w:val="DefinedTerms"/>
      </w:pPr>
      <w:r>
        <w:t>chief executive officer</w:t>
      </w:r>
      <w:r>
        <w:tab/>
        <w:t>5</w:t>
      </w:r>
    </w:p>
    <w:p>
      <w:pPr>
        <w:pStyle w:val="DefinedTerms"/>
      </w:pPr>
      <w:r>
        <w:t>Children’s Court</w:t>
      </w:r>
      <w:r>
        <w:tab/>
        <w:t>5</w:t>
      </w:r>
    </w:p>
    <w:p>
      <w:pPr>
        <w:pStyle w:val="DefinedTerms"/>
      </w:pPr>
      <w:r>
        <w:t>commencement</w:t>
      </w:r>
      <w:r>
        <w:tab/>
        <w:t>5</w:t>
      </w:r>
    </w:p>
    <w:p>
      <w:pPr>
        <w:pStyle w:val="DefinedTerms"/>
      </w:pPr>
      <w:r>
        <w:t>Commissioner of State Revenue</w:t>
      </w:r>
      <w:r>
        <w:tab/>
        <w:t>5</w:t>
      </w:r>
    </w:p>
    <w:p>
      <w:pPr>
        <w:pStyle w:val="DefinedTerms"/>
      </w:pPr>
      <w:r>
        <w:t>Commonwealth</w:t>
      </w:r>
      <w:r>
        <w:tab/>
        <w:t>5</w:t>
      </w:r>
    </w:p>
    <w:p>
      <w:pPr>
        <w:pStyle w:val="DefinedTerms"/>
      </w:pPr>
      <w:r>
        <w:t>Commonwealth Act</w:t>
      </w:r>
      <w:r>
        <w:tab/>
        <w:t>5, 13(1)</w:t>
      </w:r>
    </w:p>
    <w:p>
      <w:pPr>
        <w:pStyle w:val="DefinedTerms"/>
      </w:pPr>
      <w:r>
        <w:t>Consolidated Account</w:t>
      </w:r>
      <w:r>
        <w:tab/>
        <w:t>5</w:t>
      </w:r>
    </w:p>
    <w:p>
      <w:pPr>
        <w:pStyle w:val="DefinedTerms"/>
      </w:pPr>
      <w:r>
        <w:t>contravene</w:t>
      </w:r>
      <w:r>
        <w:tab/>
        <w:t>5</w:t>
      </w:r>
    </w:p>
    <w:p>
      <w:pPr>
        <w:pStyle w:val="DefinedTerms"/>
      </w:pPr>
      <w:r>
        <w:t>Corporations Law</w:t>
      </w:r>
      <w:r>
        <w:tab/>
        <w:t>5</w:t>
      </w:r>
    </w:p>
    <w:p>
      <w:pPr>
        <w:pStyle w:val="DefinedTerms"/>
      </w:pPr>
      <w:r>
        <w:t>Corporations Regulations</w:t>
      </w:r>
      <w:r>
        <w:tab/>
        <w:t>5</w:t>
      </w:r>
    </w:p>
    <w:p>
      <w:pPr>
        <w:pStyle w:val="DefinedTerms"/>
      </w:pPr>
      <w:r>
        <w:t>Court of Appeal</w:t>
      </w:r>
      <w:r>
        <w:tab/>
        <w:t>5</w:t>
      </w:r>
    </w:p>
    <w:p>
      <w:pPr>
        <w:pStyle w:val="DefinedTerms"/>
      </w:pPr>
      <w:r>
        <w:t>court of summary jurisdiction</w:t>
      </w:r>
      <w:r>
        <w:tab/>
        <w:t>5</w:t>
      </w:r>
    </w:p>
    <w:p>
      <w:pPr>
        <w:pStyle w:val="DefinedTerms"/>
      </w:pPr>
      <w:r>
        <w:t>Crown</w:t>
      </w:r>
      <w:r>
        <w:tab/>
        <w:t>5</w:t>
      </w:r>
    </w:p>
    <w:p>
      <w:pPr>
        <w:pStyle w:val="DefinedTerms"/>
      </w:pPr>
      <w:r>
        <w:t>de facto partner</w:t>
      </w:r>
      <w:r>
        <w:tab/>
        <w:t>5</w:t>
      </w:r>
    </w:p>
    <w:p>
      <w:pPr>
        <w:pStyle w:val="DefinedTerms"/>
      </w:pPr>
      <w:r>
        <w:t>de facto relationship</w:t>
      </w:r>
      <w:r>
        <w:tab/>
        <w:t>5</w:t>
      </w:r>
    </w:p>
    <w:p>
      <w:pPr>
        <w:pStyle w:val="DefinedTerms"/>
      </w:pPr>
      <w:r>
        <w:t>death</w:t>
      </w:r>
      <w:r>
        <w:tab/>
        <w:t>5</w:t>
      </w:r>
    </w:p>
    <w:p>
      <w:pPr>
        <w:pStyle w:val="DefinedTerms"/>
      </w:pPr>
      <w:r>
        <w:t>definition</w:t>
      </w:r>
      <w:r>
        <w:tab/>
        <w:t>5</w:t>
      </w:r>
    </w:p>
    <w:p>
      <w:pPr>
        <w:pStyle w:val="DefinedTerms"/>
      </w:pPr>
      <w:r>
        <w:t>District Court</w:t>
      </w:r>
      <w:r>
        <w:tab/>
        <w:t>5</w:t>
      </w:r>
    </w:p>
    <w:p>
      <w:pPr>
        <w:pStyle w:val="DefinedTerms"/>
      </w:pPr>
      <w:r>
        <w:t>District Court judge</w:t>
      </w:r>
      <w:r>
        <w:tab/>
        <w:t>5</w:t>
      </w:r>
    </w:p>
    <w:p>
      <w:pPr>
        <w:pStyle w:val="DefinedTerms"/>
      </w:pPr>
      <w:r>
        <w:t>document</w:t>
      </w:r>
      <w:r>
        <w:tab/>
        <w:t>5</w:t>
      </w:r>
    </w:p>
    <w:p>
      <w:pPr>
        <w:pStyle w:val="DefinedTerms"/>
      </w:pPr>
      <w:r>
        <w:t>enactment</w:t>
      </w:r>
      <w:r>
        <w:tab/>
        <w:t>5</w:t>
      </w:r>
    </w:p>
    <w:p>
      <w:pPr>
        <w:pStyle w:val="DefinedTerms"/>
      </w:pPr>
      <w:r>
        <w:lastRenderedPageBreak/>
        <w:t>estate</w:t>
      </w:r>
      <w:r>
        <w:tab/>
        <w:t>5</w:t>
      </w:r>
    </w:p>
    <w:p>
      <w:pPr>
        <w:pStyle w:val="DefinedTerms"/>
      </w:pPr>
      <w:r>
        <w:t>excluded day</w:t>
      </w:r>
      <w:r>
        <w:tab/>
        <w:t>61(2)</w:t>
      </w:r>
    </w:p>
    <w:p>
      <w:pPr>
        <w:pStyle w:val="DefinedTerms"/>
      </w:pPr>
      <w:r>
        <w:t>Family Court</w:t>
      </w:r>
      <w:r>
        <w:tab/>
        <w:t>5</w:t>
      </w:r>
    </w:p>
    <w:p>
      <w:pPr>
        <w:pStyle w:val="DefinedTerms"/>
      </w:pPr>
      <w:r>
        <w:t>Family Court of Western Australia</w:t>
      </w:r>
      <w:r>
        <w:tab/>
        <w:t>5</w:t>
      </w:r>
    </w:p>
    <w:p>
      <w:pPr>
        <w:pStyle w:val="DefinedTerms"/>
      </w:pPr>
      <w:r>
        <w:t>fee</w:t>
      </w:r>
      <w:r>
        <w:tab/>
        <w:t>45A(4)</w:t>
      </w:r>
    </w:p>
    <w:p>
      <w:pPr>
        <w:pStyle w:val="DefinedTerms"/>
      </w:pPr>
      <w:r>
        <w:t>financial year</w:t>
      </w:r>
      <w:r>
        <w:tab/>
        <w:t>5</w:t>
      </w:r>
    </w:p>
    <w:p>
      <w:pPr>
        <w:pStyle w:val="DefinedTerms"/>
      </w:pPr>
      <w:r>
        <w:t>first person</w:t>
      </w:r>
      <w:r>
        <w:tab/>
        <w:t>13A(5)</w:t>
      </w:r>
    </w:p>
    <w:p>
      <w:pPr>
        <w:pStyle w:val="DefinedTerms"/>
      </w:pPr>
      <w:r>
        <w:t>function</w:t>
      </w:r>
      <w:r>
        <w:tab/>
        <w:t>5</w:t>
      </w:r>
    </w:p>
    <w:p>
      <w:pPr>
        <w:pStyle w:val="DefinedTerms"/>
      </w:pPr>
      <w:r>
        <w:t>Gazette</w:t>
      </w:r>
      <w:r>
        <w:tab/>
        <w:t>5</w:t>
      </w:r>
    </w:p>
    <w:p>
      <w:pPr>
        <w:pStyle w:val="DefinedTerms"/>
      </w:pPr>
      <w:r>
        <w:t>Government</w:t>
      </w:r>
      <w:r>
        <w:tab/>
        <w:t>5</w:t>
      </w:r>
    </w:p>
    <w:p>
      <w:pPr>
        <w:pStyle w:val="DefinedTerms"/>
      </w:pPr>
      <w:r>
        <w:t>Government Gazette</w:t>
      </w:r>
      <w:r>
        <w:tab/>
        <w:t>5</w:t>
      </w:r>
    </w:p>
    <w:p>
      <w:pPr>
        <w:pStyle w:val="DefinedTerms"/>
      </w:pPr>
      <w:r>
        <w:t>Government Printer</w:t>
      </w:r>
      <w:r>
        <w:tab/>
        <w:t>5</w:t>
      </w:r>
    </w:p>
    <w:p>
      <w:pPr>
        <w:pStyle w:val="DefinedTerms"/>
      </w:pPr>
      <w:r>
        <w:t>Governor</w:t>
      </w:r>
      <w:r>
        <w:tab/>
        <w:t>5</w:t>
      </w:r>
    </w:p>
    <w:p>
      <w:pPr>
        <w:pStyle w:val="DefinedTerms"/>
      </w:pPr>
      <w:r>
        <w:t>Her Majesty</w:t>
      </w:r>
      <w:r>
        <w:tab/>
        <w:t>5</w:t>
      </w:r>
    </w:p>
    <w:p>
      <w:pPr>
        <w:pStyle w:val="DefinedTerms"/>
      </w:pPr>
      <w:r>
        <w:t>His Majesty</w:t>
      </w:r>
      <w:r>
        <w:tab/>
        <w:t>5</w:t>
      </w:r>
    </w:p>
    <w:p>
      <w:pPr>
        <w:pStyle w:val="DefinedTerms"/>
      </w:pPr>
      <w:r>
        <w:t>Imperial Act</w:t>
      </w:r>
      <w:r>
        <w:tab/>
        <w:t>5</w:t>
      </w:r>
    </w:p>
    <w:p>
      <w:pPr>
        <w:pStyle w:val="DefinedTerms"/>
      </w:pPr>
      <w:r>
        <w:t>indictable offence</w:t>
      </w:r>
      <w:r>
        <w:tab/>
        <w:t>5</w:t>
      </w:r>
    </w:p>
    <w:p>
      <w:pPr>
        <w:pStyle w:val="DefinedTerms"/>
      </w:pPr>
      <w:r>
        <w:t>individual</w:t>
      </w:r>
      <w:r>
        <w:tab/>
        <w:t>5</w:t>
      </w:r>
    </w:p>
    <w:p>
      <w:pPr>
        <w:pStyle w:val="DefinedTerms"/>
      </w:pPr>
      <w:r>
        <w:t>issue</w:t>
      </w:r>
      <w:r>
        <w:tab/>
        <w:t>45A(4)</w:t>
      </w:r>
    </w:p>
    <w:p>
      <w:pPr>
        <w:pStyle w:val="DefinedTerms"/>
      </w:pPr>
      <w:r>
        <w:t>JP</w:t>
      </w:r>
      <w:r>
        <w:tab/>
        <w:t>5</w:t>
      </w:r>
    </w:p>
    <w:p>
      <w:pPr>
        <w:pStyle w:val="DefinedTerms"/>
      </w:pPr>
      <w:r>
        <w:t>judge</w:t>
      </w:r>
      <w:r>
        <w:tab/>
        <w:t>5</w:t>
      </w:r>
    </w:p>
    <w:p>
      <w:pPr>
        <w:pStyle w:val="DefinedTerms"/>
      </w:pPr>
      <w:r>
        <w:t>justice</w:t>
      </w:r>
      <w:r>
        <w:tab/>
        <w:t>5</w:t>
      </w:r>
    </w:p>
    <w:p>
      <w:pPr>
        <w:pStyle w:val="DefinedTerms"/>
      </w:pPr>
      <w:r>
        <w:t>justice of the peace</w:t>
      </w:r>
      <w:r>
        <w:tab/>
        <w:t>5</w:t>
      </w:r>
    </w:p>
    <w:p>
      <w:pPr>
        <w:pStyle w:val="DefinedTerms"/>
      </w:pPr>
      <w:r>
        <w:t>King</w:t>
      </w:r>
      <w:r>
        <w:tab/>
        <w:t>5</w:t>
      </w:r>
    </w:p>
    <w:p>
      <w:pPr>
        <w:pStyle w:val="DefinedTerms"/>
      </w:pPr>
      <w:r>
        <w:t>land</w:t>
      </w:r>
      <w:r>
        <w:tab/>
        <w:t>5</w:t>
      </w:r>
    </w:p>
    <w:p>
      <w:pPr>
        <w:pStyle w:val="DefinedTerms"/>
      </w:pPr>
      <w:r>
        <w:t>law of the State</w:t>
      </w:r>
      <w:r>
        <w:tab/>
        <w:t>13(1)</w:t>
      </w:r>
    </w:p>
    <w:p>
      <w:pPr>
        <w:pStyle w:val="DefinedTerms"/>
      </w:pPr>
      <w:r>
        <w:t>licence</w:t>
      </w:r>
      <w:r>
        <w:tab/>
        <w:t>45A(4)</w:t>
      </w:r>
    </w:p>
    <w:p>
      <w:pPr>
        <w:pStyle w:val="DefinedTerms"/>
      </w:pPr>
      <w:r>
        <w:t>local government</w:t>
      </w:r>
      <w:r>
        <w:tab/>
        <w:t>5</w:t>
      </w:r>
    </w:p>
    <w:p>
      <w:pPr>
        <w:pStyle w:val="DefinedTerms"/>
      </w:pPr>
      <w:r>
        <w:t>local government district</w:t>
      </w:r>
      <w:r>
        <w:tab/>
        <w:t>5, 13CA(1)</w:t>
      </w:r>
    </w:p>
    <w:p>
      <w:pPr>
        <w:pStyle w:val="DefinedTerms"/>
      </w:pPr>
      <w:r>
        <w:t>local law</w:t>
      </w:r>
      <w:r>
        <w:tab/>
        <w:t>5</w:t>
      </w:r>
    </w:p>
    <w:p>
      <w:pPr>
        <w:pStyle w:val="DefinedTerms"/>
      </w:pPr>
      <w:r>
        <w:t>magistrate</w:t>
      </w:r>
      <w:r>
        <w:tab/>
        <w:t>5</w:t>
      </w:r>
    </w:p>
    <w:p>
      <w:pPr>
        <w:pStyle w:val="DefinedTerms"/>
      </w:pPr>
      <w:r>
        <w:t>Magistrates Court</w:t>
      </w:r>
      <w:r>
        <w:tab/>
        <w:t>5</w:t>
      </w:r>
    </w:p>
    <w:p>
      <w:pPr>
        <w:pStyle w:val="DefinedTerms"/>
      </w:pPr>
      <w:r>
        <w:t>may</w:t>
      </w:r>
      <w:r>
        <w:tab/>
        <w:t>56(1)</w:t>
      </w:r>
    </w:p>
    <w:p>
      <w:pPr>
        <w:pStyle w:val="DefinedTerms"/>
      </w:pPr>
      <w:r>
        <w:t>Minister</w:t>
      </w:r>
      <w:r>
        <w:tab/>
        <w:t>5</w:t>
      </w:r>
    </w:p>
    <w:p>
      <w:pPr>
        <w:pStyle w:val="DefinedTerms"/>
      </w:pPr>
      <w:r>
        <w:t>Minister for Public Sector Management</w:t>
      </w:r>
      <w:r>
        <w:tab/>
        <w:t>5</w:t>
      </w:r>
    </w:p>
    <w:p>
      <w:pPr>
        <w:pStyle w:val="DefinedTerms"/>
      </w:pPr>
      <w:r>
        <w:t>month</w:t>
      </w:r>
      <w:r>
        <w:tab/>
        <w:t>5, 62(1)</w:t>
      </w:r>
    </w:p>
    <w:p>
      <w:pPr>
        <w:pStyle w:val="DefinedTerms"/>
      </w:pPr>
      <w:r>
        <w:t>oath</w:t>
      </w:r>
      <w:r>
        <w:tab/>
        <w:t>5</w:t>
      </w:r>
    </w:p>
    <w:p>
      <w:pPr>
        <w:pStyle w:val="DefinedTerms"/>
      </w:pPr>
      <w:r>
        <w:t>or</w:t>
      </w:r>
      <w:r>
        <w:tab/>
        <w:t>17</w:t>
      </w:r>
    </w:p>
    <w:p>
      <w:pPr>
        <w:pStyle w:val="DefinedTerms"/>
      </w:pPr>
      <w:r>
        <w:t>other</w:t>
      </w:r>
      <w:r>
        <w:tab/>
        <w:t>17</w:t>
      </w:r>
    </w:p>
    <w:p>
      <w:pPr>
        <w:pStyle w:val="DefinedTerms"/>
      </w:pPr>
      <w:r>
        <w:t>otherwise</w:t>
      </w:r>
      <w:r>
        <w:tab/>
        <w:t>17</w:t>
      </w:r>
    </w:p>
    <w:p>
      <w:pPr>
        <w:pStyle w:val="DefinedTerms"/>
      </w:pPr>
      <w:r>
        <w:t>paragraph</w:t>
      </w:r>
      <w:r>
        <w:tab/>
        <w:t>15A(1)</w:t>
      </w:r>
    </w:p>
    <w:p>
      <w:pPr>
        <w:pStyle w:val="DefinedTerms"/>
      </w:pPr>
      <w:r>
        <w:t>parent</w:t>
      </w:r>
      <w:r>
        <w:tab/>
        <w:t>5</w:t>
      </w:r>
    </w:p>
    <w:p>
      <w:pPr>
        <w:pStyle w:val="DefinedTerms"/>
      </w:pPr>
      <w:r>
        <w:t>Parliament</w:t>
      </w:r>
      <w:r>
        <w:tab/>
        <w:t>5</w:t>
      </w:r>
    </w:p>
    <w:p>
      <w:pPr>
        <w:pStyle w:val="DefinedTerms"/>
      </w:pPr>
      <w:r>
        <w:t>penalty</w:t>
      </w:r>
      <w:r>
        <w:tab/>
        <w:t>5</w:t>
      </w:r>
    </w:p>
    <w:p>
      <w:pPr>
        <w:pStyle w:val="DefinedTerms"/>
      </w:pPr>
      <w:r>
        <w:t>perform</w:t>
      </w:r>
      <w:r>
        <w:tab/>
        <w:t>5</w:t>
      </w:r>
    </w:p>
    <w:p>
      <w:pPr>
        <w:pStyle w:val="DefinedTerms"/>
      </w:pPr>
      <w:r>
        <w:lastRenderedPageBreak/>
        <w:t>person</w:t>
      </w:r>
      <w:r>
        <w:tab/>
        <w:t>5</w:t>
      </w:r>
    </w:p>
    <w:p>
      <w:pPr>
        <w:pStyle w:val="DefinedTerms"/>
      </w:pPr>
      <w:r>
        <w:t>police officer</w:t>
      </w:r>
      <w:r>
        <w:tab/>
        <w:t>5</w:t>
      </w:r>
    </w:p>
    <w:p>
      <w:pPr>
        <w:pStyle w:val="DefinedTerms"/>
      </w:pPr>
      <w:r>
        <w:t>power</w:t>
      </w:r>
      <w:r>
        <w:tab/>
        <w:t>5</w:t>
      </w:r>
    </w:p>
    <w:p>
      <w:pPr>
        <w:pStyle w:val="DefinedTerms"/>
      </w:pPr>
      <w:r>
        <w:t>prescribed</w:t>
      </w:r>
      <w:r>
        <w:tab/>
        <w:t>5</w:t>
      </w:r>
    </w:p>
    <w:p>
      <w:pPr>
        <w:pStyle w:val="DefinedTerms"/>
      </w:pPr>
      <w:r>
        <w:t>proclamation</w:t>
      </w:r>
      <w:r>
        <w:tab/>
        <w:t>5</w:t>
      </w:r>
    </w:p>
    <w:p>
      <w:pPr>
        <w:pStyle w:val="DefinedTerms"/>
      </w:pPr>
      <w:r>
        <w:t>public half</w:t>
      </w:r>
      <w:r>
        <w:noBreakHyphen/>
        <w:t>holiday</w:t>
      </w:r>
      <w:r>
        <w:tab/>
        <w:t>5</w:t>
      </w:r>
    </w:p>
    <w:p>
      <w:pPr>
        <w:pStyle w:val="DefinedTerms"/>
      </w:pPr>
      <w:r>
        <w:t>public holiday</w:t>
      </w:r>
      <w:r>
        <w:tab/>
        <w:t>5</w:t>
      </w:r>
    </w:p>
    <w:p>
      <w:pPr>
        <w:pStyle w:val="DefinedTerms"/>
      </w:pPr>
      <w:r>
        <w:t>Public Sector Commissioner</w:t>
      </w:r>
      <w:r>
        <w:tab/>
        <w:t>5</w:t>
      </w:r>
    </w:p>
    <w:p>
      <w:pPr>
        <w:pStyle w:val="DefinedTerms"/>
      </w:pPr>
      <w:r>
        <w:t>Public Service</w:t>
      </w:r>
      <w:r>
        <w:tab/>
        <w:t>5</w:t>
      </w:r>
    </w:p>
    <w:p>
      <w:pPr>
        <w:pStyle w:val="DefinedTerms"/>
      </w:pPr>
      <w:r>
        <w:t>public service holiday</w:t>
      </w:r>
      <w:r>
        <w:tab/>
        <w:t>5</w:t>
      </w:r>
    </w:p>
    <w:p>
      <w:pPr>
        <w:pStyle w:val="DefinedTerms"/>
      </w:pPr>
      <w:r>
        <w:t>public service officer</w:t>
      </w:r>
      <w:r>
        <w:tab/>
        <w:t>5</w:t>
      </w:r>
    </w:p>
    <w:p>
      <w:pPr>
        <w:pStyle w:val="DefinedTerms"/>
      </w:pPr>
      <w:r>
        <w:t>publication</w:t>
      </w:r>
      <w:r>
        <w:tab/>
        <w:t>5</w:t>
      </w:r>
    </w:p>
    <w:p>
      <w:pPr>
        <w:pStyle w:val="DefinedTerms"/>
      </w:pPr>
      <w:r>
        <w:t>Queen</w:t>
      </w:r>
      <w:r>
        <w:tab/>
        <w:t>5</w:t>
      </w:r>
    </w:p>
    <w:p>
      <w:pPr>
        <w:pStyle w:val="DefinedTerms"/>
      </w:pPr>
      <w:r>
        <w:t>regional local government</w:t>
      </w:r>
      <w:r>
        <w:tab/>
        <w:t>5</w:t>
      </w:r>
    </w:p>
    <w:p>
      <w:pPr>
        <w:pStyle w:val="DefinedTerms"/>
      </w:pPr>
      <w:r>
        <w:t>regional subsidiary</w:t>
      </w:r>
      <w:r>
        <w:tab/>
        <w:t>5</w:t>
      </w:r>
    </w:p>
    <w:p>
      <w:pPr>
        <w:pStyle w:val="DefinedTerms"/>
      </w:pPr>
      <w:r>
        <w:t>regulation</w:t>
      </w:r>
      <w:r>
        <w:tab/>
        <w:t>5</w:t>
      </w:r>
    </w:p>
    <w:p>
      <w:pPr>
        <w:pStyle w:val="DefinedTerms"/>
      </w:pPr>
      <w:r>
        <w:t>regulations</w:t>
      </w:r>
      <w:r>
        <w:tab/>
        <w:t>42(8)</w:t>
      </w:r>
    </w:p>
    <w:p>
      <w:pPr>
        <w:pStyle w:val="DefinedTerms"/>
      </w:pPr>
      <w:r>
        <w:t>repeal</w:t>
      </w:r>
      <w:r>
        <w:tab/>
        <w:t>5</w:t>
      </w:r>
    </w:p>
    <w:p>
      <w:pPr>
        <w:pStyle w:val="DefinedTerms"/>
      </w:pPr>
      <w:r>
        <w:t>Royal Assent</w:t>
      </w:r>
      <w:r>
        <w:tab/>
        <w:t>5</w:t>
      </w:r>
    </w:p>
    <w:p>
      <w:pPr>
        <w:pStyle w:val="DefinedTerms"/>
      </w:pPr>
      <w:r>
        <w:t>rule</w:t>
      </w:r>
      <w:r>
        <w:tab/>
        <w:t>5</w:t>
      </w:r>
    </w:p>
    <w:p>
      <w:pPr>
        <w:pStyle w:val="DefinedTerms"/>
      </w:pPr>
      <w:r>
        <w:t>rules of court</w:t>
      </w:r>
      <w:r>
        <w:tab/>
        <w:t>5, 66(1)</w:t>
      </w:r>
    </w:p>
    <w:p>
      <w:pPr>
        <w:pStyle w:val="DefinedTerms"/>
      </w:pPr>
      <w:r>
        <w:t>sell</w:t>
      </w:r>
      <w:r>
        <w:tab/>
        <w:t>5</w:t>
      </w:r>
    </w:p>
    <w:p>
      <w:pPr>
        <w:pStyle w:val="DefinedTerms"/>
      </w:pPr>
      <w:r>
        <w:t>shall</w:t>
      </w:r>
      <w:r>
        <w:tab/>
        <w:t>56(2)</w:t>
      </w:r>
    </w:p>
    <w:p>
      <w:pPr>
        <w:pStyle w:val="DefinedTerms"/>
      </w:pPr>
      <w:r>
        <w:t>sign</w:t>
      </w:r>
      <w:r>
        <w:tab/>
        <w:t>5</w:t>
      </w:r>
    </w:p>
    <w:p>
      <w:pPr>
        <w:pStyle w:val="DefinedTerms"/>
      </w:pPr>
      <w:r>
        <w:t>simple offence</w:t>
      </w:r>
      <w:r>
        <w:tab/>
        <w:t>5</w:t>
      </w:r>
    </w:p>
    <w:p>
      <w:pPr>
        <w:pStyle w:val="DefinedTerms"/>
      </w:pPr>
      <w:r>
        <w:t>sitting days</w:t>
      </w:r>
      <w:r>
        <w:tab/>
        <w:t>5</w:t>
      </w:r>
    </w:p>
    <w:p>
      <w:pPr>
        <w:pStyle w:val="DefinedTerms"/>
      </w:pPr>
      <w:r>
        <w:t>specified</w:t>
      </w:r>
      <w:r>
        <w:tab/>
        <w:t>43(9)</w:t>
      </w:r>
    </w:p>
    <w:p>
      <w:pPr>
        <w:pStyle w:val="DefinedTerms"/>
      </w:pPr>
      <w:r>
        <w:t>spouse</w:t>
      </w:r>
      <w:r>
        <w:tab/>
        <w:t>5</w:t>
      </w:r>
    </w:p>
    <w:p>
      <w:pPr>
        <w:pStyle w:val="DefinedTerms"/>
      </w:pPr>
      <w:r>
        <w:t>Standards Australia</w:t>
      </w:r>
      <w:r>
        <w:tab/>
        <w:t>5</w:t>
      </w:r>
    </w:p>
    <w:p>
      <w:pPr>
        <w:pStyle w:val="DefinedTerms"/>
      </w:pPr>
      <w:r>
        <w:t>State</w:t>
      </w:r>
      <w:r>
        <w:tab/>
        <w:t>5</w:t>
      </w:r>
    </w:p>
    <w:p>
      <w:pPr>
        <w:pStyle w:val="DefinedTerms"/>
      </w:pPr>
      <w:r>
        <w:t>State Administrative Tribunal</w:t>
      </w:r>
      <w:r>
        <w:tab/>
        <w:t>5</w:t>
      </w:r>
    </w:p>
    <w:p>
      <w:pPr>
        <w:pStyle w:val="DefinedTerms"/>
      </w:pPr>
      <w:r>
        <w:t>statutory declaration</w:t>
      </w:r>
      <w:r>
        <w:tab/>
        <w:t>5</w:t>
      </w:r>
    </w:p>
    <w:p>
      <w:pPr>
        <w:pStyle w:val="DefinedTerms"/>
      </w:pPr>
      <w:r>
        <w:t>subsidiary legislation</w:t>
      </w:r>
      <w:r>
        <w:tab/>
        <w:t>5</w:t>
      </w:r>
    </w:p>
    <w:p>
      <w:pPr>
        <w:pStyle w:val="DefinedTerms"/>
      </w:pPr>
      <w:r>
        <w:t>summary conviction</w:t>
      </w:r>
      <w:r>
        <w:tab/>
        <w:t>5</w:t>
      </w:r>
    </w:p>
    <w:p>
      <w:pPr>
        <w:pStyle w:val="DefinedTerms"/>
      </w:pPr>
      <w:r>
        <w:t>summary conviction penalty</w:t>
      </w:r>
      <w:r>
        <w:tab/>
        <w:t>5</w:t>
      </w:r>
    </w:p>
    <w:p>
      <w:pPr>
        <w:pStyle w:val="DefinedTerms"/>
      </w:pPr>
      <w:r>
        <w:t>Supreme Court</w:t>
      </w:r>
      <w:r>
        <w:tab/>
        <w:t>5</w:t>
      </w:r>
    </w:p>
    <w:p>
      <w:pPr>
        <w:pStyle w:val="DefinedTerms"/>
      </w:pPr>
      <w:r>
        <w:t>swear</w:t>
      </w:r>
      <w:r>
        <w:tab/>
        <w:t>5</w:t>
      </w:r>
    </w:p>
    <w:p>
      <w:pPr>
        <w:pStyle w:val="DefinedTerms"/>
      </w:pPr>
      <w:r>
        <w:t>Territory</w:t>
      </w:r>
      <w:r>
        <w:tab/>
        <w:t>5</w:t>
      </w:r>
    </w:p>
    <w:p>
      <w:pPr>
        <w:pStyle w:val="DefinedTerms"/>
      </w:pPr>
      <w:r>
        <w:t>the Act</w:t>
      </w:r>
      <w:r>
        <w:tab/>
        <w:t>44(2)</w:t>
      </w:r>
    </w:p>
    <w:p>
      <w:pPr>
        <w:pStyle w:val="DefinedTerms"/>
      </w:pPr>
      <w:r>
        <w:t>the State</w:t>
      </w:r>
      <w:r>
        <w:tab/>
        <w:t>5</w:t>
      </w:r>
    </w:p>
    <w:p>
      <w:pPr>
        <w:pStyle w:val="DefinedTerms"/>
      </w:pPr>
      <w:r>
        <w:t>this State</w:t>
      </w:r>
      <w:r>
        <w:tab/>
        <w:t>5</w:t>
      </w:r>
    </w:p>
    <w:p>
      <w:pPr>
        <w:pStyle w:val="DefinedTerms"/>
      </w:pPr>
      <w:r>
        <w:t>under</w:t>
      </w:r>
      <w:r>
        <w:tab/>
        <w:t>5</w:t>
      </w:r>
    </w:p>
    <w:p>
      <w:pPr>
        <w:pStyle w:val="DefinedTerms"/>
      </w:pPr>
      <w:r>
        <w:t>United Kingdom</w:t>
      </w:r>
      <w:r>
        <w:tab/>
        <w:t>5</w:t>
      </w:r>
    </w:p>
    <w:p>
      <w:pPr>
        <w:pStyle w:val="DefinedTerms"/>
      </w:pPr>
      <w:r>
        <w:t>Valuer</w:t>
      </w:r>
      <w:r>
        <w:noBreakHyphen/>
        <w:t>General</w:t>
      </w:r>
      <w:r>
        <w:tab/>
        <w:t>5</w:t>
      </w:r>
    </w:p>
    <w:p>
      <w:pPr>
        <w:pStyle w:val="DefinedTerms"/>
      </w:pPr>
      <w:r>
        <w:t>will</w:t>
      </w:r>
      <w:r>
        <w:tab/>
        <w:t>5</w:t>
      </w:r>
    </w:p>
    <w:p>
      <w:pPr>
        <w:pStyle w:val="DefinedTerms"/>
      </w:pPr>
      <w:r>
        <w:lastRenderedPageBreak/>
        <w:t>words</w:t>
      </w:r>
      <w:r>
        <w:tab/>
        <w:t>5</w:t>
      </w:r>
    </w:p>
    <w:p>
      <w:pPr>
        <w:pStyle w:val="DefinedTerms"/>
      </w:pPr>
      <w:r>
        <w:t>writing</w:t>
      </w:r>
      <w:r>
        <w:tab/>
        <w:t>5</w:t>
      </w:r>
    </w:p>
    <w:p>
      <w:pPr>
        <w:pStyle w:val="DefinedTerms"/>
      </w:pPr>
      <w:r>
        <w:t>written law</w:t>
      </w:r>
      <w:r>
        <w:tab/>
        <w:t>5</w:t>
      </w:r>
    </w:p>
    <w:p>
      <w:pPr>
        <w:pStyle w:val="DefinedTerms"/>
      </w:pPr>
      <w:r>
        <w:t>year</w:t>
      </w:r>
      <w:r>
        <w:tab/>
        <w:t>5</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7" w:name="DefinedTerms"/>
    <w:bookmarkEnd w:id="1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8" w:name="Coversheet"/>
    <w:bookmarkEnd w:id="1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5EAF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8A7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9498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F62A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E0D3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E3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86E9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2D0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8CCD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125A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E8877F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60509"/>
    <w:docVar w:name="WAFER_20140130140307" w:val="RemoveTocBookmarks,RemoveUnusedBookmarks,RemoveLanguageTags,UsedStyles,ResetPageSize,UpdateArrangement"/>
    <w:docVar w:name="WAFER_20140130140307_GUID" w:val="6fe5262c-e220-49dd-901c-39e49a2892a7"/>
    <w:docVar w:name="WAFER_20140130140315" w:val="RemoveTocBookmarks,RunningHeaders"/>
    <w:docVar w:name="WAFER_20140130140315_GUID" w:val="1f9aba84-d7e9-45db-a069-46a5ad9f0ce6"/>
    <w:docVar w:name="WAFER_20150518114412" w:val="ResetPageSize,UpdateArrangement,UpdateNTable"/>
    <w:docVar w:name="WAFER_20150518114412_GUID" w:val="259119ea-1a15-406c-8337-6a747e0624c9"/>
    <w:docVar w:name="WAFER_20151102140053" w:val="UpdateStyles"/>
    <w:docVar w:name="WAFER_20151102140053_GUID" w:val="f91e2ee7-dc5b-46cb-bc45-8b236c570b26"/>
    <w:docVar w:name="WAFER_20151103165320" w:val="UsedStyles"/>
    <w:docVar w:name="WAFER_20151103165320_GUID" w:val="2bb67779-1907-4a7c-b4bc-90c476e6f75f"/>
    <w:docVar w:name="WAFER_20200911110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515_GUID" w:val="d1fc69ae-9d09-419c-8f74-901978e1ffa3"/>
    <w:docVar w:name="WAFER_202108251221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2117_GUID" w:val="fec25164-a59e-4e8b-b952-9430f43c2f5b"/>
    <w:docVar w:name="WAFER_2021082512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2139_GUID" w:val="cb04cb45-ea3f-4db1-968d-9d495b8b80a7"/>
    <w:docVar w:name="WAFER_20220408160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60509_GUID" w:val="cefe1808-9a4a-4858-9593-b70ea94919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17948</Words>
  <Characters>84360</Characters>
  <Application>Microsoft Office Word</Application>
  <DocSecurity>0</DocSecurity>
  <Lines>2410</Lines>
  <Paragraphs>1346</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100962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1984 - 07-h0-00</dc:title>
  <dc:subject/>
  <dc:creator/>
  <cp:keywords/>
  <dc:description/>
  <cp:lastModifiedBy>Master Repository Process</cp:lastModifiedBy>
  <cp:revision>4</cp:revision>
  <cp:lastPrinted>2011-02-01T03:30:00Z</cp:lastPrinted>
  <dcterms:created xsi:type="dcterms:W3CDTF">2022-04-14T09:45:00Z</dcterms:created>
  <dcterms:modified xsi:type="dcterms:W3CDTF">2022-04-14T09:45:00Z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DocumentType">
    <vt:lpwstr>Act</vt:lpwstr>
  </property>
  <property fmtid="{D5CDD505-2E9C-101B-9397-08002B2CF9AE}" pid="4" name="OwlsUID">
    <vt:i4>384</vt:i4>
  </property>
  <property fmtid="{D5CDD505-2E9C-101B-9397-08002B2CF9AE}" pid="5" name="ReprintNo">
    <vt:lpwstr>7</vt:lpwstr>
  </property>
  <property fmtid="{D5CDD505-2E9C-101B-9397-08002B2CF9AE}" pid="6" name="ReprintedAsAt">
    <vt:filetime>2011-01-20T16:00:00Z</vt:filetime>
  </property>
  <property fmtid="{D5CDD505-2E9C-101B-9397-08002B2CF9AE}" pid="7" name="AsAtDate">
    <vt:lpwstr>14 Apr 2022</vt:lpwstr>
  </property>
  <property fmtid="{D5CDD505-2E9C-101B-9397-08002B2CF9AE}" pid="8" name="Suffix">
    <vt:lpwstr>07-h0-00</vt:lpwstr>
  </property>
  <property fmtid="{D5CDD505-2E9C-101B-9397-08002B2CF9AE}" pid="9" name="CommencementDate">
    <vt:lpwstr>20220414</vt:lpwstr>
  </property>
</Properties>
</file>