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Magistrates Court (Civil Proceedings)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_Toc107393096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_Toc107393097 \h </w:instrText>
      </w:r>
      <w:r>
        <w:fldChar w:fldCharType="separate"/>
      </w:r>
      <w:r>
        <w:t>1</w:t>
      </w:r>
      <w:r>
        <w:fldChar w:fldCharType="end"/>
      </w:r>
    </w:p>
    <w:p>
      <w:pPr>
        <w:pStyle w:val="TOC8"/>
        <w:rPr>
          <w:rFonts w:asciiTheme="minorHAnsi" w:eastAsiaTheme="minorEastAsia" w:hAnsiTheme="minorHAnsi" w:cstheme="minorBidi"/>
          <w:szCs w:val="22"/>
        </w:rPr>
      </w:pPr>
      <w:r>
        <w:t>3.</w:t>
      </w:r>
      <w:r>
        <w:tab/>
        <w:t xml:space="preserve">These rules to be read with the </w:t>
      </w:r>
      <w:r>
        <w:rPr>
          <w:i/>
          <w:iCs/>
        </w:rPr>
        <w:t>Magistrates Court (General) Rules 2005</w:t>
      </w:r>
      <w:r>
        <w:tab/>
      </w:r>
      <w:r>
        <w:fldChar w:fldCharType="begin"/>
      </w:r>
      <w:r>
        <w:instrText xml:space="preserve"> PAGEREF _Toc107393098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_Toc107393099 \h </w:instrText>
      </w:r>
      <w:r>
        <w:fldChar w:fldCharType="separate"/>
      </w:r>
      <w:r>
        <w:t>1</w:t>
      </w:r>
      <w:r>
        <w:fldChar w:fldCharType="end"/>
      </w:r>
    </w:p>
    <w:p>
      <w:pPr>
        <w:pStyle w:val="TOC8"/>
        <w:rPr>
          <w:rFonts w:asciiTheme="minorHAnsi" w:eastAsiaTheme="minorEastAsia" w:hAnsiTheme="minorHAnsi" w:cstheme="minorBidi"/>
          <w:szCs w:val="22"/>
        </w:rPr>
      </w:pPr>
      <w:r>
        <w:t>5.</w:t>
      </w:r>
      <w:r>
        <w:tab/>
        <w:t>When these rules apply</w:t>
      </w:r>
      <w:r>
        <w:tab/>
      </w:r>
      <w:r>
        <w:fldChar w:fldCharType="begin"/>
      </w:r>
      <w:r>
        <w:instrText xml:space="preserve"> PAGEREF _Toc107393100 \h </w:instrText>
      </w:r>
      <w:r>
        <w:fldChar w:fldCharType="separate"/>
      </w:r>
      <w:r>
        <w:t>3</w:t>
      </w:r>
      <w:r>
        <w:fldChar w:fldCharType="end"/>
      </w:r>
    </w:p>
    <w:p>
      <w:pPr>
        <w:pStyle w:val="TOC8"/>
        <w:rPr>
          <w:rFonts w:asciiTheme="minorHAnsi" w:eastAsiaTheme="minorEastAsia" w:hAnsiTheme="minorHAnsi" w:cstheme="minorBidi"/>
          <w:szCs w:val="22"/>
        </w:rPr>
      </w:pPr>
      <w:r>
        <w:t>6A.</w:t>
      </w:r>
      <w:r>
        <w:tab/>
        <w:t>Exercise of Court’s powers in Part 3 of the Act</w:t>
      </w:r>
      <w:r>
        <w:tab/>
      </w:r>
      <w:r>
        <w:fldChar w:fldCharType="begin"/>
      </w:r>
      <w:r>
        <w:instrText xml:space="preserve"> PAGEREF _Toc107393101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How to make and defend a claim</w:t>
      </w:r>
    </w:p>
    <w:p>
      <w:pPr>
        <w:pStyle w:val="TOC8"/>
        <w:rPr>
          <w:rFonts w:asciiTheme="minorHAnsi" w:eastAsiaTheme="minorEastAsia" w:hAnsiTheme="minorHAnsi" w:cstheme="minorBidi"/>
          <w:szCs w:val="22"/>
        </w:rPr>
      </w:pPr>
      <w:r>
        <w:rPr>
          <w:rFonts w:ascii="Times" w:hAnsi="Times"/>
        </w:rPr>
        <w:t>7</w:t>
      </w:r>
      <w:r>
        <w:t>.</w:t>
      </w:r>
      <w:r>
        <w:tab/>
        <w:t>How to make a claim that starts a case</w:t>
      </w:r>
      <w:r>
        <w:tab/>
      </w:r>
      <w:r>
        <w:fldChar w:fldCharType="begin"/>
      </w:r>
      <w:r>
        <w:instrText xml:space="preserve"> PAGEREF _Toc107393103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8</w:t>
      </w:r>
      <w:r>
        <w:t>.</w:t>
      </w:r>
      <w:r>
        <w:tab/>
        <w:t>How to make a third party claim</w:t>
      </w:r>
      <w:r>
        <w:tab/>
      </w:r>
      <w:r>
        <w:fldChar w:fldCharType="begin"/>
      </w:r>
      <w:r>
        <w:instrText xml:space="preserve"> PAGEREF _Toc107393104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9</w:t>
      </w:r>
      <w:r>
        <w:t>.</w:t>
      </w:r>
      <w:r>
        <w:tab/>
        <w:t>How to respond to a claim</w:t>
      </w:r>
      <w:r>
        <w:tab/>
      </w:r>
      <w:r>
        <w:fldChar w:fldCharType="begin"/>
      </w:r>
      <w:r>
        <w:instrText xml:space="preserve"> PAGEREF _Toc107393105 \h </w:instrText>
      </w:r>
      <w:r>
        <w:fldChar w:fldCharType="separate"/>
      </w:r>
      <w:r>
        <w:t>4</w:t>
      </w:r>
      <w:r>
        <w:fldChar w:fldCharType="end"/>
      </w:r>
    </w:p>
    <w:p>
      <w:pPr>
        <w:pStyle w:val="TOC8"/>
        <w:rPr>
          <w:rFonts w:asciiTheme="minorHAnsi" w:eastAsiaTheme="minorEastAsia" w:hAnsiTheme="minorHAnsi" w:cstheme="minorBidi"/>
          <w:szCs w:val="22"/>
        </w:rPr>
      </w:pPr>
      <w:r>
        <w:rPr>
          <w:rFonts w:ascii="Times" w:hAnsi="Times"/>
        </w:rPr>
        <w:t>10A</w:t>
      </w:r>
      <w:r>
        <w:t>.</w:t>
      </w:r>
      <w:r>
        <w:tab/>
        <w:t>If you admit a claim</w:t>
      </w:r>
      <w:r>
        <w:tab/>
      </w:r>
      <w:r>
        <w:fldChar w:fldCharType="begin"/>
      </w:r>
      <w:r>
        <w:instrText xml:space="preserve"> PAGEREF _Toc107393106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10B</w:t>
      </w:r>
      <w:r>
        <w:t>.</w:t>
      </w:r>
      <w:r>
        <w:tab/>
        <w:t>If you admit part of a claim</w:t>
      </w:r>
      <w:r>
        <w:tab/>
      </w:r>
      <w:r>
        <w:fldChar w:fldCharType="begin"/>
      </w:r>
      <w:r>
        <w:instrText xml:space="preserve"> PAGEREF _Toc107393107 \h </w:instrText>
      </w:r>
      <w:r>
        <w:fldChar w:fldCharType="separate"/>
      </w:r>
      <w:r>
        <w:t>5</w:t>
      </w:r>
      <w:r>
        <w:fldChar w:fldCharType="end"/>
      </w:r>
    </w:p>
    <w:p>
      <w:pPr>
        <w:pStyle w:val="TOC8"/>
        <w:rPr>
          <w:rFonts w:asciiTheme="minorHAnsi" w:eastAsiaTheme="minorEastAsia" w:hAnsiTheme="minorHAnsi" w:cstheme="minorBidi"/>
          <w:szCs w:val="22"/>
        </w:rPr>
      </w:pPr>
      <w:r>
        <w:rPr>
          <w:rFonts w:ascii="Times" w:hAnsi="Times"/>
        </w:rPr>
        <w:t>10C</w:t>
      </w:r>
      <w:r>
        <w:t>.</w:t>
      </w:r>
      <w:r>
        <w:tab/>
        <w:t>You may admit liability but dispute the amount claimed</w:t>
      </w:r>
      <w:r>
        <w:tab/>
      </w:r>
      <w:r>
        <w:fldChar w:fldCharType="begin"/>
      </w:r>
      <w:r>
        <w:instrText xml:space="preserve"> PAGEREF _Toc107393108 \h </w:instrText>
      </w:r>
      <w:r>
        <w:fldChar w:fldCharType="separate"/>
      </w:r>
      <w:r>
        <w:t>6</w:t>
      </w:r>
      <w:r>
        <w:fldChar w:fldCharType="end"/>
      </w:r>
    </w:p>
    <w:p>
      <w:pPr>
        <w:pStyle w:val="TOC8"/>
        <w:rPr>
          <w:rFonts w:asciiTheme="minorHAnsi" w:eastAsiaTheme="minorEastAsia" w:hAnsiTheme="minorHAnsi" w:cstheme="minorBidi"/>
          <w:szCs w:val="22"/>
        </w:rPr>
      </w:pPr>
      <w:r>
        <w:rPr>
          <w:rFonts w:ascii="Times" w:hAnsi="Times"/>
        </w:rPr>
        <w:t>10</w:t>
      </w:r>
      <w:r>
        <w:t>.</w:t>
      </w:r>
      <w:r>
        <w:tab/>
        <w:t>How to accept an offer of settlement</w:t>
      </w:r>
      <w:r>
        <w:tab/>
      </w:r>
      <w:r>
        <w:fldChar w:fldCharType="begin"/>
      </w:r>
      <w:r>
        <w:instrText xml:space="preserve"> PAGEREF _Toc107393109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4 — If you or another party does not defend a claim</w:t>
      </w:r>
    </w:p>
    <w:p>
      <w:pPr>
        <w:pStyle w:val="TOC8"/>
        <w:rPr>
          <w:rFonts w:asciiTheme="minorHAnsi" w:eastAsiaTheme="minorEastAsia" w:hAnsiTheme="minorHAnsi" w:cstheme="minorBidi"/>
          <w:szCs w:val="22"/>
        </w:rPr>
      </w:pPr>
      <w:r>
        <w:t>16.</w:t>
      </w:r>
      <w:r>
        <w:tab/>
        <w:t>When this Part applies</w:t>
      </w:r>
      <w:r>
        <w:tab/>
      </w:r>
      <w:r>
        <w:fldChar w:fldCharType="begin"/>
      </w:r>
      <w:r>
        <w:instrText xml:space="preserve"> PAGEREF _Toc107393111 \h </w:instrText>
      </w:r>
      <w:r>
        <w:fldChar w:fldCharType="separate"/>
      </w:r>
      <w:r>
        <w:t>7</w:t>
      </w:r>
      <w:r>
        <w:fldChar w:fldCharType="end"/>
      </w:r>
    </w:p>
    <w:p>
      <w:pPr>
        <w:pStyle w:val="TOC8"/>
        <w:rPr>
          <w:rFonts w:asciiTheme="minorHAnsi" w:eastAsiaTheme="minorEastAsia" w:hAnsiTheme="minorHAnsi" w:cstheme="minorBidi"/>
          <w:szCs w:val="22"/>
        </w:rPr>
      </w:pPr>
      <w:r>
        <w:t>17.</w:t>
      </w:r>
      <w:r>
        <w:tab/>
        <w:t>If the claim is for a liquidated amount</w:t>
      </w:r>
      <w:r>
        <w:tab/>
      </w:r>
      <w:r>
        <w:fldChar w:fldCharType="begin"/>
      </w:r>
      <w:r>
        <w:instrText xml:space="preserve"> PAGEREF _Toc107393112 \h </w:instrText>
      </w:r>
      <w:r>
        <w:fldChar w:fldCharType="separate"/>
      </w:r>
      <w:r>
        <w:t>7</w:t>
      </w:r>
      <w:r>
        <w:fldChar w:fldCharType="end"/>
      </w:r>
    </w:p>
    <w:p>
      <w:pPr>
        <w:pStyle w:val="TOC8"/>
        <w:rPr>
          <w:rFonts w:asciiTheme="minorHAnsi" w:eastAsiaTheme="minorEastAsia" w:hAnsiTheme="minorHAnsi" w:cstheme="minorBidi"/>
          <w:szCs w:val="22"/>
        </w:rPr>
      </w:pPr>
      <w:r>
        <w:t>18.</w:t>
      </w:r>
      <w:r>
        <w:tab/>
        <w:t>If the claim is for an unliquidated amount</w:t>
      </w:r>
      <w:r>
        <w:tab/>
      </w:r>
      <w:r>
        <w:fldChar w:fldCharType="begin"/>
      </w:r>
      <w:r>
        <w:instrText xml:space="preserve"> PAGEREF _Toc107393113 \h </w:instrText>
      </w:r>
      <w:r>
        <w:fldChar w:fldCharType="separate"/>
      </w:r>
      <w:r>
        <w:t>7</w:t>
      </w:r>
      <w:r>
        <w:fldChar w:fldCharType="end"/>
      </w:r>
    </w:p>
    <w:p>
      <w:pPr>
        <w:pStyle w:val="TOC8"/>
        <w:rPr>
          <w:rFonts w:asciiTheme="minorHAnsi" w:eastAsiaTheme="minorEastAsia" w:hAnsiTheme="minorHAnsi" w:cstheme="minorBidi"/>
          <w:szCs w:val="22"/>
        </w:rPr>
      </w:pPr>
      <w:r>
        <w:lastRenderedPageBreak/>
        <w:t>19.</w:t>
      </w:r>
      <w:r>
        <w:tab/>
        <w:t>If the claim against you is to recover possession of personal property</w:t>
      </w:r>
      <w:r>
        <w:tab/>
      </w:r>
      <w:r>
        <w:fldChar w:fldCharType="begin"/>
      </w:r>
      <w:r>
        <w:instrText xml:space="preserve"> PAGEREF _Toc107393114 \h </w:instrText>
      </w:r>
      <w:r>
        <w:fldChar w:fldCharType="separate"/>
      </w:r>
      <w:r>
        <w:t>8</w:t>
      </w:r>
      <w:r>
        <w:fldChar w:fldCharType="end"/>
      </w:r>
    </w:p>
    <w:p>
      <w:pPr>
        <w:pStyle w:val="TOC8"/>
        <w:rPr>
          <w:rFonts w:asciiTheme="minorHAnsi" w:eastAsiaTheme="minorEastAsia" w:hAnsiTheme="minorHAnsi" w:cstheme="minorBidi"/>
          <w:szCs w:val="22"/>
        </w:rPr>
      </w:pPr>
      <w:r>
        <w:t>20.</w:t>
      </w:r>
      <w:r>
        <w:tab/>
        <w:t>Registrar may give default judgment in absence of parties</w:t>
      </w:r>
      <w:r>
        <w:tab/>
      </w:r>
      <w:r>
        <w:fldChar w:fldCharType="begin"/>
      </w:r>
      <w:r>
        <w:instrText xml:space="preserve"> PAGEREF _Toc107393115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21</w:t>
      </w:r>
      <w:r>
        <w:t>.</w:t>
      </w:r>
      <w:r>
        <w:tab/>
        <w:t>Registrar not to give judgment in certain cases</w:t>
      </w:r>
      <w:r>
        <w:tab/>
      </w:r>
      <w:r>
        <w:fldChar w:fldCharType="begin"/>
      </w:r>
      <w:r>
        <w:instrText xml:space="preserve"> PAGEREF _Toc107393116 \h </w:instrText>
      </w:r>
      <w:r>
        <w:fldChar w:fldCharType="separate"/>
      </w:r>
      <w:r>
        <w:t>8</w:t>
      </w:r>
      <w:r>
        <w:fldChar w:fldCharType="end"/>
      </w:r>
    </w:p>
    <w:p>
      <w:pPr>
        <w:pStyle w:val="TOC8"/>
        <w:rPr>
          <w:rFonts w:asciiTheme="minorHAnsi" w:eastAsiaTheme="minorEastAsia" w:hAnsiTheme="minorHAnsi" w:cstheme="minorBidi"/>
          <w:szCs w:val="22"/>
        </w:rPr>
      </w:pPr>
      <w:r>
        <w:rPr>
          <w:rFonts w:ascii="Times" w:hAnsi="Times"/>
        </w:rPr>
        <w:t>22A</w:t>
      </w:r>
      <w:r>
        <w:t>.</w:t>
      </w:r>
      <w:r>
        <w:tab/>
        <w:t>Default judgment one year or more after originating claim, referral to Magistrate</w:t>
      </w:r>
      <w:r>
        <w:tab/>
      </w:r>
      <w:r>
        <w:fldChar w:fldCharType="begin"/>
      </w:r>
      <w:r>
        <w:instrText xml:space="preserve"> PAGEREF _Toc107393117 \h </w:instrText>
      </w:r>
      <w:r>
        <w:fldChar w:fldCharType="separate"/>
      </w:r>
      <w:r>
        <w:t>8</w:t>
      </w:r>
      <w:r>
        <w:fldChar w:fldCharType="end"/>
      </w:r>
    </w:p>
    <w:p>
      <w:pPr>
        <w:pStyle w:val="TOC8"/>
        <w:rPr>
          <w:rFonts w:asciiTheme="minorHAnsi" w:eastAsiaTheme="minorEastAsia" w:hAnsiTheme="minorHAnsi" w:cstheme="minorBidi"/>
          <w:szCs w:val="22"/>
        </w:rPr>
      </w:pPr>
      <w:r>
        <w:t>22.</w:t>
      </w:r>
      <w:r>
        <w:tab/>
        <w:t>Application for default judgment to be dismissed if not granted</w:t>
      </w:r>
      <w:r>
        <w:tab/>
      </w:r>
      <w:r>
        <w:fldChar w:fldCharType="begin"/>
      </w:r>
      <w:r>
        <w:instrText xml:space="preserve"> PAGEREF _Toc107393118 \h </w:instrText>
      </w:r>
      <w:r>
        <w:fldChar w:fldCharType="separate"/>
      </w:r>
      <w:r>
        <w:t>9</w:t>
      </w:r>
      <w:r>
        <w:fldChar w:fldCharType="end"/>
      </w:r>
    </w:p>
    <w:p>
      <w:pPr>
        <w:pStyle w:val="TOC8"/>
        <w:rPr>
          <w:rFonts w:asciiTheme="minorHAnsi" w:eastAsiaTheme="minorEastAsia" w:hAnsiTheme="minorHAnsi" w:cstheme="minorBidi"/>
          <w:szCs w:val="22"/>
        </w:rPr>
      </w:pPr>
      <w:r>
        <w:t>23A.</w:t>
      </w:r>
      <w:r>
        <w:tab/>
        <w:t>Registrar may order costs after giving judgment</w:t>
      </w:r>
      <w:r>
        <w:tab/>
      </w:r>
      <w:r>
        <w:fldChar w:fldCharType="begin"/>
      </w:r>
      <w:r>
        <w:instrText xml:space="preserve"> PAGEREF _Toc107393119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Status conferences and pre</w:t>
      </w:r>
      <w:r>
        <w:noBreakHyphen/>
        <w:t>trial conferences</w:t>
      </w:r>
    </w:p>
    <w:p>
      <w:pPr>
        <w:pStyle w:val="TOC8"/>
        <w:rPr>
          <w:rFonts w:asciiTheme="minorHAnsi" w:eastAsiaTheme="minorEastAsia" w:hAnsiTheme="minorHAnsi" w:cstheme="minorBidi"/>
          <w:szCs w:val="22"/>
        </w:rPr>
      </w:pPr>
      <w:r>
        <w:rPr>
          <w:rFonts w:ascii="Times" w:hAnsi="Times"/>
        </w:rPr>
        <w:t>23</w:t>
      </w:r>
      <w:r>
        <w:t>.</w:t>
      </w:r>
      <w:r>
        <w:tab/>
        <w:t>Listing case for a status conference</w:t>
      </w:r>
      <w:r>
        <w:tab/>
      </w:r>
      <w:r>
        <w:fldChar w:fldCharType="begin"/>
      </w:r>
      <w:r>
        <w:instrText xml:space="preserve"> PAGEREF _Toc107393121 \h </w:instrText>
      </w:r>
      <w:r>
        <w:fldChar w:fldCharType="separate"/>
      </w:r>
      <w:r>
        <w:t>10</w:t>
      </w:r>
      <w:r>
        <w:fldChar w:fldCharType="end"/>
      </w:r>
    </w:p>
    <w:p>
      <w:pPr>
        <w:pStyle w:val="TOC8"/>
        <w:rPr>
          <w:rFonts w:asciiTheme="minorHAnsi" w:eastAsiaTheme="minorEastAsia" w:hAnsiTheme="minorHAnsi" w:cstheme="minorBidi"/>
          <w:szCs w:val="22"/>
        </w:rPr>
      </w:pPr>
      <w:r>
        <w:t>23AA.</w:t>
      </w:r>
      <w:r>
        <w:tab/>
        <w:t>What happens at a status conference</w:t>
      </w:r>
      <w:r>
        <w:tab/>
      </w:r>
      <w:r>
        <w:fldChar w:fldCharType="begin"/>
      </w:r>
      <w:r>
        <w:instrText xml:space="preserve"> PAGEREF _Toc107393122 \h </w:instrText>
      </w:r>
      <w:r>
        <w:fldChar w:fldCharType="separate"/>
      </w:r>
      <w:r>
        <w:t>10</w:t>
      </w:r>
      <w:r>
        <w:fldChar w:fldCharType="end"/>
      </w:r>
    </w:p>
    <w:p>
      <w:pPr>
        <w:pStyle w:val="TOC8"/>
        <w:rPr>
          <w:rFonts w:asciiTheme="minorHAnsi" w:eastAsiaTheme="minorEastAsia" w:hAnsiTheme="minorHAnsi" w:cstheme="minorBidi"/>
          <w:szCs w:val="22"/>
        </w:rPr>
      </w:pPr>
      <w:r>
        <w:t>24.</w:t>
      </w:r>
      <w:r>
        <w:tab/>
        <w:t>What happens at a pre</w:t>
      </w:r>
      <w:r>
        <w:noBreakHyphen/>
        <w:t>trial conference</w:t>
      </w:r>
      <w:r>
        <w:tab/>
      </w:r>
      <w:r>
        <w:fldChar w:fldCharType="begin"/>
      </w:r>
      <w:r>
        <w:instrText xml:space="preserve"> PAGEREF _Toc107393123 \h </w:instrText>
      </w:r>
      <w:r>
        <w:fldChar w:fldCharType="separate"/>
      </w:r>
      <w:r>
        <w:t>11</w:t>
      </w:r>
      <w:r>
        <w:fldChar w:fldCharType="end"/>
      </w:r>
    </w:p>
    <w:p>
      <w:pPr>
        <w:pStyle w:val="TOC8"/>
        <w:rPr>
          <w:rFonts w:asciiTheme="minorHAnsi" w:eastAsiaTheme="minorEastAsia" w:hAnsiTheme="minorHAnsi" w:cstheme="minorBidi"/>
          <w:szCs w:val="22"/>
        </w:rPr>
      </w:pPr>
      <w:r>
        <w:t>25C.</w:t>
      </w:r>
      <w:r>
        <w:tab/>
        <w:t>List of documents you might tender at trial</w:t>
      </w:r>
      <w:r>
        <w:tab/>
      </w:r>
      <w:r>
        <w:fldChar w:fldCharType="begin"/>
      </w:r>
      <w:r>
        <w:instrText xml:space="preserve"> PAGEREF _Toc107393124 \h </w:instrText>
      </w:r>
      <w:r>
        <w:fldChar w:fldCharType="separate"/>
      </w:r>
      <w:r>
        <w:t>12</w:t>
      </w:r>
      <w:r>
        <w:fldChar w:fldCharType="end"/>
      </w:r>
    </w:p>
    <w:p>
      <w:pPr>
        <w:pStyle w:val="TOC8"/>
        <w:rPr>
          <w:rFonts w:asciiTheme="minorHAnsi" w:eastAsiaTheme="minorEastAsia" w:hAnsiTheme="minorHAnsi" w:cstheme="minorBidi"/>
          <w:szCs w:val="22"/>
        </w:rPr>
      </w:pPr>
      <w:r>
        <w:t>26.</w:t>
      </w:r>
      <w:r>
        <w:tab/>
        <w:t>Your attendance at a status conference, pre</w:t>
      </w:r>
      <w:r>
        <w:noBreakHyphen/>
        <w:t>trial conference or hearing</w:t>
      </w:r>
      <w:r>
        <w:tab/>
      </w:r>
      <w:r>
        <w:fldChar w:fldCharType="begin"/>
      </w:r>
      <w:r>
        <w:instrText xml:space="preserve"> PAGEREF _Toc107393125 \h </w:instrText>
      </w:r>
      <w:r>
        <w:fldChar w:fldCharType="separate"/>
      </w:r>
      <w:r>
        <w:t>12</w:t>
      </w:r>
      <w:r>
        <w:fldChar w:fldCharType="end"/>
      </w:r>
    </w:p>
    <w:p>
      <w:pPr>
        <w:pStyle w:val="TOC8"/>
        <w:rPr>
          <w:rFonts w:asciiTheme="minorHAnsi" w:eastAsiaTheme="minorEastAsia" w:hAnsiTheme="minorHAnsi" w:cstheme="minorBidi"/>
          <w:szCs w:val="22"/>
        </w:rPr>
      </w:pPr>
      <w:r>
        <w:t>27.</w:t>
      </w:r>
      <w:r>
        <w:tab/>
        <w:t>Listing the case for trial</w:t>
      </w:r>
      <w:r>
        <w:tab/>
      </w:r>
      <w:r>
        <w:fldChar w:fldCharType="begin"/>
      </w:r>
      <w:r>
        <w:instrText xml:space="preserve"> PAGEREF _Toc107393126 \h </w:instrText>
      </w:r>
      <w:r>
        <w:fldChar w:fldCharType="separate"/>
      </w:r>
      <w:r>
        <w:t>13</w:t>
      </w:r>
      <w:r>
        <w:fldChar w:fldCharType="end"/>
      </w:r>
    </w:p>
    <w:p>
      <w:pPr>
        <w:pStyle w:val="TOC8"/>
        <w:rPr>
          <w:rFonts w:asciiTheme="minorHAnsi" w:eastAsiaTheme="minorEastAsia" w:hAnsiTheme="minorHAnsi" w:cstheme="minorBidi"/>
          <w:szCs w:val="22"/>
        </w:rPr>
      </w:pPr>
      <w:r>
        <w:t>28.</w:t>
      </w:r>
      <w:r>
        <w:tab/>
        <w:t>Status of things said or done at a status conference or a pre</w:t>
      </w:r>
      <w:r>
        <w:noBreakHyphen/>
        <w:t>trial conference</w:t>
      </w:r>
      <w:r>
        <w:tab/>
      </w:r>
      <w:r>
        <w:fldChar w:fldCharType="begin"/>
      </w:r>
      <w:r>
        <w:instrText xml:space="preserve"> PAGEREF _Toc107393127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6 — Mediation</w:t>
      </w:r>
    </w:p>
    <w:p>
      <w:pPr>
        <w:pStyle w:val="TOC8"/>
        <w:rPr>
          <w:rFonts w:asciiTheme="minorHAnsi" w:eastAsiaTheme="minorEastAsia" w:hAnsiTheme="minorHAnsi" w:cstheme="minorBidi"/>
          <w:szCs w:val="22"/>
        </w:rPr>
      </w:pPr>
      <w:r>
        <w:t>29.</w:t>
      </w:r>
      <w:r>
        <w:tab/>
        <w:t>Mediation conference</w:t>
      </w:r>
      <w:r>
        <w:tab/>
      </w:r>
      <w:r>
        <w:fldChar w:fldCharType="begin"/>
      </w:r>
      <w:r>
        <w:instrText xml:space="preserve"> PAGEREF _Toc107393129 \h </w:instrText>
      </w:r>
      <w:r>
        <w:fldChar w:fldCharType="separate"/>
      </w:r>
      <w:r>
        <w:t>14</w:t>
      </w:r>
      <w:r>
        <w:fldChar w:fldCharType="end"/>
      </w:r>
    </w:p>
    <w:p>
      <w:pPr>
        <w:pStyle w:val="TOC8"/>
        <w:rPr>
          <w:rFonts w:asciiTheme="minorHAnsi" w:eastAsiaTheme="minorEastAsia" w:hAnsiTheme="minorHAnsi" w:cstheme="minorBidi"/>
          <w:szCs w:val="22"/>
        </w:rPr>
      </w:pPr>
      <w:r>
        <w:t>30.</w:t>
      </w:r>
      <w:r>
        <w:tab/>
        <w:t>Attendance of parties at mediation conferences</w:t>
      </w:r>
      <w:r>
        <w:tab/>
      </w:r>
      <w:r>
        <w:fldChar w:fldCharType="begin"/>
      </w:r>
      <w:r>
        <w:instrText xml:space="preserve"> PAGEREF _Toc107393130 \h </w:instrText>
      </w:r>
      <w:r>
        <w:fldChar w:fldCharType="separate"/>
      </w:r>
      <w:r>
        <w:t>14</w:t>
      </w:r>
      <w:r>
        <w:fldChar w:fldCharType="end"/>
      </w:r>
    </w:p>
    <w:p>
      <w:pPr>
        <w:pStyle w:val="TOC8"/>
        <w:rPr>
          <w:rFonts w:asciiTheme="minorHAnsi" w:eastAsiaTheme="minorEastAsia" w:hAnsiTheme="minorHAnsi" w:cstheme="minorBidi"/>
          <w:szCs w:val="22"/>
        </w:rPr>
      </w:pPr>
      <w:r>
        <w:t>31.</w:t>
      </w:r>
      <w:r>
        <w:tab/>
        <w:t>Outcome of mediation</w:t>
      </w:r>
      <w:r>
        <w:tab/>
      </w:r>
      <w:r>
        <w:fldChar w:fldCharType="begin"/>
      </w:r>
      <w:r>
        <w:instrText xml:space="preserve"> PAGEREF _Toc107393131 \h </w:instrText>
      </w:r>
      <w:r>
        <w:fldChar w:fldCharType="separate"/>
      </w:r>
      <w:r>
        <w:t>14</w:t>
      </w:r>
      <w:r>
        <w:fldChar w:fldCharType="end"/>
      </w:r>
    </w:p>
    <w:p>
      <w:pPr>
        <w:pStyle w:val="TOC8"/>
        <w:rPr>
          <w:rFonts w:asciiTheme="minorHAnsi" w:eastAsiaTheme="minorEastAsia" w:hAnsiTheme="minorHAnsi" w:cstheme="minorBidi"/>
          <w:szCs w:val="22"/>
        </w:rPr>
      </w:pPr>
      <w:r>
        <w:t>32.</w:t>
      </w:r>
      <w:r>
        <w:tab/>
        <w:t>Further pre</w:t>
      </w:r>
      <w:r>
        <w:noBreakHyphen/>
        <w:t>trial conference if case not settled</w:t>
      </w:r>
      <w:r>
        <w:tab/>
      </w:r>
      <w:r>
        <w:fldChar w:fldCharType="begin"/>
      </w:r>
      <w:r>
        <w:instrText xml:space="preserve"> PAGEREF _Toc107393132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7 — Consent orders and settlement</w:t>
      </w:r>
    </w:p>
    <w:p>
      <w:pPr>
        <w:pStyle w:val="TOC8"/>
        <w:rPr>
          <w:rFonts w:asciiTheme="minorHAnsi" w:eastAsiaTheme="minorEastAsia" w:hAnsiTheme="minorHAnsi" w:cstheme="minorBidi"/>
          <w:szCs w:val="22"/>
        </w:rPr>
      </w:pPr>
      <w:r>
        <w:t>33.</w:t>
      </w:r>
      <w:r>
        <w:tab/>
        <w:t>Memorandum of consent</w:t>
      </w:r>
      <w:r>
        <w:tab/>
      </w:r>
      <w:r>
        <w:fldChar w:fldCharType="begin"/>
      </w:r>
      <w:r>
        <w:instrText xml:space="preserve"> PAGEREF _Toc107393134 \h </w:instrText>
      </w:r>
      <w:r>
        <w:fldChar w:fldCharType="separate"/>
      </w:r>
      <w:r>
        <w:t>15</w:t>
      </w:r>
      <w:r>
        <w:fldChar w:fldCharType="end"/>
      </w:r>
    </w:p>
    <w:p>
      <w:pPr>
        <w:pStyle w:val="TOC8"/>
        <w:rPr>
          <w:rFonts w:asciiTheme="minorHAnsi" w:eastAsiaTheme="minorEastAsia" w:hAnsiTheme="minorHAnsi" w:cstheme="minorBidi"/>
          <w:szCs w:val="22"/>
        </w:rPr>
      </w:pPr>
      <w:r>
        <w:t>34.</w:t>
      </w:r>
      <w:r>
        <w:tab/>
        <w:t>Registrar may make consent orders or give judgment</w:t>
      </w:r>
      <w:r>
        <w:tab/>
      </w:r>
      <w:r>
        <w:fldChar w:fldCharType="begin"/>
      </w:r>
      <w:r>
        <w:instrText xml:space="preserve"> PAGEREF _Toc107393135 \h </w:instrText>
      </w:r>
      <w:r>
        <w:fldChar w:fldCharType="separate"/>
      </w:r>
      <w:r>
        <w:t>15</w:t>
      </w:r>
      <w:r>
        <w:fldChar w:fldCharType="end"/>
      </w:r>
    </w:p>
    <w:p>
      <w:pPr>
        <w:pStyle w:val="TOC8"/>
        <w:rPr>
          <w:rFonts w:asciiTheme="minorHAnsi" w:eastAsiaTheme="minorEastAsia" w:hAnsiTheme="minorHAnsi" w:cstheme="minorBidi"/>
          <w:szCs w:val="22"/>
        </w:rPr>
      </w:pPr>
      <w:r>
        <w:t>35.</w:t>
      </w:r>
      <w:r>
        <w:tab/>
        <w:t>When the rules require your consent</w:t>
      </w:r>
      <w:r>
        <w:tab/>
      </w:r>
      <w:r>
        <w:fldChar w:fldCharType="begin"/>
      </w:r>
      <w:r>
        <w:instrText xml:space="preserve"> PAGEREF _Toc107393136 \h </w:instrText>
      </w:r>
      <w:r>
        <w:fldChar w:fldCharType="separate"/>
      </w:r>
      <w:r>
        <w:t>15</w:t>
      </w:r>
      <w:r>
        <w:fldChar w:fldCharType="end"/>
      </w:r>
    </w:p>
    <w:p>
      <w:pPr>
        <w:pStyle w:val="TOC8"/>
        <w:rPr>
          <w:rFonts w:asciiTheme="minorHAnsi" w:eastAsiaTheme="minorEastAsia" w:hAnsiTheme="minorHAnsi" w:cstheme="minorBidi"/>
          <w:szCs w:val="22"/>
        </w:rPr>
      </w:pPr>
      <w:r>
        <w:t>36.</w:t>
      </w:r>
      <w:r>
        <w:tab/>
        <w:t>Settling claims involving a person under a legal disability</w:t>
      </w:r>
      <w:r>
        <w:tab/>
      </w:r>
      <w:r>
        <w:fldChar w:fldCharType="begin"/>
      </w:r>
      <w:r>
        <w:instrText xml:space="preserve"> PAGEREF _Toc107393137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8 — Trial</w:t>
      </w:r>
    </w:p>
    <w:p>
      <w:pPr>
        <w:pStyle w:val="TOC8"/>
        <w:rPr>
          <w:rFonts w:asciiTheme="minorHAnsi" w:eastAsiaTheme="minorEastAsia" w:hAnsiTheme="minorHAnsi" w:cstheme="minorBidi"/>
          <w:szCs w:val="22"/>
        </w:rPr>
      </w:pPr>
      <w:r>
        <w:t>37.</w:t>
      </w:r>
      <w:r>
        <w:tab/>
        <w:t>How the trial of your case is to be conducted</w:t>
      </w:r>
      <w:r>
        <w:tab/>
      </w:r>
      <w:r>
        <w:fldChar w:fldCharType="begin"/>
      </w:r>
      <w:r>
        <w:instrText xml:space="preserve"> PAGEREF _Toc107393139 \h </w:instrText>
      </w:r>
      <w:r>
        <w:fldChar w:fldCharType="separate"/>
      </w:r>
      <w:r>
        <w:t>17</w:t>
      </w:r>
      <w:r>
        <w:fldChar w:fldCharType="end"/>
      </w:r>
    </w:p>
    <w:p>
      <w:pPr>
        <w:pStyle w:val="TOC8"/>
        <w:rPr>
          <w:rFonts w:asciiTheme="minorHAnsi" w:eastAsiaTheme="minorEastAsia" w:hAnsiTheme="minorHAnsi" w:cstheme="minorBidi"/>
          <w:szCs w:val="22"/>
        </w:rPr>
      </w:pPr>
      <w:r>
        <w:t>38.</w:t>
      </w:r>
      <w:r>
        <w:tab/>
        <w:t>Your attendance at trial</w:t>
      </w:r>
      <w:r>
        <w:tab/>
      </w:r>
      <w:r>
        <w:fldChar w:fldCharType="begin"/>
      </w:r>
      <w:r>
        <w:instrText xml:space="preserve"> PAGEREF _Toc107393140 \h </w:instrText>
      </w:r>
      <w:r>
        <w:fldChar w:fldCharType="separate"/>
      </w:r>
      <w:r>
        <w:t>17</w:t>
      </w:r>
      <w:r>
        <w:fldChar w:fldCharType="end"/>
      </w:r>
    </w:p>
    <w:p>
      <w:pPr>
        <w:pStyle w:val="TOC8"/>
        <w:rPr>
          <w:rFonts w:asciiTheme="minorHAnsi" w:eastAsiaTheme="minorEastAsia" w:hAnsiTheme="minorHAnsi" w:cstheme="minorBidi"/>
          <w:szCs w:val="22"/>
        </w:rPr>
      </w:pPr>
      <w:r>
        <w:t>39.</w:t>
      </w:r>
      <w:r>
        <w:tab/>
        <w:t>How to call witnesses</w:t>
      </w:r>
      <w:r>
        <w:tab/>
      </w:r>
      <w:r>
        <w:fldChar w:fldCharType="begin"/>
      </w:r>
      <w:r>
        <w:instrText xml:space="preserve"> PAGEREF _Toc107393141 \h </w:instrText>
      </w:r>
      <w:r>
        <w:fldChar w:fldCharType="separate"/>
      </w:r>
      <w:r>
        <w:t>17</w:t>
      </w:r>
      <w:r>
        <w:fldChar w:fldCharType="end"/>
      </w:r>
    </w:p>
    <w:p>
      <w:pPr>
        <w:pStyle w:val="TOC8"/>
        <w:rPr>
          <w:rFonts w:asciiTheme="minorHAnsi" w:eastAsiaTheme="minorEastAsia" w:hAnsiTheme="minorHAnsi" w:cstheme="minorBidi"/>
          <w:szCs w:val="22"/>
        </w:rPr>
      </w:pPr>
      <w:r>
        <w:t>39A.</w:t>
      </w:r>
      <w:r>
        <w:tab/>
        <w:t>Compliance with witness summons</w:t>
      </w:r>
      <w:r>
        <w:tab/>
      </w:r>
      <w:r>
        <w:fldChar w:fldCharType="begin"/>
      </w:r>
      <w:r>
        <w:instrText xml:space="preserve"> PAGEREF _Toc107393142 \h </w:instrText>
      </w:r>
      <w:r>
        <w:fldChar w:fldCharType="separate"/>
      </w:r>
      <w:r>
        <w:t>18</w:t>
      </w:r>
      <w:r>
        <w:fldChar w:fldCharType="end"/>
      </w:r>
    </w:p>
    <w:p>
      <w:pPr>
        <w:pStyle w:val="TOC8"/>
        <w:rPr>
          <w:rFonts w:asciiTheme="minorHAnsi" w:eastAsiaTheme="minorEastAsia" w:hAnsiTheme="minorHAnsi" w:cstheme="minorBidi"/>
          <w:szCs w:val="22"/>
        </w:rPr>
      </w:pPr>
      <w:r>
        <w:t>40.</w:t>
      </w:r>
      <w:r>
        <w:tab/>
        <w:t>Return of things after trial</w:t>
      </w:r>
      <w:r>
        <w:tab/>
      </w:r>
      <w:r>
        <w:fldChar w:fldCharType="begin"/>
      </w:r>
      <w:r>
        <w:instrText xml:space="preserve"> PAGEREF _Toc107393143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9 — Orders and judgments</w:t>
      </w:r>
    </w:p>
    <w:p>
      <w:pPr>
        <w:pStyle w:val="TOC8"/>
        <w:rPr>
          <w:rFonts w:asciiTheme="minorHAnsi" w:eastAsiaTheme="minorEastAsia" w:hAnsiTheme="minorHAnsi" w:cstheme="minorBidi"/>
          <w:szCs w:val="22"/>
        </w:rPr>
      </w:pPr>
      <w:r>
        <w:t>41.</w:t>
      </w:r>
      <w:r>
        <w:tab/>
        <w:t>Money paid to you if you are a person under a legal disability</w:t>
      </w:r>
      <w:r>
        <w:tab/>
      </w:r>
      <w:r>
        <w:fldChar w:fldCharType="begin"/>
      </w:r>
      <w:r>
        <w:instrText xml:space="preserve"> PAGEREF _Toc107393145 \h </w:instrText>
      </w:r>
      <w:r>
        <w:fldChar w:fldCharType="separate"/>
      </w:r>
      <w:r>
        <w:t>20</w:t>
      </w:r>
      <w:r>
        <w:fldChar w:fldCharType="end"/>
      </w:r>
    </w:p>
    <w:p>
      <w:pPr>
        <w:pStyle w:val="TOC8"/>
        <w:rPr>
          <w:rFonts w:asciiTheme="minorHAnsi" w:eastAsiaTheme="minorEastAsia" w:hAnsiTheme="minorHAnsi" w:cstheme="minorBidi"/>
          <w:szCs w:val="22"/>
        </w:rPr>
      </w:pPr>
      <w:r>
        <w:t>42.</w:t>
      </w:r>
      <w:r>
        <w:tab/>
        <w:t>Setting aside default judgment</w:t>
      </w:r>
      <w:r>
        <w:tab/>
      </w:r>
      <w:r>
        <w:fldChar w:fldCharType="begin"/>
      </w:r>
      <w:r>
        <w:instrText xml:space="preserve"> PAGEREF _Toc107393146 \h </w:instrText>
      </w:r>
      <w:r>
        <w:fldChar w:fldCharType="separate"/>
      </w:r>
      <w:r>
        <w:t>20</w:t>
      </w:r>
      <w:r>
        <w:fldChar w:fldCharType="end"/>
      </w:r>
    </w:p>
    <w:p>
      <w:pPr>
        <w:pStyle w:val="TOC8"/>
        <w:rPr>
          <w:rFonts w:asciiTheme="minorHAnsi" w:eastAsiaTheme="minorEastAsia" w:hAnsiTheme="minorHAnsi" w:cstheme="minorBidi"/>
          <w:szCs w:val="22"/>
        </w:rPr>
      </w:pPr>
      <w:r>
        <w:t>43.</w:t>
      </w:r>
      <w:r>
        <w:tab/>
        <w:t>Decisions of registrars</w:t>
      </w:r>
      <w:r>
        <w:tab/>
      </w:r>
      <w:r>
        <w:fldChar w:fldCharType="begin"/>
      </w:r>
      <w:r>
        <w:instrText xml:space="preserve"> PAGEREF _Toc107393147 \h </w:instrText>
      </w:r>
      <w:r>
        <w:fldChar w:fldCharType="separate"/>
      </w:r>
      <w:r>
        <w:t>20</w:t>
      </w:r>
      <w:r>
        <w:fldChar w:fldCharType="end"/>
      </w:r>
    </w:p>
    <w:p>
      <w:pPr>
        <w:pStyle w:val="TOC8"/>
        <w:rPr>
          <w:rFonts w:asciiTheme="minorHAnsi" w:eastAsiaTheme="minorEastAsia" w:hAnsiTheme="minorHAnsi" w:cstheme="minorBidi"/>
          <w:szCs w:val="22"/>
        </w:rPr>
      </w:pPr>
      <w:r>
        <w:t>44.</w:t>
      </w:r>
      <w:r>
        <w:tab/>
        <w:t>Requests for certificate of judgment</w:t>
      </w:r>
      <w:r>
        <w:tab/>
      </w:r>
      <w:r>
        <w:fldChar w:fldCharType="begin"/>
      </w:r>
      <w:r>
        <w:instrText xml:space="preserve"> PAGEREF _Toc107393148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10A — Inactive cases</w:t>
      </w:r>
    </w:p>
    <w:p>
      <w:pPr>
        <w:pStyle w:val="TOC8"/>
        <w:rPr>
          <w:rFonts w:asciiTheme="minorHAnsi" w:eastAsiaTheme="minorEastAsia" w:hAnsiTheme="minorHAnsi" w:cstheme="minorBidi"/>
          <w:szCs w:val="22"/>
        </w:rPr>
      </w:pPr>
      <w:r>
        <w:t>45A.</w:t>
      </w:r>
      <w:r>
        <w:tab/>
        <w:t>Term used: inactive case</w:t>
      </w:r>
      <w:r>
        <w:tab/>
      </w:r>
      <w:r>
        <w:fldChar w:fldCharType="begin"/>
      </w:r>
      <w:r>
        <w:instrText xml:space="preserve"> PAGEREF _Toc107393150 \h </w:instrText>
      </w:r>
      <w:r>
        <w:fldChar w:fldCharType="separate"/>
      </w:r>
      <w:r>
        <w:t>21</w:t>
      </w:r>
      <w:r>
        <w:fldChar w:fldCharType="end"/>
      </w:r>
    </w:p>
    <w:p>
      <w:pPr>
        <w:pStyle w:val="TOC8"/>
        <w:rPr>
          <w:rFonts w:asciiTheme="minorHAnsi" w:eastAsiaTheme="minorEastAsia" w:hAnsiTheme="minorHAnsi" w:cstheme="minorBidi"/>
          <w:szCs w:val="22"/>
        </w:rPr>
      </w:pPr>
      <w:r>
        <w:t>45B.</w:t>
      </w:r>
      <w:r>
        <w:tab/>
        <w:t>When your case becomes inactive</w:t>
      </w:r>
      <w:r>
        <w:tab/>
      </w:r>
      <w:r>
        <w:fldChar w:fldCharType="begin"/>
      </w:r>
      <w:r>
        <w:instrText xml:space="preserve"> PAGEREF _Toc107393151 \h </w:instrText>
      </w:r>
      <w:r>
        <w:fldChar w:fldCharType="separate"/>
      </w:r>
      <w:r>
        <w:t>21</w:t>
      </w:r>
      <w:r>
        <w:fldChar w:fldCharType="end"/>
      </w:r>
    </w:p>
    <w:p>
      <w:pPr>
        <w:pStyle w:val="TOC8"/>
        <w:rPr>
          <w:rFonts w:asciiTheme="minorHAnsi" w:eastAsiaTheme="minorEastAsia" w:hAnsiTheme="minorHAnsi" w:cstheme="minorBidi"/>
          <w:szCs w:val="22"/>
        </w:rPr>
      </w:pPr>
      <w:r>
        <w:t>45C.</w:t>
      </w:r>
      <w:r>
        <w:tab/>
        <w:t>Notification of inactive cases</w:t>
      </w:r>
      <w:r>
        <w:tab/>
      </w:r>
      <w:r>
        <w:fldChar w:fldCharType="begin"/>
      </w:r>
      <w:r>
        <w:instrText xml:space="preserve"> PAGEREF _Toc107393152 \h </w:instrText>
      </w:r>
      <w:r>
        <w:fldChar w:fldCharType="separate"/>
      </w:r>
      <w:r>
        <w:t>21</w:t>
      </w:r>
      <w:r>
        <w:fldChar w:fldCharType="end"/>
      </w:r>
    </w:p>
    <w:p>
      <w:pPr>
        <w:pStyle w:val="TOC8"/>
        <w:rPr>
          <w:rFonts w:asciiTheme="minorHAnsi" w:eastAsiaTheme="minorEastAsia" w:hAnsiTheme="minorHAnsi" w:cstheme="minorBidi"/>
          <w:szCs w:val="22"/>
        </w:rPr>
      </w:pPr>
      <w:r>
        <w:t>45D.</w:t>
      </w:r>
      <w:r>
        <w:tab/>
        <w:t>Consequences of case becoming an inactive case</w:t>
      </w:r>
      <w:r>
        <w:tab/>
      </w:r>
      <w:r>
        <w:fldChar w:fldCharType="begin"/>
      </w:r>
      <w:r>
        <w:instrText xml:space="preserve"> PAGEREF _Toc107393153 \h </w:instrText>
      </w:r>
      <w:r>
        <w:fldChar w:fldCharType="separate"/>
      </w:r>
      <w:r>
        <w:t>22</w:t>
      </w:r>
      <w:r>
        <w:fldChar w:fldCharType="end"/>
      </w:r>
    </w:p>
    <w:p>
      <w:pPr>
        <w:pStyle w:val="TOC8"/>
        <w:rPr>
          <w:rFonts w:asciiTheme="minorHAnsi" w:eastAsiaTheme="minorEastAsia" w:hAnsiTheme="minorHAnsi" w:cstheme="minorBidi"/>
          <w:szCs w:val="22"/>
        </w:rPr>
      </w:pPr>
      <w:r>
        <w:t>45E.</w:t>
      </w:r>
      <w:r>
        <w:tab/>
        <w:t>Cases no longer taken to be inactive</w:t>
      </w:r>
      <w:r>
        <w:tab/>
      </w:r>
      <w:r>
        <w:fldChar w:fldCharType="begin"/>
      </w:r>
      <w:r>
        <w:instrText xml:space="preserve"> PAGEREF _Toc107393154 \h </w:instrText>
      </w:r>
      <w:r>
        <w:fldChar w:fldCharType="separate"/>
      </w:r>
      <w:r>
        <w:t>22</w:t>
      </w:r>
      <w:r>
        <w:fldChar w:fldCharType="end"/>
      </w:r>
    </w:p>
    <w:p>
      <w:pPr>
        <w:pStyle w:val="TOC8"/>
        <w:rPr>
          <w:rFonts w:asciiTheme="minorHAnsi" w:eastAsiaTheme="minorEastAsia" w:hAnsiTheme="minorHAnsi" w:cstheme="minorBidi"/>
          <w:szCs w:val="22"/>
        </w:rPr>
      </w:pPr>
      <w:r>
        <w:t>45F.</w:t>
      </w:r>
      <w:r>
        <w:tab/>
        <w:t>Dismissal of inactive cases</w:t>
      </w:r>
      <w:r>
        <w:tab/>
      </w:r>
      <w:r>
        <w:fldChar w:fldCharType="begin"/>
      </w:r>
      <w:r>
        <w:instrText xml:space="preserve"> PAGEREF _Toc107393155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10</w:t>
      </w:r>
      <w:r>
        <w:rPr>
          <w:b w:val="0"/>
        </w:rPr>
        <w:t> </w:t>
      </w:r>
      <w:r>
        <w:t>—</w:t>
      </w:r>
      <w:r>
        <w:rPr>
          <w:b w:val="0"/>
        </w:rPr>
        <w:t> </w:t>
      </w:r>
      <w:r>
        <w:t>How to lodge documents</w:t>
      </w:r>
    </w:p>
    <w:p>
      <w:pPr>
        <w:pStyle w:val="TOC8"/>
        <w:rPr>
          <w:rFonts w:asciiTheme="minorHAnsi" w:eastAsiaTheme="minorEastAsia" w:hAnsiTheme="minorHAnsi" w:cstheme="minorBidi"/>
          <w:szCs w:val="22"/>
        </w:rPr>
      </w:pPr>
      <w:r>
        <w:t>45.</w:t>
      </w:r>
      <w:r>
        <w:tab/>
        <w:t>How to lodge a document</w:t>
      </w:r>
      <w:r>
        <w:tab/>
      </w:r>
      <w:r>
        <w:fldChar w:fldCharType="begin"/>
      </w:r>
      <w:r>
        <w:instrText xml:space="preserve"> PAGEREF _Toc107393157 \h </w:instrText>
      </w:r>
      <w:r>
        <w:fldChar w:fldCharType="separate"/>
      </w:r>
      <w:r>
        <w:t>24</w:t>
      </w:r>
      <w:r>
        <w:fldChar w:fldCharType="end"/>
      </w:r>
    </w:p>
    <w:p>
      <w:pPr>
        <w:pStyle w:val="TOC8"/>
        <w:rPr>
          <w:rFonts w:asciiTheme="minorHAnsi" w:eastAsiaTheme="minorEastAsia" w:hAnsiTheme="minorHAnsi" w:cstheme="minorBidi"/>
          <w:szCs w:val="22"/>
        </w:rPr>
      </w:pPr>
      <w:r>
        <w:t>46.</w:t>
      </w:r>
      <w:r>
        <w:tab/>
        <w:t>Where you may lodge a claim that starts a case</w:t>
      </w:r>
      <w:r>
        <w:tab/>
      </w:r>
      <w:r>
        <w:fldChar w:fldCharType="begin"/>
      </w:r>
      <w:r>
        <w:instrText xml:space="preserve"> PAGEREF _Toc107393158 \h </w:instrText>
      </w:r>
      <w:r>
        <w:fldChar w:fldCharType="separate"/>
      </w:r>
      <w:r>
        <w:t>24</w:t>
      </w:r>
      <w:r>
        <w:fldChar w:fldCharType="end"/>
      </w:r>
    </w:p>
    <w:p>
      <w:pPr>
        <w:pStyle w:val="TOC8"/>
        <w:rPr>
          <w:rFonts w:asciiTheme="minorHAnsi" w:eastAsiaTheme="minorEastAsia" w:hAnsiTheme="minorHAnsi" w:cstheme="minorBidi"/>
          <w:szCs w:val="22"/>
        </w:rPr>
      </w:pPr>
      <w:r>
        <w:t>47.</w:t>
      </w:r>
      <w:r>
        <w:tab/>
        <w:t>You must lodge a document by using the ECMS unless these rules permit you not to</w:t>
      </w:r>
      <w:r>
        <w:tab/>
      </w:r>
      <w:r>
        <w:fldChar w:fldCharType="begin"/>
      </w:r>
      <w:r>
        <w:instrText xml:space="preserve"> PAGEREF _Toc107393159 \h </w:instrText>
      </w:r>
      <w:r>
        <w:fldChar w:fldCharType="separate"/>
      </w:r>
      <w:r>
        <w:t>24</w:t>
      </w:r>
      <w:r>
        <w:fldChar w:fldCharType="end"/>
      </w:r>
    </w:p>
    <w:p>
      <w:pPr>
        <w:pStyle w:val="TOC8"/>
        <w:rPr>
          <w:rFonts w:asciiTheme="minorHAnsi" w:eastAsiaTheme="minorEastAsia" w:hAnsiTheme="minorHAnsi" w:cstheme="minorBidi"/>
          <w:szCs w:val="22"/>
        </w:rPr>
      </w:pPr>
      <w:r>
        <w:t>48.</w:t>
      </w:r>
      <w:r>
        <w:tab/>
        <w:t>Lodging documents by email</w:t>
      </w:r>
      <w:r>
        <w:tab/>
      </w:r>
      <w:r>
        <w:fldChar w:fldCharType="begin"/>
      </w:r>
      <w:r>
        <w:instrText xml:space="preserve"> PAGEREF _Toc107393160 \h </w:instrText>
      </w:r>
      <w:r>
        <w:fldChar w:fldCharType="separate"/>
      </w:r>
      <w:r>
        <w:t>25</w:t>
      </w:r>
      <w:r>
        <w:fldChar w:fldCharType="end"/>
      </w:r>
    </w:p>
    <w:p>
      <w:pPr>
        <w:pStyle w:val="TOC8"/>
        <w:rPr>
          <w:rFonts w:asciiTheme="minorHAnsi" w:eastAsiaTheme="minorEastAsia" w:hAnsiTheme="minorHAnsi" w:cstheme="minorBidi"/>
          <w:szCs w:val="22"/>
        </w:rPr>
      </w:pPr>
      <w:r>
        <w:t>49.</w:t>
      </w:r>
      <w:r>
        <w:tab/>
        <w:t>Form of documents lodged using ECMS or by email</w:t>
      </w:r>
      <w:r>
        <w:tab/>
      </w:r>
      <w:r>
        <w:fldChar w:fldCharType="begin"/>
      </w:r>
      <w:r>
        <w:instrText xml:space="preserve"> PAGEREF _Toc107393161 \h </w:instrText>
      </w:r>
      <w:r>
        <w:fldChar w:fldCharType="separate"/>
      </w:r>
      <w:r>
        <w:t>25</w:t>
      </w:r>
      <w:r>
        <w:fldChar w:fldCharType="end"/>
      </w:r>
    </w:p>
    <w:p>
      <w:pPr>
        <w:pStyle w:val="TOC8"/>
        <w:rPr>
          <w:rFonts w:asciiTheme="minorHAnsi" w:eastAsiaTheme="minorEastAsia" w:hAnsiTheme="minorHAnsi" w:cstheme="minorBidi"/>
          <w:szCs w:val="22"/>
        </w:rPr>
      </w:pPr>
      <w:r>
        <w:t>49A.</w:t>
      </w:r>
      <w:r>
        <w:tab/>
        <w:t>Time documents are lodged</w:t>
      </w:r>
      <w:r>
        <w:tab/>
      </w:r>
      <w:r>
        <w:fldChar w:fldCharType="begin"/>
      </w:r>
      <w:r>
        <w:instrText xml:space="preserve"> PAGEREF _Toc107393162 \h </w:instrText>
      </w:r>
      <w:r>
        <w:fldChar w:fldCharType="separate"/>
      </w:r>
      <w:r>
        <w:t>26</w:t>
      </w:r>
      <w:r>
        <w:fldChar w:fldCharType="end"/>
      </w:r>
    </w:p>
    <w:p>
      <w:pPr>
        <w:pStyle w:val="TOC8"/>
        <w:rPr>
          <w:rFonts w:asciiTheme="minorHAnsi" w:eastAsiaTheme="minorEastAsia" w:hAnsiTheme="minorHAnsi" w:cstheme="minorBidi"/>
          <w:szCs w:val="22"/>
        </w:rPr>
      </w:pPr>
      <w:r>
        <w:t>49B.</w:t>
      </w:r>
      <w:r>
        <w:tab/>
        <w:t>General provisions as to lodgment</w:t>
      </w:r>
      <w:r>
        <w:tab/>
      </w:r>
      <w:r>
        <w:fldChar w:fldCharType="begin"/>
      </w:r>
      <w:r>
        <w:instrText xml:space="preserve"> PAGEREF _Toc107393163 \h </w:instrText>
      </w:r>
      <w:r>
        <w:fldChar w:fldCharType="separate"/>
      </w:r>
      <w:r>
        <w:t>26</w:t>
      </w:r>
      <w:r>
        <w:fldChar w:fldCharType="end"/>
      </w:r>
    </w:p>
    <w:p>
      <w:pPr>
        <w:pStyle w:val="TOC8"/>
        <w:rPr>
          <w:rFonts w:asciiTheme="minorHAnsi" w:eastAsiaTheme="minorEastAsia" w:hAnsiTheme="minorHAnsi" w:cstheme="minorBidi"/>
          <w:szCs w:val="22"/>
        </w:rPr>
      </w:pPr>
      <w:r>
        <w:t>49C.</w:t>
      </w:r>
      <w:r>
        <w:tab/>
        <w:t>Lodging documents by post or fax</w:t>
      </w:r>
      <w:r>
        <w:tab/>
      </w:r>
      <w:r>
        <w:fldChar w:fldCharType="begin"/>
      </w:r>
      <w:r>
        <w:instrText xml:space="preserve"> PAGEREF _Toc107393164 \h </w:instrText>
      </w:r>
      <w:r>
        <w:fldChar w:fldCharType="separate"/>
      </w:r>
      <w:r>
        <w:t>27</w:t>
      </w:r>
      <w:r>
        <w:fldChar w:fldCharType="end"/>
      </w:r>
    </w:p>
    <w:p>
      <w:pPr>
        <w:pStyle w:val="TOC8"/>
        <w:rPr>
          <w:rFonts w:asciiTheme="minorHAnsi" w:eastAsiaTheme="minorEastAsia" w:hAnsiTheme="minorHAnsi" w:cstheme="minorBidi"/>
          <w:szCs w:val="22"/>
        </w:rPr>
      </w:pPr>
      <w:r>
        <w:t>49D.</w:t>
      </w:r>
      <w:r>
        <w:tab/>
        <w:t>The Court may convert paper documents to electronic form</w:t>
      </w:r>
      <w:r>
        <w:tab/>
      </w:r>
      <w:r>
        <w:fldChar w:fldCharType="begin"/>
      </w:r>
      <w:r>
        <w:instrText xml:space="preserve"> PAGEREF _Toc107393165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11 — How to serve documents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50.</w:t>
      </w:r>
      <w:r>
        <w:tab/>
        <w:t>Meaning of serve</w:t>
      </w:r>
      <w:r>
        <w:tab/>
      </w:r>
      <w:r>
        <w:fldChar w:fldCharType="begin"/>
      </w:r>
      <w:r>
        <w:instrText xml:space="preserve"> PAGEREF _Toc107393168 \h </w:instrText>
      </w:r>
      <w:r>
        <w:fldChar w:fldCharType="separate"/>
      </w:r>
      <w:r>
        <w:t>28</w:t>
      </w:r>
      <w:r>
        <w:fldChar w:fldCharType="end"/>
      </w:r>
    </w:p>
    <w:p>
      <w:pPr>
        <w:pStyle w:val="TOC8"/>
        <w:rPr>
          <w:rFonts w:asciiTheme="minorHAnsi" w:eastAsiaTheme="minorEastAsia" w:hAnsiTheme="minorHAnsi" w:cstheme="minorBidi"/>
          <w:szCs w:val="22"/>
        </w:rPr>
      </w:pPr>
      <w:r>
        <w:lastRenderedPageBreak/>
        <w:t>51.</w:t>
      </w:r>
      <w:r>
        <w:tab/>
        <w:t>How to serve a document</w:t>
      </w:r>
      <w:r>
        <w:tab/>
      </w:r>
      <w:r>
        <w:fldChar w:fldCharType="begin"/>
      </w:r>
      <w:r>
        <w:instrText xml:space="preserve"> PAGEREF _Toc107393169 \h </w:instrText>
      </w:r>
      <w:r>
        <w:fldChar w:fldCharType="separate"/>
      </w:r>
      <w:r>
        <w:t>28</w:t>
      </w:r>
      <w:r>
        <w:fldChar w:fldCharType="end"/>
      </w:r>
    </w:p>
    <w:p>
      <w:pPr>
        <w:pStyle w:val="TOC8"/>
        <w:rPr>
          <w:rFonts w:asciiTheme="minorHAnsi" w:eastAsiaTheme="minorEastAsia" w:hAnsiTheme="minorHAnsi" w:cstheme="minorBidi"/>
          <w:szCs w:val="22"/>
        </w:rPr>
      </w:pPr>
      <w:r>
        <w:t>52.</w:t>
      </w:r>
      <w:r>
        <w:tab/>
        <w:t>An enforcement officer may serve documents for you</w:t>
      </w:r>
      <w:r>
        <w:tab/>
      </w:r>
      <w:r>
        <w:fldChar w:fldCharType="begin"/>
      </w:r>
      <w:r>
        <w:instrText xml:space="preserve"> PAGEREF _Toc107393170 \h </w:instrText>
      </w:r>
      <w:r>
        <w:fldChar w:fldCharType="separate"/>
      </w:r>
      <w:r>
        <w:t>29</w:t>
      </w:r>
      <w:r>
        <w:fldChar w:fldCharType="end"/>
      </w:r>
    </w:p>
    <w:p>
      <w:pPr>
        <w:pStyle w:val="TOC8"/>
        <w:rPr>
          <w:rFonts w:asciiTheme="minorHAnsi" w:eastAsiaTheme="minorEastAsia" w:hAnsiTheme="minorHAnsi" w:cstheme="minorBidi"/>
          <w:szCs w:val="22"/>
        </w:rPr>
      </w:pPr>
      <w:r>
        <w:t>53.</w:t>
      </w:r>
      <w:r>
        <w:tab/>
        <w:t>You must lodge an affidavit after serving a document</w:t>
      </w:r>
      <w:r>
        <w:tab/>
      </w:r>
      <w:r>
        <w:fldChar w:fldCharType="begin"/>
      </w:r>
      <w:r>
        <w:instrText xml:space="preserve"> PAGEREF _Toc107393171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Service at a residential or business address</w:t>
      </w:r>
    </w:p>
    <w:p>
      <w:pPr>
        <w:pStyle w:val="TOC8"/>
        <w:rPr>
          <w:rFonts w:asciiTheme="minorHAnsi" w:eastAsiaTheme="minorEastAsia" w:hAnsiTheme="minorHAnsi" w:cstheme="minorBidi"/>
          <w:szCs w:val="22"/>
        </w:rPr>
      </w:pPr>
      <w:r>
        <w:t>54.</w:t>
      </w:r>
      <w:r>
        <w:tab/>
        <w:t>Your address must be on each document</w:t>
      </w:r>
      <w:r>
        <w:tab/>
      </w:r>
      <w:r>
        <w:fldChar w:fldCharType="begin"/>
      </w:r>
      <w:r>
        <w:instrText xml:space="preserve"> PAGEREF _Toc107393173 \h </w:instrText>
      </w:r>
      <w:r>
        <w:fldChar w:fldCharType="separate"/>
      </w:r>
      <w:r>
        <w:t>29</w:t>
      </w:r>
      <w:r>
        <w:fldChar w:fldCharType="end"/>
      </w:r>
    </w:p>
    <w:p>
      <w:pPr>
        <w:pStyle w:val="TOC8"/>
        <w:rPr>
          <w:rFonts w:asciiTheme="minorHAnsi" w:eastAsiaTheme="minorEastAsia" w:hAnsiTheme="minorHAnsi" w:cstheme="minorBidi"/>
          <w:szCs w:val="22"/>
        </w:rPr>
      </w:pPr>
      <w:r>
        <w:t>55.</w:t>
      </w:r>
      <w:r>
        <w:tab/>
        <w:t>If you are not represented</w:t>
      </w:r>
      <w:r>
        <w:tab/>
      </w:r>
      <w:r>
        <w:fldChar w:fldCharType="begin"/>
      </w:r>
      <w:r>
        <w:instrText xml:space="preserve"> PAGEREF _Toc107393174 \h </w:instrText>
      </w:r>
      <w:r>
        <w:fldChar w:fldCharType="separate"/>
      </w:r>
      <w:r>
        <w:t>30</w:t>
      </w:r>
      <w:r>
        <w:fldChar w:fldCharType="end"/>
      </w:r>
    </w:p>
    <w:p>
      <w:pPr>
        <w:pStyle w:val="TOC8"/>
        <w:rPr>
          <w:rFonts w:asciiTheme="minorHAnsi" w:eastAsiaTheme="minorEastAsia" w:hAnsiTheme="minorHAnsi" w:cstheme="minorBidi"/>
          <w:szCs w:val="22"/>
        </w:rPr>
      </w:pPr>
      <w:r>
        <w:t>56.</w:t>
      </w:r>
      <w:r>
        <w:tab/>
        <w:t>If you are represented</w:t>
      </w:r>
      <w:r>
        <w:tab/>
      </w:r>
      <w:r>
        <w:fldChar w:fldCharType="begin"/>
      </w:r>
      <w:r>
        <w:instrText xml:space="preserve"> PAGEREF _Toc107393175 \h </w:instrText>
      </w:r>
      <w:r>
        <w:fldChar w:fldCharType="separate"/>
      </w:r>
      <w:r>
        <w:t>30</w:t>
      </w:r>
      <w:r>
        <w:fldChar w:fldCharType="end"/>
      </w:r>
    </w:p>
    <w:p>
      <w:pPr>
        <w:pStyle w:val="TOC8"/>
        <w:rPr>
          <w:rFonts w:asciiTheme="minorHAnsi" w:eastAsiaTheme="minorEastAsia" w:hAnsiTheme="minorHAnsi" w:cstheme="minorBidi"/>
          <w:szCs w:val="22"/>
        </w:rPr>
      </w:pPr>
      <w:r>
        <w:t>57.</w:t>
      </w:r>
      <w:r>
        <w:tab/>
        <w:t>If your address changes</w:t>
      </w:r>
      <w:r>
        <w:tab/>
      </w:r>
      <w:r>
        <w:fldChar w:fldCharType="begin"/>
      </w:r>
      <w:r>
        <w:instrText xml:space="preserve"> PAGEREF _Toc107393176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Personal service</w:t>
      </w:r>
    </w:p>
    <w:p>
      <w:pPr>
        <w:pStyle w:val="TOC8"/>
        <w:rPr>
          <w:rFonts w:asciiTheme="minorHAnsi" w:eastAsiaTheme="minorEastAsia" w:hAnsiTheme="minorHAnsi" w:cstheme="minorBidi"/>
          <w:szCs w:val="22"/>
        </w:rPr>
      </w:pPr>
      <w:r>
        <w:t>58.</w:t>
      </w:r>
      <w:r>
        <w:tab/>
        <w:t>Service on an individual personally</w:t>
      </w:r>
      <w:r>
        <w:tab/>
      </w:r>
      <w:r>
        <w:fldChar w:fldCharType="begin"/>
      </w:r>
      <w:r>
        <w:instrText xml:space="preserve"> PAGEREF _Toc107393178 \h </w:instrText>
      </w:r>
      <w:r>
        <w:fldChar w:fldCharType="separate"/>
      </w:r>
      <w:r>
        <w:t>31</w:t>
      </w:r>
      <w:r>
        <w:fldChar w:fldCharType="end"/>
      </w:r>
    </w:p>
    <w:p>
      <w:pPr>
        <w:pStyle w:val="TOC8"/>
        <w:rPr>
          <w:rFonts w:asciiTheme="minorHAnsi" w:eastAsiaTheme="minorEastAsia" w:hAnsiTheme="minorHAnsi" w:cstheme="minorBidi"/>
          <w:szCs w:val="22"/>
        </w:rPr>
      </w:pPr>
      <w:r>
        <w:t>59.</w:t>
      </w:r>
      <w:r>
        <w:tab/>
        <w:t>Service on a partnership personally</w:t>
      </w:r>
      <w:r>
        <w:tab/>
      </w:r>
      <w:r>
        <w:fldChar w:fldCharType="begin"/>
      </w:r>
      <w:r>
        <w:instrText xml:space="preserve"> PAGEREF _Toc107393179 \h </w:instrText>
      </w:r>
      <w:r>
        <w:fldChar w:fldCharType="separate"/>
      </w:r>
      <w:r>
        <w:t>32</w:t>
      </w:r>
      <w:r>
        <w:fldChar w:fldCharType="end"/>
      </w:r>
    </w:p>
    <w:p>
      <w:pPr>
        <w:pStyle w:val="TOC8"/>
        <w:rPr>
          <w:rFonts w:asciiTheme="minorHAnsi" w:eastAsiaTheme="minorEastAsia" w:hAnsiTheme="minorHAnsi" w:cstheme="minorBidi"/>
          <w:szCs w:val="22"/>
        </w:rPr>
      </w:pPr>
      <w:r>
        <w:t>60.</w:t>
      </w:r>
      <w:r>
        <w:tab/>
        <w:t>Service on a corporation personally</w:t>
      </w:r>
      <w:r>
        <w:tab/>
      </w:r>
      <w:r>
        <w:fldChar w:fldCharType="begin"/>
      </w:r>
      <w:r>
        <w:instrText xml:space="preserve"> PAGEREF _Toc107393180 \h </w:instrText>
      </w:r>
      <w:r>
        <w:fldChar w:fldCharType="separate"/>
      </w:r>
      <w:r>
        <w:t>32</w:t>
      </w:r>
      <w:r>
        <w:fldChar w:fldCharType="end"/>
      </w:r>
    </w:p>
    <w:p>
      <w:pPr>
        <w:pStyle w:val="TOC8"/>
        <w:rPr>
          <w:rFonts w:asciiTheme="minorHAnsi" w:eastAsiaTheme="minorEastAsia" w:hAnsiTheme="minorHAnsi" w:cstheme="minorBidi"/>
          <w:szCs w:val="22"/>
        </w:rPr>
      </w:pPr>
      <w:r>
        <w:t>61.</w:t>
      </w:r>
      <w:r>
        <w:tab/>
        <w:t>Service on a public authority personally</w:t>
      </w:r>
      <w:r>
        <w:tab/>
      </w:r>
      <w:r>
        <w:fldChar w:fldCharType="begin"/>
      </w:r>
      <w:r>
        <w:instrText xml:space="preserve"> PAGEREF _Toc107393181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62A.</w:t>
      </w:r>
      <w:r>
        <w:tab/>
        <w:t>Applications for substituted service</w:t>
      </w:r>
      <w:r>
        <w:tab/>
      </w:r>
      <w:r>
        <w:fldChar w:fldCharType="begin"/>
      </w:r>
      <w:r>
        <w:instrText xml:space="preserve"> PAGEREF _Toc107393183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12 — How to make an application</w:t>
      </w:r>
    </w:p>
    <w:p>
      <w:pPr>
        <w:pStyle w:val="TOC8"/>
        <w:rPr>
          <w:rFonts w:asciiTheme="minorHAnsi" w:eastAsiaTheme="minorEastAsia" w:hAnsiTheme="minorHAnsi" w:cstheme="minorBidi"/>
          <w:szCs w:val="22"/>
        </w:rPr>
      </w:pPr>
      <w:r>
        <w:t>62.</w:t>
      </w:r>
      <w:r>
        <w:tab/>
        <w:t>How to make a written application</w:t>
      </w:r>
      <w:r>
        <w:tab/>
      </w:r>
      <w:r>
        <w:fldChar w:fldCharType="begin"/>
      </w:r>
      <w:r>
        <w:instrText xml:space="preserve"> PAGEREF _Toc107393185 \h </w:instrText>
      </w:r>
      <w:r>
        <w:fldChar w:fldCharType="separate"/>
      </w:r>
      <w:r>
        <w:t>34</w:t>
      </w:r>
      <w:r>
        <w:fldChar w:fldCharType="end"/>
      </w:r>
    </w:p>
    <w:p>
      <w:pPr>
        <w:pStyle w:val="TOC8"/>
        <w:rPr>
          <w:rFonts w:asciiTheme="minorHAnsi" w:eastAsiaTheme="minorEastAsia" w:hAnsiTheme="minorHAnsi" w:cstheme="minorBidi"/>
          <w:szCs w:val="22"/>
        </w:rPr>
      </w:pPr>
      <w:r>
        <w:t>63.</w:t>
      </w:r>
      <w:r>
        <w:tab/>
        <w:t>Your supporting affidavit</w:t>
      </w:r>
      <w:r>
        <w:tab/>
      </w:r>
      <w:r>
        <w:fldChar w:fldCharType="begin"/>
      </w:r>
      <w:r>
        <w:instrText xml:space="preserve"> PAGEREF _Toc107393186 \h </w:instrText>
      </w:r>
      <w:r>
        <w:fldChar w:fldCharType="separate"/>
      </w:r>
      <w:r>
        <w:t>34</w:t>
      </w:r>
      <w:r>
        <w:fldChar w:fldCharType="end"/>
      </w:r>
    </w:p>
    <w:p>
      <w:pPr>
        <w:pStyle w:val="TOC8"/>
        <w:rPr>
          <w:rFonts w:asciiTheme="minorHAnsi" w:eastAsiaTheme="minorEastAsia" w:hAnsiTheme="minorHAnsi" w:cstheme="minorBidi"/>
          <w:szCs w:val="22"/>
        </w:rPr>
      </w:pPr>
      <w:r>
        <w:t>64.</w:t>
      </w:r>
      <w:r>
        <w:tab/>
        <w:t>Application must be served</w:t>
      </w:r>
      <w:r>
        <w:tab/>
      </w:r>
      <w:r>
        <w:fldChar w:fldCharType="begin"/>
      </w:r>
      <w:r>
        <w:instrText xml:space="preserve"> PAGEREF _Toc107393187 \h </w:instrText>
      </w:r>
      <w:r>
        <w:fldChar w:fldCharType="separate"/>
      </w:r>
      <w:r>
        <w:t>34</w:t>
      </w:r>
      <w:r>
        <w:fldChar w:fldCharType="end"/>
      </w:r>
    </w:p>
    <w:p>
      <w:pPr>
        <w:pStyle w:val="TOC8"/>
        <w:rPr>
          <w:rFonts w:asciiTheme="minorHAnsi" w:eastAsiaTheme="minorEastAsia" w:hAnsiTheme="minorHAnsi" w:cstheme="minorBidi"/>
          <w:szCs w:val="22"/>
        </w:rPr>
      </w:pPr>
      <w:r>
        <w:t>65.</w:t>
      </w:r>
      <w:r>
        <w:tab/>
        <w:t>Response to an application</w:t>
      </w:r>
      <w:r>
        <w:tab/>
      </w:r>
      <w:r>
        <w:fldChar w:fldCharType="begin"/>
      </w:r>
      <w:r>
        <w:instrText xml:space="preserve"> PAGEREF _Toc107393188 \h </w:instrText>
      </w:r>
      <w:r>
        <w:fldChar w:fldCharType="separate"/>
      </w:r>
      <w:r>
        <w:t>35</w:t>
      </w:r>
      <w:r>
        <w:fldChar w:fldCharType="end"/>
      </w:r>
    </w:p>
    <w:p>
      <w:pPr>
        <w:pStyle w:val="TOC8"/>
        <w:rPr>
          <w:rFonts w:asciiTheme="minorHAnsi" w:eastAsiaTheme="minorEastAsia" w:hAnsiTheme="minorHAnsi" w:cstheme="minorBidi"/>
          <w:szCs w:val="22"/>
        </w:rPr>
      </w:pPr>
      <w:r>
        <w:t>66.</w:t>
      </w:r>
      <w:r>
        <w:tab/>
        <w:t>How the Court will deal with your application</w:t>
      </w:r>
      <w:r>
        <w:tab/>
      </w:r>
      <w:r>
        <w:fldChar w:fldCharType="begin"/>
      </w:r>
      <w:r>
        <w:instrText xml:space="preserve"> PAGEREF _Toc107393189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13 — Affidavits</w:t>
      </w:r>
    </w:p>
    <w:p>
      <w:pPr>
        <w:pStyle w:val="TOC8"/>
        <w:rPr>
          <w:rFonts w:asciiTheme="minorHAnsi" w:eastAsiaTheme="minorEastAsia" w:hAnsiTheme="minorHAnsi" w:cstheme="minorBidi"/>
          <w:szCs w:val="22"/>
        </w:rPr>
      </w:pPr>
      <w:r>
        <w:t>67.</w:t>
      </w:r>
      <w:r>
        <w:tab/>
        <w:t>Form of an affidavit</w:t>
      </w:r>
      <w:r>
        <w:tab/>
      </w:r>
      <w:r>
        <w:fldChar w:fldCharType="begin"/>
      </w:r>
      <w:r>
        <w:instrText xml:space="preserve"> PAGEREF _Toc107393191 \h </w:instrText>
      </w:r>
      <w:r>
        <w:fldChar w:fldCharType="separate"/>
      </w:r>
      <w:r>
        <w:t>36</w:t>
      </w:r>
      <w:r>
        <w:fldChar w:fldCharType="end"/>
      </w:r>
    </w:p>
    <w:p>
      <w:pPr>
        <w:pStyle w:val="TOC8"/>
        <w:rPr>
          <w:rFonts w:asciiTheme="minorHAnsi" w:eastAsiaTheme="minorEastAsia" w:hAnsiTheme="minorHAnsi" w:cstheme="minorBidi"/>
          <w:szCs w:val="22"/>
        </w:rPr>
      </w:pPr>
      <w:r>
        <w:t>68.</w:t>
      </w:r>
      <w:r>
        <w:tab/>
        <w:t>Content of an affidavit</w:t>
      </w:r>
      <w:r>
        <w:tab/>
      </w:r>
      <w:r>
        <w:fldChar w:fldCharType="begin"/>
      </w:r>
      <w:r>
        <w:instrText xml:space="preserve"> PAGEREF _Toc107393192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14 — If you need a litigation guardian</w:t>
      </w:r>
    </w:p>
    <w:p>
      <w:pPr>
        <w:pStyle w:val="TOC8"/>
        <w:rPr>
          <w:rFonts w:asciiTheme="minorHAnsi" w:eastAsiaTheme="minorEastAsia" w:hAnsiTheme="minorHAnsi" w:cstheme="minorBidi"/>
          <w:szCs w:val="22"/>
        </w:rPr>
      </w:pPr>
      <w:r>
        <w:t>69.</w:t>
      </w:r>
      <w:r>
        <w:tab/>
        <w:t>Terms used</w:t>
      </w:r>
      <w:r>
        <w:tab/>
      </w:r>
      <w:r>
        <w:fldChar w:fldCharType="begin"/>
      </w:r>
      <w:r>
        <w:instrText xml:space="preserve"> PAGEREF _Toc107393194 \h </w:instrText>
      </w:r>
      <w:r>
        <w:fldChar w:fldCharType="separate"/>
      </w:r>
      <w:r>
        <w:t>37</w:t>
      </w:r>
      <w:r>
        <w:fldChar w:fldCharType="end"/>
      </w:r>
    </w:p>
    <w:p>
      <w:pPr>
        <w:pStyle w:val="TOC8"/>
        <w:rPr>
          <w:rFonts w:asciiTheme="minorHAnsi" w:eastAsiaTheme="minorEastAsia" w:hAnsiTheme="minorHAnsi" w:cstheme="minorBidi"/>
          <w:szCs w:val="22"/>
        </w:rPr>
      </w:pPr>
      <w:r>
        <w:t>70.</w:t>
      </w:r>
      <w:r>
        <w:tab/>
        <w:t>When this Part applies</w:t>
      </w:r>
      <w:r>
        <w:tab/>
      </w:r>
      <w:r>
        <w:fldChar w:fldCharType="begin"/>
      </w:r>
      <w:r>
        <w:instrText xml:space="preserve"> PAGEREF _Toc107393195 \h </w:instrText>
      </w:r>
      <w:r>
        <w:fldChar w:fldCharType="separate"/>
      </w:r>
      <w:r>
        <w:t>37</w:t>
      </w:r>
      <w:r>
        <w:fldChar w:fldCharType="end"/>
      </w:r>
    </w:p>
    <w:p>
      <w:pPr>
        <w:pStyle w:val="TOC8"/>
        <w:rPr>
          <w:rFonts w:asciiTheme="minorHAnsi" w:eastAsiaTheme="minorEastAsia" w:hAnsiTheme="minorHAnsi" w:cstheme="minorBidi"/>
          <w:szCs w:val="22"/>
        </w:rPr>
      </w:pPr>
      <w:r>
        <w:t>71.</w:t>
      </w:r>
      <w:r>
        <w:tab/>
        <w:t>If you are a represented person</w:t>
      </w:r>
      <w:r>
        <w:tab/>
      </w:r>
      <w:r>
        <w:fldChar w:fldCharType="begin"/>
      </w:r>
      <w:r>
        <w:instrText xml:space="preserve"> PAGEREF _Toc107393196 \h </w:instrText>
      </w:r>
      <w:r>
        <w:fldChar w:fldCharType="separate"/>
      </w:r>
      <w:r>
        <w:t>37</w:t>
      </w:r>
      <w:r>
        <w:fldChar w:fldCharType="end"/>
      </w:r>
    </w:p>
    <w:p>
      <w:pPr>
        <w:pStyle w:val="TOC8"/>
        <w:rPr>
          <w:rFonts w:asciiTheme="minorHAnsi" w:eastAsiaTheme="minorEastAsia" w:hAnsiTheme="minorHAnsi" w:cstheme="minorBidi"/>
          <w:szCs w:val="22"/>
        </w:rPr>
      </w:pPr>
      <w:r>
        <w:t>72.</w:t>
      </w:r>
      <w:r>
        <w:tab/>
        <w:t>Affidavit your litigation guardian must lodge and serve if you are a represented person</w:t>
      </w:r>
      <w:r>
        <w:tab/>
      </w:r>
      <w:r>
        <w:fldChar w:fldCharType="begin"/>
      </w:r>
      <w:r>
        <w:instrText xml:space="preserve"> PAGEREF _Toc107393197 \h </w:instrText>
      </w:r>
      <w:r>
        <w:fldChar w:fldCharType="separate"/>
      </w:r>
      <w:r>
        <w:t>38</w:t>
      </w:r>
      <w:r>
        <w:fldChar w:fldCharType="end"/>
      </w:r>
    </w:p>
    <w:p>
      <w:pPr>
        <w:pStyle w:val="TOC8"/>
        <w:rPr>
          <w:rFonts w:asciiTheme="minorHAnsi" w:eastAsiaTheme="minorEastAsia" w:hAnsiTheme="minorHAnsi" w:cstheme="minorBidi"/>
          <w:szCs w:val="22"/>
        </w:rPr>
      </w:pPr>
      <w:r>
        <w:t>73.</w:t>
      </w:r>
      <w:r>
        <w:tab/>
        <w:t>If you are a child</w:t>
      </w:r>
      <w:r>
        <w:tab/>
      </w:r>
      <w:r>
        <w:fldChar w:fldCharType="begin"/>
      </w:r>
      <w:r>
        <w:instrText xml:space="preserve"> PAGEREF _Toc107393198 \h </w:instrText>
      </w:r>
      <w:r>
        <w:fldChar w:fldCharType="separate"/>
      </w:r>
      <w:r>
        <w:t>39</w:t>
      </w:r>
      <w:r>
        <w:fldChar w:fldCharType="end"/>
      </w:r>
    </w:p>
    <w:p>
      <w:pPr>
        <w:pStyle w:val="TOC8"/>
        <w:rPr>
          <w:rFonts w:asciiTheme="minorHAnsi" w:eastAsiaTheme="minorEastAsia" w:hAnsiTheme="minorHAnsi" w:cstheme="minorBidi"/>
          <w:szCs w:val="22"/>
        </w:rPr>
      </w:pPr>
      <w:r>
        <w:lastRenderedPageBreak/>
        <w:t>74.</w:t>
      </w:r>
      <w:r>
        <w:tab/>
        <w:t>Affidavits your litigation guardian must lodge and serve if you are a child</w:t>
      </w:r>
      <w:r>
        <w:tab/>
      </w:r>
      <w:r>
        <w:fldChar w:fldCharType="begin"/>
      </w:r>
      <w:r>
        <w:instrText xml:space="preserve"> PAGEREF _Toc107393199 \h </w:instrText>
      </w:r>
      <w:r>
        <w:fldChar w:fldCharType="separate"/>
      </w:r>
      <w:r>
        <w:t>39</w:t>
      </w:r>
      <w:r>
        <w:fldChar w:fldCharType="end"/>
      </w:r>
    </w:p>
    <w:p>
      <w:pPr>
        <w:pStyle w:val="TOC8"/>
        <w:rPr>
          <w:rFonts w:asciiTheme="minorHAnsi" w:eastAsiaTheme="minorEastAsia" w:hAnsiTheme="minorHAnsi" w:cstheme="minorBidi"/>
          <w:szCs w:val="22"/>
        </w:rPr>
      </w:pPr>
      <w:r>
        <w:t>75.</w:t>
      </w:r>
      <w:r>
        <w:tab/>
        <w:t>Person may apply to be appointed your litigation guardian</w:t>
      </w:r>
      <w:r>
        <w:tab/>
      </w:r>
      <w:r>
        <w:fldChar w:fldCharType="begin"/>
      </w:r>
      <w:r>
        <w:instrText xml:space="preserve"> PAGEREF _Toc107393200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76A.</w:t>
      </w:r>
      <w:r>
        <w:tab/>
        <w:t xml:space="preserve">If you are making an application under the </w:t>
      </w:r>
      <w:r>
        <w:rPr>
          <w:i/>
          <w:iCs/>
        </w:rPr>
        <w:t>Residential Tenancies Act 1987</w:t>
      </w:r>
      <w:r>
        <w:tab/>
      </w:r>
      <w:r>
        <w:fldChar w:fldCharType="begin"/>
      </w:r>
      <w:r>
        <w:instrText xml:space="preserve"> PAGEREF _Toc107393202 \h </w:instrText>
      </w:r>
      <w:r>
        <w:fldChar w:fldCharType="separate"/>
      </w:r>
      <w:r>
        <w:t>41</w:t>
      </w:r>
      <w:r>
        <w:fldChar w:fldCharType="end"/>
      </w:r>
    </w:p>
    <w:p>
      <w:pPr>
        <w:pStyle w:val="TOC8"/>
        <w:rPr>
          <w:rFonts w:asciiTheme="minorHAnsi" w:eastAsiaTheme="minorEastAsia" w:hAnsiTheme="minorHAnsi" w:cstheme="minorBidi"/>
          <w:szCs w:val="22"/>
        </w:rPr>
      </w:pPr>
      <w:r>
        <w:t>76B.</w:t>
      </w:r>
      <w:r>
        <w:tab/>
        <w:t>If you want to change venues</w:t>
      </w:r>
      <w:r>
        <w:tab/>
      </w:r>
      <w:r>
        <w:fldChar w:fldCharType="begin"/>
      </w:r>
      <w:r>
        <w:instrText xml:space="preserve"> PAGEREF _Toc107393203 \h </w:instrText>
      </w:r>
      <w:r>
        <w:fldChar w:fldCharType="separate"/>
      </w:r>
      <w:r>
        <w:t>41</w:t>
      </w:r>
      <w:r>
        <w:fldChar w:fldCharType="end"/>
      </w:r>
    </w:p>
    <w:p>
      <w:pPr>
        <w:pStyle w:val="TOC8"/>
        <w:rPr>
          <w:rFonts w:asciiTheme="minorHAnsi" w:eastAsiaTheme="minorEastAsia" w:hAnsiTheme="minorHAnsi" w:cstheme="minorBidi"/>
          <w:szCs w:val="22"/>
        </w:rPr>
      </w:pPr>
      <w:r>
        <w:t>76C.</w:t>
      </w:r>
      <w:r>
        <w:tab/>
        <w:t>If you want to correct typographical and other errors</w:t>
      </w:r>
      <w:r>
        <w:tab/>
      </w:r>
      <w:r>
        <w:fldChar w:fldCharType="begin"/>
      </w:r>
      <w:r>
        <w:instrText xml:space="preserve"> PAGEREF _Toc107393204 \h </w:instrText>
      </w:r>
      <w:r>
        <w:fldChar w:fldCharType="separate"/>
      </w:r>
      <w:r>
        <w:t>41</w:t>
      </w:r>
      <w:r>
        <w:fldChar w:fldCharType="end"/>
      </w:r>
    </w:p>
    <w:p>
      <w:pPr>
        <w:pStyle w:val="TOC8"/>
        <w:rPr>
          <w:rFonts w:asciiTheme="minorHAnsi" w:eastAsiaTheme="minorEastAsia" w:hAnsiTheme="minorHAnsi" w:cstheme="minorBidi"/>
          <w:szCs w:val="22"/>
        </w:rPr>
      </w:pPr>
      <w:r>
        <w:t>76.</w:t>
      </w:r>
      <w:r>
        <w:tab/>
        <w:t>You may discontinue claim</w:t>
      </w:r>
      <w:r>
        <w:tab/>
      </w:r>
      <w:r>
        <w:fldChar w:fldCharType="begin"/>
      </w:r>
      <w:r>
        <w:instrText xml:space="preserve"> PAGEREF _Toc107393205 \h </w:instrText>
      </w:r>
      <w:r>
        <w:fldChar w:fldCharType="separate"/>
      </w:r>
      <w:r>
        <w:t>42</w:t>
      </w:r>
      <w:r>
        <w:fldChar w:fldCharType="end"/>
      </w:r>
    </w:p>
    <w:p>
      <w:pPr>
        <w:pStyle w:val="TOC8"/>
        <w:rPr>
          <w:rFonts w:asciiTheme="minorHAnsi" w:eastAsiaTheme="minorEastAsia" w:hAnsiTheme="minorHAnsi" w:cstheme="minorBidi"/>
          <w:szCs w:val="22"/>
        </w:rPr>
      </w:pPr>
      <w:r>
        <w:t>77.</w:t>
      </w:r>
      <w:r>
        <w:tab/>
        <w:t>Availability of forms</w:t>
      </w:r>
      <w:r>
        <w:tab/>
      </w:r>
      <w:r>
        <w:fldChar w:fldCharType="begin"/>
      </w:r>
      <w:r>
        <w:instrText xml:space="preserve"> PAGEREF _Toc107393206 \h </w:instrText>
      </w:r>
      <w:r>
        <w:fldChar w:fldCharType="separate"/>
      </w:r>
      <w:r>
        <w:t>42</w:t>
      </w:r>
      <w:r>
        <w:fldChar w:fldCharType="end"/>
      </w:r>
    </w:p>
    <w:p>
      <w:pPr>
        <w:pStyle w:val="TOC8"/>
        <w:rPr>
          <w:rFonts w:asciiTheme="minorHAnsi" w:eastAsiaTheme="minorEastAsia" w:hAnsiTheme="minorHAnsi" w:cstheme="minorBidi"/>
          <w:szCs w:val="22"/>
        </w:rPr>
      </w:pPr>
      <w:r>
        <w:t>78.</w:t>
      </w:r>
      <w:r>
        <w:tab/>
        <w:t>Partnership name may be used</w:t>
      </w:r>
      <w:r>
        <w:tab/>
      </w:r>
      <w:r>
        <w:fldChar w:fldCharType="begin"/>
      </w:r>
      <w:r>
        <w:instrText xml:space="preserve"> PAGEREF _Toc107393207 \h </w:instrText>
      </w:r>
      <w:r>
        <w:fldChar w:fldCharType="separate"/>
      </w:r>
      <w:r>
        <w:t>42</w:t>
      </w:r>
      <w:r>
        <w:fldChar w:fldCharType="end"/>
      </w:r>
    </w:p>
    <w:p>
      <w:pPr>
        <w:pStyle w:val="TOC8"/>
        <w:rPr>
          <w:rFonts w:asciiTheme="minorHAnsi" w:eastAsiaTheme="minorEastAsia" w:hAnsiTheme="minorHAnsi" w:cstheme="minorBidi"/>
          <w:szCs w:val="22"/>
        </w:rPr>
      </w:pPr>
      <w:r>
        <w:t>79.</w:t>
      </w:r>
      <w:r>
        <w:tab/>
        <w:t>When you are required to do things personally and you are not an individual</w:t>
      </w:r>
      <w:r>
        <w:tab/>
      </w:r>
      <w:r>
        <w:fldChar w:fldCharType="begin"/>
      </w:r>
      <w:r>
        <w:instrText xml:space="preserve"> PAGEREF _Toc107393208 \h </w:instrText>
      </w:r>
      <w:r>
        <w:fldChar w:fldCharType="separate"/>
      </w:r>
      <w:r>
        <w:t>42</w:t>
      </w:r>
      <w:r>
        <w:fldChar w:fldCharType="end"/>
      </w:r>
    </w:p>
    <w:p>
      <w:pPr>
        <w:pStyle w:val="TOC8"/>
        <w:rPr>
          <w:rFonts w:asciiTheme="minorHAnsi" w:eastAsiaTheme="minorEastAsia" w:hAnsiTheme="minorHAnsi" w:cstheme="minorBidi"/>
          <w:szCs w:val="22"/>
        </w:rPr>
      </w:pPr>
      <w:r>
        <w:t>80.</w:t>
      </w:r>
      <w:r>
        <w:tab/>
        <w:t>Payments into Court</w:t>
      </w:r>
      <w:r>
        <w:tab/>
      </w:r>
      <w:r>
        <w:fldChar w:fldCharType="begin"/>
      </w:r>
      <w:r>
        <w:instrText xml:space="preserve"> PAGEREF _Toc107393209 \h </w:instrText>
      </w:r>
      <w:r>
        <w:fldChar w:fldCharType="separate"/>
      </w:r>
      <w:r>
        <w:t>43</w:t>
      </w:r>
      <w:r>
        <w:fldChar w:fldCharType="end"/>
      </w:r>
    </w:p>
    <w:p>
      <w:pPr>
        <w:pStyle w:val="TOC8"/>
        <w:rPr>
          <w:rFonts w:asciiTheme="minorHAnsi" w:eastAsiaTheme="minorEastAsia" w:hAnsiTheme="minorHAnsi" w:cstheme="minorBidi"/>
          <w:szCs w:val="22"/>
        </w:rPr>
      </w:pPr>
      <w:r>
        <w:t>81.</w:t>
      </w:r>
      <w:r>
        <w:tab/>
        <w:t xml:space="preserve">Registrar’s powers under the </w:t>
      </w:r>
      <w:r>
        <w:rPr>
          <w:i/>
          <w:iCs/>
        </w:rPr>
        <w:t>Civil Judgments Enforcement Act 2004</w:t>
      </w:r>
      <w:r>
        <w:tab/>
      </w:r>
      <w:r>
        <w:fldChar w:fldCharType="begin"/>
      </w:r>
      <w:r>
        <w:instrText xml:space="preserve"> PAGEREF _Toc107393210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Transitional rules for the </w:t>
      </w:r>
      <w:r>
        <w:rPr>
          <w:i/>
        </w:rPr>
        <w:t>Magistrates Court Rules Amendment Rules 2020</w:t>
      </w:r>
    </w:p>
    <w:p>
      <w:pPr>
        <w:pStyle w:val="TOC8"/>
        <w:rPr>
          <w:rFonts w:asciiTheme="minorHAnsi" w:eastAsiaTheme="minorEastAsia" w:hAnsiTheme="minorHAnsi" w:cstheme="minorBidi"/>
          <w:szCs w:val="22"/>
        </w:rPr>
      </w:pPr>
      <w:r>
        <w:t>82.</w:t>
      </w:r>
      <w:r>
        <w:tab/>
        <w:t>Terms used in this Part</w:t>
      </w:r>
      <w:r>
        <w:tab/>
      </w:r>
      <w:r>
        <w:fldChar w:fldCharType="begin"/>
      </w:r>
      <w:r>
        <w:instrText xml:space="preserve"> PAGEREF _Toc107393212 \h </w:instrText>
      </w:r>
      <w:r>
        <w:fldChar w:fldCharType="separate"/>
      </w:r>
      <w:r>
        <w:t>45</w:t>
      </w:r>
      <w:r>
        <w:fldChar w:fldCharType="end"/>
      </w:r>
    </w:p>
    <w:p>
      <w:pPr>
        <w:pStyle w:val="TOC8"/>
        <w:rPr>
          <w:rFonts w:asciiTheme="minorHAnsi" w:eastAsiaTheme="minorEastAsia" w:hAnsiTheme="minorHAnsi" w:cstheme="minorBidi"/>
          <w:szCs w:val="22"/>
        </w:rPr>
      </w:pPr>
      <w:r>
        <w:t>83.</w:t>
      </w:r>
      <w:r>
        <w:tab/>
        <w:t>Application of amended Rules in relation to transitional cases</w:t>
      </w:r>
      <w:r>
        <w:tab/>
      </w:r>
      <w:r>
        <w:fldChar w:fldCharType="begin"/>
      </w:r>
      <w:r>
        <w:instrText xml:space="preserve"> PAGEREF _Toc107393213 \h </w:instrText>
      </w:r>
      <w:r>
        <w:fldChar w:fldCharType="separate"/>
      </w:r>
      <w:r>
        <w:t>45</w:t>
      </w:r>
      <w:r>
        <w:fldChar w:fldCharType="end"/>
      </w:r>
    </w:p>
    <w:p>
      <w:pPr>
        <w:pStyle w:val="TOC8"/>
        <w:rPr>
          <w:rFonts w:asciiTheme="minorHAnsi" w:eastAsiaTheme="minorEastAsia" w:hAnsiTheme="minorHAnsi" w:cstheme="minorBidi"/>
          <w:szCs w:val="22"/>
        </w:rPr>
      </w:pPr>
      <w:r>
        <w:t>84.</w:t>
      </w:r>
      <w:r>
        <w:tab/>
        <w:t>Application of former Rules in relation to certain transitional cases</w:t>
      </w:r>
      <w:r>
        <w:tab/>
      </w:r>
      <w:r>
        <w:fldChar w:fldCharType="begin"/>
      </w:r>
      <w:r>
        <w:instrText xml:space="preserve"> PAGEREF _Toc107393214 \h </w:instrText>
      </w:r>
      <w:r>
        <w:fldChar w:fldCharType="separate"/>
      </w:r>
      <w:r>
        <w:t>46</w:t>
      </w:r>
      <w:r>
        <w:fldChar w:fldCharType="end"/>
      </w:r>
    </w:p>
    <w:p>
      <w:pPr>
        <w:pStyle w:val="TOC8"/>
        <w:rPr>
          <w:rFonts w:asciiTheme="minorHAnsi" w:eastAsiaTheme="minorEastAsia" w:hAnsiTheme="minorHAnsi" w:cstheme="minorBidi"/>
          <w:szCs w:val="22"/>
        </w:rPr>
      </w:pPr>
      <w:r>
        <w:t>85.</w:t>
      </w:r>
      <w:r>
        <w:tab/>
        <w:t>Listing transitional cases for a status conference</w:t>
      </w:r>
      <w:r>
        <w:tab/>
      </w:r>
      <w:r>
        <w:fldChar w:fldCharType="begin"/>
      </w:r>
      <w:r>
        <w:instrText xml:space="preserve"> PAGEREF _Toc107393215 \h </w:instrText>
      </w:r>
      <w:r>
        <w:fldChar w:fldCharType="separate"/>
      </w:r>
      <w:r>
        <w:t>46</w:t>
      </w:r>
      <w:r>
        <w:fldChar w:fldCharType="end"/>
      </w:r>
    </w:p>
    <w:p>
      <w:pPr>
        <w:pStyle w:val="TOC8"/>
        <w:rPr>
          <w:rFonts w:asciiTheme="minorHAnsi" w:eastAsiaTheme="minorEastAsia" w:hAnsiTheme="minorHAnsi" w:cstheme="minorBidi"/>
          <w:szCs w:val="22"/>
        </w:rPr>
      </w:pPr>
      <w:r>
        <w:t>86.</w:t>
      </w:r>
      <w:r>
        <w:tab/>
        <w:t>Court or registrar may give directions in relation to transitional issues</w:t>
      </w:r>
      <w:r>
        <w:tab/>
      </w:r>
      <w:r>
        <w:fldChar w:fldCharType="begin"/>
      </w:r>
      <w:r>
        <w:instrText xml:space="preserve"> PAGEREF _Toc107393216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17 — Transitional rules for the Magistrates Court Rules Amendment Rules 2022</w:t>
      </w:r>
    </w:p>
    <w:p>
      <w:pPr>
        <w:pStyle w:val="TOC8"/>
        <w:rPr>
          <w:rFonts w:asciiTheme="minorHAnsi" w:eastAsiaTheme="minorEastAsia" w:hAnsiTheme="minorHAnsi" w:cstheme="minorBidi"/>
          <w:szCs w:val="22"/>
        </w:rPr>
      </w:pPr>
      <w:r>
        <w:t>87.</w:t>
      </w:r>
      <w:r>
        <w:tab/>
        <w:t>Consumer/trader claims</w:t>
      </w:r>
      <w:r>
        <w:tab/>
      </w:r>
      <w:r>
        <w:fldChar w:fldCharType="begin"/>
      </w:r>
      <w:r>
        <w:instrText xml:space="preserve"> PAGEREF _Toc107393218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_Toc107393220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Magistrates Court (Civil Proceedings) Act 2004</w:t>
      </w:r>
    </w:p>
    <w:p>
      <w:pPr>
        <w:pStyle w:val="NameofActReg"/>
      </w:pPr>
      <w:r>
        <w:t>Magistrates Court (Minor Cases Procedure) Rules 2005</w:t>
      </w:r>
    </w:p>
    <w:p>
      <w:pPr>
        <w:pStyle w:val="Heading2"/>
        <w:pageBreakBefore w:val="0"/>
        <w:spacing w:before="240"/>
      </w:pPr>
      <w:bookmarkStart w:id="3" w:name="_Toc107328429"/>
      <w:bookmarkStart w:id="4" w:name="_Toc107393095"/>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107393096"/>
      <w:r>
        <w:rPr>
          <w:rStyle w:val="CharSectno"/>
        </w:rPr>
        <w:t>1</w:t>
      </w:r>
      <w:r>
        <w:t>.</w:t>
      </w:r>
      <w:r>
        <w:tab/>
        <w:t>Citation</w:t>
      </w:r>
      <w:bookmarkEnd w:id="5"/>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6" w:name="_Toc107393097"/>
      <w:r>
        <w:rPr>
          <w:rStyle w:val="CharSectno"/>
        </w:rPr>
        <w:t>2</w:t>
      </w:r>
      <w:r>
        <w:rPr>
          <w:spacing w:val="-2"/>
        </w:rPr>
        <w:t>.</w:t>
      </w:r>
      <w:r>
        <w:rPr>
          <w:spacing w:val="-2"/>
        </w:rPr>
        <w:tab/>
        <w:t>Commencement</w:t>
      </w:r>
      <w:bookmarkEnd w:id="6"/>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7" w:name="_Toc107393098"/>
      <w:r>
        <w:rPr>
          <w:rStyle w:val="CharSectno"/>
        </w:rPr>
        <w:t>3</w:t>
      </w:r>
      <w:r>
        <w:t>.</w:t>
      </w:r>
      <w:r>
        <w:tab/>
        <w:t xml:space="preserve">These rules to be read with the </w:t>
      </w:r>
      <w:r>
        <w:rPr>
          <w:i/>
          <w:iCs/>
        </w:rPr>
        <w:t>Magistrates Court (General) Rules 2005</w:t>
      </w:r>
      <w:bookmarkEnd w:id="7"/>
    </w:p>
    <w:p>
      <w:pPr>
        <w:pStyle w:val="Subsection"/>
      </w:pPr>
      <w:r>
        <w:tab/>
      </w:r>
      <w:r>
        <w:tab/>
        <w:t xml:space="preserve">These rules are to be read with the </w:t>
      </w:r>
      <w:r>
        <w:rPr>
          <w:i/>
          <w:iCs/>
        </w:rPr>
        <w:t>Magistrates Court (General) Rules 2005</w:t>
      </w:r>
      <w:r>
        <w:t>.</w:t>
      </w:r>
    </w:p>
    <w:p>
      <w:pPr>
        <w:pStyle w:val="Heading5"/>
      </w:pPr>
      <w:bookmarkStart w:id="8" w:name="_Toc107393099"/>
      <w:r>
        <w:rPr>
          <w:rStyle w:val="CharSectno"/>
        </w:rPr>
        <w:t>4</w:t>
      </w:r>
      <w:r>
        <w:t>.</w:t>
      </w:r>
      <w:r>
        <w:tab/>
        <w:t>Terms used</w:t>
      </w:r>
      <w:bookmarkEnd w:id="8"/>
    </w:p>
    <w:p>
      <w:pPr>
        <w:pStyle w:val="Subsection"/>
        <w:keepNext/>
        <w:keepLines/>
      </w:pPr>
      <w:r>
        <w:tab/>
      </w:r>
      <w:r>
        <w:tab/>
        <w:t>In these rules, unless the contrary intention appears —</w:t>
      </w:r>
    </w:p>
    <w:p>
      <w:pPr>
        <w:pStyle w:val="Defstart"/>
      </w:pPr>
      <w:r>
        <w:rPr>
          <w:b/>
        </w:rPr>
        <w:tab/>
      </w:r>
      <w:r>
        <w:rPr>
          <w:rStyle w:val="CharDefText"/>
        </w:rPr>
        <w:t>Act</w:t>
      </w:r>
      <w:r>
        <w:t xml:space="preserve"> means the </w:t>
      </w:r>
      <w:r>
        <w:rPr>
          <w:i/>
          <w:iCs/>
        </w:rPr>
        <w:t>Magistrates Court (Civil Proceedings) Act 2004;</w:t>
      </w:r>
    </w:p>
    <w:p>
      <w:pPr>
        <w:pStyle w:val="Defstart"/>
      </w:pPr>
      <w:r>
        <w:tab/>
      </w:r>
      <w:r>
        <w:rPr>
          <w:rStyle w:val="CharDefText"/>
        </w:rPr>
        <w:t>administrative staff member</w:t>
      </w:r>
      <w:r>
        <w:t xml:space="preserve"> means a person referred to in the </w:t>
      </w:r>
      <w:r>
        <w:rPr>
          <w:i/>
        </w:rPr>
        <w:t xml:space="preserve">Magistrates Court Act 2004 </w:t>
      </w:r>
      <w:r>
        <w:t>section 26(1);</w:t>
      </w:r>
    </w:p>
    <w:p>
      <w:pPr>
        <w:pStyle w:val="Defstart"/>
      </w:pPr>
      <w:r>
        <w:rPr>
          <w:b/>
        </w:rPr>
        <w:tab/>
      </w:r>
      <w:r>
        <w:rPr>
          <w:rStyle w:val="CharDefText"/>
        </w:rPr>
        <w:t>agent</w:t>
      </w:r>
      <w:r>
        <w:t xml:space="preserve"> means a legal practitioner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lastRenderedPageBreak/>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tab/>
      </w:r>
      <w:r>
        <w:rPr>
          <w:rStyle w:val="CharDefText"/>
        </w:rPr>
        <w:t>departmental officer</w:t>
      </w:r>
      <w:r>
        <w:t xml:space="preserve"> means a person employed in the department of the Public Service principally assisting in the administration of the </w:t>
      </w:r>
      <w:r>
        <w:rPr>
          <w:i/>
        </w:rPr>
        <w:t>Magistrates Court Act 2004</w:t>
      </w:r>
      <w:r>
        <w: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ECMS exempt</w:t>
      </w:r>
      <w:r>
        <w:t xml:space="preserve">, in relation to a document, has the meaning given in the </w:t>
      </w:r>
      <w:r>
        <w:rPr>
          <w:i/>
        </w:rPr>
        <w:t>Magistrates Court (Civil Proceedings) Rules 2005</w:t>
      </w:r>
      <w:r>
        <w:t xml:space="preserve"> rule 96;</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 or</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w:t>
      </w:r>
      <w:r>
        <w:rPr>
          <w:b/>
          <w:i/>
        </w:rPr>
        <w:t>serve personally</w:t>
      </w:r>
      <w:r>
        <w:t>;</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lastRenderedPageBreak/>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Gazette 24 Aug 2007 p. 4333; 3 Jun 2008 p. 2139; 3 May 2016 p. 1362; SL 2021/25 r. 28; SL 2022/106 r. 8.]</w:t>
      </w:r>
    </w:p>
    <w:p>
      <w:pPr>
        <w:pStyle w:val="Heading5"/>
      </w:pPr>
      <w:bookmarkStart w:id="9" w:name="_Toc107393100"/>
      <w:r>
        <w:rPr>
          <w:rStyle w:val="CharSectno"/>
        </w:rPr>
        <w:t>5</w:t>
      </w:r>
      <w:r>
        <w:t>.</w:t>
      </w:r>
      <w:r>
        <w:tab/>
        <w:t>When these rules apply</w:t>
      </w:r>
      <w:bookmarkEnd w:id="9"/>
    </w:p>
    <w:p>
      <w:pPr>
        <w:pStyle w:val="Subsection"/>
      </w:pPr>
      <w:r>
        <w:tab/>
      </w:r>
      <w:r>
        <w:tab/>
        <w:t>Unless the Court in a particular case orders otherwise, these rules apply in every minor case.</w:t>
      </w:r>
    </w:p>
    <w:p>
      <w:pPr>
        <w:pStyle w:val="Heading5"/>
      </w:pPr>
      <w:bookmarkStart w:id="10" w:name="_Toc107393101"/>
      <w:r>
        <w:rPr>
          <w:rStyle w:val="CharSectno"/>
        </w:rPr>
        <w:t>6A</w:t>
      </w:r>
      <w:r>
        <w:t>.</w:t>
      </w:r>
      <w:r>
        <w:tab/>
        <w:t>Exercise of Court’s powers in Part 3 of the Act</w:t>
      </w:r>
      <w:bookmarkEnd w:id="10"/>
    </w:p>
    <w:p>
      <w:pPr>
        <w:pStyle w:val="Subsection"/>
      </w:pPr>
      <w:r>
        <w:tab/>
      </w:r>
      <w:r>
        <w:tab/>
        <w:t>The Court’s powers in Part 3 of the Act, except sections 14, 18 and 25, may be exercised by the Court in every circumstance.</w:t>
      </w:r>
    </w:p>
    <w:p>
      <w:pPr>
        <w:pStyle w:val="Footnotesection"/>
      </w:pPr>
      <w:r>
        <w:tab/>
        <w:t>[Rule 6A inserted as rule 5A: Gazette 10 Jun 2005 p. 2566; renumbered as rule 6A: Gazette 3 Jun 2008 p. 2139.]</w:t>
      </w:r>
    </w:p>
    <w:p>
      <w:pPr>
        <w:pStyle w:val="Heading2"/>
      </w:pPr>
      <w:bookmarkStart w:id="11" w:name="_Toc107328436"/>
      <w:bookmarkStart w:id="12" w:name="_Toc107393102"/>
      <w:r>
        <w:rPr>
          <w:rStyle w:val="CharPartNo"/>
        </w:rPr>
        <w:lastRenderedPageBreak/>
        <w:t>Part 2</w:t>
      </w:r>
      <w:r>
        <w:t> — </w:t>
      </w:r>
      <w:r>
        <w:rPr>
          <w:rStyle w:val="CharPartText"/>
        </w:rPr>
        <w:t>How to make and defend a claim</w:t>
      </w:r>
      <w:bookmarkEnd w:id="11"/>
      <w:bookmarkEnd w:id="12"/>
    </w:p>
    <w:p>
      <w:pPr>
        <w:pStyle w:val="Footnoteheading"/>
      </w:pPr>
      <w:r>
        <w:tab/>
        <w:t>[Heading amended: SL 2022/54 r. 9.]</w:t>
      </w:r>
    </w:p>
    <w:p>
      <w:pPr>
        <w:pStyle w:val="Ednotesection"/>
      </w:pPr>
      <w:r>
        <w:t>[</w:t>
      </w:r>
      <w:r>
        <w:rPr>
          <w:b/>
        </w:rPr>
        <w:t>6.</w:t>
      </w:r>
      <w:r>
        <w:tab/>
        <w:t>Deleted: SL 2022/54 r. 10.]</w:t>
      </w:r>
    </w:p>
    <w:p>
      <w:pPr>
        <w:pStyle w:val="Heading5"/>
      </w:pPr>
      <w:bookmarkStart w:id="13" w:name="_Toc107393103"/>
      <w:r>
        <w:rPr>
          <w:rStyle w:val="CharSectno"/>
          <w:rFonts w:ascii="Times" w:hAnsi="Times"/>
        </w:rPr>
        <w:t>7</w:t>
      </w:r>
      <w:r>
        <w:t>.</w:t>
      </w:r>
      <w:r>
        <w:tab/>
        <w:t>How to make a claim that starts a case</w:t>
      </w:r>
      <w:bookmarkEnd w:id="13"/>
    </w:p>
    <w:p>
      <w:pPr>
        <w:pStyle w:val="Subsection"/>
      </w:pPr>
      <w:r>
        <w:tab/>
        <w:t>(1)</w:t>
      </w:r>
      <w:r>
        <w:tab/>
        <w:t>If you want to make a claim that starts a case you must lodge the approved form.</w:t>
      </w:r>
    </w:p>
    <w:p>
      <w:pPr>
        <w:pStyle w:val="Ednotesubsection"/>
      </w:pPr>
      <w:r>
        <w:tab/>
        <w:t>[(2)</w:t>
      </w:r>
      <w:r>
        <w:tab/>
        <w:t>deleted]</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Gazette 3 Jun 2008 p. 2139; amended: Gazette 30 Sep 2016 p. 4175; SL 2020/67 r. 44.]</w:t>
      </w:r>
    </w:p>
    <w:p>
      <w:pPr>
        <w:pStyle w:val="Ednotesection"/>
      </w:pPr>
      <w:r>
        <w:t>[</w:t>
      </w:r>
      <w:r>
        <w:rPr>
          <w:b/>
        </w:rPr>
        <w:t>7A.</w:t>
      </w:r>
      <w:r>
        <w:tab/>
        <w:t>Deleted: SL 2020/67 r. 45.]</w:t>
      </w:r>
    </w:p>
    <w:p>
      <w:pPr>
        <w:pStyle w:val="Heading5"/>
      </w:pPr>
      <w:bookmarkStart w:id="14" w:name="_Toc107393104"/>
      <w:r>
        <w:rPr>
          <w:rStyle w:val="CharSectno"/>
          <w:rFonts w:ascii="Times" w:hAnsi="Times"/>
        </w:rPr>
        <w:t>8</w:t>
      </w:r>
      <w:r>
        <w:t>.</w:t>
      </w:r>
      <w:r>
        <w:tab/>
        <w:t>How to make a third party claim</w:t>
      </w:r>
      <w:bookmarkEnd w:id="14"/>
    </w:p>
    <w:p>
      <w:pPr>
        <w:pStyle w:val="Subsection"/>
      </w:pPr>
      <w:r>
        <w:tab/>
        <w:t>(1)</w:t>
      </w:r>
      <w:r>
        <w:tab/>
        <w:t>If you want to make a third party claim you must lodge the approved form.</w:t>
      </w:r>
    </w:p>
    <w:p>
      <w:pPr>
        <w:pStyle w:val="Ednotesubsection"/>
      </w:pPr>
      <w:r>
        <w:tab/>
        <w:t>[(2)</w:t>
      </w:r>
      <w:r>
        <w:noBreakHyphen/>
        <w:t>(3)</w:t>
      </w:r>
      <w:r>
        <w:tab/>
        <w:t>deleted]</w:t>
      </w:r>
    </w:p>
    <w:p>
      <w:pPr>
        <w:pStyle w:val="Subsection"/>
        <w:keepNext/>
      </w:pPr>
      <w:r>
        <w:tab/>
        <w:t>(4)</w:t>
      </w:r>
      <w:r>
        <w:tab/>
        <w:t>Unless these rules or an Act says otherwise, your third party claim must be served personally on the party you are claiming against.</w:t>
      </w:r>
    </w:p>
    <w:p>
      <w:pPr>
        <w:pStyle w:val="Footnotesection"/>
      </w:pPr>
      <w:r>
        <w:tab/>
        <w:t>[Rule 8 inserted: Gazette 3 Jun 2008 p. 2139</w:t>
      </w:r>
      <w:r>
        <w:noBreakHyphen/>
        <w:t>40; amended: Gazette 30 Sep 2016 p. 4175; SL 2020/67 r. 46.]</w:t>
      </w:r>
    </w:p>
    <w:p>
      <w:pPr>
        <w:pStyle w:val="Heading5"/>
      </w:pPr>
      <w:bookmarkStart w:id="15" w:name="_Toc107393105"/>
      <w:r>
        <w:rPr>
          <w:rStyle w:val="CharSectno"/>
          <w:rFonts w:ascii="Times" w:hAnsi="Times"/>
        </w:rPr>
        <w:t>9</w:t>
      </w:r>
      <w:r>
        <w:t>.</w:t>
      </w:r>
      <w:r>
        <w:tab/>
        <w:t>How to respond to a claim</w:t>
      </w:r>
      <w:bookmarkEnd w:id="15"/>
    </w:p>
    <w:p>
      <w:pPr>
        <w:pStyle w:val="Subsection"/>
      </w:pPr>
      <w:r>
        <w:tab/>
        <w:t>(1)</w:t>
      </w:r>
      <w:r>
        <w:tab/>
        <w:t>If a claim has been made against you, you must lodge a response to the claim in the approved form with the Court within 14 days after the claim was served.</w:t>
      </w:r>
    </w:p>
    <w:p>
      <w:pPr>
        <w:pStyle w:val="Ednotesubsection"/>
      </w:pPr>
      <w:r>
        <w:lastRenderedPageBreak/>
        <w:tab/>
        <w:t>[(2)</w:t>
      </w:r>
      <w:r>
        <w:tab/>
        <w:t>deleted]</w:t>
      </w:r>
    </w:p>
    <w:p>
      <w:pPr>
        <w:pStyle w:val="Subsection"/>
        <w:keepNext/>
      </w:pPr>
      <w:r>
        <w:tab/>
        <w:t>(3)</w:t>
      </w:r>
      <w:r>
        <w:tab/>
        <w:t>After you lodge your response, the Court will give a copy of it to the party which made the claim against you and to every other party to your case.</w:t>
      </w:r>
    </w:p>
    <w:p>
      <w:pPr>
        <w:pStyle w:val="Footnotesection"/>
      </w:pPr>
      <w:r>
        <w:tab/>
        <w:t>[Rule 9 amended: Gazette 3 Jun 2008 p. 2140; 30 Sep 2016 p. 4175; SL 2020/67 r. 47.]</w:t>
      </w:r>
    </w:p>
    <w:p>
      <w:pPr>
        <w:pStyle w:val="Ednotesection"/>
      </w:pPr>
      <w:r>
        <w:t>[</w:t>
      </w:r>
      <w:r>
        <w:rPr>
          <w:b/>
        </w:rPr>
        <w:t>9A.</w:t>
      </w:r>
      <w:r>
        <w:tab/>
        <w:t>Deleted: SL 2020/67 r. 48.]</w:t>
      </w:r>
    </w:p>
    <w:p>
      <w:pPr>
        <w:pStyle w:val="Heading5"/>
      </w:pPr>
      <w:bookmarkStart w:id="16" w:name="_Toc107393106"/>
      <w:r>
        <w:rPr>
          <w:rStyle w:val="CharSectno"/>
          <w:rFonts w:ascii="Times" w:hAnsi="Times"/>
        </w:rPr>
        <w:t>10A</w:t>
      </w:r>
      <w:r>
        <w:t>.</w:t>
      </w:r>
      <w:r>
        <w:tab/>
        <w:t>If you admit a claim</w:t>
      </w:r>
      <w:bookmarkEnd w:id="16"/>
    </w:p>
    <w:p>
      <w:pPr>
        <w:pStyle w:val="Subsection"/>
        <w:keepNext/>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Gazette 3 Jun 2008 p. 2140.]</w:t>
      </w:r>
    </w:p>
    <w:p>
      <w:pPr>
        <w:pStyle w:val="Heading5"/>
      </w:pPr>
      <w:bookmarkStart w:id="17" w:name="_Toc107393107"/>
      <w:r>
        <w:rPr>
          <w:rStyle w:val="CharSectno"/>
          <w:rFonts w:ascii="Times" w:hAnsi="Times"/>
        </w:rPr>
        <w:t>10B</w:t>
      </w:r>
      <w:r>
        <w:t>.</w:t>
      </w:r>
      <w:r>
        <w:tab/>
        <w:t>If you admit part of a claim</w:t>
      </w:r>
      <w:bookmarkEnd w:id="17"/>
    </w:p>
    <w:p>
      <w:pPr>
        <w:pStyle w:val="Subsection"/>
        <w:keepNext/>
      </w:pPr>
      <w:r>
        <w:tab/>
        <w:t>(1)</w:t>
      </w:r>
      <w:r>
        <w:tab/>
        <w:t xml:space="preserve">If in a response you admit liability for part of a claim made against you but indicate that you want to defend the rest of the claim, in your response you — </w:t>
      </w:r>
    </w:p>
    <w:p>
      <w:pPr>
        <w:pStyle w:val="Indenta"/>
      </w:pPr>
      <w:r>
        <w:tab/>
        <w:t>(a)</w:t>
      </w:r>
      <w:r>
        <w:tab/>
        <w:t>must outline the basis upon which you admit part of the claim; and</w:t>
      </w:r>
    </w:p>
    <w:p>
      <w:pPr>
        <w:pStyle w:val="Indenta"/>
      </w:pPr>
      <w:r>
        <w:tab/>
        <w:t>(b)</w:t>
      </w:r>
      <w:r>
        <w:tab/>
        <w:t>may offer an amount as full satisfaction for the claim.</w:t>
      </w:r>
    </w:p>
    <w:p>
      <w:pPr>
        <w:pStyle w:val="Subsection"/>
      </w:pPr>
      <w:r>
        <w:tab/>
        <w:t>(2)</w:t>
      </w:r>
      <w:r>
        <w:tab/>
        <w:t>The other party may accept your offer by lodging and serving a notice of acceptance in an approved form within 14 days after receiving your response.</w:t>
      </w:r>
    </w:p>
    <w:p>
      <w:pPr>
        <w:pStyle w:val="Subsection"/>
        <w:keepNext/>
      </w:pPr>
      <w:r>
        <w:tab/>
        <w:t>(3)</w:t>
      </w:r>
      <w:r>
        <w:tab/>
        <w:t>If your offer is accepted, the registrar may give judgment against you in accordance with your admission and offer.</w:t>
      </w:r>
    </w:p>
    <w:p>
      <w:pPr>
        <w:pStyle w:val="Footnotesection"/>
      </w:pPr>
      <w:r>
        <w:tab/>
        <w:t>[Rule 10B inserted: Gazette 3 Jun 2008 p. 2140; amended: SL 2020/67 r. 49.]</w:t>
      </w:r>
    </w:p>
    <w:p>
      <w:pPr>
        <w:pStyle w:val="Heading5"/>
      </w:pPr>
      <w:bookmarkStart w:id="18" w:name="_Toc107393108"/>
      <w:r>
        <w:rPr>
          <w:rStyle w:val="CharSectno"/>
          <w:rFonts w:ascii="Times" w:hAnsi="Times"/>
        </w:rPr>
        <w:lastRenderedPageBreak/>
        <w:t>10C</w:t>
      </w:r>
      <w:r>
        <w:t>.</w:t>
      </w:r>
      <w:r>
        <w:tab/>
        <w:t>You may admit liability but dispute the amount claimed</w:t>
      </w:r>
      <w:bookmarkEnd w:id="18"/>
    </w:p>
    <w:p>
      <w:pPr>
        <w:pStyle w:val="Subsection"/>
        <w:keepNext/>
        <w:keepLines/>
      </w:pPr>
      <w:r>
        <w:tab/>
        <w:t>(1)</w:t>
      </w:r>
      <w:r>
        <w:tab/>
        <w:t xml:space="preserve">If in a response — </w:t>
      </w:r>
    </w:p>
    <w:p>
      <w:pPr>
        <w:pStyle w:val="Indenta"/>
      </w:pPr>
      <w:r>
        <w:tab/>
        <w:t>(a)</w:t>
      </w:r>
      <w:r>
        <w:tab/>
        <w:t>you admit liability for the whole of an unliquidated claim; but</w:t>
      </w:r>
    </w:p>
    <w:p>
      <w:pPr>
        <w:pStyle w:val="Indenta"/>
        <w:keepNext/>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Court must then list the case for a status conference and notify you and the other parties in writing.</w:t>
      </w:r>
    </w:p>
    <w:p>
      <w:pPr>
        <w:pStyle w:val="Subsection"/>
        <w:keepNext/>
      </w:pPr>
      <w:r>
        <w:tab/>
        <w:t>(3)</w:t>
      </w:r>
      <w:r>
        <w:tab/>
        <w:t xml:space="preserve">At a status conference a magistrate may — </w:t>
      </w:r>
    </w:p>
    <w:p>
      <w:pPr>
        <w:pStyle w:val="Indenta"/>
      </w:pPr>
      <w:r>
        <w:tab/>
        <w:t>(a)</w:t>
      </w:r>
      <w:r>
        <w:tab/>
        <w:t xml:space="preserve">make any orders necessary to facilitate settlement or ensure the case is ready to be listed for a hearing at which the Court will assess the amount that should be awarded for the claim; or </w:t>
      </w:r>
    </w:p>
    <w:p>
      <w:pPr>
        <w:pStyle w:val="Indenta"/>
        <w:keepNext/>
      </w:pPr>
      <w:r>
        <w:tab/>
        <w:t>(b)</w:t>
      </w:r>
      <w:r>
        <w:tab/>
        <w:t>list the case for a hearing at which the Court will assess the amount that should be awarded for the claim.</w:t>
      </w:r>
    </w:p>
    <w:p>
      <w:pPr>
        <w:pStyle w:val="Footnotesection"/>
      </w:pPr>
      <w:r>
        <w:tab/>
        <w:t>[Rule 10C inserted: Gazette 3 Jun 2008 p. 2140</w:t>
      </w:r>
      <w:r>
        <w:noBreakHyphen/>
        <w:t>1; amended: Gazette 24 May 2013 p. 2057; SL 2020/67 r. 50.]</w:t>
      </w:r>
    </w:p>
    <w:p>
      <w:pPr>
        <w:pStyle w:val="Heading5"/>
      </w:pPr>
      <w:bookmarkStart w:id="19" w:name="_Toc107393109"/>
      <w:r>
        <w:rPr>
          <w:rStyle w:val="CharSectno"/>
          <w:rFonts w:ascii="Times" w:hAnsi="Times"/>
        </w:rPr>
        <w:t>10</w:t>
      </w:r>
      <w:r>
        <w:t>.</w:t>
      </w:r>
      <w:r>
        <w:tab/>
        <w:t>How to accept an offer of settlement</w:t>
      </w:r>
      <w:bookmarkEnd w:id="19"/>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a status conference or such other time as is ordered by the Court.</w:t>
      </w:r>
    </w:p>
    <w:p>
      <w:pPr>
        <w:pStyle w:val="Subsection"/>
        <w:keepNext/>
      </w:pPr>
      <w:r>
        <w:tab/>
        <w:t>(2)</w:t>
      </w:r>
      <w:r>
        <w:tab/>
        <w:t>The notice of acceptance must be in the approved form.</w:t>
      </w:r>
    </w:p>
    <w:p>
      <w:pPr>
        <w:pStyle w:val="Footnotesection"/>
      </w:pPr>
      <w:r>
        <w:tab/>
        <w:t>[Rule 10 inserted: Gazette 3 Jun 2008 p. 2141; amended: SL 2020/67 r. 51.]</w:t>
      </w:r>
    </w:p>
    <w:p>
      <w:pPr>
        <w:pStyle w:val="Ednotepart"/>
      </w:pPr>
      <w:r>
        <w:t>[Part 3 (r. 11</w:t>
      </w:r>
      <w:r>
        <w:noBreakHyphen/>
        <w:t>15) deleted: SL 2022/54 r. 11.]</w:t>
      </w:r>
    </w:p>
    <w:p>
      <w:pPr>
        <w:pStyle w:val="Heading2"/>
      </w:pPr>
      <w:bookmarkStart w:id="20" w:name="_Toc107328444"/>
      <w:bookmarkStart w:id="21" w:name="_Toc107393110"/>
      <w:r>
        <w:rPr>
          <w:rStyle w:val="CharPartNo"/>
        </w:rPr>
        <w:lastRenderedPageBreak/>
        <w:t>Part 4</w:t>
      </w:r>
      <w:r>
        <w:rPr>
          <w:rStyle w:val="CharDivNo"/>
        </w:rPr>
        <w:t> </w:t>
      </w:r>
      <w:r>
        <w:t>—</w:t>
      </w:r>
      <w:r>
        <w:rPr>
          <w:rStyle w:val="CharDivText"/>
        </w:rPr>
        <w:t> </w:t>
      </w:r>
      <w:r>
        <w:rPr>
          <w:rStyle w:val="CharPartText"/>
        </w:rPr>
        <w:t>If you or another party does not defend a claim</w:t>
      </w:r>
      <w:bookmarkEnd w:id="20"/>
      <w:bookmarkEnd w:id="21"/>
    </w:p>
    <w:p>
      <w:pPr>
        <w:pStyle w:val="Heading5"/>
      </w:pPr>
      <w:bookmarkStart w:id="22" w:name="_Toc107393111"/>
      <w:r>
        <w:rPr>
          <w:rStyle w:val="CharSectno"/>
        </w:rPr>
        <w:t>16</w:t>
      </w:r>
      <w:r>
        <w:t>.</w:t>
      </w:r>
      <w:r>
        <w:tab/>
        <w:t>When this Part applies</w:t>
      </w:r>
      <w:bookmarkEnd w:id="22"/>
    </w:p>
    <w:p>
      <w:pPr>
        <w:pStyle w:val="Subsection"/>
      </w:pPr>
      <w:r>
        <w:tab/>
      </w:r>
      <w:r>
        <w:tab/>
        <w:t>This Part applies if an application for default judgment is made against you or another party for a failure to lodge and serve a response in accordance with rule 9(1).</w:t>
      </w:r>
    </w:p>
    <w:p>
      <w:pPr>
        <w:pStyle w:val="Footnotesection"/>
      </w:pPr>
      <w:r>
        <w:tab/>
        <w:t>[Rule 16 inserted: SL 2020/67 r. 56.]</w:t>
      </w:r>
    </w:p>
    <w:p>
      <w:pPr>
        <w:pStyle w:val="Heading5"/>
      </w:pPr>
      <w:bookmarkStart w:id="23" w:name="_Toc107393112"/>
      <w:r>
        <w:rPr>
          <w:rStyle w:val="CharSectno"/>
        </w:rPr>
        <w:t>17</w:t>
      </w:r>
      <w:r>
        <w:t>.</w:t>
      </w:r>
      <w:r>
        <w:tab/>
        <w:t>If the claim is for a liquidated amount</w:t>
      </w:r>
      <w:bookmarkEnd w:id="23"/>
    </w:p>
    <w:p>
      <w:pPr>
        <w:pStyle w:val="Subsection"/>
      </w:pPr>
      <w:r>
        <w:tab/>
      </w:r>
      <w:r>
        <w:tab/>
        <w:t xml:space="preserve">Unless rule 21 applies, if the claim is for a liquidated amount a registrar is to give default judgment for that amount. </w:t>
      </w:r>
    </w:p>
    <w:p>
      <w:pPr>
        <w:pStyle w:val="Footnotesection"/>
      </w:pPr>
      <w:r>
        <w:tab/>
        <w:t>[Rule 17 inserted: SL 2020/67 r. 56.]</w:t>
      </w:r>
    </w:p>
    <w:p>
      <w:pPr>
        <w:pStyle w:val="Heading5"/>
      </w:pPr>
      <w:bookmarkStart w:id="24" w:name="_Toc107393113"/>
      <w:r>
        <w:rPr>
          <w:rStyle w:val="CharSectno"/>
        </w:rPr>
        <w:t>18</w:t>
      </w:r>
      <w:r>
        <w:t>.</w:t>
      </w:r>
      <w:r>
        <w:tab/>
        <w:t>If the claim is for an unliquidated amount</w:t>
      </w:r>
      <w:bookmarkEnd w:id="24"/>
    </w:p>
    <w:p>
      <w:pPr>
        <w:pStyle w:val="Subsection"/>
      </w:pPr>
      <w:r>
        <w:tab/>
        <w:t>(1)</w:t>
      </w:r>
      <w:r>
        <w:tab/>
        <w:t>Unless rule 21 applies, if the claim is for an unliquidated amount a registrar is to give default judgment for an unliquidated amount.</w:t>
      </w:r>
    </w:p>
    <w:p>
      <w:pPr>
        <w:pStyle w:val="Subsection"/>
      </w:pPr>
      <w:r>
        <w:tab/>
        <w:t>(2)</w:t>
      </w:r>
      <w:r>
        <w:tab/>
        <w:t xml:space="preserve">When the registrar gives default judgment for an unliquidated amount, the registrar may do any or all of the following — </w:t>
      </w:r>
    </w:p>
    <w:p>
      <w:pPr>
        <w:pStyle w:val="Indenta"/>
      </w:pPr>
      <w:r>
        <w:tab/>
        <w:t>(a)</w:t>
      </w:r>
      <w:r>
        <w:tab/>
        <w:t>request that you or another party lodge additional supporting material in relation to the claim;</w:t>
      </w:r>
    </w:p>
    <w:p>
      <w:pPr>
        <w:pStyle w:val="Indenta"/>
      </w:pPr>
      <w:r>
        <w:tab/>
        <w:t>(b)</w:t>
      </w:r>
      <w:r>
        <w:tab/>
        <w:t>give default judgment against the defendant for a specified amount, if the registrar is able to assess the amount from any additional supporting material lodged;</w:t>
      </w:r>
    </w:p>
    <w:p>
      <w:pPr>
        <w:pStyle w:val="Indenta"/>
      </w:pPr>
      <w:r>
        <w:tab/>
        <w:t>(c)</w:t>
      </w:r>
      <w:r>
        <w:tab/>
        <w:t>list the application for a hearing at which the Court will assess the amount.</w:t>
      </w:r>
    </w:p>
    <w:p>
      <w:pPr>
        <w:pStyle w:val="Subsection"/>
      </w:pPr>
      <w:r>
        <w:tab/>
        <w:t>(3)</w:t>
      </w:r>
      <w:r>
        <w:tab/>
        <w:t>If the registrar lists the application for a hearing under subrule (2)(c) —</w:t>
      </w:r>
    </w:p>
    <w:p>
      <w:pPr>
        <w:pStyle w:val="Indenta"/>
      </w:pPr>
      <w:r>
        <w:tab/>
        <w:t>(a)</w:t>
      </w:r>
      <w:r>
        <w:tab/>
        <w:t>the registrar must notify you and the other parties in writing at least 28 days before the hearing; and</w:t>
      </w:r>
    </w:p>
    <w:p>
      <w:pPr>
        <w:pStyle w:val="Indenta"/>
      </w:pPr>
      <w:r>
        <w:lastRenderedPageBreak/>
        <w:tab/>
        <w:t>(b)</w:t>
      </w:r>
      <w:r>
        <w:tab/>
        <w:t>you must lodge and serve a supporting affidavit at least 14 days before the hearing.</w:t>
      </w:r>
    </w:p>
    <w:p>
      <w:pPr>
        <w:pStyle w:val="Subsection"/>
      </w:pPr>
      <w:r>
        <w:tab/>
        <w:t>(4)</w:t>
      </w:r>
      <w:r>
        <w:tab/>
        <w:t>An application for default judgment under this Part does not need to be supported by an affidavit unless a hearing is listed under subrule (2)(c).</w:t>
      </w:r>
    </w:p>
    <w:p>
      <w:pPr>
        <w:pStyle w:val="Footnotesection"/>
      </w:pPr>
      <w:r>
        <w:tab/>
        <w:t>[Rule 18 inserted: SL 2020/67 r. 56.]</w:t>
      </w:r>
    </w:p>
    <w:p>
      <w:pPr>
        <w:pStyle w:val="Heading5"/>
      </w:pPr>
      <w:bookmarkStart w:id="25" w:name="_Toc107393114"/>
      <w:r>
        <w:rPr>
          <w:rStyle w:val="CharSectno"/>
        </w:rPr>
        <w:t>19</w:t>
      </w:r>
      <w:r>
        <w:t>.</w:t>
      </w:r>
      <w:r>
        <w:tab/>
        <w:t>If the claim against you is to recover possession of personal property</w:t>
      </w:r>
      <w:bookmarkEnd w:id="25"/>
    </w:p>
    <w:p>
      <w:pPr>
        <w:pStyle w:val="Subsection"/>
      </w:pPr>
      <w:r>
        <w:tab/>
      </w:r>
      <w:r>
        <w:tab/>
        <w:t>Unless rule 21 applies, a registrar may give default judgment for a claim to recover possession of personal property.</w:t>
      </w:r>
    </w:p>
    <w:p>
      <w:pPr>
        <w:pStyle w:val="Footnotesection"/>
        <w:ind w:left="890" w:hanging="890"/>
      </w:pPr>
      <w:r>
        <w:tab/>
        <w:t>[Rule 19 amended: SL 2022/54 r. 12.]</w:t>
      </w:r>
    </w:p>
    <w:p>
      <w:pPr>
        <w:pStyle w:val="Heading5"/>
      </w:pPr>
      <w:bookmarkStart w:id="26" w:name="_Toc107393115"/>
      <w:r>
        <w:rPr>
          <w:rStyle w:val="CharSectno"/>
        </w:rPr>
        <w:t>20</w:t>
      </w:r>
      <w:r>
        <w:t>.</w:t>
      </w:r>
      <w:r>
        <w:tab/>
        <w:t>Registrar may give default judgment in absence of parties</w:t>
      </w:r>
      <w:bookmarkEnd w:id="26"/>
    </w:p>
    <w:p>
      <w:pPr>
        <w:pStyle w:val="Subsection"/>
      </w:pPr>
      <w:r>
        <w:tab/>
      </w:r>
      <w:r>
        <w:tab/>
        <w:t>A registrar may give default judgment under this Part in the absence of the parties.</w:t>
      </w:r>
    </w:p>
    <w:p>
      <w:pPr>
        <w:pStyle w:val="Heading5"/>
        <w:spacing w:before="180"/>
      </w:pPr>
      <w:bookmarkStart w:id="27" w:name="_Toc107393116"/>
      <w:r>
        <w:rPr>
          <w:rStyle w:val="CharSectno"/>
          <w:rFonts w:ascii="Times" w:hAnsi="Times"/>
        </w:rPr>
        <w:t>21</w:t>
      </w:r>
      <w:r>
        <w:t>.</w:t>
      </w:r>
      <w:r>
        <w:tab/>
        <w:t>Registrar not to give judgment in certain cases</w:t>
      </w:r>
      <w:bookmarkEnd w:id="27"/>
    </w:p>
    <w:p>
      <w:pPr>
        <w:pStyle w:val="Ednotesubsection"/>
      </w:pPr>
      <w:r>
        <w:tab/>
        <w:t>[(1)</w:t>
      </w:r>
      <w:r>
        <w:tab/>
        <w:t>deleted]</w:t>
      </w:r>
    </w:p>
    <w:p>
      <w:pPr>
        <w:pStyle w:val="Subsection"/>
        <w:keepNext/>
      </w:pPr>
      <w:r>
        <w:tab/>
        <w:t>(2)</w:t>
      </w:r>
      <w:r>
        <w:tab/>
        <w:t>A registrar must not, without the approval of a Magistrate, give default judgment against you under this Part if one year or more has passed since the claim that started the case was served.</w:t>
      </w:r>
    </w:p>
    <w:p>
      <w:pPr>
        <w:pStyle w:val="Footnotesection"/>
        <w:ind w:left="890" w:hanging="890"/>
      </w:pPr>
      <w:r>
        <w:tab/>
        <w:t>[Rule 21 inserted: Gazette 3 Jun 2008 p. 2142; amended: Gazette 24 May 2013 p. 2058; SL 2020/67 r. 57.]</w:t>
      </w:r>
    </w:p>
    <w:p>
      <w:pPr>
        <w:pStyle w:val="Heading5"/>
      </w:pPr>
      <w:bookmarkStart w:id="28" w:name="_Toc107393117"/>
      <w:r>
        <w:rPr>
          <w:rStyle w:val="CharSectno"/>
          <w:rFonts w:ascii="Times" w:hAnsi="Times"/>
        </w:rPr>
        <w:t>22A</w:t>
      </w:r>
      <w:r>
        <w:t>.</w:t>
      </w:r>
      <w:r>
        <w:tab/>
        <w:t>Default judgment one year or more after originating claim, referral to Magistrate</w:t>
      </w:r>
      <w:bookmarkEnd w:id="28"/>
    </w:p>
    <w:p>
      <w:pPr>
        <w:pStyle w:val="Subsection"/>
      </w:pPr>
      <w:r>
        <w:tab/>
        <w:t>(1)</w:t>
      </w:r>
      <w:r>
        <w:tab/>
        <w:t>If one year or more has passed since the claim that started the case was served, a registrar may, if an application for default judgment has been made, refer the matter to a Magistrate.</w:t>
      </w:r>
    </w:p>
    <w:p>
      <w:pPr>
        <w:pStyle w:val="Subsection"/>
      </w:pPr>
      <w:r>
        <w:tab/>
        <w:t>(2)</w:t>
      </w:r>
      <w:r>
        <w:tab/>
        <w:t>If a matter is referred to a Magistrate the person who applied for default judgment must provide an affidavit setting out the reasons for the delay in the matter being finalised.</w:t>
      </w:r>
    </w:p>
    <w:p>
      <w:pPr>
        <w:pStyle w:val="Subsection"/>
        <w:keepNext/>
      </w:pPr>
      <w:r>
        <w:lastRenderedPageBreak/>
        <w:tab/>
        <w:t>(3)</w:t>
      </w:r>
      <w:r>
        <w:tab/>
        <w:t>If a matter is referred to a Magistrate, the Magistrate may give approval for the registrar to give default judgment under this Part.</w:t>
      </w:r>
    </w:p>
    <w:p>
      <w:pPr>
        <w:pStyle w:val="Footnotesection"/>
        <w:ind w:left="890" w:hanging="890"/>
      </w:pPr>
      <w:r>
        <w:tab/>
        <w:t>[Rule 22A inserted: Gazette 24 May 2013 p. 2058.]</w:t>
      </w:r>
    </w:p>
    <w:p>
      <w:pPr>
        <w:pStyle w:val="Heading5"/>
      </w:pPr>
      <w:bookmarkStart w:id="29" w:name="_Toc107393118"/>
      <w:r>
        <w:rPr>
          <w:rStyle w:val="CharSectno"/>
        </w:rPr>
        <w:t>22</w:t>
      </w:r>
      <w:r>
        <w:t>.</w:t>
      </w:r>
      <w:r>
        <w:tab/>
        <w:t>Application for default judgment to be dismissed if not granted</w:t>
      </w:r>
      <w:bookmarkEnd w:id="29"/>
    </w:p>
    <w:p>
      <w:pPr>
        <w:pStyle w:val="Subsection"/>
        <w:keepNext/>
      </w:pPr>
      <w:r>
        <w:tab/>
      </w:r>
      <w:r>
        <w:tab/>
        <w:t>If the registrar decides not to grant an application for default judgment, the registrar must dismiss it.</w:t>
      </w:r>
    </w:p>
    <w:p>
      <w:pPr>
        <w:pStyle w:val="Footnotesection"/>
      </w:pPr>
      <w:r>
        <w:tab/>
        <w:t>[Rule 22 inserted: Gazette 21 Jul 2017 p. 4026.]</w:t>
      </w:r>
    </w:p>
    <w:p>
      <w:pPr>
        <w:pStyle w:val="Heading5"/>
      </w:pPr>
      <w:bookmarkStart w:id="30" w:name="_Toc107393119"/>
      <w:r>
        <w:rPr>
          <w:rStyle w:val="CharSectno"/>
        </w:rPr>
        <w:t>23A</w:t>
      </w:r>
      <w:r>
        <w:t>.</w:t>
      </w:r>
      <w:r>
        <w:tab/>
        <w:t>Registrar may order costs after giving judgment</w:t>
      </w:r>
      <w:bookmarkEnd w:id="30"/>
    </w:p>
    <w:p>
      <w:pPr>
        <w:pStyle w:val="Subsection"/>
        <w:keepNext/>
      </w:pPr>
      <w:r>
        <w:tab/>
      </w:r>
      <w:r>
        <w:tab/>
        <w:t>When the registrar gives default judgment under this Part the registrar may also make an order for costs under the Act section 31(2).</w:t>
      </w:r>
    </w:p>
    <w:p>
      <w:pPr>
        <w:pStyle w:val="Footnotesection"/>
      </w:pPr>
      <w:r>
        <w:tab/>
        <w:t>[Rule 23A inserted as rule 22A: Gazette 10 Jun 2005 p. 2566; renumbered as rule 23A: Gazette 3 Jun 2008 p. 2143.]</w:t>
      </w:r>
    </w:p>
    <w:p>
      <w:pPr>
        <w:pStyle w:val="Heading2"/>
      </w:pPr>
      <w:bookmarkStart w:id="31" w:name="_Toc107328454"/>
      <w:bookmarkStart w:id="32" w:name="_Toc107393120"/>
      <w:r>
        <w:rPr>
          <w:rStyle w:val="CharPartNo"/>
        </w:rPr>
        <w:lastRenderedPageBreak/>
        <w:t>Part 5</w:t>
      </w:r>
      <w:r>
        <w:rPr>
          <w:rStyle w:val="CharDivNo"/>
        </w:rPr>
        <w:t> </w:t>
      </w:r>
      <w:r>
        <w:t>—</w:t>
      </w:r>
      <w:r>
        <w:rPr>
          <w:rStyle w:val="CharDivText"/>
        </w:rPr>
        <w:t> </w:t>
      </w:r>
      <w:r>
        <w:rPr>
          <w:rStyle w:val="CharPartText"/>
        </w:rPr>
        <w:t>Status conferences and pre</w:t>
      </w:r>
      <w:r>
        <w:rPr>
          <w:rStyle w:val="CharPartText"/>
        </w:rPr>
        <w:noBreakHyphen/>
        <w:t>trial conferences</w:t>
      </w:r>
      <w:bookmarkEnd w:id="31"/>
      <w:bookmarkEnd w:id="32"/>
    </w:p>
    <w:p>
      <w:pPr>
        <w:pStyle w:val="Footnoteheading"/>
      </w:pPr>
      <w:r>
        <w:tab/>
        <w:t>[Heading inserted: SL 2020/67 r. 58.]</w:t>
      </w:r>
    </w:p>
    <w:p>
      <w:pPr>
        <w:pStyle w:val="Heading5"/>
      </w:pPr>
      <w:bookmarkStart w:id="33" w:name="_Toc107393121"/>
      <w:r>
        <w:rPr>
          <w:rStyle w:val="CharSectno"/>
          <w:rFonts w:ascii="Times" w:hAnsi="Times"/>
        </w:rPr>
        <w:t>23</w:t>
      </w:r>
      <w:r>
        <w:t>.</w:t>
      </w:r>
      <w:r>
        <w:tab/>
        <w:t>Listing case for a status conference</w:t>
      </w:r>
      <w:bookmarkEnd w:id="33"/>
    </w:p>
    <w:p>
      <w:pPr>
        <w:pStyle w:val="Subsection"/>
      </w:pPr>
      <w:r>
        <w:tab/>
        <w:t>(1)</w:t>
      </w:r>
      <w:r>
        <w:tab/>
        <w:t>If a defendant lodges a response, a registrar must, within 14 days, list the case for a status conference.</w:t>
      </w:r>
    </w:p>
    <w:p>
      <w:pPr>
        <w:pStyle w:val="Subsection"/>
      </w:pPr>
      <w:r>
        <w:tab/>
        <w:t>(2)</w:t>
      </w:r>
      <w:r>
        <w:tab/>
        <w:t>The registrar must notify you and the other parties in writing of the status conference.</w:t>
      </w:r>
    </w:p>
    <w:p>
      <w:pPr>
        <w:pStyle w:val="Footnotesection"/>
      </w:pPr>
      <w:r>
        <w:tab/>
        <w:t>[Rule 23 inserted: Gazette 3 Jun 2008 p. 2143; amended: Gazette 30 Sep 2016 p. 4176; SL 2020/67 r. 59.]</w:t>
      </w:r>
    </w:p>
    <w:p>
      <w:pPr>
        <w:pStyle w:val="Heading5"/>
      </w:pPr>
      <w:bookmarkStart w:id="34" w:name="_Toc107393122"/>
      <w:r>
        <w:rPr>
          <w:rStyle w:val="CharSectno"/>
        </w:rPr>
        <w:t>23AA</w:t>
      </w:r>
      <w:r>
        <w:t>.</w:t>
      </w:r>
      <w:r>
        <w:tab/>
        <w:t>What happens at a status conference</w:t>
      </w:r>
      <w:bookmarkEnd w:id="34"/>
    </w:p>
    <w:p>
      <w:pPr>
        <w:pStyle w:val="Subsection"/>
      </w:pPr>
      <w:r>
        <w:tab/>
        <w:t>(1)</w:t>
      </w:r>
      <w:r>
        <w:tab/>
        <w:t>The purpose of a status conference is to allow for the management of a case.</w:t>
      </w:r>
    </w:p>
    <w:p>
      <w:pPr>
        <w:pStyle w:val="Subsection"/>
      </w:pPr>
      <w:r>
        <w:tab/>
        <w:t>(2)</w:t>
      </w:r>
      <w:r>
        <w:tab/>
        <w:t xml:space="preserve">Specifically, at a status conference the Court may do any or all of the following — </w:t>
      </w:r>
    </w:p>
    <w:p>
      <w:pPr>
        <w:pStyle w:val="Indenta"/>
      </w:pPr>
      <w:r>
        <w:tab/>
        <w:t>(a)</w:t>
      </w:r>
      <w:r>
        <w:tab/>
        <w:t>refer the case to a pre</w:t>
      </w:r>
      <w:r>
        <w:noBreakHyphen/>
        <w:t>trial conference to be conducted by a registrar immediately;</w:t>
      </w:r>
    </w:p>
    <w:p>
      <w:pPr>
        <w:pStyle w:val="Indenta"/>
      </w:pPr>
      <w:r>
        <w:tab/>
        <w:t>(b)</w:t>
      </w:r>
      <w:r>
        <w:tab/>
        <w:t>determine what facts, if any, are agreed by the parties;</w:t>
      </w:r>
    </w:p>
    <w:p>
      <w:pPr>
        <w:pStyle w:val="Indenta"/>
      </w:pPr>
      <w:r>
        <w:tab/>
        <w:t>(c)</w:t>
      </w:r>
      <w:r>
        <w:tab/>
        <w:t xml:space="preserve">order the parties to — </w:t>
      </w:r>
    </w:p>
    <w:p>
      <w:pPr>
        <w:pStyle w:val="Indenti"/>
      </w:pPr>
      <w:r>
        <w:tab/>
        <w:t>(i)</w:t>
      </w:r>
      <w:r>
        <w:tab/>
        <w:t>lodge and serve lists of documents the parties might tender in evidence at the trial in support of their claims or defences; or</w:t>
      </w:r>
    </w:p>
    <w:p>
      <w:pPr>
        <w:pStyle w:val="Indenti"/>
      </w:pPr>
      <w:r>
        <w:tab/>
        <w:t>(ii)</w:t>
      </w:r>
      <w:r>
        <w:tab/>
        <w:t>exchange any other documents or information;</w:t>
      </w:r>
    </w:p>
    <w:p>
      <w:pPr>
        <w:pStyle w:val="Indenta"/>
      </w:pPr>
      <w:r>
        <w:tab/>
        <w:t>(d)</w:t>
      </w:r>
      <w:r>
        <w:tab/>
        <w:t>extend the time for making counterclaims or third party claims (even if the time for making those claims has passed);</w:t>
      </w:r>
    </w:p>
    <w:p>
      <w:pPr>
        <w:pStyle w:val="Indenta"/>
      </w:pPr>
      <w:r>
        <w:tab/>
        <w:t>(e)</w:t>
      </w:r>
      <w:r>
        <w:tab/>
        <w:t>list the case for a further status conference;</w:t>
      </w:r>
    </w:p>
    <w:p>
      <w:pPr>
        <w:pStyle w:val="Indenta"/>
      </w:pPr>
      <w:r>
        <w:tab/>
        <w:t>(f)</w:t>
      </w:r>
      <w:r>
        <w:tab/>
        <w:t>make any other orders necessary to facilitate settlement or ensure the case is ready for trial.</w:t>
      </w:r>
    </w:p>
    <w:p>
      <w:pPr>
        <w:pStyle w:val="Subsection"/>
      </w:pPr>
      <w:r>
        <w:lastRenderedPageBreak/>
        <w:tab/>
        <w:t>(3)</w:t>
      </w:r>
      <w:r>
        <w:tab/>
        <w:t xml:space="preserve">If the case involves a counterclaim that is not a minor case, then, at the status conference — </w:t>
      </w:r>
    </w:p>
    <w:p>
      <w:pPr>
        <w:pStyle w:val="Indenta"/>
      </w:pPr>
      <w:r>
        <w:tab/>
        <w:t>(a)</w:t>
      </w:r>
      <w:r>
        <w:tab/>
        <w:t>the Court will consider whether or not you and the other parties consent to the counterclaim being dealt with under these rules; and</w:t>
      </w:r>
    </w:p>
    <w:p>
      <w:pPr>
        <w:pStyle w:val="Indenta"/>
      </w:pPr>
      <w:r>
        <w:tab/>
        <w:t>(b)</w:t>
      </w:r>
      <w:r>
        <w:tab/>
        <w:t>if the parties do not consent to the counterclaim being dealt with under these rules, the court must —</w:t>
      </w:r>
    </w:p>
    <w:p>
      <w:pPr>
        <w:pStyle w:val="Indenti"/>
      </w:pPr>
      <w:r>
        <w:tab/>
        <w:t>(i)</w:t>
      </w:r>
      <w:r>
        <w:tab/>
        <w:t>list the case for a hearing before the Court for it to determine what part of the case, if any, is to be dealt with under these rules; and</w:t>
      </w:r>
    </w:p>
    <w:p>
      <w:pPr>
        <w:pStyle w:val="Indenti"/>
      </w:pPr>
      <w:r>
        <w:tab/>
        <w:t>(ii)</w:t>
      </w:r>
      <w:r>
        <w:tab/>
        <w:t>notify you and the other parties in writing of the hearing date.</w:t>
      </w:r>
    </w:p>
    <w:p>
      <w:pPr>
        <w:pStyle w:val="Subsection"/>
      </w:pPr>
      <w:r>
        <w:tab/>
        <w:t>(4)</w:t>
      </w:r>
      <w:r>
        <w:tab/>
        <w:t>If the Court determines at the hearing referred to in subrule (3) that part of the case is to be dealt with under these rules, it will list the case for a further status conference.</w:t>
      </w:r>
    </w:p>
    <w:p>
      <w:pPr>
        <w:pStyle w:val="Subsection"/>
      </w:pPr>
      <w:r>
        <w:tab/>
        <w:t>(5)</w:t>
      </w:r>
      <w:r>
        <w:tab/>
        <w:t>The court must notify you and the other parties in writing of the listing under subrule (4).</w:t>
      </w:r>
    </w:p>
    <w:p>
      <w:pPr>
        <w:pStyle w:val="Footnotesection"/>
      </w:pPr>
      <w:r>
        <w:tab/>
        <w:t>[Rule 23AA inserted: SL 2020/67 r. 60.]</w:t>
      </w:r>
    </w:p>
    <w:p>
      <w:pPr>
        <w:pStyle w:val="Heading5"/>
      </w:pPr>
      <w:bookmarkStart w:id="35" w:name="_Toc107393123"/>
      <w:r>
        <w:rPr>
          <w:rStyle w:val="CharSectno"/>
        </w:rPr>
        <w:t>24</w:t>
      </w:r>
      <w:r>
        <w:t>.</w:t>
      </w:r>
      <w:r>
        <w:tab/>
        <w:t>What happens at a pre</w:t>
      </w:r>
      <w:r>
        <w:noBreakHyphen/>
        <w:t>trial conference</w:t>
      </w:r>
      <w:bookmarkEnd w:id="35"/>
    </w:p>
    <w:p>
      <w:pPr>
        <w:pStyle w:val="Subsection"/>
      </w:pPr>
      <w:r>
        <w:tab/>
        <w:t>(1)</w:t>
      </w:r>
      <w:r>
        <w:tab/>
        <w:t>At a pre</w:t>
      </w:r>
      <w:r>
        <w:noBreakHyphen/>
        <w:t>trial conference the registrar may do any or all of the things that the Court may do at a status conference under rule 23AA(2)(b) to (f).</w:t>
      </w:r>
    </w:p>
    <w:p>
      <w:pPr>
        <w:pStyle w:val="Ednotesubsection"/>
      </w:pPr>
      <w:r>
        <w:tab/>
        <w:t>[(2)</w:t>
      </w:r>
      <w:r>
        <w:noBreakHyphen/>
        <w:t>(3)</w:t>
      </w:r>
      <w:r>
        <w:tab/>
        <w:t>deleted]</w:t>
      </w:r>
    </w:p>
    <w:p>
      <w:pPr>
        <w:pStyle w:val="Subsection"/>
      </w:pPr>
      <w:r>
        <w:tab/>
        <w:t>(4)</w:t>
      </w:r>
      <w:r>
        <w:tab/>
        <w:t>The registrar must notify you and the other parties in writing of any further status conference or pre</w:t>
      </w:r>
      <w:r>
        <w:noBreakHyphen/>
        <w:t>trial conference.</w:t>
      </w:r>
    </w:p>
    <w:p>
      <w:pPr>
        <w:pStyle w:val="Ednotesubsection"/>
      </w:pPr>
      <w:r>
        <w:tab/>
        <w:t>[(5)</w:t>
      </w:r>
      <w:r>
        <w:tab/>
        <w:t>deleted]</w:t>
      </w:r>
    </w:p>
    <w:p>
      <w:pPr>
        <w:pStyle w:val="Footnotesection"/>
      </w:pPr>
      <w:r>
        <w:tab/>
        <w:t>[Rule 24 amended: Gazette 3 Jun 2008 p. 2143</w:t>
      </w:r>
      <w:r>
        <w:noBreakHyphen/>
        <w:t>4; 30 Sep 2016 p. 4176; SL 2020/67 r. 61.]</w:t>
      </w:r>
    </w:p>
    <w:p>
      <w:pPr>
        <w:pStyle w:val="Ednotesection"/>
      </w:pPr>
      <w:r>
        <w:t>[</w:t>
      </w:r>
      <w:r>
        <w:rPr>
          <w:b/>
        </w:rPr>
        <w:t>25A, 25B.</w:t>
      </w:r>
      <w:r>
        <w:rPr>
          <w:b/>
        </w:rPr>
        <w:tab/>
      </w:r>
      <w:r>
        <w:t>Deleted: Gazette 30 Sep 2016 p. 4176.]</w:t>
      </w:r>
    </w:p>
    <w:p>
      <w:pPr>
        <w:pStyle w:val="Heading5"/>
      </w:pPr>
      <w:bookmarkStart w:id="36" w:name="_Toc107393124"/>
      <w:r>
        <w:rPr>
          <w:rStyle w:val="CharSectno"/>
        </w:rPr>
        <w:lastRenderedPageBreak/>
        <w:t>25C</w:t>
      </w:r>
      <w:r>
        <w:t>.</w:t>
      </w:r>
      <w:r>
        <w:tab/>
        <w:t>List of documents you might tender at trial</w:t>
      </w:r>
      <w:bookmarkEnd w:id="36"/>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Gazette 3 Jun 2008 p. 2145.]</w:t>
      </w:r>
    </w:p>
    <w:p>
      <w:pPr>
        <w:pStyle w:val="Ednotesection"/>
      </w:pPr>
      <w:r>
        <w:t>[</w:t>
      </w:r>
      <w:r>
        <w:rPr>
          <w:b/>
        </w:rPr>
        <w:t>25.</w:t>
      </w:r>
      <w:r>
        <w:tab/>
        <w:t>Deleted: SL 2020/67 r. 62.]</w:t>
      </w:r>
    </w:p>
    <w:p>
      <w:pPr>
        <w:pStyle w:val="Heading5"/>
      </w:pPr>
      <w:bookmarkStart w:id="37" w:name="_Toc107393125"/>
      <w:r>
        <w:rPr>
          <w:rStyle w:val="CharSectno"/>
        </w:rPr>
        <w:t>26</w:t>
      </w:r>
      <w:r>
        <w:t>.</w:t>
      </w:r>
      <w:r>
        <w:tab/>
        <w:t>Your attendance at a status conference, pre</w:t>
      </w:r>
      <w:r>
        <w:noBreakHyphen/>
        <w:t>trial conference or hearing</w:t>
      </w:r>
      <w:bookmarkEnd w:id="37"/>
    </w:p>
    <w:p>
      <w:pPr>
        <w:pStyle w:val="Subsection"/>
      </w:pPr>
      <w:r>
        <w:tab/>
        <w:t>(1)</w:t>
      </w:r>
      <w:r>
        <w:tab/>
        <w:t>You must attend a status conference, pre</w:t>
      </w:r>
      <w:r>
        <w:noBreakHyphen/>
        <w:t>trial conference, or any hearing referred to in rule 23AA(3), in person.</w:t>
      </w:r>
    </w:p>
    <w:p>
      <w:pPr>
        <w:pStyle w:val="Subsection"/>
      </w:pPr>
      <w:r>
        <w:tab/>
        <w:t>(1A)</w:t>
      </w:r>
      <w:r>
        <w:tab/>
        <w:t>A subrogated insurer who is authorised in writing by you may, upon presentation of the written authorisation to the Court, represent or assist you at a status conference, a pre</w:t>
      </w:r>
      <w:r>
        <w:noBreakHyphen/>
        <w:t xml:space="preserve">trial conference or a hearing referred to in rule 23AA(3), but not at the trial of your case. </w:t>
      </w:r>
    </w:p>
    <w:p>
      <w:pPr>
        <w:pStyle w:val="Subsection"/>
        <w:keepLines/>
      </w:pPr>
      <w:r>
        <w:lastRenderedPageBreak/>
        <w:tab/>
        <w:t>(2)</w:t>
      </w:r>
      <w:r>
        <w:tab/>
        <w:t>If you do not attend a pre</w:t>
      </w:r>
      <w:r>
        <w:noBreakHyphen/>
        <w:t>trial conference, the registrar at the pre</w:t>
      </w:r>
      <w:r>
        <w:noBreakHyphen/>
        <w:t>trial conference may give default judgment against you.  In that case Part 4, except rule 21, applies with any necessary modifications in relation to the default judgment.</w:t>
      </w:r>
    </w:p>
    <w:p>
      <w:pPr>
        <w:pStyle w:val="Footnotesection"/>
      </w:pPr>
      <w:r>
        <w:tab/>
        <w:t>[Rule 26 amended: SL 2020/67 r. 63.]</w:t>
      </w:r>
    </w:p>
    <w:p>
      <w:pPr>
        <w:pStyle w:val="Heading5"/>
      </w:pPr>
      <w:bookmarkStart w:id="38" w:name="_Toc107393126"/>
      <w:r>
        <w:rPr>
          <w:rStyle w:val="CharSectno"/>
        </w:rPr>
        <w:t>27</w:t>
      </w:r>
      <w:r>
        <w:t>.</w:t>
      </w:r>
      <w:r>
        <w:tab/>
        <w:t>Listing the case for trial</w:t>
      </w:r>
      <w:bookmarkEnd w:id="38"/>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39" w:name="_Toc107393127"/>
      <w:r>
        <w:rPr>
          <w:rStyle w:val="CharSectno"/>
        </w:rPr>
        <w:t>28</w:t>
      </w:r>
      <w:r>
        <w:t>.</w:t>
      </w:r>
      <w:r>
        <w:tab/>
        <w:t>Status of things said or done at a status conference or a pre</w:t>
      </w:r>
      <w:r>
        <w:noBreakHyphen/>
        <w:t>trial conference</w:t>
      </w:r>
      <w:bookmarkEnd w:id="39"/>
    </w:p>
    <w:p>
      <w:pPr>
        <w:pStyle w:val="Subsection"/>
      </w:pPr>
      <w:r>
        <w:tab/>
        <w:t>(1A)</w:t>
      </w:r>
      <w:r>
        <w:tab/>
        <w:t>A status conference must be conducted before a magistrate.</w:t>
      </w:r>
    </w:p>
    <w:p>
      <w:pPr>
        <w:pStyle w:val="Subsection"/>
        <w:keepNext/>
        <w:keepLines/>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status conference or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Footnotesection"/>
      </w:pPr>
      <w:r>
        <w:tab/>
        <w:t>[Rule 28 amended: SL 2020/67 r. 64.]</w:t>
      </w:r>
    </w:p>
    <w:p>
      <w:pPr>
        <w:pStyle w:val="Heading2"/>
      </w:pPr>
      <w:bookmarkStart w:id="40" w:name="_Toc107328462"/>
      <w:bookmarkStart w:id="41" w:name="_Toc107393128"/>
      <w:r>
        <w:rPr>
          <w:rStyle w:val="CharPartNo"/>
        </w:rPr>
        <w:lastRenderedPageBreak/>
        <w:t>Part 6</w:t>
      </w:r>
      <w:r>
        <w:rPr>
          <w:rStyle w:val="CharDivNo"/>
        </w:rPr>
        <w:t> </w:t>
      </w:r>
      <w:r>
        <w:t>—</w:t>
      </w:r>
      <w:r>
        <w:rPr>
          <w:rStyle w:val="CharDivText"/>
        </w:rPr>
        <w:t> </w:t>
      </w:r>
      <w:r>
        <w:rPr>
          <w:rStyle w:val="CharPartText"/>
        </w:rPr>
        <w:t>Mediation</w:t>
      </w:r>
      <w:bookmarkEnd w:id="40"/>
      <w:bookmarkEnd w:id="41"/>
    </w:p>
    <w:p>
      <w:pPr>
        <w:pStyle w:val="Heading5"/>
      </w:pPr>
      <w:bookmarkStart w:id="42" w:name="_Toc107393129"/>
      <w:r>
        <w:rPr>
          <w:rStyle w:val="CharSectno"/>
        </w:rPr>
        <w:t>29</w:t>
      </w:r>
      <w:r>
        <w:t>.</w:t>
      </w:r>
      <w:r>
        <w:tab/>
        <w:t>Mediation conference</w:t>
      </w:r>
      <w:bookmarkEnd w:id="42"/>
    </w:p>
    <w:p>
      <w:pPr>
        <w:pStyle w:val="Subsection"/>
      </w:pPr>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43" w:name="_Toc107393130"/>
      <w:r>
        <w:rPr>
          <w:rStyle w:val="CharSectno"/>
        </w:rPr>
        <w:t>30</w:t>
      </w:r>
      <w:r>
        <w:t>.</w:t>
      </w:r>
      <w:r>
        <w:tab/>
        <w:t>Attendance of parties at mediation conferences</w:t>
      </w:r>
      <w:bookmarkEnd w:id="43"/>
    </w:p>
    <w:p>
      <w:pPr>
        <w:pStyle w:val="Subsection"/>
      </w:pPr>
      <w:r>
        <w:tab/>
      </w:r>
      <w:r>
        <w:tab/>
        <w:t>Unless the mediator otherwise approves, you must attend a mediation conference in person.</w:t>
      </w:r>
    </w:p>
    <w:p>
      <w:pPr>
        <w:pStyle w:val="Heading5"/>
      </w:pPr>
      <w:bookmarkStart w:id="44" w:name="_Toc107393131"/>
      <w:r>
        <w:rPr>
          <w:rStyle w:val="CharSectno"/>
        </w:rPr>
        <w:t>31</w:t>
      </w:r>
      <w:r>
        <w:t>.</w:t>
      </w:r>
      <w:r>
        <w:tab/>
        <w:t>Outcome of mediation</w:t>
      </w:r>
      <w:bookmarkEnd w:id="44"/>
    </w:p>
    <w:p>
      <w:pPr>
        <w:pStyle w:val="Subsection"/>
      </w:pPr>
      <w:r>
        <w:tab/>
      </w:r>
      <w:r>
        <w:tab/>
        <w:t>If you are the claimant you must, within 14 days after the mediation conference, lodge a notice of the outcome of the mediation in the approved form.</w:t>
      </w:r>
    </w:p>
    <w:p>
      <w:pPr>
        <w:pStyle w:val="Heading5"/>
      </w:pPr>
      <w:bookmarkStart w:id="45" w:name="_Toc107393132"/>
      <w:r>
        <w:rPr>
          <w:rStyle w:val="CharSectno"/>
        </w:rPr>
        <w:t>32</w:t>
      </w:r>
      <w:r>
        <w:t>.</w:t>
      </w:r>
      <w:r>
        <w:tab/>
        <w:t>Further pre</w:t>
      </w:r>
      <w:r>
        <w:noBreakHyphen/>
        <w:t>trial conference if case not settled</w:t>
      </w:r>
      <w:bookmarkEnd w:id="45"/>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46" w:name="_Toc107328467"/>
      <w:bookmarkStart w:id="47" w:name="_Toc107393133"/>
      <w:r>
        <w:rPr>
          <w:rStyle w:val="CharPartNo"/>
        </w:rPr>
        <w:lastRenderedPageBreak/>
        <w:t>Part 7</w:t>
      </w:r>
      <w:r>
        <w:rPr>
          <w:rStyle w:val="CharDivNo"/>
        </w:rPr>
        <w:t> </w:t>
      </w:r>
      <w:r>
        <w:t>—</w:t>
      </w:r>
      <w:r>
        <w:rPr>
          <w:rStyle w:val="CharDivText"/>
        </w:rPr>
        <w:t> </w:t>
      </w:r>
      <w:r>
        <w:rPr>
          <w:rStyle w:val="CharPartText"/>
        </w:rPr>
        <w:t>Consent orders and settlement</w:t>
      </w:r>
      <w:bookmarkEnd w:id="46"/>
      <w:bookmarkEnd w:id="47"/>
    </w:p>
    <w:p>
      <w:pPr>
        <w:pStyle w:val="Heading5"/>
      </w:pPr>
      <w:bookmarkStart w:id="48" w:name="_Toc107393134"/>
      <w:r>
        <w:rPr>
          <w:rStyle w:val="CharSectno"/>
        </w:rPr>
        <w:t>33</w:t>
      </w:r>
      <w:r>
        <w:t>.</w:t>
      </w:r>
      <w:r>
        <w:tab/>
        <w:t>Memorandum of consent</w:t>
      </w:r>
      <w:bookmarkEnd w:id="48"/>
    </w:p>
    <w:p>
      <w:pPr>
        <w:pStyle w:val="Subsection"/>
      </w:pPr>
      <w:r>
        <w:tab/>
      </w:r>
      <w:r>
        <w:tab/>
        <w:t>If you want to settle a case or consent to any other order you may lodge a memorandum to that effect in the approved form, signed by you and every other party.</w:t>
      </w:r>
    </w:p>
    <w:p>
      <w:pPr>
        <w:pStyle w:val="Heading5"/>
      </w:pPr>
      <w:bookmarkStart w:id="49" w:name="_Toc107393135"/>
      <w:r>
        <w:rPr>
          <w:rStyle w:val="CharSectno"/>
        </w:rPr>
        <w:t>34</w:t>
      </w:r>
      <w:r>
        <w:t>.</w:t>
      </w:r>
      <w:r>
        <w:tab/>
        <w:t>Registrar may make consent orders or give judgment</w:t>
      </w:r>
      <w:bookmarkEnd w:id="49"/>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50" w:name="_Toc107393136"/>
      <w:r>
        <w:rPr>
          <w:rStyle w:val="CharSectno"/>
        </w:rPr>
        <w:t>35</w:t>
      </w:r>
      <w:r>
        <w:t>.</w:t>
      </w:r>
      <w:r>
        <w:tab/>
        <w:t>When the rules require your consent</w:t>
      </w:r>
      <w:bookmarkEnd w:id="50"/>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51" w:name="_Toc107393137"/>
      <w:r>
        <w:rPr>
          <w:rStyle w:val="CharSectno"/>
        </w:rPr>
        <w:t>36</w:t>
      </w:r>
      <w:r>
        <w:t>.</w:t>
      </w:r>
      <w:r>
        <w:tab/>
        <w:t>Settling claims involving a person under a legal disability</w:t>
      </w:r>
      <w:bookmarkEnd w:id="51"/>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legal practitioner verifying that the settlement is in the best interests of the person under a legal disability.</w:t>
      </w:r>
    </w:p>
    <w:p>
      <w:pPr>
        <w:pStyle w:val="Subsection"/>
      </w:pPr>
      <w:r>
        <w:lastRenderedPageBreak/>
        <w:tab/>
        <w:t>(3)</w:t>
      </w:r>
      <w:r>
        <w:tab/>
        <w:t>The settlement of a case in which there is a claim by or against a person under a legal disability has effect on and from the day the Court gives its approval to it.</w:t>
      </w:r>
    </w:p>
    <w:p>
      <w:pPr>
        <w:pStyle w:val="Footnotesection"/>
      </w:pPr>
      <w:r>
        <w:tab/>
        <w:t xml:space="preserve">[Rule 36 amended: Gazette 3 Jun 2008 p. 2145; </w:t>
      </w:r>
      <w:bookmarkStart w:id="52" w:name="_Hlk107328174"/>
      <w:r>
        <w:t>SL 2022/106 r. </w:t>
      </w:r>
      <w:bookmarkEnd w:id="52"/>
      <w:r>
        <w:t>8.]</w:t>
      </w:r>
    </w:p>
    <w:p>
      <w:pPr>
        <w:pStyle w:val="Heading2"/>
      </w:pPr>
      <w:bookmarkStart w:id="53" w:name="_Toc107328472"/>
      <w:bookmarkStart w:id="54" w:name="_Toc107393138"/>
      <w:r>
        <w:rPr>
          <w:rStyle w:val="CharPartNo"/>
        </w:rPr>
        <w:lastRenderedPageBreak/>
        <w:t>Part 8</w:t>
      </w:r>
      <w:r>
        <w:t> — </w:t>
      </w:r>
      <w:r>
        <w:rPr>
          <w:rStyle w:val="CharPartText"/>
        </w:rPr>
        <w:t>Trial</w:t>
      </w:r>
      <w:bookmarkEnd w:id="53"/>
      <w:bookmarkEnd w:id="54"/>
    </w:p>
    <w:p>
      <w:pPr>
        <w:pStyle w:val="Heading5"/>
        <w:spacing w:before="180"/>
      </w:pPr>
      <w:bookmarkStart w:id="55" w:name="_Toc107393139"/>
      <w:r>
        <w:rPr>
          <w:rStyle w:val="CharSectno"/>
        </w:rPr>
        <w:t>37</w:t>
      </w:r>
      <w:r>
        <w:t>.</w:t>
      </w:r>
      <w:r>
        <w:tab/>
        <w:t>How the trial of your case is to be conducted</w:t>
      </w:r>
      <w:bookmarkEnd w:id="55"/>
    </w:p>
    <w:p>
      <w:pPr>
        <w:pStyle w:val="Subsection"/>
      </w:pPr>
      <w:r>
        <w:tab/>
      </w:r>
      <w:r>
        <w:tab/>
        <w:t>The trial of your case must be conducted in accordance with orders given by the Court.</w:t>
      </w:r>
    </w:p>
    <w:p>
      <w:pPr>
        <w:pStyle w:val="Footnotesection"/>
      </w:pPr>
      <w:r>
        <w:tab/>
        <w:t>[Rule 37 amended: Gazette 3 Jun 2008 p. 2145.]</w:t>
      </w:r>
    </w:p>
    <w:p>
      <w:pPr>
        <w:pStyle w:val="Heading5"/>
        <w:spacing w:before="180"/>
      </w:pPr>
      <w:bookmarkStart w:id="56" w:name="_Toc107393140"/>
      <w:r>
        <w:rPr>
          <w:rStyle w:val="CharSectno"/>
        </w:rPr>
        <w:t>38</w:t>
      </w:r>
      <w:r>
        <w:t>.</w:t>
      </w:r>
      <w:r>
        <w:tab/>
        <w:t>Your attendance at trial</w:t>
      </w:r>
      <w:bookmarkEnd w:id="56"/>
    </w:p>
    <w:p>
      <w:pPr>
        <w:pStyle w:val="Subsection"/>
      </w:pPr>
      <w:r>
        <w:tab/>
      </w:r>
      <w:r>
        <w:tab/>
        <w:t>You must attend the trial of your case in person.</w:t>
      </w:r>
    </w:p>
    <w:p>
      <w:pPr>
        <w:pStyle w:val="Heading5"/>
        <w:spacing w:before="180"/>
      </w:pPr>
      <w:bookmarkStart w:id="57" w:name="_Toc107393141"/>
      <w:r>
        <w:rPr>
          <w:rStyle w:val="CharSectno"/>
        </w:rPr>
        <w:t>39</w:t>
      </w:r>
      <w:r>
        <w:t>.</w:t>
      </w:r>
      <w:r>
        <w:tab/>
        <w:t>How to call witnesses</w:t>
      </w:r>
      <w:bookmarkEnd w:id="57"/>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produce to the Court, either at the same time as giving the oral evidence or at an earlier time specified in the summons,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keepNext/>
      </w:pPr>
      <w:r>
        <w:lastRenderedPageBreak/>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 or</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Footnotesection"/>
        <w:ind w:left="890" w:hanging="890"/>
      </w:pPr>
      <w:r>
        <w:tab/>
        <w:t>[Rule 39 amended: Gazette 21 Jul 2017 p. 4027.]</w:t>
      </w:r>
    </w:p>
    <w:p>
      <w:pPr>
        <w:pStyle w:val="Heading5"/>
      </w:pPr>
      <w:bookmarkStart w:id="58" w:name="_Toc107393142"/>
      <w:r>
        <w:rPr>
          <w:rStyle w:val="CharSectno"/>
        </w:rPr>
        <w:t>39A</w:t>
      </w:r>
      <w:r>
        <w:t>.</w:t>
      </w:r>
      <w:r>
        <w:tab/>
        <w:t>Compliance with witness summons</w:t>
      </w:r>
      <w:bookmarkEnd w:id="58"/>
    </w:p>
    <w:p>
      <w:pPr>
        <w:pStyle w:val="Subsection"/>
      </w:pPr>
      <w:r>
        <w:tab/>
        <w:t>(1)</w:t>
      </w:r>
      <w:r>
        <w:tab/>
        <w:t>Your witness must comply with a witness summons requested under rule 39(2)(b) by delivering or sending the evidentiary material and a copy of the witness summons to the Court at the date, time and place specified for production.</w:t>
      </w:r>
    </w:p>
    <w:p>
      <w:pPr>
        <w:pStyle w:val="Subsection"/>
      </w:pPr>
      <w:r>
        <w:tab/>
        <w:t>(1A)</w:t>
      </w:r>
      <w:r>
        <w:tab/>
        <w:t>For the purposes of subrule (1), evidentiary material and a copy of the witness summons that are delivered or sent by using the ECMS are taken to have been delivered or sent to the Court at the place specified for production.</w:t>
      </w:r>
    </w:p>
    <w:p>
      <w:pPr>
        <w:pStyle w:val="Subsection"/>
      </w:pPr>
      <w:r>
        <w:tab/>
        <w:t>(2)</w:t>
      </w:r>
      <w:r>
        <w:tab/>
        <w:t>In the case of a witness summons requested under rule 39(2)(a) and (b), compliance with subrule (1) does not discharge your witness from the requirement to attend Court to give evidence.</w:t>
      </w:r>
    </w:p>
    <w:p>
      <w:pPr>
        <w:pStyle w:val="Subsection"/>
      </w:pPr>
      <w:r>
        <w:tab/>
        <w:t>(3)</w:t>
      </w:r>
      <w:r>
        <w:tab/>
        <w:t>Unless your witness summons specifically requires the production of an original document, your witness may produce a copy of it.</w:t>
      </w:r>
    </w:p>
    <w:p>
      <w:pPr>
        <w:pStyle w:val="Subsection"/>
      </w:pPr>
      <w:r>
        <w:lastRenderedPageBreak/>
        <w:tab/>
        <w:t>(4)</w:t>
      </w:r>
      <w:r>
        <w:tab/>
        <w:t>The copy of a document may be —</w:t>
      </w:r>
    </w:p>
    <w:p>
      <w:pPr>
        <w:pStyle w:val="Indenta"/>
      </w:pPr>
      <w:r>
        <w:tab/>
        <w:t>(a)</w:t>
      </w:r>
      <w:r>
        <w:tab/>
        <w:t>a photocopy; or</w:t>
      </w:r>
    </w:p>
    <w:p>
      <w:pPr>
        <w:pStyle w:val="Indenta"/>
        <w:keepNext/>
      </w:pPr>
      <w:r>
        <w:tab/>
        <w:t>(b)</w:t>
      </w:r>
      <w:r>
        <w:tab/>
        <w:t>in PDF format on a CD</w:t>
      </w:r>
      <w:r>
        <w:noBreakHyphen/>
        <w:t>ROM.</w:t>
      </w:r>
    </w:p>
    <w:p>
      <w:pPr>
        <w:pStyle w:val="Footnotesection"/>
        <w:ind w:left="890" w:hanging="890"/>
      </w:pPr>
      <w:r>
        <w:tab/>
        <w:t>[Rule 39A inserted: Gazette 21 Jul 2017 p. 4027; amended: SL 2022/54 r. 13.]</w:t>
      </w:r>
    </w:p>
    <w:p>
      <w:pPr>
        <w:pStyle w:val="Heading5"/>
      </w:pPr>
      <w:bookmarkStart w:id="59" w:name="_Toc107393143"/>
      <w:r>
        <w:rPr>
          <w:rStyle w:val="CharSectno"/>
        </w:rPr>
        <w:t>40</w:t>
      </w:r>
      <w:r>
        <w:t>.</w:t>
      </w:r>
      <w:r>
        <w:tab/>
        <w:t>Return of things after trial</w:t>
      </w:r>
      <w:bookmarkEnd w:id="59"/>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exhibit is tendered at your trial.</w:t>
      </w:r>
    </w:p>
    <w:p>
      <w:pPr>
        <w:pStyle w:val="Subsection"/>
      </w:pPr>
      <w:r>
        <w:tab/>
        <w:t>(3)</w:t>
      </w:r>
      <w:r>
        <w:tab/>
        <w:t>If you do not take possession of the thing within 60 days after your entitlement to the return of something under subrule (1) arises, the registrar may dispose of the thing as the registrar thinks fit.</w:t>
      </w:r>
    </w:p>
    <w:p>
      <w:pPr>
        <w:pStyle w:val="Footnotesection"/>
        <w:ind w:left="890" w:hanging="890"/>
      </w:pPr>
      <w:r>
        <w:tab/>
        <w:t>[Rule 40 amended: Gazette 18 Sep 2018 p. 3516.]</w:t>
      </w:r>
    </w:p>
    <w:p>
      <w:pPr>
        <w:pStyle w:val="Heading2"/>
      </w:pPr>
      <w:bookmarkStart w:id="60" w:name="_Toc107328478"/>
      <w:bookmarkStart w:id="61" w:name="_Toc107393144"/>
      <w:r>
        <w:rPr>
          <w:rStyle w:val="CharPartNo"/>
        </w:rPr>
        <w:lastRenderedPageBreak/>
        <w:t>Part 9</w:t>
      </w:r>
      <w:r>
        <w:t> — </w:t>
      </w:r>
      <w:r>
        <w:rPr>
          <w:rStyle w:val="CharPartText"/>
        </w:rPr>
        <w:t>Orders and judgments</w:t>
      </w:r>
      <w:bookmarkEnd w:id="60"/>
      <w:bookmarkEnd w:id="61"/>
    </w:p>
    <w:p>
      <w:pPr>
        <w:pStyle w:val="Heading5"/>
      </w:pPr>
      <w:bookmarkStart w:id="62" w:name="_Toc107393145"/>
      <w:r>
        <w:rPr>
          <w:rStyle w:val="CharSectno"/>
        </w:rPr>
        <w:t>41</w:t>
      </w:r>
      <w:r>
        <w:t>.</w:t>
      </w:r>
      <w:r>
        <w:tab/>
        <w:t>Money paid to you if you are a person under a legal disability</w:t>
      </w:r>
      <w:bookmarkEnd w:id="62"/>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other than in accordance with the </w:t>
      </w:r>
      <w:r>
        <w:rPr>
          <w:i/>
        </w:rPr>
        <w:t>Public Trustee Act 1941</w:t>
      </w:r>
      <w:r>
        <w:t xml:space="preserve"> section 39C. </w:t>
      </w:r>
    </w:p>
    <w:p>
      <w:pPr>
        <w:pStyle w:val="Footnotesection"/>
        <w:ind w:left="890" w:hanging="890"/>
      </w:pPr>
      <w:r>
        <w:tab/>
        <w:t>[Rule 41 amended: Gazette 24 May 2013 p. 2059.]</w:t>
      </w:r>
    </w:p>
    <w:p>
      <w:pPr>
        <w:pStyle w:val="Heading5"/>
      </w:pPr>
      <w:bookmarkStart w:id="63" w:name="_Toc107393146"/>
      <w:r>
        <w:rPr>
          <w:rStyle w:val="CharSectno"/>
        </w:rPr>
        <w:t>42</w:t>
      </w:r>
      <w:r>
        <w:t>.</w:t>
      </w:r>
      <w:r>
        <w:tab/>
        <w:t>Setting aside default judgment</w:t>
      </w:r>
      <w:bookmarkEnd w:id="63"/>
    </w:p>
    <w:p>
      <w:pPr>
        <w:pStyle w:val="Subsection"/>
      </w:pPr>
      <w:r>
        <w:tab/>
      </w:r>
      <w:r>
        <w:tab/>
        <w:t>If the Court gives default judgment against you and you want to apply for the judgment to be set aside you must apply within 21 days after the judgment was given or by such other date as the Court allows.</w:t>
      </w:r>
    </w:p>
    <w:p>
      <w:pPr>
        <w:pStyle w:val="Footnotesection"/>
      </w:pPr>
      <w:r>
        <w:tab/>
        <w:t>[Rule 42 amended: SL 2020/67 r. 65.]</w:t>
      </w:r>
    </w:p>
    <w:p>
      <w:pPr>
        <w:pStyle w:val="Heading5"/>
      </w:pPr>
      <w:bookmarkStart w:id="64" w:name="_Toc107393147"/>
      <w:r>
        <w:rPr>
          <w:rStyle w:val="CharSectno"/>
        </w:rPr>
        <w:t>43</w:t>
      </w:r>
      <w:r>
        <w:t>.</w:t>
      </w:r>
      <w:r>
        <w:tab/>
        <w:t>Decisions of registrars</w:t>
      </w:r>
      <w:bookmarkEnd w:id="64"/>
    </w:p>
    <w:p>
      <w:pPr>
        <w:pStyle w:val="Subsection"/>
      </w:pPr>
      <w:r>
        <w:tab/>
        <w:t>(1)</w:t>
      </w:r>
      <w:r>
        <w:tab/>
        <w:t>If a registrar exercises any jurisdiction of the Court, the decision of the registrar is to be taken to be a decision of the Court unless it is set aside on an appeal.</w:t>
      </w:r>
    </w:p>
    <w:p>
      <w:pPr>
        <w:pStyle w:val="Subsection"/>
      </w:pPr>
      <w:r>
        <w:tab/>
        <w:t>(2)</w:t>
      </w:r>
      <w:r>
        <w:tab/>
        <w:t xml:space="preserve">Nothing in this rule limits the application of the </w:t>
      </w:r>
      <w:r>
        <w:rPr>
          <w:i/>
        </w:rPr>
        <w:t>Magistrates Court (Civil Proceedings) Act 2004</w:t>
      </w:r>
      <w:r>
        <w:t xml:space="preserve"> section 19(3) to the judgment of a registrar made under section 19(2) of that Act.</w:t>
      </w:r>
    </w:p>
    <w:p>
      <w:pPr>
        <w:pStyle w:val="Footnotesection"/>
        <w:ind w:left="890" w:hanging="890"/>
      </w:pPr>
      <w:r>
        <w:tab/>
        <w:t>[Rule 43 amended: Gazette 24 May 2013 p. 2059.]</w:t>
      </w:r>
    </w:p>
    <w:p>
      <w:pPr>
        <w:pStyle w:val="Heading5"/>
      </w:pPr>
      <w:bookmarkStart w:id="65" w:name="_Toc107393148"/>
      <w:r>
        <w:rPr>
          <w:rStyle w:val="CharSectno"/>
        </w:rPr>
        <w:t>44</w:t>
      </w:r>
      <w:r>
        <w:t>.</w:t>
      </w:r>
      <w:r>
        <w:tab/>
        <w:t>Requests for certificate of judgment</w:t>
      </w:r>
      <w:bookmarkEnd w:id="65"/>
    </w:p>
    <w:p>
      <w:pPr>
        <w:pStyle w:val="Subsection"/>
      </w:pPr>
      <w:r>
        <w:tab/>
      </w:r>
      <w:r>
        <w:tab/>
        <w:t>If you want a certificate of a judgment, you must lodge a request for the judgment in an approved form.</w:t>
      </w:r>
    </w:p>
    <w:p>
      <w:pPr>
        <w:pStyle w:val="Heading2"/>
      </w:pPr>
      <w:bookmarkStart w:id="66" w:name="_Toc107328483"/>
      <w:bookmarkStart w:id="67" w:name="_Toc107393149"/>
      <w:r>
        <w:rPr>
          <w:rStyle w:val="CharPartNo"/>
        </w:rPr>
        <w:lastRenderedPageBreak/>
        <w:t>Part 10A</w:t>
      </w:r>
      <w:r>
        <w:rPr>
          <w:rStyle w:val="CharDivNo"/>
        </w:rPr>
        <w:t> </w:t>
      </w:r>
      <w:r>
        <w:t>—</w:t>
      </w:r>
      <w:r>
        <w:rPr>
          <w:rStyle w:val="CharDivText"/>
        </w:rPr>
        <w:t> </w:t>
      </w:r>
      <w:r>
        <w:rPr>
          <w:rStyle w:val="CharPartText"/>
        </w:rPr>
        <w:t>Inactive cases</w:t>
      </w:r>
      <w:bookmarkEnd w:id="66"/>
      <w:bookmarkEnd w:id="67"/>
    </w:p>
    <w:p>
      <w:pPr>
        <w:pStyle w:val="Footnoteheading"/>
      </w:pPr>
      <w:r>
        <w:tab/>
        <w:t>[Heading inserted: Gazette 5 Apr 2019 p. 1014.]</w:t>
      </w:r>
    </w:p>
    <w:p>
      <w:pPr>
        <w:pStyle w:val="Heading5"/>
      </w:pPr>
      <w:bookmarkStart w:id="68" w:name="_Toc107393150"/>
      <w:r>
        <w:rPr>
          <w:rStyle w:val="CharSectno"/>
        </w:rPr>
        <w:t>45A</w:t>
      </w:r>
      <w:r>
        <w:t>.</w:t>
      </w:r>
      <w:r>
        <w:tab/>
        <w:t>Term used: inactive case</w:t>
      </w:r>
      <w:bookmarkEnd w:id="68"/>
    </w:p>
    <w:p>
      <w:pPr>
        <w:pStyle w:val="Subsection"/>
      </w:pPr>
      <w:r>
        <w:tab/>
      </w:r>
      <w:r>
        <w:tab/>
        <w:t xml:space="preserve">In this Part — </w:t>
      </w:r>
    </w:p>
    <w:p>
      <w:pPr>
        <w:pStyle w:val="Defstart"/>
      </w:pPr>
      <w:r>
        <w:tab/>
      </w:r>
      <w:r>
        <w:rPr>
          <w:rStyle w:val="CharDefText"/>
        </w:rPr>
        <w:t>inactive case</w:t>
      </w:r>
      <w:r>
        <w:t xml:space="preserve"> means a case that has become inactive under rule 45B.</w:t>
      </w:r>
    </w:p>
    <w:p>
      <w:pPr>
        <w:pStyle w:val="Footnotesection"/>
      </w:pPr>
      <w:r>
        <w:tab/>
        <w:t>[Rule 45A inserted: Gazette 5 Apr 2019 p. 1015.]</w:t>
      </w:r>
    </w:p>
    <w:p>
      <w:pPr>
        <w:pStyle w:val="Heading5"/>
      </w:pPr>
      <w:bookmarkStart w:id="69" w:name="_Toc107393151"/>
      <w:r>
        <w:rPr>
          <w:rStyle w:val="CharSectno"/>
        </w:rPr>
        <w:t>45B</w:t>
      </w:r>
      <w:r>
        <w:t>.</w:t>
      </w:r>
      <w:r>
        <w:tab/>
        <w:t>When your case becomes inactive</w:t>
      </w:r>
      <w:bookmarkEnd w:id="69"/>
    </w:p>
    <w:p>
      <w:pPr>
        <w:pStyle w:val="Subsection"/>
        <w:spacing w:before="120"/>
      </w:pPr>
      <w:r>
        <w:tab/>
        <w:t>(1)</w:t>
      </w:r>
      <w:r>
        <w:tab/>
        <w:t>If neither you nor any other party to your case has taken any procedural step for 12 months your case becomes an inactive case, unless the Court orders otherwise.</w:t>
      </w:r>
    </w:p>
    <w:p>
      <w:pPr>
        <w:pStyle w:val="Subsection"/>
        <w:spacing w:before="120"/>
      </w:pPr>
      <w:r>
        <w:tab/>
        <w:t>(2)</w:t>
      </w:r>
      <w:r>
        <w:tab/>
        <w:t>A magistrate or registrar who makes an order or direction in relation to your case may direct that, unless the order or direction is complied with by a stated date, your case becomes an inactive case on that date.</w:t>
      </w:r>
    </w:p>
    <w:p>
      <w:pPr>
        <w:pStyle w:val="Subsection"/>
      </w:pPr>
      <w:r>
        <w:tab/>
        <w:t>(3)</w:t>
      </w:r>
      <w:r>
        <w:tab/>
        <w:t>Unless it is cancelled by a magistrate or registrar before it takes effect, a direction made under subrule (2) takes effect according to its terms.</w:t>
      </w:r>
    </w:p>
    <w:p>
      <w:pPr>
        <w:pStyle w:val="Ednotesubsection"/>
      </w:pPr>
      <w:r>
        <w:tab/>
        <w:t>[(4)</w:t>
      </w:r>
      <w:r>
        <w:tab/>
        <w:t>deleted]</w:t>
      </w:r>
    </w:p>
    <w:p>
      <w:pPr>
        <w:pStyle w:val="Footnotesection"/>
      </w:pPr>
      <w:r>
        <w:tab/>
        <w:t>[Rule 45B inserted: Gazette 31 Dec 2013 p. 6545-6; amended: Gazette 5 Apr 2019 p. 1015.]</w:t>
      </w:r>
    </w:p>
    <w:p>
      <w:pPr>
        <w:pStyle w:val="Heading5"/>
      </w:pPr>
      <w:bookmarkStart w:id="70" w:name="_Toc107393152"/>
      <w:r>
        <w:rPr>
          <w:rStyle w:val="CharSectno"/>
        </w:rPr>
        <w:t>45C</w:t>
      </w:r>
      <w:r>
        <w:t>.</w:t>
      </w:r>
      <w:r>
        <w:tab/>
        <w:t>Notification of inactive cases</w:t>
      </w:r>
      <w:bookmarkEnd w:id="70"/>
    </w:p>
    <w:p>
      <w:pPr>
        <w:pStyle w:val="Subsection"/>
      </w:pPr>
      <w:r>
        <w:tab/>
        <w:t>(1)</w:t>
      </w:r>
      <w:r>
        <w:tab/>
        <w:t xml:space="preserve">If your case becomes an inactive case, the Court is to give you and all the other parties to the case written notice of — </w:t>
      </w:r>
    </w:p>
    <w:p>
      <w:pPr>
        <w:pStyle w:val="Indenta"/>
      </w:pPr>
      <w:r>
        <w:tab/>
        <w:t>(a)</w:t>
      </w:r>
      <w:r>
        <w:tab/>
        <w:t>the fact that the case has become an inactive case and why; and</w:t>
      </w:r>
    </w:p>
    <w:p>
      <w:pPr>
        <w:pStyle w:val="Indenta"/>
      </w:pPr>
      <w:r>
        <w:tab/>
        <w:t>(b)</w:t>
      </w:r>
      <w:r>
        <w:tab/>
        <w:t>the effect of rule 45D.</w:t>
      </w:r>
    </w:p>
    <w:p>
      <w:pPr>
        <w:pStyle w:val="Subsection"/>
      </w:pPr>
      <w:r>
        <w:lastRenderedPageBreak/>
        <w:tab/>
        <w:t>(2)</w:t>
      </w:r>
      <w:r>
        <w:tab/>
        <w:t xml:space="preserve">If an agent representing a party to a case receives a notice under subrule (1), the agent is to notify the party as soon as practicable of — </w:t>
      </w:r>
    </w:p>
    <w:p>
      <w:pPr>
        <w:pStyle w:val="Indenta"/>
      </w:pPr>
      <w:r>
        <w:tab/>
        <w:t>(a)</w:t>
      </w:r>
      <w:r>
        <w:tab/>
        <w:t>the fact that the case has become an inactive case and why; and</w:t>
      </w:r>
    </w:p>
    <w:p>
      <w:pPr>
        <w:pStyle w:val="Indenta"/>
      </w:pPr>
      <w:r>
        <w:tab/>
        <w:t>(b)</w:t>
      </w:r>
      <w:r>
        <w:tab/>
        <w:t>the effect of rule 45D.</w:t>
      </w:r>
    </w:p>
    <w:p>
      <w:pPr>
        <w:pStyle w:val="Footnotesection"/>
      </w:pPr>
      <w:r>
        <w:tab/>
        <w:t>[Rule 45C inserted: Gazette 5 Apr 2019 p. 1015.]</w:t>
      </w:r>
    </w:p>
    <w:p>
      <w:pPr>
        <w:pStyle w:val="Heading5"/>
      </w:pPr>
      <w:bookmarkStart w:id="71" w:name="_Toc107393153"/>
      <w:r>
        <w:rPr>
          <w:rStyle w:val="CharSectno"/>
        </w:rPr>
        <w:t>45D</w:t>
      </w:r>
      <w:r>
        <w:t>.</w:t>
      </w:r>
      <w:r>
        <w:tab/>
        <w:t>Consequences of case becoming an inactive case</w:t>
      </w:r>
      <w:bookmarkEnd w:id="71"/>
    </w:p>
    <w:p>
      <w:pPr>
        <w:pStyle w:val="Subsection"/>
      </w:pPr>
      <w:r>
        <w:tab/>
      </w:r>
      <w:r>
        <w:tab/>
        <w:t xml:space="preserve">So long as your case is an inactive case, the only documents that you may lodge with the Court in relation to the case are — </w:t>
      </w:r>
    </w:p>
    <w:p>
      <w:pPr>
        <w:pStyle w:val="Indenta"/>
      </w:pPr>
      <w:r>
        <w:tab/>
        <w:t>(a)</w:t>
      </w:r>
      <w:r>
        <w:tab/>
        <w:t>an application for an order under rule 45E; or</w:t>
      </w:r>
    </w:p>
    <w:p>
      <w:pPr>
        <w:pStyle w:val="Indenta"/>
      </w:pPr>
      <w:r>
        <w:tab/>
        <w:t>(b)</w:t>
      </w:r>
      <w:r>
        <w:tab/>
        <w:t>a notice of discontinuance under rule 76; or</w:t>
      </w:r>
    </w:p>
    <w:p>
      <w:pPr>
        <w:pStyle w:val="Indenta"/>
      </w:pPr>
      <w:r>
        <w:tab/>
        <w:t>(c)</w:t>
      </w:r>
      <w:r>
        <w:tab/>
        <w:t>a memorandum of consent under rule 33 to an order or judgment that would settle or conclude the case.</w:t>
      </w:r>
    </w:p>
    <w:p>
      <w:pPr>
        <w:pStyle w:val="Footnotesection"/>
      </w:pPr>
      <w:r>
        <w:tab/>
        <w:t>[Rule 45D inserted: Gazette 31 Dec 2013 p. 6546; amended: Gazette 5 Apr 2019 p. 1015.]</w:t>
      </w:r>
    </w:p>
    <w:p>
      <w:pPr>
        <w:pStyle w:val="Heading5"/>
      </w:pPr>
      <w:bookmarkStart w:id="72" w:name="_Toc107393154"/>
      <w:r>
        <w:rPr>
          <w:rStyle w:val="CharSectno"/>
        </w:rPr>
        <w:t>45E</w:t>
      </w:r>
      <w:r>
        <w:t>.</w:t>
      </w:r>
      <w:r>
        <w:tab/>
        <w:t>Cases no longer taken to be inactive</w:t>
      </w:r>
      <w:bookmarkEnd w:id="72"/>
    </w:p>
    <w:p>
      <w:pPr>
        <w:pStyle w:val="Subsection"/>
      </w:pPr>
      <w:r>
        <w:tab/>
        <w:t>(1)</w:t>
      </w:r>
      <w:r>
        <w:tab/>
        <w:t>If your case is an inactive case, you may apply to the Court for an order that the case is no longer taken to be inactive.</w:t>
      </w:r>
    </w:p>
    <w:p>
      <w:pPr>
        <w:pStyle w:val="Subsection"/>
      </w:pPr>
      <w:r>
        <w:tab/>
        <w:t>(2)</w:t>
      </w:r>
      <w:r>
        <w:tab/>
        <w:t xml:space="preserve">The Court may order that an inactive case is no longer taken to be inactive — </w:t>
      </w:r>
    </w:p>
    <w:p>
      <w:pPr>
        <w:pStyle w:val="Indenta"/>
      </w:pPr>
      <w:r>
        <w:tab/>
        <w:t>(a)</w:t>
      </w:r>
      <w:r>
        <w:tab/>
        <w:t>if it is satisfied that the case will be conducted in a timely way; or</w:t>
      </w:r>
    </w:p>
    <w:p>
      <w:pPr>
        <w:pStyle w:val="Indenta"/>
      </w:pPr>
      <w:r>
        <w:tab/>
        <w:t>(b)</w:t>
      </w:r>
      <w:r>
        <w:tab/>
        <w:t>for any other good reason.</w:t>
      </w:r>
    </w:p>
    <w:p>
      <w:pPr>
        <w:pStyle w:val="Subsection"/>
      </w:pPr>
      <w:r>
        <w:tab/>
        <w:t>(3)</w:t>
      </w:r>
      <w:r>
        <w:tab/>
        <w:t>When the Court orders that your case is no longer taken to be inactive, it may make further orders for the conduct of the case in a timely way.</w:t>
      </w:r>
    </w:p>
    <w:p>
      <w:pPr>
        <w:pStyle w:val="Footnotesection"/>
      </w:pPr>
      <w:r>
        <w:tab/>
        <w:t>[Rule 45E inserted: Gazette 5 Apr 2019 p. 1016.]</w:t>
      </w:r>
    </w:p>
    <w:p>
      <w:pPr>
        <w:pStyle w:val="Heading5"/>
      </w:pPr>
      <w:bookmarkStart w:id="73" w:name="_Toc107393155"/>
      <w:r>
        <w:rPr>
          <w:rStyle w:val="CharSectno"/>
        </w:rPr>
        <w:lastRenderedPageBreak/>
        <w:t>45F</w:t>
      </w:r>
      <w:r>
        <w:t>.</w:t>
      </w:r>
      <w:r>
        <w:tab/>
        <w:t>Dismissal of inactive cases</w:t>
      </w:r>
      <w:bookmarkEnd w:id="73"/>
    </w:p>
    <w:p>
      <w:pPr>
        <w:pStyle w:val="Subsection"/>
      </w:pPr>
      <w:r>
        <w:tab/>
        <w:t>(1)</w:t>
      </w:r>
      <w:r>
        <w:tab/>
        <w:t>If your case remains an inactive case for 6 continuous months, it is taken to be dismissed.</w:t>
      </w:r>
    </w:p>
    <w:p>
      <w:pPr>
        <w:pStyle w:val="Subsection"/>
      </w:pPr>
      <w:r>
        <w:tab/>
        <w:t>(2)</w:t>
      </w:r>
      <w:r>
        <w:tab/>
        <w:t>If the Court orders that your case is no longer taken to be inactive and neither you nor any other party to the case takes any procedural step in the case in the 6 months after the date of the order, your case is taken to be dismissed.</w:t>
      </w:r>
    </w:p>
    <w:p>
      <w:pPr>
        <w:pStyle w:val="Subsection"/>
      </w:pPr>
      <w:r>
        <w:tab/>
        <w:t>(3)</w:t>
      </w:r>
      <w:r>
        <w:tab/>
        <w:t xml:space="preserve">If your case is taken to be dismissed under subrule (1) or (2) — </w:t>
      </w:r>
    </w:p>
    <w:p>
      <w:pPr>
        <w:pStyle w:val="Indenta"/>
      </w:pPr>
      <w:r>
        <w:tab/>
        <w:t>(a)</w:t>
      </w:r>
      <w:r>
        <w:tab/>
        <w:t>you or any other party to the case may apply for an order for costs; and</w:t>
      </w:r>
    </w:p>
    <w:p>
      <w:pPr>
        <w:pStyle w:val="Indenta"/>
      </w:pPr>
      <w:r>
        <w:tab/>
        <w:t>(b)</w:t>
      </w:r>
      <w:r>
        <w:tab/>
        <w:t>the Court may make an order for costs.</w:t>
      </w:r>
    </w:p>
    <w:p>
      <w:pPr>
        <w:pStyle w:val="Subsection"/>
      </w:pPr>
      <w:r>
        <w:tab/>
        <w:t>(4)</w:t>
      </w:r>
      <w:r>
        <w:tab/>
        <w:t>The Court may, in exceptional circumstances and on such terms as it thinks just, set aside the dismissal of your case under this rule.</w:t>
      </w:r>
    </w:p>
    <w:p>
      <w:pPr>
        <w:pStyle w:val="Subsection"/>
      </w:pPr>
      <w:r>
        <w:tab/>
        <w:t>(5)</w:t>
      </w:r>
      <w:r>
        <w:tab/>
        <w:t>For the purposes of subrule (4), it does not matter that your case was taken to be dismissed before the commencement of that subrule.</w:t>
      </w:r>
    </w:p>
    <w:p>
      <w:pPr>
        <w:pStyle w:val="Footnotesection"/>
      </w:pPr>
      <w:r>
        <w:tab/>
        <w:t>[Rule 45F inserted: Gazette 5 Apr 2019 p. 1016.]</w:t>
      </w:r>
    </w:p>
    <w:p>
      <w:pPr>
        <w:pStyle w:val="Heading2"/>
      </w:pPr>
      <w:bookmarkStart w:id="74" w:name="_Toc107328490"/>
      <w:bookmarkStart w:id="75" w:name="_Toc107393156"/>
      <w:r>
        <w:rPr>
          <w:rStyle w:val="CharPartNo"/>
        </w:rPr>
        <w:lastRenderedPageBreak/>
        <w:t>Part 10</w:t>
      </w:r>
      <w:r>
        <w:rPr>
          <w:b w:val="0"/>
        </w:rPr>
        <w:t> </w:t>
      </w:r>
      <w:r>
        <w:t>—</w:t>
      </w:r>
      <w:r>
        <w:rPr>
          <w:b w:val="0"/>
        </w:rPr>
        <w:t> </w:t>
      </w:r>
      <w:r>
        <w:rPr>
          <w:rStyle w:val="CharPartText"/>
        </w:rPr>
        <w:t>How to lodge documents</w:t>
      </w:r>
      <w:bookmarkEnd w:id="74"/>
      <w:bookmarkEnd w:id="75"/>
    </w:p>
    <w:p>
      <w:pPr>
        <w:pStyle w:val="Footnoteheading"/>
      </w:pPr>
      <w:r>
        <w:tab/>
        <w:t>[Heading inserted: SL 2021/25 r. 29.]</w:t>
      </w:r>
    </w:p>
    <w:p>
      <w:pPr>
        <w:pStyle w:val="Heading5"/>
      </w:pPr>
      <w:bookmarkStart w:id="76" w:name="_Toc107393157"/>
      <w:r>
        <w:rPr>
          <w:rStyle w:val="CharSectno"/>
        </w:rPr>
        <w:t>45</w:t>
      </w:r>
      <w:r>
        <w:t>.</w:t>
      </w:r>
      <w:r>
        <w:tab/>
        <w:t>How to lodge a document</w:t>
      </w:r>
      <w:bookmarkEnd w:id="76"/>
    </w:p>
    <w:p>
      <w:pPr>
        <w:pStyle w:val="Subsection"/>
      </w:pPr>
      <w:r>
        <w:tab/>
      </w:r>
      <w:r>
        <w:tab/>
        <w:t xml:space="preserve">To lodge a document you must present it to the Court following the rules in this Part together with — </w:t>
      </w:r>
    </w:p>
    <w:p>
      <w:pPr>
        <w:pStyle w:val="Indenta"/>
      </w:pPr>
      <w:r>
        <w:tab/>
        <w:t>(a)</w:t>
      </w:r>
      <w:r>
        <w:tab/>
        <w:t xml:space="preserve">the fee (if any) required to be paid under the </w:t>
      </w:r>
      <w:r>
        <w:rPr>
          <w:i/>
        </w:rPr>
        <w:t>Magistrates Court (Fees) Regulations 2005</w:t>
      </w:r>
      <w:r>
        <w:t>; or</w:t>
      </w:r>
    </w:p>
    <w:p>
      <w:pPr>
        <w:pStyle w:val="Indenta"/>
      </w:pPr>
      <w:r>
        <w:tab/>
        <w:t>(b)</w:t>
      </w:r>
      <w:r>
        <w:tab/>
        <w:t>any information the Court needs to enable the Court to be paid the fee.</w:t>
      </w:r>
    </w:p>
    <w:p>
      <w:pPr>
        <w:pStyle w:val="Footnotesection"/>
      </w:pPr>
      <w:r>
        <w:tab/>
        <w:t>[Rule 45 inserted: SL 2021/25 r. 29.]</w:t>
      </w:r>
    </w:p>
    <w:p>
      <w:pPr>
        <w:pStyle w:val="Heading5"/>
      </w:pPr>
      <w:bookmarkStart w:id="77" w:name="_Toc107393158"/>
      <w:r>
        <w:rPr>
          <w:rStyle w:val="CharSectno"/>
        </w:rPr>
        <w:t>46</w:t>
      </w:r>
      <w:r>
        <w:t>.</w:t>
      </w:r>
      <w:r>
        <w:tab/>
        <w:t>Where you may lodge a claim that starts a case</w:t>
      </w:r>
      <w:bookmarkEnd w:id="77"/>
    </w:p>
    <w:p>
      <w:pPr>
        <w:pStyle w:val="Subsection"/>
      </w:pPr>
      <w:r>
        <w:tab/>
      </w:r>
      <w:r>
        <w:tab/>
        <w:t xml:space="preserve">You may lodge a claim that starts a case at any registry of the Court except a registry of the Court where the only registrar is a member of the Police Force who is a deputy registrar under the </w:t>
      </w:r>
      <w:r>
        <w:rPr>
          <w:i/>
        </w:rPr>
        <w:t>Magistrates Court Act 2004</w:t>
      </w:r>
      <w:r>
        <w:t xml:space="preserve"> section 26(5).</w:t>
      </w:r>
    </w:p>
    <w:p>
      <w:pPr>
        <w:pStyle w:val="Footnotesection"/>
      </w:pPr>
      <w:r>
        <w:tab/>
        <w:t>[Rule 46 inserted: SL 2021/25 r. 29.]</w:t>
      </w:r>
    </w:p>
    <w:p>
      <w:pPr>
        <w:pStyle w:val="Heading5"/>
      </w:pPr>
      <w:bookmarkStart w:id="78" w:name="_Toc107393159"/>
      <w:r>
        <w:rPr>
          <w:rStyle w:val="CharSectno"/>
        </w:rPr>
        <w:t>47</w:t>
      </w:r>
      <w:r>
        <w:t>.</w:t>
      </w:r>
      <w:r>
        <w:tab/>
        <w:t>You must lodge a document by using the ECMS unless these rules permit you not to</w:t>
      </w:r>
      <w:bookmarkEnd w:id="78"/>
    </w:p>
    <w:p>
      <w:pPr>
        <w:pStyle w:val="Subsection"/>
      </w:pPr>
      <w:r>
        <w:tab/>
        <w:t>(1)</w:t>
      </w:r>
      <w:r>
        <w:tab/>
        <w:t xml:space="preserve">You must lodge a document by using the ECMS unless — </w:t>
      </w:r>
    </w:p>
    <w:p>
      <w:pPr>
        <w:pStyle w:val="Indenta"/>
      </w:pPr>
      <w:r>
        <w:tab/>
        <w:t>(a)</w:t>
      </w:r>
      <w:r>
        <w:tab/>
        <w:t>you are ECMS exempt in relation to the document; or</w:t>
      </w:r>
    </w:p>
    <w:p>
      <w:pPr>
        <w:pStyle w:val="Indenta"/>
      </w:pPr>
      <w:r>
        <w:tab/>
        <w:t>(b)</w:t>
      </w:r>
      <w:r>
        <w:tab/>
        <w:t xml:space="preserve">the ECMS — </w:t>
      </w:r>
    </w:p>
    <w:p>
      <w:pPr>
        <w:pStyle w:val="Indenti"/>
      </w:pPr>
      <w:r>
        <w:tab/>
        <w:t>(i)</w:t>
      </w:r>
      <w:r>
        <w:tab/>
        <w:t xml:space="preserve">has been declared unavailable for use under the </w:t>
      </w:r>
      <w:r>
        <w:rPr>
          <w:i/>
        </w:rPr>
        <w:t>Magistrates Court (Civil Proceedings) Rules 2005</w:t>
      </w:r>
      <w:r>
        <w:t xml:space="preserve"> rule 99; or</w:t>
      </w:r>
    </w:p>
    <w:p>
      <w:pPr>
        <w:pStyle w:val="Indenti"/>
      </w:pPr>
      <w:r>
        <w:tab/>
        <w:t>(ii)</w:t>
      </w:r>
      <w:r>
        <w:tab/>
        <w:t>is otherwise unavailable for use; or</w:t>
      </w:r>
    </w:p>
    <w:p>
      <w:pPr>
        <w:pStyle w:val="Indenti"/>
      </w:pPr>
      <w:r>
        <w:tab/>
        <w:t>(iii)</w:t>
      </w:r>
      <w:r>
        <w:tab/>
        <w:t>does not permit the document to be lodged.</w:t>
      </w:r>
    </w:p>
    <w:p>
      <w:pPr>
        <w:pStyle w:val="Subsection"/>
      </w:pPr>
      <w:r>
        <w:tab/>
        <w:t>(2)</w:t>
      </w:r>
      <w:r>
        <w:tab/>
        <w:t xml:space="preserve">If you are not required to lodge a document by using the ECMS, you may lodge it by — </w:t>
      </w:r>
    </w:p>
    <w:p>
      <w:pPr>
        <w:pStyle w:val="Indenta"/>
      </w:pPr>
      <w:r>
        <w:tab/>
        <w:t>(a)</w:t>
      </w:r>
      <w:r>
        <w:tab/>
        <w:t>delivering it by hand; or</w:t>
      </w:r>
    </w:p>
    <w:p>
      <w:pPr>
        <w:pStyle w:val="Indenta"/>
      </w:pPr>
      <w:r>
        <w:lastRenderedPageBreak/>
        <w:tab/>
        <w:t>(b)</w:t>
      </w:r>
      <w:r>
        <w:tab/>
        <w:t>emailing it (see rule 48); or</w:t>
      </w:r>
    </w:p>
    <w:p>
      <w:pPr>
        <w:pStyle w:val="Indenta"/>
      </w:pPr>
      <w:r>
        <w:tab/>
        <w:t>(c)</w:t>
      </w:r>
      <w:r>
        <w:tab/>
        <w:t>posting it (see rule 49C); or</w:t>
      </w:r>
    </w:p>
    <w:p>
      <w:pPr>
        <w:pStyle w:val="Indenta"/>
      </w:pPr>
      <w:r>
        <w:tab/>
        <w:t>(d)</w:t>
      </w:r>
      <w:r>
        <w:tab/>
        <w:t>faxing it (see rule 49C).</w:t>
      </w:r>
    </w:p>
    <w:p>
      <w:pPr>
        <w:pStyle w:val="Footnotesection"/>
      </w:pPr>
      <w:r>
        <w:tab/>
        <w:t>[Rule 47 inserted: SL 2021/25 r. 29.]</w:t>
      </w:r>
    </w:p>
    <w:p>
      <w:pPr>
        <w:pStyle w:val="Heading5"/>
      </w:pPr>
      <w:bookmarkStart w:id="79" w:name="_Toc107393160"/>
      <w:r>
        <w:rPr>
          <w:rStyle w:val="CharSectno"/>
        </w:rPr>
        <w:t>48</w:t>
      </w:r>
      <w:r>
        <w:t>.</w:t>
      </w:r>
      <w:r>
        <w:tab/>
        <w:t>Lodging documents by email</w:t>
      </w:r>
      <w:bookmarkEnd w:id="79"/>
    </w:p>
    <w:p>
      <w:pPr>
        <w:pStyle w:val="Subsection"/>
      </w:pPr>
      <w:r>
        <w:tab/>
      </w:r>
      <w:r>
        <w:tab/>
        <w:t xml:space="preserve">If you want to lodge a document by email and you are permitted to do so by these rules, you must comply with the lodgment requirements set out in the </w:t>
      </w:r>
      <w:r>
        <w:rPr>
          <w:i/>
        </w:rPr>
        <w:t>Magistrates Court (Civil Proceedings) Rules 2005</w:t>
      </w:r>
      <w:r>
        <w:t xml:space="preserve"> rule 98D.</w:t>
      </w:r>
    </w:p>
    <w:p>
      <w:pPr>
        <w:pStyle w:val="Footnotesection"/>
      </w:pPr>
      <w:r>
        <w:tab/>
        <w:t>[Rule 48 inserted: SL 2021/25 r. 29.]</w:t>
      </w:r>
    </w:p>
    <w:p>
      <w:pPr>
        <w:pStyle w:val="Heading5"/>
      </w:pPr>
      <w:bookmarkStart w:id="80" w:name="_Toc107393161"/>
      <w:r>
        <w:rPr>
          <w:rStyle w:val="CharSectno"/>
        </w:rPr>
        <w:t>49</w:t>
      </w:r>
      <w:r>
        <w:t>.</w:t>
      </w:r>
      <w:r>
        <w:tab/>
        <w:t>Form of documents lodged using ECMS or by email</w:t>
      </w:r>
      <w:bookmarkEnd w:id="80"/>
    </w:p>
    <w:p>
      <w:pPr>
        <w:pStyle w:val="Subsection"/>
      </w:pPr>
      <w:r>
        <w:tab/>
        <w:t>(1)</w:t>
      </w:r>
      <w:r>
        <w:tab/>
        <w:t>You must comply with this rule if you want to lodge a document by using the ECMS or by email.</w:t>
      </w:r>
    </w:p>
    <w:p>
      <w:pPr>
        <w:pStyle w:val="Subsection"/>
      </w:pPr>
      <w:r>
        <w:tab/>
        <w:t>(2)</w:t>
      </w:r>
      <w:r>
        <w:tab/>
        <w:t xml:space="preserve">If the document is an affidavit, a consent to the Court doing anything, or a document signed by someone who is not a party to your case, you must — </w:t>
      </w:r>
    </w:p>
    <w:p>
      <w:pPr>
        <w:pStyle w:val="Indenta"/>
      </w:pPr>
      <w:r>
        <w:tab/>
        <w:t>(a)</w:t>
      </w:r>
      <w:r>
        <w:tab/>
        <w:t>ensure that the document is signed; and</w:t>
      </w:r>
    </w:p>
    <w:p>
      <w:pPr>
        <w:pStyle w:val="Indenta"/>
      </w:pPr>
      <w:r>
        <w:tab/>
        <w:t>(b)</w:t>
      </w:r>
      <w:r>
        <w:tab/>
        <w:t>convert it to .pdf format; and</w:t>
      </w:r>
    </w:p>
    <w:p>
      <w:pPr>
        <w:pStyle w:val="Indenta"/>
      </w:pPr>
      <w:r>
        <w:tab/>
        <w:t>(c)</w:t>
      </w:r>
      <w:r>
        <w:tab/>
        <w:t>lodge the document; and</w:t>
      </w:r>
    </w:p>
    <w:p>
      <w:pPr>
        <w:pStyle w:val="Indenta"/>
      </w:pPr>
      <w:r>
        <w:tab/>
        <w:t>(d)</w:t>
      </w:r>
      <w:r>
        <w:tab/>
        <w:t>keep the signed copy and produce it if required to do so by the Court.</w:t>
      </w:r>
    </w:p>
    <w:p>
      <w:pPr>
        <w:pStyle w:val="Subsection"/>
      </w:pPr>
      <w:r>
        <w:tab/>
        <w:t>(3)</w:t>
      </w:r>
      <w:r>
        <w:tab/>
        <w:t xml:space="preserve">For any other document that must be signed under the </w:t>
      </w:r>
      <w:r>
        <w:rPr>
          <w:i/>
        </w:rPr>
        <w:t>Magistrates Court (General) Rules 2005</w:t>
      </w:r>
      <w:r>
        <w:t xml:space="preserve"> or the </w:t>
      </w:r>
      <w:r>
        <w:rPr>
          <w:i/>
        </w:rPr>
        <w:t>Magistrates Court (Civil Proceedings) Rules 2005</w:t>
      </w:r>
      <w:r>
        <w:t xml:space="preserve">, you must — </w:t>
      </w:r>
    </w:p>
    <w:p>
      <w:pPr>
        <w:pStyle w:val="Indenta"/>
      </w:pPr>
      <w:r>
        <w:tab/>
        <w:t>(a)</w:t>
      </w:r>
      <w:r>
        <w:tab/>
        <w:t>ensure that the document is signed; and</w:t>
      </w:r>
    </w:p>
    <w:p>
      <w:pPr>
        <w:pStyle w:val="Indenta"/>
      </w:pPr>
      <w:r>
        <w:tab/>
        <w:t>(b)</w:t>
      </w:r>
      <w:r>
        <w:tab/>
        <w:t>present a copy of the document, in .docx format, instead of the signed copy; and</w:t>
      </w:r>
    </w:p>
    <w:p>
      <w:pPr>
        <w:pStyle w:val="Indenta"/>
      </w:pPr>
      <w:r>
        <w:tab/>
        <w:t>(c)</w:t>
      </w:r>
      <w:r>
        <w:tab/>
        <w:t>in any place in the copy of the document in .docx format where a signature would otherwise be required, state the name of the person who is required to sign it; and</w:t>
      </w:r>
    </w:p>
    <w:p>
      <w:pPr>
        <w:pStyle w:val="Indenta"/>
      </w:pPr>
      <w:r>
        <w:lastRenderedPageBreak/>
        <w:tab/>
        <w:t>(d)</w:t>
      </w:r>
      <w:r>
        <w:tab/>
        <w:t>retain the signed copy and produce it if required to do so by the Court.</w:t>
      </w:r>
    </w:p>
    <w:p>
      <w:pPr>
        <w:pStyle w:val="Footnotesection"/>
      </w:pPr>
      <w:r>
        <w:tab/>
        <w:t>[Rule 49 inserted: SL 2021/25 r. 29.]</w:t>
      </w:r>
    </w:p>
    <w:p>
      <w:pPr>
        <w:pStyle w:val="Heading5"/>
      </w:pPr>
      <w:bookmarkStart w:id="81" w:name="_Toc107393162"/>
      <w:r>
        <w:rPr>
          <w:rStyle w:val="CharSectno"/>
        </w:rPr>
        <w:t>49A</w:t>
      </w:r>
      <w:r>
        <w:t>.</w:t>
      </w:r>
      <w:r>
        <w:tab/>
        <w:t>Time documents are lodged</w:t>
      </w:r>
      <w:bookmarkEnd w:id="81"/>
    </w:p>
    <w:p>
      <w:pPr>
        <w:pStyle w:val="Subsection"/>
      </w:pPr>
      <w:r>
        <w:tab/>
      </w:r>
      <w:r>
        <w:tab/>
        <w:t xml:space="preserve">Documents lodged by using the ECMS or by email or fax are taken to have been lodged — </w:t>
      </w:r>
    </w:p>
    <w:p>
      <w:pPr>
        <w:pStyle w:val="Indenta"/>
      </w:pPr>
      <w:r>
        <w:tab/>
        <w:t>(a)</w:t>
      </w:r>
      <w:r>
        <w:tab/>
        <w:t>in the case of lodging by using the ECMS — on the day and at the time when the ECMS records the lodgment; and</w:t>
      </w:r>
    </w:p>
    <w:p>
      <w:pPr>
        <w:pStyle w:val="Indenta"/>
      </w:pPr>
      <w:r>
        <w:tab/>
        <w:t>(b)</w:t>
      </w:r>
      <w:r>
        <w:tab/>
        <w:t>in the case of lodging by email — on the day and at the time when the Court receives the email; and</w:t>
      </w:r>
    </w:p>
    <w:p>
      <w:pPr>
        <w:pStyle w:val="Indenta"/>
      </w:pPr>
      <w:r>
        <w:tab/>
        <w:t>(c)</w:t>
      </w:r>
      <w:r>
        <w:tab/>
        <w:t>in the case of lodging by fax — on the day and at the time when the Court receives the fax.</w:t>
      </w:r>
    </w:p>
    <w:p>
      <w:pPr>
        <w:pStyle w:val="Footnotesection"/>
      </w:pPr>
      <w:r>
        <w:tab/>
        <w:t>[Rule 49A inserted: SL 2021/25 r. 29.]</w:t>
      </w:r>
    </w:p>
    <w:p>
      <w:pPr>
        <w:pStyle w:val="Heading5"/>
      </w:pPr>
      <w:bookmarkStart w:id="82" w:name="_Toc107393163"/>
      <w:r>
        <w:rPr>
          <w:rStyle w:val="CharSectno"/>
        </w:rPr>
        <w:t>49B</w:t>
      </w:r>
      <w:r>
        <w:t>.</w:t>
      </w:r>
      <w:r>
        <w:tab/>
        <w:t>General provisions as to lodgment</w:t>
      </w:r>
      <w:bookmarkEnd w:id="82"/>
    </w:p>
    <w:p>
      <w:pPr>
        <w:pStyle w:val="Subsection"/>
      </w:pPr>
      <w:r>
        <w:tab/>
        <w:t>(1)</w:t>
      </w:r>
      <w:r>
        <w:tab/>
        <w:t>You do not need to comply with a requirement by the Court to lodge 2 or more copies of a document if you lodge the document by using the ECMS or by email.</w:t>
      </w:r>
    </w:p>
    <w:p>
      <w:pPr>
        <w:pStyle w:val="Subsection"/>
      </w:pPr>
      <w:r>
        <w:tab/>
        <w:t>(2)</w:t>
      </w:r>
      <w:r>
        <w:tab/>
        <w:t xml:space="preserve">The Court or a registrar may reject a document that you present for lodgment if — </w:t>
      </w:r>
    </w:p>
    <w:p>
      <w:pPr>
        <w:pStyle w:val="Indenta"/>
      </w:pPr>
      <w:r>
        <w:tab/>
        <w:t>(a)</w:t>
      </w:r>
      <w:r>
        <w:tab/>
        <w:t>the form and content of the document do not comply with these rules and any Court order or direction; or</w:t>
      </w:r>
    </w:p>
    <w:p>
      <w:pPr>
        <w:pStyle w:val="Indenta"/>
      </w:pPr>
      <w:r>
        <w:tab/>
        <w:t>(b)</w:t>
      </w:r>
      <w:r>
        <w:tab/>
        <w:t>the document is not presented following the rules in this Part.</w:t>
      </w:r>
    </w:p>
    <w:p>
      <w:pPr>
        <w:pStyle w:val="Subsection"/>
      </w:pPr>
      <w:r>
        <w:tab/>
        <w:t>(3)</w:t>
      </w:r>
      <w:r>
        <w:tab/>
        <w:t>If the Court or a registrar rejects a document under subrule (2), a registrar must notify the person who presented the document for lodgment.</w:t>
      </w:r>
    </w:p>
    <w:p>
      <w:pPr>
        <w:pStyle w:val="Subsection"/>
        <w:keepNext/>
      </w:pPr>
      <w:r>
        <w:lastRenderedPageBreak/>
        <w:tab/>
        <w:t>(4)</w:t>
      </w:r>
      <w:r>
        <w:tab/>
        <w:t xml:space="preserve">If you present a document for lodgment by using the ECMS or by email, the Court or a registrar may order you to — </w:t>
      </w:r>
    </w:p>
    <w:p>
      <w:pPr>
        <w:pStyle w:val="Indenta"/>
      </w:pPr>
      <w:r>
        <w:tab/>
        <w:t>(a)</w:t>
      </w:r>
      <w:r>
        <w:tab/>
        <w:t>bring the original document to any conference or hearing in the case; or</w:t>
      </w:r>
    </w:p>
    <w:p>
      <w:pPr>
        <w:pStyle w:val="Indenta"/>
      </w:pPr>
      <w:r>
        <w:tab/>
        <w:t>(b)</w:t>
      </w:r>
      <w:r>
        <w:tab/>
        <w:t>lodge the original document.</w:t>
      </w:r>
    </w:p>
    <w:p>
      <w:pPr>
        <w:pStyle w:val="Footnotesection"/>
      </w:pPr>
      <w:r>
        <w:tab/>
        <w:t>[Rule 49B inserted: SL 2021/25 r. 29.]</w:t>
      </w:r>
    </w:p>
    <w:p>
      <w:pPr>
        <w:pStyle w:val="Heading5"/>
      </w:pPr>
      <w:bookmarkStart w:id="83" w:name="_Toc107393164"/>
      <w:r>
        <w:rPr>
          <w:rStyle w:val="CharSectno"/>
        </w:rPr>
        <w:t>49C</w:t>
      </w:r>
      <w:r>
        <w:t>.</w:t>
      </w:r>
      <w:r>
        <w:tab/>
        <w:t>Lodging documents by post or fax</w:t>
      </w:r>
      <w:bookmarkEnd w:id="83"/>
    </w:p>
    <w:p>
      <w:pPr>
        <w:pStyle w:val="Subsection"/>
      </w:pPr>
      <w:r>
        <w:tab/>
      </w:r>
      <w:r>
        <w:tab/>
        <w:t xml:space="preserve">If you want to lodge a document by post or fax and you are permitted to do so by these rules, you must comply with the lodgment requirements set out in the </w:t>
      </w:r>
      <w:r>
        <w:rPr>
          <w:i/>
        </w:rPr>
        <w:t>Magistrates Court (Civil Proceedings) Rules 2005</w:t>
      </w:r>
      <w:r>
        <w:t xml:space="preserve"> rule 98F or 98G.</w:t>
      </w:r>
    </w:p>
    <w:p>
      <w:pPr>
        <w:pStyle w:val="Footnotesection"/>
      </w:pPr>
      <w:r>
        <w:tab/>
        <w:t>[Rule 49C inserted: SL 2021/25 r. 29.]</w:t>
      </w:r>
    </w:p>
    <w:p>
      <w:pPr>
        <w:pStyle w:val="Heading5"/>
      </w:pPr>
      <w:bookmarkStart w:id="84" w:name="_Toc107393165"/>
      <w:r>
        <w:rPr>
          <w:rStyle w:val="CharSectno"/>
        </w:rPr>
        <w:t>49D</w:t>
      </w:r>
      <w:r>
        <w:t>.</w:t>
      </w:r>
      <w:r>
        <w:tab/>
        <w:t>The Court may convert paper documents to electronic form</w:t>
      </w:r>
      <w:bookmarkEnd w:id="84"/>
    </w:p>
    <w:p>
      <w:pPr>
        <w:pStyle w:val="Subsection"/>
      </w:pPr>
      <w:r>
        <w:tab/>
      </w:r>
      <w:r>
        <w:tab/>
        <w:t>The Court may convert the lodged paper copy of a document to an electronic format and record it in the ECMS as if it had been lodged by using the ECMS.</w:t>
      </w:r>
    </w:p>
    <w:p>
      <w:pPr>
        <w:pStyle w:val="Footnotesection"/>
      </w:pPr>
      <w:r>
        <w:tab/>
        <w:t>[Rule 49D inserted: SL 2021/25 r. 29.]</w:t>
      </w:r>
    </w:p>
    <w:p>
      <w:pPr>
        <w:pStyle w:val="Heading2"/>
      </w:pPr>
      <w:bookmarkStart w:id="85" w:name="_Toc107328500"/>
      <w:bookmarkStart w:id="86" w:name="_Toc107393166"/>
      <w:r>
        <w:rPr>
          <w:rStyle w:val="CharPartNo"/>
        </w:rPr>
        <w:lastRenderedPageBreak/>
        <w:t>Part 11</w:t>
      </w:r>
      <w:r>
        <w:t> — </w:t>
      </w:r>
      <w:r>
        <w:rPr>
          <w:rStyle w:val="CharPartText"/>
        </w:rPr>
        <w:t>How to serve documents</w:t>
      </w:r>
      <w:bookmarkEnd w:id="85"/>
      <w:bookmarkEnd w:id="86"/>
    </w:p>
    <w:p>
      <w:pPr>
        <w:pStyle w:val="Heading3"/>
      </w:pPr>
      <w:bookmarkStart w:id="87" w:name="_Toc107328501"/>
      <w:bookmarkStart w:id="88" w:name="_Toc107393167"/>
      <w:r>
        <w:rPr>
          <w:rStyle w:val="CharDivNo"/>
        </w:rPr>
        <w:t>Division 1</w:t>
      </w:r>
      <w:r>
        <w:t> — </w:t>
      </w:r>
      <w:r>
        <w:rPr>
          <w:rStyle w:val="CharDivText"/>
        </w:rPr>
        <w:t>General</w:t>
      </w:r>
      <w:bookmarkEnd w:id="87"/>
      <w:bookmarkEnd w:id="88"/>
    </w:p>
    <w:p>
      <w:pPr>
        <w:pStyle w:val="Heading5"/>
      </w:pPr>
      <w:bookmarkStart w:id="89" w:name="_Toc107393168"/>
      <w:r>
        <w:rPr>
          <w:rStyle w:val="CharSectno"/>
        </w:rPr>
        <w:t>50</w:t>
      </w:r>
      <w:r>
        <w:t>.</w:t>
      </w:r>
      <w:r>
        <w:tab/>
        <w:t>Meaning of serve</w:t>
      </w:r>
      <w:bookmarkEnd w:id="89"/>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90" w:name="_Toc107393169"/>
      <w:r>
        <w:rPr>
          <w:rStyle w:val="CharSectno"/>
        </w:rPr>
        <w:t>51</w:t>
      </w:r>
      <w:r>
        <w:t>.</w:t>
      </w:r>
      <w:r>
        <w:tab/>
        <w:t>How to serve a document</w:t>
      </w:r>
      <w:bookmarkEnd w:id="90"/>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 or</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 or the party’s usual postal address.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Footnotesection"/>
      </w:pPr>
      <w:r>
        <w:tab/>
        <w:t>[Rule 51 amended: Gazette 24 May 2013 p. 2059.]</w:t>
      </w:r>
    </w:p>
    <w:p>
      <w:pPr>
        <w:pStyle w:val="Heading5"/>
      </w:pPr>
      <w:bookmarkStart w:id="91" w:name="_Toc107393170"/>
      <w:r>
        <w:rPr>
          <w:rStyle w:val="CharSectno"/>
        </w:rPr>
        <w:lastRenderedPageBreak/>
        <w:t>52</w:t>
      </w:r>
      <w:r>
        <w:t>.</w:t>
      </w:r>
      <w:r>
        <w:tab/>
        <w:t>An enforcement officer may serve documents for you</w:t>
      </w:r>
      <w:bookmarkEnd w:id="91"/>
    </w:p>
    <w:p>
      <w:pPr>
        <w:pStyle w:val="Subsection"/>
      </w:pPr>
      <w:r>
        <w:tab/>
        <w:t>(1)</w:t>
      </w:r>
      <w:r>
        <w:tab/>
        <w:t>You may ask an enforcement officer, an administrative staff member or a departmental officer to serve a document for you.</w:t>
      </w:r>
    </w:p>
    <w:p>
      <w:pPr>
        <w:pStyle w:val="Subsection"/>
      </w:pPr>
      <w:r>
        <w:tab/>
        <w:t>(1A)</w:t>
      </w:r>
      <w:r>
        <w:tab/>
        <w:t>If an enforcement officer, administrative staff member or departmental officer serves a document for you, that person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 administrative staff member or departmental officer.</w:t>
      </w:r>
    </w:p>
    <w:p>
      <w:pPr>
        <w:pStyle w:val="Footnotesection"/>
      </w:pPr>
      <w:r>
        <w:tab/>
        <w:t>[Rule 52 amended: Gazette 24 Aug 2007 p. 4334; 3 May 2016 p. 1362.]</w:t>
      </w:r>
    </w:p>
    <w:p>
      <w:pPr>
        <w:pStyle w:val="Heading5"/>
      </w:pPr>
      <w:bookmarkStart w:id="92" w:name="_Toc107393171"/>
      <w:r>
        <w:rPr>
          <w:rStyle w:val="CharSectno"/>
        </w:rPr>
        <w:t>53</w:t>
      </w:r>
      <w:r>
        <w:t>.</w:t>
      </w:r>
      <w:r>
        <w:tab/>
        <w:t>You must lodge an affidavit after serving a document</w:t>
      </w:r>
      <w:bookmarkEnd w:id="92"/>
    </w:p>
    <w:p>
      <w:pPr>
        <w:pStyle w:val="Subsection"/>
      </w:pPr>
      <w:r>
        <w:tab/>
        <w:t>(1)</w:t>
      </w:r>
      <w:r>
        <w:tab/>
        <w:t>If you serve a document personally, or someone other than an enforcement officer, administrative staff member or departmental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Gazette 24 Aug 2007 p. 4334; 3 May 2016 p. 1362.]</w:t>
      </w:r>
    </w:p>
    <w:p>
      <w:pPr>
        <w:pStyle w:val="Heading3"/>
      </w:pPr>
      <w:bookmarkStart w:id="93" w:name="_Toc107328506"/>
      <w:bookmarkStart w:id="94" w:name="_Toc107393172"/>
      <w:r>
        <w:rPr>
          <w:rStyle w:val="CharDivNo"/>
        </w:rPr>
        <w:t>Division 2</w:t>
      </w:r>
      <w:r>
        <w:t> — </w:t>
      </w:r>
      <w:r>
        <w:rPr>
          <w:rStyle w:val="CharDivText"/>
        </w:rPr>
        <w:t>Service at a residential or business address</w:t>
      </w:r>
      <w:bookmarkEnd w:id="93"/>
      <w:bookmarkEnd w:id="94"/>
    </w:p>
    <w:p>
      <w:pPr>
        <w:pStyle w:val="Footnoteheading"/>
      </w:pPr>
      <w:r>
        <w:tab/>
        <w:t>[Heading inserted: Gazette 20 May 2011 p. 1840.]</w:t>
      </w:r>
    </w:p>
    <w:p>
      <w:pPr>
        <w:pStyle w:val="Heading5"/>
      </w:pPr>
      <w:bookmarkStart w:id="95" w:name="_Toc107393173"/>
      <w:r>
        <w:rPr>
          <w:rStyle w:val="CharSectno"/>
        </w:rPr>
        <w:t>54</w:t>
      </w:r>
      <w:r>
        <w:t>.</w:t>
      </w:r>
      <w:r>
        <w:tab/>
        <w:t>Your address must be on each document</w:t>
      </w:r>
      <w:bookmarkEnd w:id="95"/>
    </w:p>
    <w:p>
      <w:pPr>
        <w:pStyle w:val="Subsection"/>
      </w:pPr>
      <w:r>
        <w:tab/>
        <w:t>(1)</w:t>
      </w:r>
      <w:r>
        <w:tab/>
        <w:t>If you lodge a document in relation to a case, the document must contain your residential or business address for service.</w:t>
      </w:r>
    </w:p>
    <w:p>
      <w:pPr>
        <w:pStyle w:val="Subsection"/>
      </w:pPr>
      <w:r>
        <w:lastRenderedPageBreak/>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Gazette 3 Jun 2008 p. 2145</w:t>
      </w:r>
      <w:r>
        <w:noBreakHyphen/>
        <w:t>6.]</w:t>
      </w:r>
    </w:p>
    <w:p>
      <w:pPr>
        <w:pStyle w:val="Heading5"/>
      </w:pPr>
      <w:bookmarkStart w:id="96" w:name="_Toc107393174"/>
      <w:r>
        <w:rPr>
          <w:rStyle w:val="CharSectno"/>
        </w:rPr>
        <w:t>55</w:t>
      </w:r>
      <w:r>
        <w:t>.</w:t>
      </w:r>
      <w:r>
        <w:tab/>
        <w:t>If you are not represented</w:t>
      </w:r>
      <w:bookmarkEnd w:id="96"/>
    </w:p>
    <w:p>
      <w:pPr>
        <w:pStyle w:val="Subsection"/>
      </w:pPr>
      <w:r>
        <w:tab/>
        <w:t>(1)</w:t>
      </w:r>
      <w:r>
        <w:tab/>
        <w:t>If you are an individual who is not represented by an agent, the address for service is to be your usual place of residence, your principal place of business or your postal address.</w:t>
      </w:r>
    </w:p>
    <w:p>
      <w:pPr>
        <w:pStyle w:val="Subsection"/>
      </w:pPr>
      <w:r>
        <w:tab/>
        <w:t>(2A)</w:t>
      </w:r>
      <w:r>
        <w:tab/>
        <w:t>If you are an individual who is not represented by an agent and you provide a postal address as your address for service you must also provide the Court and each of the other parties details of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r>
        <w:tab/>
        <w:t>[Rule 55 amended: Gazette 3 Jun 2008 p. 2146; 24 May 2013 p. 2059.]</w:t>
      </w:r>
    </w:p>
    <w:p>
      <w:pPr>
        <w:pStyle w:val="Heading5"/>
      </w:pPr>
      <w:bookmarkStart w:id="97" w:name="_Toc107393175"/>
      <w:r>
        <w:rPr>
          <w:rStyle w:val="CharSectno"/>
        </w:rPr>
        <w:t>56</w:t>
      </w:r>
      <w:r>
        <w:t>.</w:t>
      </w:r>
      <w:r>
        <w:tab/>
        <w:t>If you are represented</w:t>
      </w:r>
      <w:bookmarkEnd w:id="97"/>
    </w:p>
    <w:p>
      <w:pPr>
        <w:pStyle w:val="Subsection"/>
        <w:spacing w:before="120"/>
      </w:pPr>
      <w:r>
        <w:tab/>
        <w:t>(1)</w:t>
      </w:r>
      <w:r>
        <w:tab/>
        <w:t>If you are represented by a legal practitioner, your address for service is to be your legal practitioner’s principal place of business or your legal practitioner’s number (if any) at a document exchange approved by the Chief Magistrate.</w:t>
      </w:r>
    </w:p>
    <w:p>
      <w:pPr>
        <w:pStyle w:val="Subsection"/>
        <w:spacing w:before="120"/>
      </w:pPr>
      <w:r>
        <w:tab/>
        <w:t>(2)</w:t>
      </w:r>
      <w:r>
        <w:tab/>
        <w:t>If you are represented by an agent who is not a legal practitioner, your address for service is to be your agent’s usual place of residence or principal place of business.</w:t>
      </w:r>
    </w:p>
    <w:p>
      <w:pPr>
        <w:pStyle w:val="Footnotesection"/>
      </w:pPr>
      <w:r>
        <w:lastRenderedPageBreak/>
        <w:tab/>
        <w:t>[Rule 56 amended: Gazette 3 Jun 2008 p. 2146; SL 2022/106 r. 8.]</w:t>
      </w:r>
    </w:p>
    <w:p>
      <w:pPr>
        <w:pStyle w:val="Heading5"/>
      </w:pPr>
      <w:bookmarkStart w:id="98" w:name="_Toc107393176"/>
      <w:r>
        <w:rPr>
          <w:rStyle w:val="CharSectno"/>
        </w:rPr>
        <w:t>57</w:t>
      </w:r>
      <w:r>
        <w:t>.</w:t>
      </w:r>
      <w:r>
        <w:tab/>
        <w:t>If your address changes</w:t>
      </w:r>
      <w:bookmarkEnd w:id="98"/>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99" w:name="_Toc107328511"/>
      <w:bookmarkStart w:id="100" w:name="_Toc107393177"/>
      <w:r>
        <w:rPr>
          <w:rStyle w:val="CharDivNo"/>
        </w:rPr>
        <w:t>Division 3</w:t>
      </w:r>
      <w:r>
        <w:t> — </w:t>
      </w:r>
      <w:r>
        <w:rPr>
          <w:rStyle w:val="CharDivText"/>
        </w:rPr>
        <w:t>Personal service</w:t>
      </w:r>
      <w:bookmarkEnd w:id="99"/>
      <w:bookmarkEnd w:id="100"/>
    </w:p>
    <w:p>
      <w:pPr>
        <w:pStyle w:val="Heading5"/>
      </w:pPr>
      <w:bookmarkStart w:id="101" w:name="_Toc107393178"/>
      <w:r>
        <w:rPr>
          <w:rStyle w:val="CharSectno"/>
        </w:rPr>
        <w:t>58</w:t>
      </w:r>
      <w:r>
        <w:t>.</w:t>
      </w:r>
      <w:r>
        <w:tab/>
        <w:t>Service on an individual personally</w:t>
      </w:r>
      <w:bookmarkEnd w:id="101"/>
    </w:p>
    <w:p>
      <w:pPr>
        <w:pStyle w:val="Subsection"/>
      </w:pPr>
      <w:r>
        <w:tab/>
      </w:r>
      <w:r>
        <w:tab/>
        <w:t xml:space="preserve">In order to serve a document on an individual personally you must — </w:t>
      </w:r>
    </w:p>
    <w:p>
      <w:pPr>
        <w:pStyle w:val="Indenta"/>
        <w:rPr>
          <w:u w:val="words"/>
        </w:rPr>
      </w:pPr>
      <w:r>
        <w:tab/>
        <w:t>(a)</w:t>
      </w:r>
      <w:r>
        <w:tab/>
        <w:t>hand the document to the individual or, if he or she is a person under a legal disability, to his or her parent, guardian or litigation guardian;</w:t>
      </w:r>
      <w:r>
        <w:rPr>
          <w:u w:val="words"/>
        </w:rPr>
        <w:t xml:space="preserve"> </w:t>
      </w:r>
      <w:r>
        <w:t>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someone who is authorised in writing to receive documents on behalf of the individual; or</w:t>
      </w:r>
    </w:p>
    <w:p>
      <w:pPr>
        <w:pStyle w:val="Indenta"/>
      </w:pPr>
      <w:r>
        <w:tab/>
        <w:t>(d)</w:t>
      </w:r>
      <w:r>
        <w:tab/>
        <w:t>hand the document to someone at the individual’s usual or last known place of residence or business who is believed, on reasonable grounds, to have reached 18 years of age; or</w:t>
      </w:r>
    </w:p>
    <w:p>
      <w:pPr>
        <w:pStyle w:val="Indenta"/>
      </w:pPr>
      <w:r>
        <w:tab/>
        <w:t>(e)</w:t>
      </w:r>
      <w:r>
        <w:tab/>
        <w:t>hand the document to an agent who is acting for the individual.</w:t>
      </w:r>
    </w:p>
    <w:p>
      <w:pPr>
        <w:pStyle w:val="Footnotesection"/>
        <w:rPr>
          <w:u w:val="words"/>
        </w:rPr>
      </w:pPr>
      <w:r>
        <w:tab/>
        <w:t>[Rule 58 amended: Gazette 2 Jul 2010 p. 3196; 31 Dec 2013 p. 6547.]</w:t>
      </w:r>
    </w:p>
    <w:p>
      <w:pPr>
        <w:pStyle w:val="Heading5"/>
      </w:pPr>
      <w:bookmarkStart w:id="102" w:name="_Toc107393179"/>
      <w:r>
        <w:rPr>
          <w:rStyle w:val="CharSectno"/>
        </w:rPr>
        <w:lastRenderedPageBreak/>
        <w:t>59</w:t>
      </w:r>
      <w:r>
        <w:t>.</w:t>
      </w:r>
      <w:r>
        <w:tab/>
        <w:t>Service on a partnership personally</w:t>
      </w:r>
      <w:bookmarkEnd w:id="102"/>
    </w:p>
    <w:p>
      <w:pPr>
        <w:pStyle w:val="Subsection"/>
      </w:pPr>
      <w:r>
        <w:tab/>
      </w:r>
      <w:r>
        <w:tab/>
        <w:t xml:space="preserve">In order to serve a document on a partnership personally you must — </w:t>
      </w:r>
    </w:p>
    <w:p>
      <w:pPr>
        <w:pStyle w:val="Indenta"/>
      </w:pPr>
      <w:r>
        <w:tab/>
        <w:t>(a)</w:t>
      </w:r>
      <w:r>
        <w:tab/>
        <w:t>hand the document to one of the partners; or</w:t>
      </w:r>
    </w:p>
    <w:p>
      <w:pPr>
        <w:pStyle w:val="Indenta"/>
      </w:pPr>
      <w:r>
        <w:tab/>
        <w:t>(b)</w:t>
      </w:r>
      <w:r>
        <w:tab/>
        <w:t>if the partner does not accept the document, put the document down in the partner’s presence and advise the partner of the nature of the document; or</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legal practitioner who is acting for the partnership.</w:t>
      </w:r>
    </w:p>
    <w:p>
      <w:pPr>
        <w:pStyle w:val="Footnotesection"/>
      </w:pPr>
      <w:r>
        <w:tab/>
        <w:t>[Rule 59 amended: SL 2022/106 r. 8.]</w:t>
      </w:r>
    </w:p>
    <w:p>
      <w:pPr>
        <w:pStyle w:val="Heading5"/>
      </w:pPr>
      <w:bookmarkStart w:id="103" w:name="_Toc107393180"/>
      <w:r>
        <w:rPr>
          <w:rStyle w:val="CharSectno"/>
        </w:rPr>
        <w:t>60</w:t>
      </w:r>
      <w:r>
        <w:t>.</w:t>
      </w:r>
      <w:r>
        <w:tab/>
        <w:t>Service on a corporation personally</w:t>
      </w:r>
      <w:bookmarkEnd w:id="103"/>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legal practitioner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Gazette 3 Jun 2008 p. 2146; amended: SL 2022/106 r. 8.]</w:t>
      </w:r>
    </w:p>
    <w:p>
      <w:pPr>
        <w:pStyle w:val="Heading5"/>
      </w:pPr>
      <w:bookmarkStart w:id="104" w:name="_Toc107393181"/>
      <w:r>
        <w:rPr>
          <w:rStyle w:val="CharSectno"/>
        </w:rPr>
        <w:t>61</w:t>
      </w:r>
      <w:r>
        <w:t>.</w:t>
      </w:r>
      <w:r>
        <w:tab/>
        <w:t>Service on a public authority personally</w:t>
      </w:r>
      <w:bookmarkEnd w:id="104"/>
    </w:p>
    <w:p>
      <w:pPr>
        <w:pStyle w:val="Subsection"/>
      </w:pPr>
      <w:r>
        <w:tab/>
      </w:r>
      <w:r>
        <w:tab/>
        <w:t xml:space="preserve">In order to serve a document on a public authority personally you must — </w:t>
      </w:r>
    </w:p>
    <w:p>
      <w:pPr>
        <w:pStyle w:val="Indenta"/>
      </w:pPr>
      <w:r>
        <w:tab/>
        <w:t>(a)</w:t>
      </w:r>
      <w:r>
        <w:tab/>
        <w:t xml:space="preserve">hand the document to a person who, on reasonable grounds, is believed to be the chief executive officer of the public authority or a person authorised by the chief </w:t>
      </w:r>
      <w:r>
        <w:lastRenderedPageBreak/>
        <w:t>executive officer to receive documents for the purposes of this paragraph; or</w:t>
      </w:r>
    </w:p>
    <w:p>
      <w:pPr>
        <w:pStyle w:val="Indenta"/>
      </w:pPr>
      <w:r>
        <w:tab/>
        <w:t>(b)</w:t>
      </w:r>
      <w:r>
        <w:tab/>
        <w:t>hand the document to a legal practitioner who is acting for the public authority.</w:t>
      </w:r>
    </w:p>
    <w:p>
      <w:pPr>
        <w:pStyle w:val="Footnotesection"/>
      </w:pPr>
      <w:r>
        <w:tab/>
        <w:t>[Rule 61 amended: SL 2022/106 r. 8.]</w:t>
      </w:r>
    </w:p>
    <w:p>
      <w:pPr>
        <w:pStyle w:val="Heading3"/>
      </w:pPr>
      <w:bookmarkStart w:id="105" w:name="_Toc107328516"/>
      <w:bookmarkStart w:id="106" w:name="_Toc107393182"/>
      <w:r>
        <w:rPr>
          <w:rStyle w:val="CharDivNo"/>
        </w:rPr>
        <w:t>Division 4</w:t>
      </w:r>
      <w:r>
        <w:t> — </w:t>
      </w:r>
      <w:r>
        <w:rPr>
          <w:rStyle w:val="CharDivText"/>
        </w:rPr>
        <w:t>Miscellaneous</w:t>
      </w:r>
      <w:bookmarkEnd w:id="105"/>
      <w:bookmarkEnd w:id="106"/>
    </w:p>
    <w:p>
      <w:pPr>
        <w:pStyle w:val="Footnoteheading"/>
      </w:pPr>
      <w:r>
        <w:tab/>
        <w:t>[Heading inserted: Gazette 3 Jun 2008 p. 2147.]</w:t>
      </w:r>
    </w:p>
    <w:p>
      <w:pPr>
        <w:pStyle w:val="Heading5"/>
      </w:pPr>
      <w:bookmarkStart w:id="107" w:name="_Toc107393183"/>
      <w:r>
        <w:rPr>
          <w:rStyle w:val="CharSectno"/>
        </w:rPr>
        <w:t>62A</w:t>
      </w:r>
      <w:r>
        <w:t>.</w:t>
      </w:r>
      <w:r>
        <w:tab/>
        <w:t>Applications for substituted service</w:t>
      </w:r>
      <w:bookmarkEnd w:id="107"/>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Gazette 3 Jun 2008 p. 2147.]</w:t>
      </w:r>
    </w:p>
    <w:p>
      <w:pPr>
        <w:pStyle w:val="Heading2"/>
      </w:pPr>
      <w:bookmarkStart w:id="108" w:name="_Toc107328518"/>
      <w:bookmarkStart w:id="109" w:name="_Toc107393184"/>
      <w:r>
        <w:rPr>
          <w:rStyle w:val="CharPartNo"/>
        </w:rPr>
        <w:lastRenderedPageBreak/>
        <w:t>Part 12</w:t>
      </w:r>
      <w:r>
        <w:rPr>
          <w:rStyle w:val="CharDivNo"/>
        </w:rPr>
        <w:t> </w:t>
      </w:r>
      <w:r>
        <w:t>—</w:t>
      </w:r>
      <w:r>
        <w:rPr>
          <w:rStyle w:val="CharDivText"/>
        </w:rPr>
        <w:t> </w:t>
      </w:r>
      <w:r>
        <w:rPr>
          <w:rStyle w:val="CharPartText"/>
        </w:rPr>
        <w:t>How to make an application</w:t>
      </w:r>
      <w:bookmarkEnd w:id="108"/>
      <w:bookmarkEnd w:id="109"/>
    </w:p>
    <w:p>
      <w:pPr>
        <w:pStyle w:val="Heading5"/>
      </w:pPr>
      <w:bookmarkStart w:id="110" w:name="_Toc107393185"/>
      <w:r>
        <w:rPr>
          <w:rStyle w:val="CharSectno"/>
        </w:rPr>
        <w:t>62</w:t>
      </w:r>
      <w:r>
        <w:t>.</w:t>
      </w:r>
      <w:r>
        <w:tab/>
        <w:t>How to make a written application</w:t>
      </w:r>
      <w:bookmarkEnd w:id="110"/>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111" w:name="_Toc107393186"/>
      <w:r>
        <w:rPr>
          <w:rStyle w:val="CharSectno"/>
        </w:rPr>
        <w:t>63</w:t>
      </w:r>
      <w:r>
        <w:t>.</w:t>
      </w:r>
      <w:r>
        <w:tab/>
        <w:t>Your supporting affidavit</w:t>
      </w:r>
      <w:bookmarkEnd w:id="111"/>
    </w:p>
    <w:p>
      <w:pPr>
        <w:pStyle w:val="Subsection"/>
      </w:pPr>
      <w:r>
        <w:tab/>
      </w:r>
      <w:r>
        <w:tab/>
        <w:t>Unless rule 18(3) applies, if you are making a written application it must be lodged together with a supporting affidavit.</w:t>
      </w:r>
    </w:p>
    <w:p>
      <w:pPr>
        <w:pStyle w:val="Heading5"/>
      </w:pPr>
      <w:bookmarkStart w:id="112" w:name="_Toc107393187"/>
      <w:r>
        <w:rPr>
          <w:rStyle w:val="CharSectno"/>
        </w:rPr>
        <w:t>64</w:t>
      </w:r>
      <w:r>
        <w:t>.</w:t>
      </w:r>
      <w:r>
        <w:tab/>
        <w:t>Application must be served</w:t>
      </w:r>
      <w:bookmarkEnd w:id="112"/>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r>
        <w:tab/>
        <w:t>(2)</w:t>
      </w:r>
      <w:r>
        <w:tab/>
        <w:t>Subrule (1) does not apply to your application if —</w:t>
      </w:r>
    </w:p>
    <w:p>
      <w:pPr>
        <w:pStyle w:val="Indenta"/>
      </w:pPr>
      <w:r>
        <w:tab/>
        <w:t>(a)</w:t>
      </w:r>
      <w:r>
        <w:tab/>
        <w:t xml:space="preserve">your application is for default judgment against another party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9A; or</w:t>
      </w:r>
    </w:p>
    <w:p>
      <w:pPr>
        <w:pStyle w:val="Indenti"/>
      </w:pPr>
      <w:r>
        <w:lastRenderedPageBreak/>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orders otherwise.</w:t>
      </w:r>
    </w:p>
    <w:p>
      <w:pPr>
        <w:pStyle w:val="Footnotesection"/>
      </w:pPr>
      <w:r>
        <w:tab/>
        <w:t>[Rule 64 amended: Gazette 3 Jun 2008 p. 2147; 20 May 2011 p. 1840-1; 30 Sep 2016 p. 4176.]</w:t>
      </w:r>
    </w:p>
    <w:p>
      <w:pPr>
        <w:pStyle w:val="Heading5"/>
      </w:pPr>
      <w:bookmarkStart w:id="113" w:name="_Toc107393188"/>
      <w:r>
        <w:rPr>
          <w:rStyle w:val="CharSectno"/>
        </w:rPr>
        <w:t>65</w:t>
      </w:r>
      <w:r>
        <w:t>.</w:t>
      </w:r>
      <w:r>
        <w:tab/>
        <w:t>Response to an application</w:t>
      </w:r>
      <w:bookmarkEnd w:id="113"/>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 and</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Your response must be in the approved form.</w:t>
      </w:r>
    </w:p>
    <w:p>
      <w:pPr>
        <w:pStyle w:val="Heading5"/>
      </w:pPr>
      <w:bookmarkStart w:id="114" w:name="_Toc107393189"/>
      <w:r>
        <w:rPr>
          <w:rStyle w:val="CharSectno"/>
        </w:rPr>
        <w:t>66</w:t>
      </w:r>
      <w:r>
        <w:t>.</w:t>
      </w:r>
      <w:r>
        <w:tab/>
        <w:t>How the Court will deal with your application</w:t>
      </w:r>
      <w:bookmarkEnd w:id="114"/>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r>
        <w:tab/>
      </w:r>
      <w:r>
        <w:tab/>
        <w:t>[Rule 66 amended: Gazette 3 Jun 2008 p. 2148.]</w:t>
      </w:r>
    </w:p>
    <w:p>
      <w:pPr>
        <w:pStyle w:val="Heading2"/>
      </w:pPr>
      <w:bookmarkStart w:id="115" w:name="_Toc107328524"/>
      <w:bookmarkStart w:id="116" w:name="_Toc107393190"/>
      <w:r>
        <w:rPr>
          <w:rStyle w:val="CharPartNo"/>
        </w:rPr>
        <w:lastRenderedPageBreak/>
        <w:t>Part 13</w:t>
      </w:r>
      <w:r>
        <w:rPr>
          <w:rStyle w:val="CharDivNo"/>
        </w:rPr>
        <w:t> </w:t>
      </w:r>
      <w:r>
        <w:t>—</w:t>
      </w:r>
      <w:r>
        <w:rPr>
          <w:rStyle w:val="CharDivText"/>
        </w:rPr>
        <w:t> </w:t>
      </w:r>
      <w:r>
        <w:rPr>
          <w:rStyle w:val="CharPartText"/>
        </w:rPr>
        <w:t>Affidavits</w:t>
      </w:r>
      <w:bookmarkEnd w:id="115"/>
      <w:bookmarkEnd w:id="116"/>
    </w:p>
    <w:p>
      <w:pPr>
        <w:pStyle w:val="Heading5"/>
      </w:pPr>
      <w:bookmarkStart w:id="117" w:name="_Toc107393191"/>
      <w:r>
        <w:rPr>
          <w:rStyle w:val="CharSectno"/>
        </w:rPr>
        <w:t>67</w:t>
      </w:r>
      <w:r>
        <w:t>.</w:t>
      </w:r>
      <w:r>
        <w:tab/>
        <w:t>Form of an affidavit</w:t>
      </w:r>
      <w:bookmarkEnd w:id="117"/>
    </w:p>
    <w:p>
      <w:pPr>
        <w:pStyle w:val="Subsection"/>
      </w:pPr>
      <w:r>
        <w:tab/>
      </w:r>
      <w:r>
        <w:tab/>
        <w:t>An affidavit lodged by you must be in the approved form.</w:t>
      </w:r>
    </w:p>
    <w:p>
      <w:pPr>
        <w:pStyle w:val="Heading5"/>
      </w:pPr>
      <w:bookmarkStart w:id="118" w:name="_Toc107393192"/>
      <w:r>
        <w:rPr>
          <w:rStyle w:val="CharSectno"/>
        </w:rPr>
        <w:t>68</w:t>
      </w:r>
      <w:r>
        <w:t>.</w:t>
      </w:r>
      <w:r>
        <w:tab/>
        <w:t>Content of an affidavit</w:t>
      </w:r>
      <w:bookmarkEnd w:id="118"/>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r>
        <w:tab/>
        <w:t>[Rule 68 amended: Gazette 3 Jun 2008 p. 2148.]</w:t>
      </w:r>
    </w:p>
    <w:p>
      <w:pPr>
        <w:pStyle w:val="Heading2"/>
      </w:pPr>
      <w:bookmarkStart w:id="119" w:name="_Toc107328527"/>
      <w:bookmarkStart w:id="120" w:name="_Toc107393193"/>
      <w:r>
        <w:rPr>
          <w:rStyle w:val="CharPartNo"/>
        </w:rPr>
        <w:lastRenderedPageBreak/>
        <w:t>Part 14</w:t>
      </w:r>
      <w:r>
        <w:t> — </w:t>
      </w:r>
      <w:r>
        <w:rPr>
          <w:rStyle w:val="CharPartText"/>
        </w:rPr>
        <w:t>If you need a litigation guardian</w:t>
      </w:r>
      <w:bookmarkEnd w:id="119"/>
      <w:bookmarkEnd w:id="120"/>
    </w:p>
    <w:p>
      <w:pPr>
        <w:pStyle w:val="Heading5"/>
      </w:pPr>
      <w:bookmarkStart w:id="121" w:name="_Toc107393194"/>
      <w:r>
        <w:rPr>
          <w:rStyle w:val="CharSectno"/>
        </w:rPr>
        <w:t>69</w:t>
      </w:r>
      <w:r>
        <w:t>.</w:t>
      </w:r>
      <w:r>
        <w:tab/>
        <w:t>Terms used</w:t>
      </w:r>
      <w:bookmarkEnd w:id="121"/>
      <w:r>
        <w:t xml:space="preserve"> </w:t>
      </w:r>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122" w:name="_Toc107393195"/>
      <w:r>
        <w:rPr>
          <w:rStyle w:val="CharSectno"/>
        </w:rPr>
        <w:t>70</w:t>
      </w:r>
      <w:r>
        <w:t>.</w:t>
      </w:r>
      <w:r>
        <w:tab/>
        <w:t>When this Part applies</w:t>
      </w:r>
      <w:bookmarkEnd w:id="122"/>
    </w:p>
    <w:p>
      <w:pPr>
        <w:pStyle w:val="Subsection"/>
      </w:pPr>
      <w:r>
        <w:tab/>
      </w:r>
      <w:r>
        <w:tab/>
        <w:t>This Part applies if you are a person under a legal disability and you are, or intend to be, a party to a case.</w:t>
      </w:r>
    </w:p>
    <w:p>
      <w:pPr>
        <w:pStyle w:val="Heading5"/>
      </w:pPr>
      <w:bookmarkStart w:id="123" w:name="_Toc107393196"/>
      <w:r>
        <w:rPr>
          <w:rStyle w:val="CharSectno"/>
        </w:rPr>
        <w:t>71</w:t>
      </w:r>
      <w:r>
        <w:t>.</w:t>
      </w:r>
      <w:r>
        <w:tab/>
        <w:t>If you are a represented person</w:t>
      </w:r>
      <w:bookmarkEnd w:id="123"/>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lastRenderedPageBreak/>
        <w:tab/>
        <w:t>(5)</w:t>
      </w:r>
      <w:r>
        <w:tab/>
        <w:t>A person may act as your litigation guardian without being appointed by the Court to act in that capacity.</w:t>
      </w:r>
    </w:p>
    <w:p>
      <w:pPr>
        <w:pStyle w:val="Heading5"/>
      </w:pPr>
      <w:bookmarkStart w:id="124" w:name="_Toc107393197"/>
      <w:r>
        <w:rPr>
          <w:rStyle w:val="CharSectno"/>
        </w:rPr>
        <w:t>72</w:t>
      </w:r>
      <w:r>
        <w:t>.</w:t>
      </w:r>
      <w:r>
        <w:tab/>
        <w:t>Affidavit your litigation guardian must lodge and serve if you are a represented person</w:t>
      </w:r>
      <w:bookmarkEnd w:id="124"/>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 and</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lastRenderedPageBreak/>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125" w:name="_Toc107393198"/>
      <w:r>
        <w:rPr>
          <w:rStyle w:val="CharSectno"/>
        </w:rPr>
        <w:t>73</w:t>
      </w:r>
      <w:r>
        <w:t>.</w:t>
      </w:r>
      <w:r>
        <w:tab/>
        <w:t>If you are a child</w:t>
      </w:r>
      <w:bookmarkEnd w:id="125"/>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126" w:name="_Toc107393199"/>
      <w:r>
        <w:rPr>
          <w:rStyle w:val="CharSectno"/>
        </w:rPr>
        <w:t>74</w:t>
      </w:r>
      <w:r>
        <w:t>.</w:t>
      </w:r>
      <w:r>
        <w:tab/>
        <w:t>Affidavits your litigation guardian must lodge and serve if you are a child</w:t>
      </w:r>
      <w:bookmarkEnd w:id="126"/>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 and</w:t>
      </w:r>
    </w:p>
    <w:p>
      <w:pPr>
        <w:pStyle w:val="Indenta"/>
      </w:pPr>
      <w:r>
        <w:tab/>
        <w:t>(b)</w:t>
      </w:r>
      <w:r>
        <w:tab/>
        <w:t>state the nature of your litigation guardian’s relationship with you; and</w:t>
      </w:r>
    </w:p>
    <w:p>
      <w:pPr>
        <w:pStyle w:val="Indenta"/>
      </w:pPr>
      <w:r>
        <w:tab/>
        <w:t>(c)</w:t>
      </w:r>
      <w:r>
        <w:tab/>
        <w:t>verify that your litigation guardian consents to acting in that capacity for you; and</w:t>
      </w:r>
    </w:p>
    <w:p>
      <w:pPr>
        <w:pStyle w:val="Indenta"/>
      </w:pPr>
      <w:r>
        <w:tab/>
        <w:t>(d)</w:t>
      </w:r>
      <w:r>
        <w:tab/>
        <w:t>verify that your litigation guardian is not under a legal disability and does not have an interest in the case that is adverse to your interests; and</w:t>
      </w:r>
    </w:p>
    <w:p>
      <w:pPr>
        <w:pStyle w:val="Indenta"/>
      </w:pPr>
      <w:r>
        <w:lastRenderedPageBreak/>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127" w:name="_Toc107393200"/>
      <w:r>
        <w:rPr>
          <w:rStyle w:val="CharSectno"/>
        </w:rPr>
        <w:t>75</w:t>
      </w:r>
      <w:r>
        <w:t>.</w:t>
      </w:r>
      <w:r>
        <w:tab/>
        <w:t>Person may apply to be appointed your litigation guardian</w:t>
      </w:r>
      <w:bookmarkEnd w:id="127"/>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128" w:name="_Toc107328535"/>
      <w:bookmarkStart w:id="129" w:name="_Toc107393201"/>
      <w:r>
        <w:rPr>
          <w:rStyle w:val="CharPartNo"/>
        </w:rPr>
        <w:lastRenderedPageBreak/>
        <w:t>Part 15</w:t>
      </w:r>
      <w:r>
        <w:rPr>
          <w:rStyle w:val="CharDivNo"/>
        </w:rPr>
        <w:t> </w:t>
      </w:r>
      <w:r>
        <w:t>—</w:t>
      </w:r>
      <w:r>
        <w:rPr>
          <w:rStyle w:val="CharDivText"/>
        </w:rPr>
        <w:t> </w:t>
      </w:r>
      <w:r>
        <w:rPr>
          <w:rStyle w:val="CharPartText"/>
        </w:rPr>
        <w:t>Miscellaneous</w:t>
      </w:r>
      <w:bookmarkEnd w:id="128"/>
      <w:bookmarkEnd w:id="129"/>
    </w:p>
    <w:p>
      <w:pPr>
        <w:pStyle w:val="Heading5"/>
      </w:pPr>
      <w:bookmarkStart w:id="130" w:name="_Toc107393202"/>
      <w:r>
        <w:rPr>
          <w:rStyle w:val="CharSectno"/>
        </w:rPr>
        <w:t>76A</w:t>
      </w:r>
      <w:r>
        <w:t>.</w:t>
      </w:r>
      <w:r>
        <w:tab/>
        <w:t xml:space="preserve">If you are making an application under the </w:t>
      </w:r>
      <w:r>
        <w:rPr>
          <w:i/>
          <w:iCs/>
        </w:rPr>
        <w:t>Residential Tenancies Act 1987</w:t>
      </w:r>
      <w:bookmarkEnd w:id="130"/>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Gazette 3 Jun 2008 p. 2148.]</w:t>
      </w:r>
    </w:p>
    <w:p>
      <w:pPr>
        <w:pStyle w:val="Heading5"/>
      </w:pPr>
      <w:bookmarkStart w:id="131" w:name="_Toc107393203"/>
      <w:r>
        <w:rPr>
          <w:rStyle w:val="CharSectno"/>
        </w:rPr>
        <w:t>76B</w:t>
      </w:r>
      <w:r>
        <w:t>.</w:t>
      </w:r>
      <w:r>
        <w:tab/>
        <w:t>If you want to change venues</w:t>
      </w:r>
      <w:bookmarkEnd w:id="131"/>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Gazette 3 Jun 2008 p. 2148.]</w:t>
      </w:r>
    </w:p>
    <w:p>
      <w:pPr>
        <w:pStyle w:val="Heading5"/>
      </w:pPr>
      <w:bookmarkStart w:id="132" w:name="_Toc107393204"/>
      <w:r>
        <w:rPr>
          <w:rStyle w:val="CharSectno"/>
        </w:rPr>
        <w:t>76C</w:t>
      </w:r>
      <w:r>
        <w:t>.</w:t>
      </w:r>
      <w:r>
        <w:tab/>
        <w:t>If you want to correct typographical and other errors</w:t>
      </w:r>
      <w:bookmarkEnd w:id="132"/>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Gazette 3 Jun 2008 p. 2148.]</w:t>
      </w:r>
    </w:p>
    <w:p>
      <w:pPr>
        <w:pStyle w:val="Heading5"/>
      </w:pPr>
      <w:bookmarkStart w:id="133" w:name="_Toc107393205"/>
      <w:r>
        <w:rPr>
          <w:rStyle w:val="CharSectno"/>
        </w:rPr>
        <w:lastRenderedPageBreak/>
        <w:t>76</w:t>
      </w:r>
      <w:r>
        <w:t>.</w:t>
      </w:r>
      <w:r>
        <w:tab/>
        <w:t>You may discontinue claim</w:t>
      </w:r>
      <w:bookmarkEnd w:id="133"/>
    </w:p>
    <w:p>
      <w:pPr>
        <w:pStyle w:val="Subsection"/>
      </w:pPr>
      <w:r>
        <w:tab/>
        <w:t>(1)</w:t>
      </w:r>
      <w:r>
        <w:tab/>
        <w:t>If you want to discontinue the whole or part of a claim that you have made, you must lodge a notice of discontinuance in the approved form.</w:t>
      </w:r>
    </w:p>
    <w:p>
      <w:pPr>
        <w:pStyle w:val="Subsection"/>
      </w:pPr>
      <w:r>
        <w:tab/>
        <w:t>(2)</w:t>
      </w:r>
      <w:r>
        <w:tab/>
        <w:t>You must serve a copy of the notice of discontinuance on the other parties.</w:t>
      </w:r>
    </w:p>
    <w:p>
      <w:pPr>
        <w:pStyle w:val="Footnotesection"/>
      </w:pPr>
      <w:r>
        <w:tab/>
        <w:t>[Rule 76 amended: Gazette 21 Jul 2017 p. 4027.]</w:t>
      </w:r>
    </w:p>
    <w:p>
      <w:pPr>
        <w:pStyle w:val="Heading5"/>
      </w:pPr>
      <w:bookmarkStart w:id="134" w:name="_Toc107393206"/>
      <w:r>
        <w:rPr>
          <w:rStyle w:val="CharSectno"/>
        </w:rPr>
        <w:t>77</w:t>
      </w:r>
      <w:r>
        <w:t>.</w:t>
      </w:r>
      <w:r>
        <w:tab/>
        <w:t>Availability of forms</w:t>
      </w:r>
      <w:bookmarkEnd w:id="134"/>
    </w:p>
    <w:p>
      <w:pPr>
        <w:pStyle w:val="Subsection"/>
      </w:pPr>
      <w:r>
        <w:tab/>
      </w:r>
      <w:r>
        <w:tab/>
        <w:t xml:space="preserve">The Court will make forms approved by the Chief Magistrate available — </w:t>
      </w:r>
    </w:p>
    <w:p>
      <w:pPr>
        <w:pStyle w:val="Indenta"/>
      </w:pPr>
      <w:r>
        <w:tab/>
        <w:t>(a)</w:t>
      </w:r>
      <w:r>
        <w:tab/>
        <w:t>at each Court registry; and</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135" w:name="_Toc107393207"/>
      <w:r>
        <w:rPr>
          <w:rStyle w:val="CharSectno"/>
        </w:rPr>
        <w:t>78</w:t>
      </w:r>
      <w:r>
        <w:t>.</w:t>
      </w:r>
      <w:r>
        <w:tab/>
        <w:t>Partnership name may be used</w:t>
      </w:r>
      <w:bookmarkEnd w:id="135"/>
    </w:p>
    <w:p>
      <w:pPr>
        <w:pStyle w:val="Subsection"/>
      </w:pPr>
      <w:r>
        <w:tab/>
        <w:t>(1)</w:t>
      </w:r>
      <w:r>
        <w:tab/>
        <w:t>If you are a partnership you may conduct your case in your partnership name, if any.</w:t>
      </w:r>
    </w:p>
    <w:p>
      <w:pPr>
        <w:pStyle w:val="Subsection"/>
      </w:pPr>
      <w:r>
        <w:tab/>
        <w:t>(2)</w:t>
      </w:r>
      <w:r>
        <w:tab/>
        <w:t>You may make a claim, and conduct a case, against a partnership in the partnership’s name, if any.</w:t>
      </w:r>
    </w:p>
    <w:p>
      <w:pPr>
        <w:pStyle w:val="Footnotesection"/>
      </w:pPr>
      <w:r>
        <w:tab/>
        <w:t>[Rule 78 amended: Gazette 3 Jun 2008 p. 2149.]</w:t>
      </w:r>
    </w:p>
    <w:p>
      <w:pPr>
        <w:pStyle w:val="Heading5"/>
      </w:pPr>
      <w:bookmarkStart w:id="136" w:name="_Toc107393208"/>
      <w:r>
        <w:rPr>
          <w:rStyle w:val="CharSectno"/>
        </w:rPr>
        <w:t>79</w:t>
      </w:r>
      <w:r>
        <w:t>.</w:t>
      </w:r>
      <w:r>
        <w:tab/>
        <w:t>When you are required to do things personally and you are not an individual</w:t>
      </w:r>
      <w:bookmarkEnd w:id="136"/>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lastRenderedPageBreak/>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Gazette 24 Aug 2007 p. 4334.]</w:t>
      </w:r>
    </w:p>
    <w:p>
      <w:pPr>
        <w:pStyle w:val="Heading5"/>
      </w:pPr>
      <w:bookmarkStart w:id="137" w:name="_Toc107393209"/>
      <w:r>
        <w:rPr>
          <w:rStyle w:val="CharSectno"/>
        </w:rPr>
        <w:t>80</w:t>
      </w:r>
      <w:r>
        <w:t>.</w:t>
      </w:r>
      <w:r>
        <w:tab/>
        <w:t>Payments into Court</w:t>
      </w:r>
      <w:bookmarkEnd w:id="137"/>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138" w:name="_Toc107393210"/>
      <w:r>
        <w:rPr>
          <w:rStyle w:val="CharSectno"/>
        </w:rPr>
        <w:t>81</w:t>
      </w:r>
      <w:r>
        <w:t>.</w:t>
      </w:r>
      <w:r>
        <w:tab/>
        <w:t xml:space="preserve">Registrar’s powers under the </w:t>
      </w:r>
      <w:r>
        <w:rPr>
          <w:rStyle w:val="CharPartText"/>
          <w:i/>
          <w:iCs/>
        </w:rPr>
        <w:t>Civil Judgments Enforcement Act 2004</w:t>
      </w:r>
      <w:bookmarkEnd w:id="138"/>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 or</w:t>
      </w:r>
    </w:p>
    <w:p>
      <w:pPr>
        <w:pStyle w:val="Indenta"/>
      </w:pPr>
      <w:r>
        <w:lastRenderedPageBreak/>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1548" w:type="dxa"/>
        <w:tblLayout w:type="fixed"/>
        <w:tblLook w:val="0000" w:firstRow="0" w:lastRow="0" w:firstColumn="0" w:lastColumn="0" w:noHBand="0" w:noVBand="0"/>
      </w:tblPr>
      <w:tblGrid>
        <w:gridCol w:w="2760"/>
        <w:gridCol w:w="2400"/>
      </w:tblGrid>
      <w:tr>
        <w:tc>
          <w:tcPr>
            <w:tcW w:w="2760" w:type="dxa"/>
          </w:tcPr>
          <w:p>
            <w:pPr>
              <w:pStyle w:val="Table"/>
              <w:ind w:left="132"/>
            </w:pPr>
            <w:r>
              <w:t>s. 15(1)</w:t>
            </w:r>
          </w:p>
        </w:tc>
        <w:tc>
          <w:tcPr>
            <w:tcW w:w="2400" w:type="dxa"/>
          </w:tcPr>
          <w:p>
            <w:pPr>
              <w:pStyle w:val="Table"/>
            </w:pPr>
            <w:r>
              <w:t>s. 56(1)</w:t>
            </w:r>
          </w:p>
        </w:tc>
      </w:tr>
      <w:tr>
        <w:tc>
          <w:tcPr>
            <w:tcW w:w="2760" w:type="dxa"/>
          </w:tcPr>
          <w:p>
            <w:pPr>
              <w:pStyle w:val="Table"/>
              <w:ind w:left="132"/>
            </w:pPr>
            <w:r>
              <w:t>s. 32</w:t>
            </w:r>
          </w:p>
        </w:tc>
        <w:tc>
          <w:tcPr>
            <w:tcW w:w="2400" w:type="dxa"/>
          </w:tcPr>
          <w:p>
            <w:pPr>
              <w:pStyle w:val="Table"/>
            </w:pPr>
            <w:r>
              <w:t>s. 58(1)</w:t>
            </w:r>
          </w:p>
        </w:tc>
      </w:tr>
      <w:tr>
        <w:tc>
          <w:tcPr>
            <w:tcW w:w="2760" w:type="dxa"/>
          </w:tcPr>
          <w:p>
            <w:pPr>
              <w:pStyle w:val="Table"/>
              <w:ind w:left="132"/>
            </w:pPr>
            <w:r>
              <w:t>s. 33</w:t>
            </w:r>
          </w:p>
        </w:tc>
        <w:tc>
          <w:tcPr>
            <w:tcW w:w="2400" w:type="dxa"/>
          </w:tcPr>
          <w:p>
            <w:pPr>
              <w:pStyle w:val="Table"/>
            </w:pPr>
            <w:r>
              <w:t>s. 59(1)</w:t>
            </w:r>
          </w:p>
        </w:tc>
      </w:tr>
      <w:tr>
        <w:tc>
          <w:tcPr>
            <w:tcW w:w="2760" w:type="dxa"/>
          </w:tcPr>
          <w:p>
            <w:pPr>
              <w:pStyle w:val="Table"/>
              <w:ind w:left="132"/>
            </w:pPr>
            <w:r>
              <w:t>s. 35(1)</w:t>
            </w:r>
          </w:p>
        </w:tc>
        <w:tc>
          <w:tcPr>
            <w:tcW w:w="2400" w:type="dxa"/>
          </w:tcPr>
          <w:p>
            <w:pPr>
              <w:pStyle w:val="Table"/>
            </w:pPr>
            <w:r>
              <w:t>s. 95(1)</w:t>
            </w:r>
          </w:p>
        </w:tc>
      </w:tr>
      <w:tr>
        <w:tc>
          <w:tcPr>
            <w:tcW w:w="2760" w:type="dxa"/>
          </w:tcPr>
          <w:p>
            <w:pPr>
              <w:pStyle w:val="Table"/>
              <w:ind w:left="132"/>
            </w:pPr>
            <w:r>
              <w:t>s. 41(2)</w:t>
            </w:r>
          </w:p>
        </w:tc>
        <w:tc>
          <w:tcPr>
            <w:tcW w:w="2400" w:type="dxa"/>
          </w:tcPr>
          <w:p>
            <w:pPr>
              <w:pStyle w:val="Table"/>
            </w:pPr>
            <w:r>
              <w:t>s. 101(1)</w:t>
            </w:r>
          </w:p>
        </w:tc>
      </w:tr>
      <w:tr>
        <w:tc>
          <w:tcPr>
            <w:tcW w:w="2760" w:type="dxa"/>
          </w:tcPr>
          <w:p>
            <w:pPr>
              <w:pStyle w:val="Table"/>
              <w:ind w:left="132"/>
            </w:pPr>
            <w:r>
              <w:t>s. 42(1)</w:t>
            </w:r>
          </w:p>
        </w:tc>
        <w:tc>
          <w:tcPr>
            <w:tcW w:w="2400" w:type="dxa"/>
          </w:tcPr>
          <w:p>
            <w:pPr>
              <w:pStyle w:val="Table"/>
            </w:pPr>
            <w:r>
              <w:t>s. 102(2)</w:t>
            </w:r>
          </w:p>
        </w:tc>
      </w:tr>
      <w:tr>
        <w:tc>
          <w:tcPr>
            <w:tcW w:w="2760" w:type="dxa"/>
          </w:tcPr>
          <w:p>
            <w:pPr>
              <w:pStyle w:val="Table"/>
              <w:ind w:left="132"/>
            </w:pPr>
            <w:r>
              <w:t>s. 49(1)</w:t>
            </w:r>
          </w:p>
        </w:tc>
        <w:tc>
          <w:tcPr>
            <w:tcW w:w="2400" w:type="dxa"/>
          </w:tcPr>
          <w:p>
            <w:pPr>
              <w:pStyle w:val="Table"/>
            </w:pPr>
            <w:r>
              <w:t>s. 103(2)</w:t>
            </w:r>
          </w:p>
        </w:tc>
      </w:tr>
      <w:tr>
        <w:tc>
          <w:tcPr>
            <w:tcW w:w="2760" w:type="dxa"/>
          </w:tcPr>
          <w:p>
            <w:pPr>
              <w:pStyle w:val="Table"/>
              <w:ind w:left="132"/>
            </w:pPr>
            <w:r>
              <w:t>s. 55(2)</w:t>
            </w:r>
          </w:p>
        </w:tc>
        <w:tc>
          <w:tcPr>
            <w:tcW w:w="2400"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p>
      <w:pPr>
        <w:pStyle w:val="Heading2"/>
      </w:pPr>
      <w:bookmarkStart w:id="139" w:name="_Toc107328545"/>
      <w:bookmarkStart w:id="140" w:name="_Toc107393211"/>
      <w:r>
        <w:rPr>
          <w:rStyle w:val="CharPartNo"/>
        </w:rPr>
        <w:lastRenderedPageBreak/>
        <w:t>Part 16</w:t>
      </w:r>
      <w:r>
        <w:rPr>
          <w:rStyle w:val="CharDivNo"/>
        </w:rPr>
        <w:t> </w:t>
      </w:r>
      <w:r>
        <w:t>—</w:t>
      </w:r>
      <w:r>
        <w:rPr>
          <w:rStyle w:val="CharDivText"/>
        </w:rPr>
        <w:t> </w:t>
      </w:r>
      <w:r>
        <w:rPr>
          <w:rStyle w:val="CharPartText"/>
        </w:rPr>
        <w:t xml:space="preserve">Transitional rules for the </w:t>
      </w:r>
      <w:r>
        <w:rPr>
          <w:rStyle w:val="CharPartText"/>
          <w:i/>
        </w:rPr>
        <w:t>Magistrates Court Rules Amendment Rules 2020</w:t>
      </w:r>
      <w:bookmarkEnd w:id="139"/>
      <w:bookmarkEnd w:id="140"/>
    </w:p>
    <w:p>
      <w:pPr>
        <w:pStyle w:val="Footnoteheading"/>
      </w:pPr>
      <w:r>
        <w:tab/>
        <w:t>[Heading inserted: SL 2020/67 r. 66.]</w:t>
      </w:r>
    </w:p>
    <w:p>
      <w:pPr>
        <w:pStyle w:val="Heading5"/>
      </w:pPr>
      <w:bookmarkStart w:id="141" w:name="_Toc107393212"/>
      <w:r>
        <w:rPr>
          <w:rStyle w:val="CharSectno"/>
        </w:rPr>
        <w:t>82</w:t>
      </w:r>
      <w:r>
        <w:t>.</w:t>
      </w:r>
      <w:r>
        <w:tab/>
        <w:t>Terms used in this Part</w:t>
      </w:r>
      <w:bookmarkEnd w:id="141"/>
    </w:p>
    <w:p>
      <w:pPr>
        <w:pStyle w:val="Subsection"/>
      </w:pPr>
      <w:r>
        <w:tab/>
      </w:r>
      <w:r>
        <w:tab/>
        <w:t xml:space="preserve">In this Part — </w:t>
      </w:r>
    </w:p>
    <w:p>
      <w:pPr>
        <w:pStyle w:val="Defstart"/>
      </w:pPr>
      <w:r>
        <w:tab/>
      </w:r>
      <w:r>
        <w:rPr>
          <w:rStyle w:val="CharDefText"/>
        </w:rPr>
        <w:t>amended Rules</w:t>
      </w:r>
      <w:r>
        <w:t xml:space="preserve"> means the </w:t>
      </w:r>
      <w:r>
        <w:rPr>
          <w:i/>
        </w:rPr>
        <w:t>Magistrates Court (Minor Cases Procedure) Rules 2005</w:t>
      </w:r>
      <w:r>
        <w:t xml:space="preserve"> as in force from time to time on and after commencement day;</w:t>
      </w:r>
    </w:p>
    <w:p>
      <w:pPr>
        <w:pStyle w:val="Defstart"/>
      </w:pPr>
      <w:r>
        <w:tab/>
      </w:r>
      <w:r>
        <w:rPr>
          <w:rStyle w:val="CharDefText"/>
        </w:rPr>
        <w:t>commencement day</w:t>
      </w:r>
      <w:r>
        <w:t xml:space="preserve"> means 1 June 2020;</w:t>
      </w:r>
    </w:p>
    <w:p>
      <w:pPr>
        <w:pStyle w:val="Defstart"/>
      </w:pPr>
      <w:r>
        <w:tab/>
      </w:r>
      <w:r>
        <w:rPr>
          <w:rStyle w:val="CharDefText"/>
        </w:rPr>
        <w:t>former Rules</w:t>
      </w:r>
      <w:r>
        <w:t xml:space="preserve"> means the </w:t>
      </w:r>
      <w:r>
        <w:rPr>
          <w:i/>
        </w:rPr>
        <w:t>Magistrates Court (Minor Cases Procedure) Rules 2005</w:t>
      </w:r>
      <w:r>
        <w:t xml:space="preserve"> as in force before commencement day;</w:t>
      </w:r>
    </w:p>
    <w:p>
      <w:pPr>
        <w:pStyle w:val="Defstart"/>
      </w:pPr>
      <w:r>
        <w:tab/>
      </w:r>
      <w:r>
        <w:rPr>
          <w:rStyle w:val="CharDefText"/>
        </w:rPr>
        <w:t>transitional case</w:t>
      </w:r>
      <w:r>
        <w:t xml:space="preserve"> means a case that, as of commencement day, has been commenced but not concluded.</w:t>
      </w:r>
    </w:p>
    <w:p>
      <w:pPr>
        <w:pStyle w:val="Footnotesection"/>
      </w:pPr>
      <w:r>
        <w:tab/>
        <w:t>[Rule 82 inserted: SL 2020/67 r. 66.]</w:t>
      </w:r>
    </w:p>
    <w:p>
      <w:pPr>
        <w:pStyle w:val="Heading5"/>
      </w:pPr>
      <w:bookmarkStart w:id="142" w:name="_Toc107393213"/>
      <w:r>
        <w:rPr>
          <w:rStyle w:val="CharSectno"/>
        </w:rPr>
        <w:t>83</w:t>
      </w:r>
      <w:r>
        <w:t>.</w:t>
      </w:r>
      <w:r>
        <w:tab/>
        <w:t>Application of amended Rules in relation to transitional cases</w:t>
      </w:r>
      <w:bookmarkEnd w:id="142"/>
    </w:p>
    <w:p>
      <w:pPr>
        <w:pStyle w:val="Subsection"/>
      </w:pPr>
      <w:r>
        <w:tab/>
        <w:t>(1)</w:t>
      </w:r>
      <w:r>
        <w:tab/>
        <w:t>Subject to rule 84, on and from commencement day the amended Rules apply in relation to a transitional case.</w:t>
      </w:r>
    </w:p>
    <w:p>
      <w:pPr>
        <w:pStyle w:val="Subsection"/>
      </w:pPr>
      <w:r>
        <w:tab/>
        <w:t>(2)</w:t>
      </w:r>
      <w:r>
        <w:tab/>
        <w:t xml:space="preserve">If the amended Rules apply in relation to a transitional case, then, unless otherwise directed under rule 86 — </w:t>
      </w:r>
    </w:p>
    <w:p>
      <w:pPr>
        <w:pStyle w:val="Indenta"/>
      </w:pPr>
      <w:r>
        <w:tab/>
        <w:t>(a)</w:t>
      </w:r>
      <w:r>
        <w:tab/>
        <w:t>everything lodged or served in relation to the case under a provision of the former Rules is taken to have been lodged or served under the corresponding provision of the amended Rules; and</w:t>
      </w:r>
    </w:p>
    <w:p>
      <w:pPr>
        <w:pStyle w:val="Indenta"/>
      </w:pPr>
      <w:r>
        <w:tab/>
        <w:t>(b)</w:t>
      </w:r>
      <w:r>
        <w:tab/>
        <w:t>every order made, direction given or other thing done in relation to the case by the Court or by a registrar under a provision of the former Rules is taken to have been made, given or done under the corresponding provision of the amended Rules.</w:t>
      </w:r>
    </w:p>
    <w:p>
      <w:pPr>
        <w:pStyle w:val="Footnotesection"/>
      </w:pPr>
      <w:r>
        <w:tab/>
        <w:t>[Rule 83 inserted: SL 2020/67 r. 66.]</w:t>
      </w:r>
    </w:p>
    <w:p>
      <w:pPr>
        <w:pStyle w:val="Heading5"/>
      </w:pPr>
      <w:bookmarkStart w:id="143" w:name="_Toc107393214"/>
      <w:r>
        <w:rPr>
          <w:rStyle w:val="CharSectno"/>
        </w:rPr>
        <w:lastRenderedPageBreak/>
        <w:t>84</w:t>
      </w:r>
      <w:r>
        <w:t>.</w:t>
      </w:r>
      <w:r>
        <w:tab/>
        <w:t>Application of former Rules in relation to certain transitional cases</w:t>
      </w:r>
      <w:bookmarkEnd w:id="143"/>
    </w:p>
    <w:p>
      <w:pPr>
        <w:pStyle w:val="Subsection"/>
      </w:pPr>
      <w:r>
        <w:tab/>
        <w:t>(1)</w:t>
      </w:r>
      <w:r>
        <w:tab/>
        <w:t xml:space="preserve">This rule applies to a transitional case if — </w:t>
      </w:r>
    </w:p>
    <w:p>
      <w:pPr>
        <w:pStyle w:val="Indenta"/>
      </w:pPr>
      <w:r>
        <w:tab/>
        <w:t>(a)</w:t>
      </w:r>
      <w:r>
        <w:tab/>
        <w:t xml:space="preserve">under the former Rules Parts 2 and 3, a party to the case is required to lodge and serve any of the following documents on a day falling on or after commencement day — </w:t>
      </w:r>
    </w:p>
    <w:p>
      <w:pPr>
        <w:pStyle w:val="Indenti"/>
      </w:pPr>
      <w:r>
        <w:tab/>
        <w:t>(i)</w:t>
      </w:r>
      <w:r>
        <w:tab/>
        <w:t>a statement of claim;</w:t>
      </w:r>
    </w:p>
    <w:p>
      <w:pPr>
        <w:pStyle w:val="Indenti"/>
      </w:pPr>
      <w:r>
        <w:tab/>
        <w:t>(ii)</w:t>
      </w:r>
      <w:r>
        <w:tab/>
        <w:t>a counterclaim;</w:t>
      </w:r>
    </w:p>
    <w:p>
      <w:pPr>
        <w:pStyle w:val="Indenti"/>
      </w:pPr>
      <w:r>
        <w:tab/>
        <w:t>(iii)</w:t>
      </w:r>
      <w:r>
        <w:tab/>
        <w:t>a third party claim;</w:t>
      </w:r>
    </w:p>
    <w:p>
      <w:pPr>
        <w:pStyle w:val="Indenti"/>
      </w:pPr>
      <w:r>
        <w:tab/>
        <w:t>(iv)</w:t>
      </w:r>
      <w:r>
        <w:tab/>
        <w:t>a response to a claim;</w:t>
      </w:r>
    </w:p>
    <w:p>
      <w:pPr>
        <w:pStyle w:val="Indenti"/>
      </w:pPr>
      <w:r>
        <w:tab/>
        <w:t>(v)</w:t>
      </w:r>
      <w:r>
        <w:tab/>
        <w:t>a statement of defence;</w:t>
      </w:r>
    </w:p>
    <w:p>
      <w:pPr>
        <w:pStyle w:val="Indenta"/>
      </w:pPr>
      <w:r>
        <w:tab/>
      </w:r>
      <w:r>
        <w:tab/>
        <w:t>or</w:t>
      </w:r>
    </w:p>
    <w:p>
      <w:pPr>
        <w:pStyle w:val="Indenta"/>
      </w:pPr>
      <w:r>
        <w:tab/>
        <w:t>(b)</w:t>
      </w:r>
      <w:r>
        <w:tab/>
        <w:t>a pre</w:t>
      </w:r>
      <w:r>
        <w:noBreakHyphen/>
        <w:t>trial conference, listing conference or trial for which the case was listed before commencement day is held on or after commencement day.</w:t>
      </w:r>
    </w:p>
    <w:p>
      <w:pPr>
        <w:pStyle w:val="Subsection"/>
      </w:pPr>
      <w:r>
        <w:tab/>
        <w:t>(2)</w:t>
      </w:r>
      <w:r>
        <w:tab/>
        <w:t xml:space="preserve">On and from commencement day, the former Rules continue to apply in relation to a transitional case to which this rule applies until — </w:t>
      </w:r>
    </w:p>
    <w:p>
      <w:pPr>
        <w:pStyle w:val="Indenta"/>
      </w:pPr>
      <w:r>
        <w:tab/>
        <w:t>(a)</w:t>
      </w:r>
      <w:r>
        <w:tab/>
        <w:t>the Court or a registrar directs otherwise under rule 86; or</w:t>
      </w:r>
    </w:p>
    <w:p>
      <w:pPr>
        <w:pStyle w:val="Indenta"/>
      </w:pPr>
      <w:r>
        <w:tab/>
        <w:t>(b)</w:t>
      </w:r>
      <w:r>
        <w:tab/>
        <w:t>the case is concluded.</w:t>
      </w:r>
    </w:p>
    <w:p>
      <w:pPr>
        <w:pStyle w:val="Footnotesection"/>
      </w:pPr>
      <w:r>
        <w:tab/>
        <w:t>[Rule 84 inserted: SL 2020/67 r. 66.]</w:t>
      </w:r>
    </w:p>
    <w:p>
      <w:pPr>
        <w:pStyle w:val="Heading5"/>
      </w:pPr>
      <w:bookmarkStart w:id="144" w:name="_Toc107393215"/>
      <w:r>
        <w:rPr>
          <w:rStyle w:val="CharSectno"/>
        </w:rPr>
        <w:t>85</w:t>
      </w:r>
      <w:r>
        <w:t>.</w:t>
      </w:r>
      <w:r>
        <w:tab/>
        <w:t>Listing transitional cases for a status conference</w:t>
      </w:r>
      <w:bookmarkEnd w:id="144"/>
    </w:p>
    <w:p>
      <w:pPr>
        <w:pStyle w:val="Subsection"/>
      </w:pPr>
      <w:r>
        <w:tab/>
        <w:t>(1)</w:t>
      </w:r>
      <w:r>
        <w:tab/>
        <w:t>The Court may, of its own motion, list a transitional case for a status conference.</w:t>
      </w:r>
    </w:p>
    <w:p>
      <w:pPr>
        <w:pStyle w:val="Subsection"/>
      </w:pPr>
      <w:r>
        <w:tab/>
        <w:t>(2)</w:t>
      </w:r>
      <w:r>
        <w:tab/>
        <w:t>The Court must list a transitional case for a status conference if a party to a transitional case applies to the Court in the approved form to have the case listed.</w:t>
      </w:r>
    </w:p>
    <w:p>
      <w:pPr>
        <w:pStyle w:val="Subsection"/>
      </w:pPr>
      <w:r>
        <w:lastRenderedPageBreak/>
        <w:tab/>
        <w:t>(3)</w:t>
      </w:r>
      <w:r>
        <w:tab/>
        <w:t>The court must give the parties to the case 7 days written notice of a status conference for which the case is listed under this rule.</w:t>
      </w:r>
    </w:p>
    <w:p>
      <w:pPr>
        <w:pStyle w:val="Subsection"/>
      </w:pPr>
      <w:r>
        <w:tab/>
        <w:t>(4)</w:t>
      </w:r>
      <w:r>
        <w:tab/>
        <w:t>The Court must conduct a status conference for which a case is listed under this rule in open court.</w:t>
      </w:r>
    </w:p>
    <w:p>
      <w:pPr>
        <w:pStyle w:val="Footnotesection"/>
      </w:pPr>
      <w:r>
        <w:tab/>
        <w:t>[Rule 85 inserted: SL 2020/67 r. 66.]</w:t>
      </w:r>
    </w:p>
    <w:p>
      <w:pPr>
        <w:pStyle w:val="Heading5"/>
      </w:pPr>
      <w:bookmarkStart w:id="145" w:name="_Toc107393216"/>
      <w:r>
        <w:rPr>
          <w:rStyle w:val="CharSectno"/>
        </w:rPr>
        <w:t>86</w:t>
      </w:r>
      <w:r>
        <w:t>.</w:t>
      </w:r>
      <w:r>
        <w:tab/>
        <w:t>Court or registrar may give directions in relation to transitional issues</w:t>
      </w:r>
      <w:bookmarkEnd w:id="145"/>
    </w:p>
    <w:p>
      <w:pPr>
        <w:pStyle w:val="Subsection"/>
      </w:pPr>
      <w:r>
        <w:tab/>
      </w:r>
      <w:r>
        <w:tab/>
        <w:t>At a status conference, pre</w:t>
      </w:r>
      <w:r>
        <w:noBreakHyphen/>
        <w:t xml:space="preserve">trial conference, listing conference or trial held in relation to a transitional case, the Court or a registrar may make any or all of the following directions — </w:t>
      </w:r>
    </w:p>
    <w:p>
      <w:pPr>
        <w:pStyle w:val="Indenta"/>
      </w:pPr>
      <w:r>
        <w:tab/>
        <w:t>(a)</w:t>
      </w:r>
      <w:r>
        <w:tab/>
        <w:t>if the amended Rules do not apply in relation to the case, a direction that they are to apply in relation to the case on and from a specified date;</w:t>
      </w:r>
    </w:p>
    <w:p>
      <w:pPr>
        <w:pStyle w:val="Indenta"/>
      </w:pPr>
      <w:r>
        <w:tab/>
        <w:t>(b)</w:t>
      </w:r>
      <w:r>
        <w:tab/>
        <w:t>a direction modifying the application of the amended Rules in relation to the case;</w:t>
      </w:r>
    </w:p>
    <w:p>
      <w:pPr>
        <w:pStyle w:val="Indenta"/>
      </w:pPr>
      <w:r>
        <w:tab/>
        <w:t>(c)</w:t>
      </w:r>
      <w:r>
        <w:tab/>
        <w:t>any other direction necessary or convenient in connection with the application of the amended Rules in relation to the case.</w:t>
      </w:r>
    </w:p>
    <w:p>
      <w:pPr>
        <w:pStyle w:val="Footnotesection"/>
      </w:pPr>
      <w:r>
        <w:tab/>
        <w:t>[Rule 86 inserted: SL 2020/67 r. 66; amended: SL 2021/25 r. 30.]</w:t>
      </w:r>
    </w:p>
    <w:p>
      <w:pPr>
        <w:pStyle w:val="Heading2"/>
      </w:pPr>
      <w:bookmarkStart w:id="146" w:name="_Toc107328551"/>
      <w:bookmarkStart w:id="147" w:name="_Toc107393217"/>
      <w:r>
        <w:rPr>
          <w:rStyle w:val="CharPartNo"/>
        </w:rPr>
        <w:lastRenderedPageBreak/>
        <w:t>Part 17</w:t>
      </w:r>
      <w:r>
        <w:t> — </w:t>
      </w:r>
      <w:r>
        <w:rPr>
          <w:rStyle w:val="CharPartText"/>
        </w:rPr>
        <w:t>Transitional rules for the Magistrates Court Rules Amendment Rules 2022</w:t>
      </w:r>
      <w:bookmarkEnd w:id="146"/>
      <w:bookmarkEnd w:id="147"/>
    </w:p>
    <w:p>
      <w:pPr>
        <w:pStyle w:val="Footnoteheading"/>
      </w:pPr>
      <w:r>
        <w:tab/>
        <w:t>[Heading inserted: SL 2022/54 r. 14.]</w:t>
      </w:r>
    </w:p>
    <w:p>
      <w:pPr>
        <w:pStyle w:val="Heading5"/>
      </w:pPr>
      <w:bookmarkStart w:id="148" w:name="_Toc107393218"/>
      <w:r>
        <w:rPr>
          <w:rStyle w:val="CharSectno"/>
        </w:rPr>
        <w:t>87</w:t>
      </w:r>
      <w:r>
        <w:t>.</w:t>
      </w:r>
      <w:r>
        <w:tab/>
        <w:t>Consumer/trader claims</w:t>
      </w:r>
      <w:bookmarkEnd w:id="148"/>
    </w:p>
    <w:p>
      <w:pPr>
        <w:pStyle w:val="Subsection"/>
      </w:pPr>
      <w:r>
        <w:tab/>
        <w:t>(1)</w:t>
      </w:r>
      <w:r>
        <w:tab/>
        <w:t>In this rule —</w:t>
      </w:r>
    </w:p>
    <w:p>
      <w:pPr>
        <w:pStyle w:val="Defstart"/>
      </w:pPr>
      <w:r>
        <w:tab/>
      </w:r>
      <w:r>
        <w:rPr>
          <w:rStyle w:val="CharDefText"/>
        </w:rPr>
        <w:t>commencement day</w:t>
      </w:r>
      <w:r>
        <w:t xml:space="preserve"> means the day on which the </w:t>
      </w:r>
      <w:r>
        <w:rPr>
          <w:i/>
        </w:rPr>
        <w:t>Magistrates Court Rules Amendment Rules 2022</w:t>
      </w:r>
      <w:r>
        <w:t xml:space="preserve"> Part 4 comes into operation.</w:t>
      </w:r>
    </w:p>
    <w:p>
      <w:pPr>
        <w:pStyle w:val="Subsection"/>
      </w:pPr>
      <w:r>
        <w:tab/>
        <w:t>(2)</w:t>
      </w:r>
      <w:r>
        <w:tab/>
        <w:t>On and from commencement day, Part 3 as in force immediately before commencement day continues to apply in relation to a case that —</w:t>
      </w:r>
    </w:p>
    <w:p>
      <w:pPr>
        <w:pStyle w:val="Indenta"/>
      </w:pPr>
      <w:r>
        <w:tab/>
        <w:t>(a)</w:t>
      </w:r>
      <w:r>
        <w:tab/>
        <w:t>was started by a consumer/trader claim before commencement day; and</w:t>
      </w:r>
    </w:p>
    <w:p>
      <w:pPr>
        <w:pStyle w:val="Indenta"/>
      </w:pPr>
      <w:r>
        <w:tab/>
        <w:t>(b)</w:t>
      </w:r>
      <w:r>
        <w:tab/>
        <w:t>as of commencement day, has not been concluded.</w:t>
      </w:r>
    </w:p>
    <w:p>
      <w:pPr>
        <w:pStyle w:val="Footnotesection"/>
      </w:pPr>
      <w:r>
        <w:tab/>
        <w:t>[Rule 87 inserted: SL 2022/54 r. 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49" w:name="_Toc107328553"/>
      <w:bookmarkStart w:id="150" w:name="_Toc107393219"/>
      <w:r>
        <w:lastRenderedPageBreak/>
        <w:t>Notes</w:t>
      </w:r>
      <w:bookmarkEnd w:id="149"/>
      <w:bookmarkEnd w:id="150"/>
    </w:p>
    <w:p>
      <w:pPr>
        <w:pStyle w:val="nStatement"/>
      </w:pPr>
      <w:r>
        <w:t xml:space="preserve">This is a compilation of the </w:t>
      </w:r>
      <w:r>
        <w:rPr>
          <w:i/>
          <w:noProof/>
        </w:rPr>
        <w:t>Magistrates Court (Minor Cases Procedure) Rules 2005</w:t>
      </w:r>
      <w:r>
        <w:t xml:space="preserve"> and includes amendments made by other written laws. For provisions that have come into operation, and for information about any reprints, see the compilation table. </w:t>
      </w:r>
    </w:p>
    <w:p>
      <w:pPr>
        <w:pStyle w:val="nHeading3"/>
      </w:pPr>
      <w:bookmarkStart w:id="151" w:name="_Toc107393220"/>
      <w:r>
        <w:t>Compilation table</w:t>
      </w:r>
      <w:bookmarkEnd w:id="15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Magistrates Court (Minor Cases Procedure) Rules 2005</w:t>
            </w:r>
          </w:p>
        </w:tc>
        <w:tc>
          <w:tcPr>
            <w:tcW w:w="1276" w:type="dxa"/>
            <w:tcBorders>
              <w:top w:val="single" w:sz="8" w:space="0" w:color="auto"/>
            </w:tcBorders>
          </w:tcPr>
          <w:p>
            <w:pPr>
              <w:pStyle w:val="nTable"/>
              <w:spacing w:after="40"/>
            </w:pPr>
            <w:r>
              <w:t>28 Apr 2005 p. 1711</w:t>
            </w:r>
            <w:r>
              <w:noBreakHyphen/>
              <w:t>48</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2005</w:t>
            </w:r>
          </w:p>
        </w:tc>
        <w:tc>
          <w:tcPr>
            <w:tcW w:w="1276" w:type="dxa"/>
          </w:tcPr>
          <w:p>
            <w:pPr>
              <w:pStyle w:val="nTable"/>
              <w:spacing w:after="40"/>
            </w:pPr>
            <w:r>
              <w:t>10 Jun 2005 p. 2565</w:t>
            </w:r>
            <w:r>
              <w:noBreakHyphen/>
              <w:t>6</w:t>
            </w:r>
          </w:p>
        </w:tc>
        <w:tc>
          <w:tcPr>
            <w:tcW w:w="2693" w:type="dxa"/>
          </w:tcPr>
          <w:p>
            <w:pPr>
              <w:pStyle w:val="nTable"/>
              <w:spacing w:after="40"/>
            </w:pPr>
            <w:r>
              <w:t>10 Jun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2007</w:t>
            </w:r>
          </w:p>
        </w:tc>
        <w:tc>
          <w:tcPr>
            <w:tcW w:w="1276" w:type="dxa"/>
          </w:tcPr>
          <w:p>
            <w:pPr>
              <w:pStyle w:val="nTable"/>
              <w:spacing w:after="40"/>
            </w:pPr>
            <w:r>
              <w:t>24 Aug 2007 p. 4333</w:t>
            </w:r>
            <w:r>
              <w:noBreakHyphen/>
              <w:t>4</w:t>
            </w:r>
          </w:p>
        </w:tc>
        <w:tc>
          <w:tcPr>
            <w:tcW w:w="2693" w:type="dxa"/>
          </w:tcPr>
          <w:p>
            <w:pPr>
              <w:pStyle w:val="nTable"/>
              <w:spacing w:after="40"/>
            </w:pPr>
            <w:r>
              <w:rPr>
                <w:snapToGrid w:val="0"/>
              </w:rPr>
              <w:t>r. 1 and 2: 24 Aug 2007 (see r. 2(a));</w:t>
            </w:r>
            <w:r>
              <w:rPr>
                <w:snapToGrid w:val="0"/>
              </w:rPr>
              <w:br/>
              <w:t>Rules other than r. 1 and 2: 25 Aug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2008</w:t>
            </w:r>
          </w:p>
        </w:tc>
        <w:tc>
          <w:tcPr>
            <w:tcW w:w="1276" w:type="dxa"/>
          </w:tcPr>
          <w:p>
            <w:pPr>
              <w:pStyle w:val="nTable"/>
              <w:spacing w:after="40"/>
            </w:pPr>
            <w:r>
              <w:t>3 Jun 2008 p. 2138</w:t>
            </w:r>
            <w:r>
              <w:noBreakHyphen/>
              <w:t>49</w:t>
            </w:r>
          </w:p>
        </w:tc>
        <w:tc>
          <w:tcPr>
            <w:tcW w:w="2693" w:type="dxa"/>
          </w:tcPr>
          <w:p>
            <w:pPr>
              <w:pStyle w:val="nTable"/>
              <w:spacing w:after="40"/>
              <w:rPr>
                <w:snapToGrid w:val="0"/>
              </w:rPr>
            </w:pPr>
            <w:r>
              <w:rPr>
                <w:snapToGrid w:val="0"/>
              </w:rPr>
              <w:t>r. 1 and 2: 3 Jun 2008 (see r. 2(a));</w:t>
            </w:r>
            <w:r>
              <w:rPr>
                <w:snapToGrid w:val="0"/>
              </w:rPr>
              <w:br/>
              <w:t>Rules other than r. 1 and 2: 1 Sep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snapToGrid w:val="0"/>
              </w:rPr>
              <w:t xml:space="preserve">Reprint 1:  The </w:t>
            </w:r>
            <w:r>
              <w:rPr>
                <w:b/>
                <w:bCs/>
                <w:i/>
              </w:rPr>
              <w:t>Magistrates Court (Minor Cases Procedure) Rules 2005</w:t>
            </w:r>
            <w:r>
              <w:rPr>
                <w:b/>
                <w:bCs/>
                <w:snapToGrid w:val="0"/>
              </w:rPr>
              <w:t xml:space="preserve"> as at 14 Nov 2008 </w:t>
            </w:r>
            <w:r>
              <w:rPr>
                <w:snapToGrid w:val="0"/>
              </w:rPr>
              <w:t>(includes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2010</w:t>
            </w:r>
          </w:p>
        </w:tc>
        <w:tc>
          <w:tcPr>
            <w:tcW w:w="1276" w:type="dxa"/>
          </w:tcPr>
          <w:p>
            <w:pPr>
              <w:pStyle w:val="nTable"/>
              <w:spacing w:after="40"/>
            </w:pPr>
            <w:r>
              <w:t>2 Jul 2010 p. 3196</w:t>
            </w:r>
          </w:p>
        </w:tc>
        <w:tc>
          <w:tcPr>
            <w:tcW w:w="2693" w:type="dxa"/>
          </w:tcPr>
          <w:p>
            <w:pPr>
              <w:pStyle w:val="nTable"/>
              <w:spacing w:after="40"/>
              <w:rPr>
                <w:snapToGrid w:val="0"/>
              </w:rPr>
            </w:pPr>
            <w:r>
              <w:rPr>
                <w:snapToGrid w:val="0"/>
              </w:rPr>
              <w:t>r. 1 and 2: 2 Jul 2010 (see r. 2(a));</w:t>
            </w:r>
            <w:r>
              <w:rPr>
                <w:snapToGrid w:val="0"/>
              </w:rPr>
              <w:br/>
              <w:t>Rules other than r. 1 and 2: 3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2011</w:t>
            </w:r>
          </w:p>
        </w:tc>
        <w:tc>
          <w:tcPr>
            <w:tcW w:w="1276" w:type="dxa"/>
          </w:tcPr>
          <w:p>
            <w:pPr>
              <w:pStyle w:val="nTable"/>
              <w:spacing w:after="40"/>
            </w:pPr>
            <w:r>
              <w:t>20 May 2011 p. 1840-1</w:t>
            </w:r>
          </w:p>
        </w:tc>
        <w:tc>
          <w:tcPr>
            <w:tcW w:w="2693" w:type="dxa"/>
          </w:tcPr>
          <w:p>
            <w:pPr>
              <w:pStyle w:val="nTable"/>
              <w:spacing w:after="40"/>
              <w:rPr>
                <w:snapToGrid w:val="0"/>
              </w:rPr>
            </w:pPr>
            <w:r>
              <w:rPr>
                <w:snapToGrid w:val="0"/>
              </w:rPr>
              <w:t>r. 1 and 2: 20 May 2011 (see r. 2(a));</w:t>
            </w:r>
            <w:r>
              <w:rPr>
                <w:snapToGrid w:val="0"/>
              </w:rPr>
              <w:br/>
              <w:t>Rules other than r. 1 and 2: 21 May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(No. 2) 2013</w:t>
            </w:r>
          </w:p>
        </w:tc>
        <w:tc>
          <w:tcPr>
            <w:tcW w:w="1276" w:type="dxa"/>
          </w:tcPr>
          <w:p>
            <w:pPr>
              <w:pStyle w:val="nTable"/>
              <w:spacing w:after="40"/>
            </w:pPr>
            <w:r>
              <w:t>24 May 2013 p. 2057-60</w:t>
            </w:r>
          </w:p>
        </w:tc>
        <w:tc>
          <w:tcPr>
            <w:tcW w:w="2693" w:type="dxa"/>
          </w:tcPr>
          <w:p>
            <w:pPr>
              <w:pStyle w:val="nTable"/>
              <w:spacing w:after="40"/>
              <w:rPr>
                <w:snapToGrid w:val="0"/>
              </w:rPr>
            </w:pPr>
            <w:r>
              <w:rPr>
                <w:snapToGrid w:val="0"/>
              </w:rPr>
              <w:t>r. 1 and 2: 24 May 2013 (see r. 2(a));</w:t>
            </w:r>
            <w:r>
              <w:rPr>
                <w:snapToGrid w:val="0"/>
              </w:rPr>
              <w:br/>
              <w:t>Rules other than r. 1 and 2: 25 May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2013</w:t>
            </w:r>
          </w:p>
        </w:tc>
        <w:tc>
          <w:tcPr>
            <w:tcW w:w="1276" w:type="dxa"/>
          </w:tcPr>
          <w:p>
            <w:pPr>
              <w:pStyle w:val="nTable"/>
              <w:spacing w:after="40"/>
            </w:pPr>
            <w:r>
              <w:t>31 Dec 2013 p. 6545-7</w:t>
            </w:r>
          </w:p>
        </w:tc>
        <w:tc>
          <w:tcPr>
            <w:tcW w:w="2693" w:type="dxa"/>
          </w:tcPr>
          <w:p>
            <w:pPr>
              <w:pStyle w:val="nTable"/>
              <w:spacing w:after="40"/>
              <w:rPr>
                <w:snapToGrid w:val="0"/>
              </w:rPr>
            </w:pPr>
            <w:r>
              <w:rPr>
                <w:snapToGrid w:val="0"/>
              </w:rPr>
              <w:t>r. 1 and 2: 31 Dec 2013 (see r. 2(a));</w:t>
            </w:r>
            <w:r>
              <w:rPr>
                <w:snapToGrid w:val="0"/>
              </w:rPr>
              <w:br/>
              <w:t>Rules other than r. 1 and 2: 1 Jan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Magistrates Court (Minor Cases Procedure) Amendment Rules (No. 2) 2014</w:t>
            </w:r>
          </w:p>
        </w:tc>
        <w:tc>
          <w:tcPr>
            <w:tcW w:w="1276" w:type="dxa"/>
          </w:tcPr>
          <w:p>
            <w:pPr>
              <w:pStyle w:val="nTable"/>
              <w:spacing w:after="40"/>
            </w:pPr>
            <w:r>
              <w:t>12 Dec 2014 p. 4717</w:t>
            </w:r>
            <w:r>
              <w:noBreakHyphen/>
              <w:t>18</w:t>
            </w:r>
          </w:p>
        </w:tc>
        <w:tc>
          <w:tcPr>
            <w:tcW w:w="2693" w:type="dxa"/>
          </w:tcPr>
          <w:p>
            <w:pPr>
              <w:pStyle w:val="nTable"/>
              <w:spacing w:after="40"/>
              <w:rPr>
                <w:snapToGrid w:val="0"/>
              </w:rPr>
            </w:pPr>
            <w:r>
              <w:rPr>
                <w:snapToGrid w:val="0"/>
              </w:rPr>
              <w:t>r. 1 and 2: 12 Dec 2014 (see r. 2(a));</w:t>
            </w:r>
            <w:r>
              <w:rPr>
                <w:snapToGrid w:val="0"/>
              </w:rPr>
              <w:br/>
              <w:t>Rules other than r. 1 and 2: 13 Dec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lastRenderedPageBreak/>
              <w:t>Magistrates Court (Minor Cases Procedure) Amendment Rules (No. 2) 2016</w:t>
            </w:r>
          </w:p>
        </w:tc>
        <w:tc>
          <w:tcPr>
            <w:tcW w:w="1276" w:type="dxa"/>
          </w:tcPr>
          <w:p>
            <w:pPr>
              <w:pStyle w:val="nTable"/>
              <w:keepNext/>
              <w:spacing w:after="40"/>
            </w:pPr>
            <w:r>
              <w:t>3 May 2016 p. 1361-2</w:t>
            </w:r>
          </w:p>
        </w:tc>
        <w:tc>
          <w:tcPr>
            <w:tcW w:w="2693" w:type="dxa"/>
          </w:tcPr>
          <w:p>
            <w:pPr>
              <w:pStyle w:val="nTable"/>
              <w:keepNext/>
              <w:spacing w:after="40"/>
              <w:rPr>
                <w:snapToGrid w:val="0"/>
              </w:rPr>
            </w:pPr>
            <w:r>
              <w:rPr>
                <w:bCs/>
                <w:snapToGrid w:val="0"/>
                <w:spacing w:val="-2"/>
              </w:rPr>
              <w:t>r. 1 and 2: 3 May 2016 (see r. 2(a));</w:t>
            </w:r>
            <w:r>
              <w:rPr>
                <w:bCs/>
                <w:snapToGrid w:val="0"/>
                <w:spacing w:val="-2"/>
              </w:rPr>
              <w:br/>
              <w:t>Rules other than r. 1 and 2: 4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(Minor Cases Procedure) Amendment Rules 2016</w:t>
            </w:r>
          </w:p>
        </w:tc>
        <w:tc>
          <w:tcPr>
            <w:tcW w:w="1276" w:type="dxa"/>
          </w:tcPr>
          <w:p>
            <w:pPr>
              <w:pStyle w:val="nTable"/>
              <w:keepNext/>
              <w:spacing w:after="40"/>
            </w:pPr>
            <w:r>
              <w:t>30 Sep 2016 p. 4174-6</w:t>
            </w:r>
          </w:p>
        </w:tc>
        <w:tc>
          <w:tcPr>
            <w:tcW w:w="2693" w:type="dxa"/>
          </w:tcPr>
          <w:p>
            <w:pPr>
              <w:pStyle w:val="nTable"/>
              <w:keepNext/>
              <w:spacing w:after="40"/>
              <w:rPr>
                <w:bCs/>
                <w:snapToGrid w:val="0"/>
                <w:spacing w:val="-2"/>
              </w:rPr>
            </w:pPr>
            <w:r>
              <w:rPr>
                <w:bCs/>
                <w:snapToGrid w:val="0"/>
                <w:spacing w:val="-2"/>
              </w:rPr>
              <w:t>r. 1 and 2: 30 Sep 2016 (see r. 2(a));</w:t>
            </w:r>
            <w:r>
              <w:rPr>
                <w:bCs/>
                <w:snapToGrid w:val="0"/>
                <w:spacing w:val="-2"/>
              </w:rPr>
              <w:br/>
              <w:t>Rules other than r. 1 and 2: 1 Oct 2016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keepNext/>
              <w:spacing w:after="40"/>
              <w:rPr>
                <w:bCs/>
                <w:snapToGrid w:val="0"/>
                <w:spacing w:val="-2"/>
              </w:rPr>
            </w:pPr>
            <w:r>
              <w:rPr>
                <w:b/>
                <w:bCs/>
                <w:snapToGrid w:val="0"/>
                <w:spacing w:val="-2"/>
              </w:rPr>
              <w:t xml:space="preserve">Reprint 2: The </w:t>
            </w:r>
            <w:r>
              <w:rPr>
                <w:b/>
                <w:bCs/>
                <w:i/>
                <w:noProof/>
                <w:snapToGrid w:val="0"/>
                <w:spacing w:val="-2"/>
              </w:rPr>
              <w:t>Magistrates Court (Minor Cases Procedure) Rules 2005</w:t>
            </w:r>
            <w:r>
              <w:rPr>
                <w:b/>
                <w:bCs/>
                <w:snapToGrid w:val="0"/>
                <w:spacing w:val="-2"/>
              </w:rPr>
              <w:t xml:space="preserve"> as at 12 May 2017</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Magistrates Court Rules Amendment Rules 2017</w:t>
            </w:r>
            <w:r>
              <w:t xml:space="preserve"> Pt. 3</w:t>
            </w:r>
          </w:p>
        </w:tc>
        <w:tc>
          <w:tcPr>
            <w:tcW w:w="1276" w:type="dxa"/>
          </w:tcPr>
          <w:p>
            <w:pPr>
              <w:pStyle w:val="nTable"/>
              <w:keepNext/>
              <w:spacing w:after="40"/>
            </w:pPr>
            <w:r>
              <w:t>21 Jul 2017 p. 4024</w:t>
            </w:r>
            <w:r>
              <w:noBreakHyphen/>
              <w:t>7</w:t>
            </w:r>
          </w:p>
        </w:tc>
        <w:tc>
          <w:tcPr>
            <w:tcW w:w="2693" w:type="dxa"/>
          </w:tcPr>
          <w:p>
            <w:pPr>
              <w:pStyle w:val="nTable"/>
              <w:keepNext/>
              <w:spacing w:after="40"/>
              <w:rPr>
                <w:bCs/>
                <w:snapToGrid w:val="0"/>
                <w:spacing w:val="-2"/>
              </w:rPr>
            </w:pPr>
            <w:r>
              <w:rPr>
                <w:bCs/>
                <w:snapToGrid w:val="0"/>
                <w:spacing w:val="-2"/>
              </w:rPr>
              <w:t>22 Jul 2017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Magistrates Court Rules Amendment Rules 2018</w:t>
            </w:r>
            <w:r>
              <w:t xml:space="preserve"> Pt. 3</w:t>
            </w:r>
          </w:p>
        </w:tc>
        <w:tc>
          <w:tcPr>
            <w:tcW w:w="1276" w:type="dxa"/>
          </w:tcPr>
          <w:p>
            <w:pPr>
              <w:pStyle w:val="nTable"/>
              <w:keepNext/>
              <w:spacing w:after="40"/>
            </w:pPr>
            <w:r>
              <w:t>18 Sep 2018 p. 3515</w:t>
            </w:r>
            <w:r>
              <w:noBreakHyphen/>
              <w:t>16</w:t>
            </w:r>
          </w:p>
        </w:tc>
        <w:tc>
          <w:tcPr>
            <w:tcW w:w="2693" w:type="dxa"/>
          </w:tcPr>
          <w:p>
            <w:pPr>
              <w:pStyle w:val="nTable"/>
              <w:keepNext/>
              <w:spacing w:after="40"/>
              <w:rPr>
                <w:bCs/>
                <w:snapToGrid w:val="0"/>
                <w:spacing w:val="-2"/>
              </w:rPr>
            </w:pPr>
            <w:r>
              <w:rPr>
                <w:bCs/>
                <w:snapToGrid w:val="0"/>
                <w:spacing w:val="-2"/>
              </w:rPr>
              <w:t>19 Sep 2018 (see r. 2(b))</w:t>
            </w:r>
          </w:p>
        </w:tc>
      </w:tr>
      <w:tr>
        <w:tc>
          <w:tcPr>
            <w:tcW w:w="3118" w:type="dxa"/>
            <w:tcBorders>
              <w:top w:val="nil"/>
              <w:bottom w:val="nil"/>
            </w:tcBorders>
          </w:tcPr>
          <w:p>
            <w:pPr>
              <w:pStyle w:val="nTable"/>
              <w:spacing w:after="40"/>
              <w:rPr>
                <w:i/>
              </w:rPr>
            </w:pPr>
            <w:r>
              <w:rPr>
                <w:i/>
              </w:rPr>
              <w:t>Magistrates Court Rules Amendment (Inactive Cases) Rules 2019</w:t>
            </w:r>
            <w:r>
              <w:t xml:space="preserve"> Pt. 3</w:t>
            </w:r>
          </w:p>
        </w:tc>
        <w:tc>
          <w:tcPr>
            <w:tcW w:w="1276" w:type="dxa"/>
            <w:tcBorders>
              <w:top w:val="nil"/>
              <w:bottom w:val="nil"/>
            </w:tcBorders>
          </w:tcPr>
          <w:p>
            <w:pPr>
              <w:pStyle w:val="nTable"/>
              <w:keepNext/>
              <w:spacing w:after="40"/>
            </w:pPr>
            <w:r>
              <w:t>5 Apr 2019 p. 1012</w:t>
            </w:r>
            <w:r>
              <w:noBreakHyphen/>
              <w:t>16</w:t>
            </w:r>
          </w:p>
        </w:tc>
        <w:tc>
          <w:tcPr>
            <w:tcW w:w="2693" w:type="dxa"/>
            <w:tcBorders>
              <w:top w:val="nil"/>
              <w:bottom w:val="nil"/>
            </w:tcBorders>
          </w:tcPr>
          <w:p>
            <w:pPr>
              <w:pStyle w:val="nTable"/>
              <w:keepNext/>
              <w:spacing w:after="40"/>
              <w:rPr>
                <w:bCs/>
                <w:snapToGrid w:val="0"/>
                <w:spacing w:val="-2"/>
              </w:rPr>
            </w:pPr>
            <w:r>
              <w:rPr>
                <w:bCs/>
                <w:snapToGrid w:val="0"/>
                <w:spacing w:val="-2"/>
              </w:rPr>
              <w:t>6 Apr 2019 (see r. 2(b))</w:t>
            </w:r>
          </w:p>
        </w:tc>
      </w:tr>
      <w:tr>
        <w:tc>
          <w:tcPr>
            <w:tcW w:w="3118" w:type="dxa"/>
            <w:tcBorders>
              <w:top w:val="nil"/>
              <w:bottom w:val="nil"/>
            </w:tcBorders>
          </w:tcPr>
          <w:p>
            <w:pPr>
              <w:pStyle w:val="nTable"/>
              <w:spacing w:after="40"/>
              <w:rPr>
                <w:i/>
              </w:rPr>
            </w:pPr>
            <w:r>
              <w:rPr>
                <w:i/>
              </w:rPr>
              <w:t>Magistrates Court Rules Amendment Rules 2020</w:t>
            </w:r>
            <w:r>
              <w:t xml:space="preserve"> Pt. 3</w:t>
            </w:r>
          </w:p>
        </w:tc>
        <w:tc>
          <w:tcPr>
            <w:tcW w:w="1276" w:type="dxa"/>
            <w:tcBorders>
              <w:top w:val="nil"/>
              <w:bottom w:val="nil"/>
            </w:tcBorders>
          </w:tcPr>
          <w:p>
            <w:pPr>
              <w:pStyle w:val="nTable"/>
              <w:keepNext/>
              <w:spacing w:after="40"/>
            </w:pPr>
            <w:r>
              <w:t>SL 2020/67 28 May 2020</w:t>
            </w:r>
          </w:p>
        </w:tc>
        <w:tc>
          <w:tcPr>
            <w:tcW w:w="2693" w:type="dxa"/>
            <w:tcBorders>
              <w:top w:val="nil"/>
              <w:bottom w:val="nil"/>
            </w:tcBorders>
          </w:tcPr>
          <w:p>
            <w:pPr>
              <w:pStyle w:val="nTable"/>
              <w:keepNext/>
              <w:spacing w:after="40"/>
              <w:rPr>
                <w:bCs/>
                <w:snapToGrid w:val="0"/>
                <w:spacing w:val="-2"/>
              </w:rPr>
            </w:pPr>
            <w:r>
              <w:rPr>
                <w:bCs/>
                <w:snapToGrid w:val="0"/>
                <w:spacing w:val="-2"/>
              </w:rPr>
              <w:t>1 Jun 2020 (see r. 2(b))</w:t>
            </w:r>
          </w:p>
        </w:tc>
      </w:tr>
      <w:tr>
        <w:tc>
          <w:tcPr>
            <w:tcW w:w="3118" w:type="dxa"/>
            <w:tcBorders>
              <w:top w:val="nil"/>
              <w:bottom w:val="nil"/>
            </w:tcBorders>
          </w:tcPr>
          <w:p>
            <w:pPr>
              <w:pStyle w:val="nTable"/>
              <w:spacing w:after="40"/>
            </w:pPr>
            <w:r>
              <w:rPr>
                <w:i/>
              </w:rPr>
              <w:t>Magistrates Court Rules Amendment Rules 2021</w:t>
            </w:r>
            <w:r>
              <w:t xml:space="preserve"> Pt. 4</w:t>
            </w:r>
          </w:p>
        </w:tc>
        <w:tc>
          <w:tcPr>
            <w:tcW w:w="1276" w:type="dxa"/>
            <w:tcBorders>
              <w:top w:val="nil"/>
              <w:bottom w:val="nil"/>
            </w:tcBorders>
          </w:tcPr>
          <w:p>
            <w:pPr>
              <w:pStyle w:val="nTable"/>
              <w:keepNext/>
              <w:spacing w:after="40"/>
            </w:pPr>
            <w:r>
              <w:t>SL 2021/25 26 Feb 2021</w:t>
            </w:r>
          </w:p>
        </w:tc>
        <w:tc>
          <w:tcPr>
            <w:tcW w:w="2693" w:type="dxa"/>
            <w:tcBorders>
              <w:top w:val="nil"/>
              <w:bottom w:val="nil"/>
            </w:tcBorders>
          </w:tcPr>
          <w:p>
            <w:pPr>
              <w:pStyle w:val="nTable"/>
              <w:keepNext/>
              <w:spacing w:after="40"/>
              <w:rPr>
                <w:bCs/>
                <w:snapToGrid w:val="0"/>
                <w:spacing w:val="-2"/>
              </w:rPr>
            </w:pPr>
            <w:r>
              <w:rPr>
                <w:bCs/>
                <w:snapToGrid w:val="0"/>
                <w:spacing w:val="-2"/>
              </w:rPr>
              <w:t>27 Feb 2021 (see r. 2(b))</w:t>
            </w:r>
          </w:p>
        </w:tc>
      </w:tr>
      <w:tr>
        <w:tc>
          <w:tcPr>
            <w:tcW w:w="3118" w:type="dxa"/>
            <w:tcBorders>
              <w:top w:val="nil"/>
              <w:bottom w:val="nil"/>
            </w:tcBorders>
          </w:tcPr>
          <w:p>
            <w:pPr>
              <w:pStyle w:val="nTable"/>
              <w:spacing w:after="40"/>
            </w:pPr>
            <w:r>
              <w:rPr>
                <w:i/>
              </w:rPr>
              <w:t>Magistrates Court Rules Amendment Rules 2022</w:t>
            </w:r>
            <w:r>
              <w:t xml:space="preserve"> Pt. 4</w:t>
            </w:r>
          </w:p>
        </w:tc>
        <w:tc>
          <w:tcPr>
            <w:tcW w:w="1276" w:type="dxa"/>
            <w:tcBorders>
              <w:top w:val="nil"/>
              <w:bottom w:val="nil"/>
            </w:tcBorders>
          </w:tcPr>
          <w:p>
            <w:pPr>
              <w:pStyle w:val="nTable"/>
              <w:keepNext/>
              <w:spacing w:after="40"/>
            </w:pPr>
            <w:r>
              <w:t>SL 2022/54 13 May 2022</w:t>
            </w:r>
          </w:p>
        </w:tc>
        <w:tc>
          <w:tcPr>
            <w:tcW w:w="2693" w:type="dxa"/>
            <w:tcBorders>
              <w:top w:val="nil"/>
              <w:bottom w:val="nil"/>
            </w:tcBorders>
          </w:tcPr>
          <w:p>
            <w:pPr>
              <w:pStyle w:val="nTable"/>
              <w:keepNext/>
              <w:spacing w:after="40"/>
              <w:rPr>
                <w:bCs/>
                <w:snapToGrid w:val="0"/>
                <w:spacing w:val="-2"/>
              </w:rPr>
            </w:pPr>
            <w:r>
              <w:rPr>
                <w:bCs/>
                <w:snapToGrid w:val="0"/>
                <w:spacing w:val="-2"/>
              </w:rPr>
              <w:t>14 May 2022 (see r. 2(b))</w:t>
            </w:r>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spacing w:after="40"/>
              <w:rPr>
                <w:i/>
              </w:rPr>
            </w:pPr>
            <w:r>
              <w:rPr>
                <w:i/>
              </w:rPr>
              <w:t>Magistrates Court Rules Amendment (Legal Profession) Rules 2022</w:t>
            </w:r>
            <w:r>
              <w:t xml:space="preserve"> Pt. 4</w:t>
            </w:r>
          </w:p>
        </w:tc>
        <w:tc>
          <w:tcPr>
            <w:tcW w:w="1276" w:type="dxa"/>
            <w:tcBorders>
              <w:bottom w:val="single" w:sz="4" w:space="0" w:color="auto"/>
            </w:tcBorders>
          </w:tcPr>
          <w:p>
            <w:pPr>
              <w:pStyle w:val="nTable"/>
              <w:keepNext/>
              <w:spacing w:after="40"/>
            </w:pPr>
            <w:r>
              <w:t>SL 2022/106 24 Jun 2022</w:t>
            </w:r>
          </w:p>
        </w:tc>
        <w:tc>
          <w:tcPr>
            <w:tcW w:w="2693" w:type="dxa"/>
            <w:tcBorders>
              <w:bottom w:val="single" w:sz="4" w:space="0" w:color="auto"/>
            </w:tcBorders>
          </w:tcPr>
          <w:p>
            <w:pPr>
              <w:pStyle w:val="nTable"/>
              <w:keepNext/>
              <w:spacing w:after="40"/>
              <w:rPr>
                <w:bCs/>
                <w:snapToGrid w:val="0"/>
                <w:spacing w:val="-2"/>
              </w:rPr>
            </w:pPr>
            <w:r>
              <w:t>1 Jul 2022 (see r. 2(b) and SL 2022/113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53" w:name="_Toc107328555"/>
      <w:bookmarkStart w:id="154" w:name="_Toc107393221"/>
      <w:r>
        <w:rPr>
          <w:sz w:val="28"/>
        </w:rPr>
        <w:lastRenderedPageBreak/>
        <w:t>Defined terms</w:t>
      </w:r>
      <w:bookmarkEnd w:id="153"/>
      <w:bookmarkEnd w:id="1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administrative staff member</w:t>
      </w:r>
      <w:r>
        <w:tab/>
        <w:t>4</w:t>
      </w:r>
    </w:p>
    <w:p>
      <w:pPr>
        <w:pStyle w:val="DefinedTerms"/>
      </w:pPr>
      <w:r>
        <w:t>agent</w:t>
      </w:r>
      <w:r>
        <w:tab/>
        <w:t>4</w:t>
      </w:r>
    </w:p>
    <w:p>
      <w:pPr>
        <w:pStyle w:val="DefinedTerms"/>
      </w:pPr>
      <w:r>
        <w:t>amended Rules</w:t>
      </w:r>
      <w:r>
        <w:tab/>
        <w:t>82</w:t>
      </w:r>
    </w:p>
    <w:p>
      <w:pPr>
        <w:pStyle w:val="DefinedTerms"/>
      </w:pPr>
      <w:r>
        <w:t>application</w:t>
      </w:r>
      <w:r>
        <w:tab/>
        <w:t>4</w:t>
      </w:r>
    </w:p>
    <w:p>
      <w:pPr>
        <w:pStyle w:val="DefinedTerms"/>
      </w:pPr>
      <w:r>
        <w:t>approved form</w:t>
      </w:r>
      <w:r>
        <w:tab/>
        <w:t>4</w:t>
      </w:r>
    </w:p>
    <w:p>
      <w:pPr>
        <w:pStyle w:val="DefinedTerms"/>
      </w:pPr>
      <w:r>
        <w:t>child</w:t>
      </w:r>
      <w:r>
        <w:tab/>
        <w:t>69</w:t>
      </w:r>
    </w:p>
    <w:p>
      <w:pPr>
        <w:pStyle w:val="DefinedTerms"/>
      </w:pPr>
      <w:r>
        <w:t>commencement day</w:t>
      </w:r>
      <w:r>
        <w:tab/>
        <w:t>82, 87(1)</w:t>
      </w:r>
    </w:p>
    <w:p>
      <w:pPr>
        <w:pStyle w:val="DefinedTerms"/>
      </w:pPr>
      <w:r>
        <w:t>counterclaim</w:t>
      </w:r>
      <w:r>
        <w:tab/>
        <w:t>4</w:t>
      </w:r>
    </w:p>
    <w:p>
      <w:pPr>
        <w:pStyle w:val="DefinedTerms"/>
      </w:pPr>
      <w:r>
        <w:t>default judgment</w:t>
      </w:r>
      <w:r>
        <w:tab/>
        <w:t>4</w:t>
      </w:r>
    </w:p>
    <w:p>
      <w:pPr>
        <w:pStyle w:val="DefinedTerms"/>
      </w:pPr>
      <w:r>
        <w:t>defendant</w:t>
      </w:r>
      <w:r>
        <w:tab/>
        <w:t>4</w:t>
      </w:r>
    </w:p>
    <w:p>
      <w:pPr>
        <w:pStyle w:val="DefinedTerms"/>
      </w:pPr>
      <w:r>
        <w:t>departmental officer</w:t>
      </w:r>
      <w:r>
        <w:tab/>
        <w:t>4</w:t>
      </w:r>
    </w:p>
    <w:p>
      <w:pPr>
        <w:pStyle w:val="DefinedTerms"/>
      </w:pPr>
      <w:r>
        <w:t>ECMS</w:t>
      </w:r>
      <w:r>
        <w:tab/>
        <w:t>4</w:t>
      </w:r>
    </w:p>
    <w:p>
      <w:pPr>
        <w:pStyle w:val="DefinedTerms"/>
      </w:pPr>
      <w:r>
        <w:t>ECMS exempt</w:t>
      </w:r>
      <w:r>
        <w:tab/>
        <w:t>4</w:t>
      </w:r>
    </w:p>
    <w:p>
      <w:pPr>
        <w:pStyle w:val="DefinedTerms"/>
      </w:pPr>
      <w:r>
        <w:t>enforcement officer</w:t>
      </w:r>
      <w:r>
        <w:tab/>
        <w:t>4</w:t>
      </w:r>
    </w:p>
    <w:p>
      <w:pPr>
        <w:pStyle w:val="DefinedTerms"/>
      </w:pPr>
      <w:r>
        <w:t>former Rules</w:t>
      </w:r>
      <w:r>
        <w:tab/>
        <w:t>82</w:t>
      </w:r>
    </w:p>
    <w:p>
      <w:pPr>
        <w:pStyle w:val="DefinedTerms"/>
      </w:pPr>
      <w:r>
        <w:t>inactive case</w:t>
      </w:r>
      <w:r>
        <w:tab/>
        <w:t>45A</w:t>
      </w:r>
    </w:p>
    <w:p>
      <w:pPr>
        <w:pStyle w:val="DefinedTerms"/>
      </w:pPr>
      <w:r>
        <w:t>lodge</w:t>
      </w:r>
      <w:r>
        <w:tab/>
        <w:t>4</w:t>
      </w:r>
    </w:p>
    <w:p>
      <w:pPr>
        <w:pStyle w:val="DefinedTerms"/>
      </w:pPr>
      <w:r>
        <w:t>order</w:t>
      </w:r>
      <w:r>
        <w:tab/>
        <w:t>4</w:t>
      </w:r>
    </w:p>
    <w:p>
      <w:pPr>
        <w:pStyle w:val="DefinedTerms"/>
      </w:pPr>
      <w:r>
        <w:t>partnership</w:t>
      </w:r>
      <w:r>
        <w:tab/>
        <w:t>4</w:t>
      </w:r>
    </w:p>
    <w:p>
      <w:pPr>
        <w:pStyle w:val="DefinedTerms"/>
      </w:pPr>
      <w:r>
        <w:t>personal service</w:t>
      </w:r>
      <w:r>
        <w:tab/>
        <w:t>4</w:t>
      </w:r>
    </w:p>
    <w:p>
      <w:pPr>
        <w:pStyle w:val="DefinedTerms"/>
      </w:pPr>
      <w:r>
        <w:t>Public Trustee</w:t>
      </w:r>
      <w:r>
        <w:tab/>
        <w:t>4</w:t>
      </w:r>
    </w:p>
    <w:p>
      <w:pPr>
        <w:pStyle w:val="DefinedTerms"/>
      </w:pPr>
      <w:r>
        <w:t>registrar</w:t>
      </w:r>
      <w:r>
        <w:tab/>
        <w:t>4</w:t>
      </w:r>
    </w:p>
    <w:p>
      <w:pPr>
        <w:pStyle w:val="DefinedTerms"/>
      </w:pPr>
      <w:r>
        <w:t>represented person</w:t>
      </w:r>
      <w:r>
        <w:tab/>
        <w:t>69</w:t>
      </w:r>
    </w:p>
    <w:p>
      <w:pPr>
        <w:pStyle w:val="DefinedTerms"/>
      </w:pPr>
      <w:r>
        <w:t>response</w:t>
      </w:r>
      <w:r>
        <w:tab/>
        <w:t>4</w:t>
      </w:r>
    </w:p>
    <w:p>
      <w:pPr>
        <w:pStyle w:val="DefinedTerms"/>
      </w:pPr>
      <w:r>
        <w:t>serve</w:t>
      </w:r>
      <w:r>
        <w:tab/>
        <w:t>4</w:t>
      </w:r>
    </w:p>
    <w:p>
      <w:pPr>
        <w:pStyle w:val="DefinedTerms"/>
      </w:pPr>
      <w:r>
        <w:t>serve personally</w:t>
      </w:r>
      <w:r>
        <w:tab/>
        <w:t>4</w:t>
      </w:r>
    </w:p>
    <w:p>
      <w:pPr>
        <w:pStyle w:val="DefinedTerms"/>
      </w:pPr>
      <w:r>
        <w:t>third party</w:t>
      </w:r>
      <w:r>
        <w:tab/>
        <w:t>4</w:t>
      </w:r>
    </w:p>
    <w:p>
      <w:pPr>
        <w:pStyle w:val="DefinedTerms"/>
      </w:pPr>
      <w:r>
        <w:t>third party claim</w:t>
      </w:r>
      <w:r>
        <w:tab/>
        <w:t>4</w:t>
      </w:r>
    </w:p>
    <w:p>
      <w:pPr>
        <w:pStyle w:val="DefinedTerms"/>
      </w:pPr>
      <w:r>
        <w:t>transitional case</w:t>
      </w:r>
      <w:r>
        <w:tab/>
        <w:t>82</w:t>
      </w:r>
    </w:p>
    <w:p>
      <w:pPr>
        <w:pStyle w:val="DefinedTerms"/>
      </w:pPr>
      <w:r>
        <w:t>working day</w:t>
      </w:r>
      <w:r>
        <w:tab/>
        <w:t>4</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52" w:name="Compilation"/>
    <w:bookmarkEnd w:id="15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55" w:name="DefinedTerms"/>
    <w:bookmarkEnd w:id="15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6" w:name="Coversheet"/>
    <w:bookmarkEnd w:id="15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(Minor Cases Procedure) Rules 2005</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DD4B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F09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C032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D437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D3006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9C16E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E811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0B6CA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B4276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62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CEC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7585"/>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8134453"/>
    <w:docVar w:name="WAFER_20131230115039" w:val="RemoveTocBookmarks,RemoveUnusedBookmarks,RemoveLanguageTags,UsedStyles,ResetPageSize,UpdateArrangement"/>
    <w:docVar w:name="WAFER_20131230115039_GUID" w:val="b0a0c3b9-9b6d-4f6d-addc-89a8f3e4e990"/>
    <w:docVar w:name="WAFER_20131230143415" w:val="RemoveTocBookmarks,RunningHeaders"/>
    <w:docVar w:name="WAFER_20131230143415_GUID" w:val="77b376cf-20f6-41c0-b138-64d8216809cb"/>
    <w:docVar w:name="WAFER_20141211175509" w:val="RemoveTocBookmarks,RemoveUnusedBookmarks,RemoveLanguageTags,UsedStyles,ResetPageSize,UpdateArrangement"/>
    <w:docVar w:name="WAFER_20141211175509_GUID" w:val="9023ca95-e8b5-4520-a00d-e9df759e32f4"/>
    <w:docVar w:name="WAFER_20141211175520" w:val="RemoveTocBookmarks,RunningHeaders"/>
    <w:docVar w:name="WAFER_20141211175520_GUID" w:val="606a021a-0799-4beb-8dfc-21f67b648672"/>
    <w:docVar w:name="WAFER_20150603143546" w:val="ResetPageSize,UpdateArrangement,UpdateNTable"/>
    <w:docVar w:name="WAFER_20150603143546_GUID" w:val="33072751-25df-488b-8ee3-4158c9956282"/>
    <w:docVar w:name="WAFER_20151106150630" w:val="UpdateStyles,UsedStyles"/>
    <w:docVar w:name="WAFER_20151106150630_GUID" w:val="4f42e333-026e-45c5-aa63-3590d628f5cd"/>
    <w:docVar w:name="WAFER_20151130164940" w:val="RemoveTrackChanges"/>
    <w:docVar w:name="WAFER_20151130164940_GUID" w:val="8d4a2bd0-f558-4071-bdc0-e9f695253360"/>
    <w:docVar w:name="WAFER_20160502101927" w:val="RemoveTocBookmarks,RemoveUnusedBookmarks,RemoveLanguageTags,UsedStyles,ResetPageSize"/>
    <w:docVar w:name="WAFER_20160502101927_GUID" w:val="1b323f39-def8-4b72-af57-026171f34029"/>
    <w:docVar w:name="WAFER_20161013111409" w:val="RemoveTocBookmarks,RemoveUnusedBookmarks,RemoveLanguageTags,UsedStyles,ResetPageSize,RemoveCustomizations"/>
    <w:docVar w:name="WAFER_20161013111409_GUID" w:val="ab51bc01-5ed9-40e6-a876-ce6b610b6761"/>
    <w:docVar w:name="WAFER_20170209103043" w:val="RemoveTocBookmarks,RemoveUnusedBookmarks,RemoveLanguageTags,UsedStyles,RemoveTrackChanges"/>
    <w:docVar w:name="WAFER_20170209103043_GUID" w:val="6c898de6-c3fd-4a6a-b99e-913828d75ee3"/>
    <w:docVar w:name="WAFER_20170209103105" w:val="RemoveTocBookmarks,RemoveUnusedBookmarks,RemoveLanguageTags,UsedStyles,RemoveTrackChanges"/>
    <w:docVar w:name="WAFER_20170209103105_GUID" w:val="08990318-8126-4ed4-9ee8-9cf7edcaf12c"/>
    <w:docVar w:name="WAFER_202005271615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7161548_GUID" w:val="20b7a835-2c86-42a1-aae2-2debc61de5c5"/>
    <w:docVar w:name="WAFER_202102231216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23121637_GUID" w:val="502282b4-7d90-4c61-8af1-ad730b0c3f92"/>
    <w:docVar w:name="WAFER_202205091235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09123545_GUID" w:val="7ce2b937-7575-4aa3-a20e-23937be91df9"/>
    <w:docVar w:name="WAFER_202206211517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1151717_GUID" w:val="f536146e-c4d0-45c3-b46a-878f3c29e241"/>
    <w:docVar w:name="WAFER_20220628134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453_GUID" w:val="04f428bd-4518-4e54-885c-b3b9b4c5dd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5:docId w15:val="{70927772-E97C-4088-9780-B63A453B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1B855-5782-437B-B979-A97B60D3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12810</Words>
  <Characters>58030</Characters>
  <Application>Microsoft Office Word</Application>
  <DocSecurity>0</DocSecurity>
  <Lines>1706</Lines>
  <Paragraphs>1142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69698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2005 - 02-i0-00</dc:title>
  <dc:subject/>
  <dc:creator/>
  <cp:keywords/>
  <dc:description/>
  <cp:lastModifiedBy>Master Repository Process</cp:lastModifiedBy>
  <cp:revision>4</cp:revision>
  <cp:lastPrinted>2017-05-02T07:15:00Z</cp:lastPrinted>
  <dcterms:created xsi:type="dcterms:W3CDTF">2022-06-30T02:11:00Z</dcterms:created>
  <dcterms:modified xsi:type="dcterms:W3CDTF">2022-06-30T02:11:00Z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OwlsUID">
    <vt:i4>37467</vt:i4>
  </property>
  <property fmtid="{D5CDD505-2E9C-101B-9397-08002B2CF9AE}" pid="4" name="DocumentType">
    <vt:lpwstr>Reg</vt:lpwstr>
  </property>
  <property fmtid="{D5CDD505-2E9C-101B-9397-08002B2CF9AE}" pid="5" name="ReprintedAsAt">
    <vt:filetime>2017-05-11T16:00:00Z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02-i0-00</vt:lpwstr>
  </property>
  <property fmtid="{D5CDD505-2E9C-101B-9397-08002B2CF9AE}" pid="9" name="CommencementDate">
    <vt:lpwstr>20220701</vt:lpwstr>
  </property>
</Properties>
</file>