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_Toc107483394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_Toc107483395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_Toc107483396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_Toc107483397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_Toc107483398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_Toc107483399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_Toc107483400 \h </w:instrText>
      </w:r>
      <w:r>
        <w:fldChar w:fldCharType="separate"/>
      </w:r>
      <w:r>
        <w:t>6</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_Toc107483401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_Toc107483403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_Toc107483404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_Toc107483405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_Toc107483406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_Toc107483407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_Toc107483408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_Toc107483409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_Toc107483410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_Toc107483411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Prohibited contact order (person in relation to whom preventative detention order is already in force)</w:t>
      </w:r>
      <w:r>
        <w:tab/>
      </w:r>
      <w:r>
        <w:fldChar w:fldCharType="begin"/>
      </w:r>
      <w:r>
        <w:instrText xml:space="preserve"> PAGEREF _Toc107483412 \h </w:instrText>
      </w:r>
      <w:r>
        <w:fldChar w:fldCharType="separate"/>
      </w:r>
      <w:r>
        <w:t>18</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_Toc107483413 \h </w:instrText>
      </w:r>
      <w:r>
        <w:fldChar w:fldCharType="separate"/>
      </w:r>
      <w:r>
        <w:t>19</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_Toc107483414 \h </w:instrText>
      </w:r>
      <w:r>
        <w:fldChar w:fldCharType="separate"/>
      </w:r>
      <w:r>
        <w:t>19</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_Toc107483415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_Toc107483417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_Toc107483418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_Toc107483420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_Toc107483421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_Toc107483422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_Toc107483423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_Toc107483424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_Toc107483425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_Toc107483426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_Toc107483427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_Toc107483428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_Toc107483429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_Toc107483430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_Toc107483432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36.</w:t>
      </w:r>
      <w:r>
        <w:tab/>
        <w:t>Compliance with duties to inform</w:t>
      </w:r>
      <w:r>
        <w:tab/>
      </w:r>
      <w:r>
        <w:fldChar w:fldCharType="begin"/>
      </w:r>
      <w:r>
        <w:instrText xml:space="preserve"> PAGEREF _Toc107483433 \h </w:instrText>
      </w:r>
      <w:r>
        <w:fldChar w:fldCharType="separate"/>
      </w:r>
      <w:r>
        <w:t>36</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_Toc107483434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_Toc107483436 \h </w:instrText>
      </w:r>
      <w:r>
        <w:fldChar w:fldCharType="separate"/>
      </w:r>
      <w:r>
        <w:t>39</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_Toc107483437 \h </w:instrText>
      </w:r>
      <w:r>
        <w:fldChar w:fldCharType="separate"/>
      </w:r>
      <w:r>
        <w:t>39</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_Toc107483438 \h </w:instrText>
      </w:r>
      <w:r>
        <w:fldChar w:fldCharType="separate"/>
      </w:r>
      <w:r>
        <w:t>40</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_Toc107483439 \h </w:instrText>
      </w:r>
      <w:r>
        <w:fldChar w:fldCharType="separate"/>
      </w:r>
      <w:r>
        <w:t>40</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_Toc107483440 \h </w:instrText>
      </w:r>
      <w:r>
        <w:fldChar w:fldCharType="separate"/>
      </w:r>
      <w:r>
        <w:t>41</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_Toc107483441 \h </w:instrText>
      </w:r>
      <w:r>
        <w:fldChar w:fldCharType="separate"/>
      </w:r>
      <w:r>
        <w:t>42</w:t>
      </w:r>
      <w:r>
        <w:fldChar w:fldCharType="end"/>
      </w:r>
    </w:p>
    <w:p>
      <w:pPr>
        <w:pStyle w:val="TOC8"/>
        <w:rPr>
          <w:rFonts w:asciiTheme="minorHAnsi" w:eastAsiaTheme="minorEastAsia" w:hAnsiTheme="minorHAnsi" w:cstheme="minorBidi"/>
          <w:szCs w:val="22"/>
        </w:rPr>
      </w:pPr>
      <w:r>
        <w:t>43A.</w:t>
      </w:r>
      <w:r>
        <w:tab/>
        <w:t>Contact with approved religious or spiritual adviser</w:t>
      </w:r>
      <w:r>
        <w:tab/>
      </w:r>
      <w:r>
        <w:fldChar w:fldCharType="begin"/>
      </w:r>
      <w:r>
        <w:instrText xml:space="preserve"> PAGEREF _Toc107483442 \h </w:instrText>
      </w:r>
      <w:r>
        <w:fldChar w:fldCharType="separate"/>
      </w:r>
      <w:r>
        <w:t>44</w:t>
      </w:r>
      <w:r>
        <w:fldChar w:fldCharType="end"/>
      </w:r>
    </w:p>
    <w:p>
      <w:pPr>
        <w:pStyle w:val="TOC8"/>
        <w:rPr>
          <w:rFonts w:asciiTheme="minorHAnsi" w:eastAsiaTheme="minorEastAsia" w:hAnsiTheme="minorHAnsi" w:cstheme="minorBidi"/>
          <w:szCs w:val="22"/>
        </w:rPr>
      </w:pPr>
      <w:r>
        <w:t>44.</w:t>
      </w:r>
      <w:r>
        <w:tab/>
        <w:t>Monitoring contact with family members, home or work associates, lawyer or approved religious or spiritual adviser</w:t>
      </w:r>
      <w:r>
        <w:tab/>
      </w:r>
      <w:r>
        <w:fldChar w:fldCharType="begin"/>
      </w:r>
      <w:r>
        <w:instrText xml:space="preserve"> PAGEREF _Toc107483443 \h </w:instrText>
      </w:r>
      <w:r>
        <w:fldChar w:fldCharType="separate"/>
      </w:r>
      <w:r>
        <w:t>45</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_Toc107483444 \h </w:instrText>
      </w:r>
      <w:r>
        <w:fldChar w:fldCharType="separate"/>
      </w:r>
      <w:r>
        <w:t>46</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_Toc107483445 \h </w:instrText>
      </w:r>
      <w:r>
        <w:fldChar w:fldCharType="separate"/>
      </w:r>
      <w:r>
        <w:t>50</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_Toc107483446 \h </w:instrText>
      </w:r>
      <w:r>
        <w:fldChar w:fldCharType="separate"/>
      </w:r>
      <w:r>
        <w:t>55</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_Toc107483447 \h </w:instrText>
      </w:r>
      <w:r>
        <w:fldChar w:fldCharType="separate"/>
      </w:r>
      <w:r>
        <w:t>56</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_Toc107483448 \h </w:instrText>
      </w:r>
      <w:r>
        <w:fldChar w:fldCharType="separate"/>
      </w:r>
      <w:r>
        <w:t>58</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_Toc107483449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_Toc107483451 \h </w:instrText>
      </w:r>
      <w:r>
        <w:fldChar w:fldCharType="separate"/>
      </w:r>
      <w:r>
        <w:t>60</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_Toc107483452 \h </w:instrText>
      </w:r>
      <w:r>
        <w:fldChar w:fldCharType="separate"/>
      </w:r>
      <w:r>
        <w:t>60</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_Toc107483453 \h </w:instrText>
      </w:r>
      <w:r>
        <w:fldChar w:fldCharType="separate"/>
      </w:r>
      <w:r>
        <w:t>61</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_Toc107483454 \h </w:instrText>
      </w:r>
      <w:r>
        <w:fldChar w:fldCharType="separate"/>
      </w:r>
      <w:r>
        <w:t>61</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_Toc107483455 \h </w:instrText>
      </w:r>
      <w:r>
        <w:fldChar w:fldCharType="separate"/>
      </w:r>
      <w:r>
        <w:t>62</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_Toc107483456 \h </w:instrText>
      </w:r>
      <w:r>
        <w:fldChar w:fldCharType="separate"/>
      </w:r>
      <w:r>
        <w:t>63</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_Toc107483457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58.</w:t>
      </w:r>
      <w:r>
        <w:tab/>
        <w:t>Regulations</w:t>
      </w:r>
      <w:r>
        <w:tab/>
      </w:r>
      <w:r>
        <w:fldChar w:fldCharType="begin"/>
      </w:r>
      <w:r>
        <w:instrText xml:space="preserve"> PAGEREF _Toc107483458 \h </w:instrText>
      </w:r>
      <w:r>
        <w:fldChar w:fldCharType="separate"/>
      </w:r>
      <w:r>
        <w:t>64</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_Toc107483459 \h </w:instrText>
      </w:r>
      <w:r>
        <w:fldChar w:fldCharType="separate"/>
      </w:r>
      <w:r>
        <w:t>64</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_Toc107483460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_Toc107483462 \h </w:instrText>
      </w:r>
      <w:r>
        <w:fldChar w:fldCharType="separate"/>
      </w:r>
      <w:r>
        <w:t>66</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_Toc107483463 \h </w:instrText>
      </w:r>
      <w:r>
        <w:fldChar w:fldCharType="separate"/>
      </w:r>
      <w:r>
        <w:t>66</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_Toc107483464 \h </w:instrText>
      </w:r>
      <w:r>
        <w:fldChar w:fldCharType="separate"/>
      </w:r>
      <w:r>
        <w:t>66</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_Toc107483465 \h </w:instrText>
      </w:r>
      <w:r>
        <w:fldChar w:fldCharType="separate"/>
      </w:r>
      <w:r>
        <w:t>67</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_Toc107483466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_Toc107483469 \h </w:instrText>
      </w:r>
      <w:r>
        <w:fldChar w:fldCharType="separate"/>
      </w:r>
      <w:r>
        <w:t>69</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_Toc107483470 \h </w:instrText>
      </w:r>
      <w:r>
        <w:fldChar w:fldCharType="separate"/>
      </w:r>
      <w:r>
        <w:t>69</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_Toc107483471 \h </w:instrText>
      </w:r>
      <w:r>
        <w:fldChar w:fldCharType="separate"/>
      </w:r>
      <w:r>
        <w:t>69</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_Toc107483472 \h </w:instrText>
      </w:r>
      <w:r>
        <w:fldChar w:fldCharType="separate"/>
      </w:r>
      <w:r>
        <w:t>70</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_Toc107483473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_Toc107483475 \h </w:instrText>
      </w:r>
      <w:r>
        <w:fldChar w:fldCharType="separate"/>
      </w:r>
      <w:r>
        <w:t>71</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_Toc107483476 \h </w:instrText>
      </w:r>
      <w:r>
        <w:fldChar w:fldCharType="separate"/>
      </w:r>
      <w:r>
        <w:t>71</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_Toc107483477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_Toc107483479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4" w:name="_Toc100304274"/>
      <w:bookmarkStart w:id="5" w:name="_Toc100304515"/>
      <w:bookmarkStart w:id="6" w:name="_Toc100563570"/>
      <w:bookmarkStart w:id="7" w:name="_Toc107312504"/>
      <w:bookmarkStart w:id="8" w:name="_Toc10748339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07483394"/>
      <w:r>
        <w:rPr>
          <w:rStyle w:val="CharSectno"/>
        </w:rPr>
        <w:t>1</w:t>
      </w:r>
      <w:r>
        <w:t>.</w:t>
      </w:r>
      <w:r>
        <w:tab/>
      </w:r>
      <w:r>
        <w:rPr>
          <w:snapToGrid w:val="0"/>
        </w:rPr>
        <w:t>Short title</w:t>
      </w:r>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107483395"/>
      <w:r>
        <w:rPr>
          <w:rStyle w:val="CharSectno"/>
        </w:rPr>
        <w:t>2</w:t>
      </w:r>
      <w:r>
        <w:rPr>
          <w:snapToGrid w:val="0"/>
        </w:rPr>
        <w:t>.</w:t>
      </w:r>
      <w:r>
        <w:rPr>
          <w:snapToGrid w:val="0"/>
        </w:rPr>
        <w:tab/>
      </w:r>
      <w:r>
        <w:t>Commencement</w:t>
      </w:r>
      <w:bookmarkEnd w:id="10"/>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1" w:name="_Toc107483396"/>
      <w:r>
        <w:rPr>
          <w:rStyle w:val="CharSectno"/>
        </w:rPr>
        <w:t>3</w:t>
      </w:r>
      <w:r>
        <w:t>.</w:t>
      </w:r>
      <w:r>
        <w:tab/>
        <w:t>Object</w:t>
      </w:r>
      <w:bookmarkEnd w:id="11"/>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2" w:name="_Toc107483397"/>
      <w:r>
        <w:rPr>
          <w:rStyle w:val="CharSectno"/>
        </w:rPr>
        <w:t>4</w:t>
      </w:r>
      <w:r>
        <w:t>.</w:t>
      </w:r>
      <w:r>
        <w:tab/>
        <w:t>Terms used in this Act</w:t>
      </w:r>
      <w:bookmarkEnd w:id="12"/>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 xml:space="preserve">a law of another State or a Territory that provides for preventative detention of persons in relation to terrorist acts (including any law of another State or a Territory </w:t>
      </w:r>
      <w:r>
        <w:lastRenderedPageBreak/>
        <w:t>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lastRenderedPageBreak/>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 No. 23 of 2019 s. 4; No. 9 of 2022 s. 424.]</w:t>
      </w:r>
    </w:p>
    <w:p>
      <w:pPr>
        <w:pStyle w:val="Heading5"/>
      </w:pPr>
      <w:bookmarkStart w:id="13" w:name="_Toc107483398"/>
      <w:r>
        <w:rPr>
          <w:rStyle w:val="CharSectno"/>
        </w:rPr>
        <w:lastRenderedPageBreak/>
        <w:t>5</w:t>
      </w:r>
      <w:r>
        <w:t>.</w:t>
      </w:r>
      <w:r>
        <w:tab/>
        <w:t>Meaning of “reasonably suspects”</w:t>
      </w:r>
      <w:bookmarkEnd w:id="13"/>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4" w:name="_Toc107483399"/>
      <w:r>
        <w:rPr>
          <w:rStyle w:val="CharSectno"/>
        </w:rPr>
        <w:t>6</w:t>
      </w:r>
      <w:r>
        <w:t>.</w:t>
      </w:r>
      <w:r>
        <w:tab/>
        <w:t>Meaning of “terrorist act”</w:t>
      </w:r>
      <w:bookmarkEnd w:id="14"/>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lastRenderedPageBreak/>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15" w:name="_Toc107483400"/>
      <w:r>
        <w:rPr>
          <w:rStyle w:val="CharSectno"/>
        </w:rPr>
        <w:t>7</w:t>
      </w:r>
      <w:r>
        <w:t>.</w:t>
      </w:r>
      <w:r>
        <w:tab/>
        <w:t>Issuing authorities</w:t>
      </w:r>
      <w:bookmarkEnd w:id="15"/>
    </w:p>
    <w:p>
      <w:pPr>
        <w:pStyle w:val="Subsection"/>
      </w:pPr>
      <w:r>
        <w:tab/>
        <w:t>(1)</w:t>
      </w:r>
      <w:r>
        <w:tab/>
        <w:t>The Governor may, in writing, appoint a judge or retired judge as an issuing authority for preventative detention orders.</w:t>
      </w:r>
    </w:p>
    <w:p>
      <w:pPr>
        <w:pStyle w:val="Subsection"/>
      </w:pPr>
      <w:r>
        <w:lastRenderedPageBreak/>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6" w:name="_Toc107483401"/>
      <w:r>
        <w:rPr>
          <w:rStyle w:val="CharSectno"/>
        </w:rPr>
        <w:t>8</w:t>
      </w:r>
      <w:r>
        <w:t>.</w:t>
      </w:r>
      <w:r>
        <w:tab/>
        <w:t>Police officer on whom functions as to preventative detention are imposed</w:t>
      </w:r>
      <w:bookmarkEnd w:id="16"/>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7" w:name="_Toc100304283"/>
      <w:bookmarkStart w:id="18" w:name="_Toc100304524"/>
      <w:bookmarkStart w:id="19" w:name="_Toc100563579"/>
      <w:bookmarkStart w:id="20" w:name="_Toc107312513"/>
      <w:bookmarkStart w:id="21" w:name="_Toc107483402"/>
      <w:r>
        <w:rPr>
          <w:rStyle w:val="CharPartNo"/>
        </w:rPr>
        <w:lastRenderedPageBreak/>
        <w:t>Part 2</w:t>
      </w:r>
      <w:r>
        <w:rPr>
          <w:rStyle w:val="CharDivNo"/>
        </w:rPr>
        <w:t> </w:t>
      </w:r>
      <w:r>
        <w:t>—</w:t>
      </w:r>
      <w:r>
        <w:rPr>
          <w:rStyle w:val="CharDivText"/>
        </w:rPr>
        <w:t> </w:t>
      </w:r>
      <w:r>
        <w:rPr>
          <w:rStyle w:val="CharPartText"/>
        </w:rPr>
        <w:t>Preventative detention orders</w:t>
      </w:r>
      <w:bookmarkEnd w:id="17"/>
      <w:bookmarkEnd w:id="18"/>
      <w:bookmarkEnd w:id="19"/>
      <w:bookmarkEnd w:id="20"/>
      <w:bookmarkEnd w:id="21"/>
    </w:p>
    <w:p>
      <w:pPr>
        <w:pStyle w:val="Heading5"/>
      </w:pPr>
      <w:bookmarkStart w:id="22" w:name="_Toc107483403"/>
      <w:r>
        <w:rPr>
          <w:rStyle w:val="CharSectno"/>
        </w:rPr>
        <w:t>9</w:t>
      </w:r>
      <w:r>
        <w:t>.</w:t>
      </w:r>
      <w:r>
        <w:tab/>
        <w:t>Basis for applying for and making preventative detention orders</w:t>
      </w:r>
      <w:bookmarkEnd w:id="22"/>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23" w:name="_Toc107483404"/>
      <w:r>
        <w:rPr>
          <w:rStyle w:val="CharSectno"/>
        </w:rPr>
        <w:t>10</w:t>
      </w:r>
      <w:r>
        <w:t>.</w:t>
      </w:r>
      <w:r>
        <w:tab/>
        <w:t>Authorising police officers to apply for a preventative detention order</w:t>
      </w:r>
      <w:bookmarkEnd w:id="23"/>
    </w:p>
    <w:p>
      <w:pPr>
        <w:pStyle w:val="Subsection"/>
      </w:pPr>
      <w:r>
        <w:tab/>
        <w:t>(1)</w:t>
      </w:r>
      <w:r>
        <w:tab/>
        <w:t>The Commissioner may authorise a police officer to apply for a preventative detention order in relation to a person.</w:t>
      </w:r>
    </w:p>
    <w:p>
      <w:pPr>
        <w:pStyle w:val="Subsection"/>
      </w:pPr>
      <w:r>
        <w:lastRenderedPageBreak/>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24" w:name="_Toc107483405"/>
      <w:r>
        <w:rPr>
          <w:rStyle w:val="CharSectno"/>
        </w:rPr>
        <w:t>11</w:t>
      </w:r>
      <w:r>
        <w:t>.</w:t>
      </w:r>
      <w:r>
        <w:tab/>
        <w:t>Application for a preventative detention order</w:t>
      </w:r>
      <w:bookmarkEnd w:id="24"/>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lastRenderedPageBreak/>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25" w:name="_Toc107483406"/>
      <w:r>
        <w:rPr>
          <w:rStyle w:val="CharSectno"/>
        </w:rPr>
        <w:t>12</w:t>
      </w:r>
      <w:r>
        <w:t>.</w:t>
      </w:r>
      <w:r>
        <w:tab/>
        <w:t>Procedure for applying for preventative detention order</w:t>
      </w:r>
      <w:bookmarkEnd w:id="25"/>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lastRenderedPageBreak/>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w:t>
      </w:r>
      <w:r>
        <w:lastRenderedPageBreak/>
        <w:t xml:space="preserve">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26" w:name="_Toc107483407"/>
      <w:r>
        <w:rPr>
          <w:rStyle w:val="CharSectno"/>
        </w:rPr>
        <w:t>13</w:t>
      </w:r>
      <w:r>
        <w:t>.</w:t>
      </w:r>
      <w:r>
        <w:tab/>
        <w:t>Preventative detention orders</w:t>
      </w:r>
      <w:bookmarkEnd w:id="26"/>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lastRenderedPageBreak/>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lastRenderedPageBreak/>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27" w:name="_Toc107483408"/>
      <w:r>
        <w:rPr>
          <w:rStyle w:val="CharSectno"/>
        </w:rPr>
        <w:t>14</w:t>
      </w:r>
      <w:r>
        <w:t>.</w:t>
      </w:r>
      <w:r>
        <w:tab/>
        <w:t>Duration of preventative detention orders</w:t>
      </w:r>
      <w:bookmarkEnd w:id="27"/>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lastRenderedPageBreak/>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28" w:name="_Toc107483409"/>
      <w:r>
        <w:rPr>
          <w:rStyle w:val="CharSectno"/>
        </w:rPr>
        <w:t>15</w:t>
      </w:r>
      <w:r>
        <w:t>.</w:t>
      </w:r>
      <w:r>
        <w:tab/>
        <w:t>Multiple preventative detention orders</w:t>
      </w:r>
      <w:bookmarkEnd w:id="28"/>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 xml:space="preserve">A preventative detention order can be made even if the person concerned is under detention (or temporarily released from detention) under a prevention order or preservation order in relation to the same terrorist act or a different terrorist act, and </w:t>
      </w:r>
      <w:r>
        <w:lastRenderedPageBreak/>
        <w:t>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9" w:name="_Toc107483410"/>
      <w:r>
        <w:rPr>
          <w:rStyle w:val="CharSectno"/>
        </w:rPr>
        <w:t>16</w:t>
      </w:r>
      <w:r>
        <w:t>.</w:t>
      </w:r>
      <w:r>
        <w:tab/>
        <w:t>No preventative detention order in relation to person under 16 years of age</w:t>
      </w:r>
      <w:bookmarkEnd w:id="29"/>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lastRenderedPageBreak/>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30" w:name="_Toc107483411"/>
      <w:r>
        <w:rPr>
          <w:rStyle w:val="CharSectno"/>
        </w:rPr>
        <w:t>17</w:t>
      </w:r>
      <w:r>
        <w:t>.</w:t>
      </w:r>
      <w:r>
        <w:tab/>
        <w:t>Prohibited contact order (person in relation to whom preventative detention order is being sought)</w:t>
      </w:r>
      <w:bookmarkEnd w:id="30"/>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31" w:name="_Toc107483412"/>
      <w:r>
        <w:rPr>
          <w:rStyle w:val="CharSectno"/>
        </w:rPr>
        <w:lastRenderedPageBreak/>
        <w:t>18</w:t>
      </w:r>
      <w:r>
        <w:t>.</w:t>
      </w:r>
      <w:r>
        <w:tab/>
        <w:t>Prohibited contact order (person in relation to whom preventative detention order is already in force)</w:t>
      </w:r>
      <w:bookmarkEnd w:id="31"/>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32" w:name="_Toc107483413"/>
      <w:r>
        <w:rPr>
          <w:rStyle w:val="CharSectno"/>
        </w:rPr>
        <w:lastRenderedPageBreak/>
        <w:t>19</w:t>
      </w:r>
      <w:r>
        <w:t>.</w:t>
      </w:r>
      <w:r>
        <w:tab/>
        <w:t>Form and notification of prohibited contact order</w:t>
      </w:r>
      <w:bookmarkEnd w:id="32"/>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33" w:name="_Toc107483414"/>
      <w:r>
        <w:rPr>
          <w:rStyle w:val="CharSectno"/>
        </w:rPr>
        <w:t>20</w:t>
      </w:r>
      <w:r>
        <w:t>.</w:t>
      </w:r>
      <w:r>
        <w:tab/>
        <w:t>Revocation of preventative detention order or prohibited contact order</w:t>
      </w:r>
      <w:bookmarkEnd w:id="33"/>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lastRenderedPageBreak/>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34" w:name="_Toc107483415"/>
      <w:r>
        <w:rPr>
          <w:rStyle w:val="CharSectno"/>
        </w:rPr>
        <w:t>21</w:t>
      </w:r>
      <w:r>
        <w:t>.</w:t>
      </w:r>
      <w:r>
        <w:tab/>
        <w:t>Status of person making preventative detention order</w:t>
      </w:r>
      <w:bookmarkEnd w:id="34"/>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35" w:name="_Toc100304297"/>
      <w:bookmarkStart w:id="36" w:name="_Toc100304538"/>
      <w:bookmarkStart w:id="37" w:name="_Toc100563593"/>
      <w:bookmarkStart w:id="38" w:name="_Toc107312527"/>
      <w:bookmarkStart w:id="39" w:name="_Toc107483416"/>
      <w:r>
        <w:rPr>
          <w:rStyle w:val="CharPartNo"/>
        </w:rPr>
        <w:lastRenderedPageBreak/>
        <w:t>Part 3</w:t>
      </w:r>
      <w:r>
        <w:rPr>
          <w:rStyle w:val="CharDivNo"/>
        </w:rPr>
        <w:t> </w:t>
      </w:r>
      <w:r>
        <w:t>—</w:t>
      </w:r>
      <w:r>
        <w:rPr>
          <w:rStyle w:val="CharDivText"/>
        </w:rPr>
        <w:t> </w:t>
      </w:r>
      <w:r>
        <w:rPr>
          <w:rStyle w:val="CharPartText"/>
        </w:rPr>
        <w:t>Review of preventative detention orders</w:t>
      </w:r>
      <w:bookmarkEnd w:id="35"/>
      <w:bookmarkEnd w:id="36"/>
      <w:bookmarkEnd w:id="37"/>
      <w:bookmarkEnd w:id="38"/>
      <w:bookmarkEnd w:id="39"/>
    </w:p>
    <w:p>
      <w:pPr>
        <w:pStyle w:val="Heading5"/>
      </w:pPr>
      <w:bookmarkStart w:id="40" w:name="_Toc107483417"/>
      <w:r>
        <w:rPr>
          <w:rStyle w:val="CharSectno"/>
        </w:rPr>
        <w:t>22</w:t>
      </w:r>
      <w:r>
        <w:t>.</w:t>
      </w:r>
      <w:r>
        <w:tab/>
        <w:t>Review by Supreme Court</w:t>
      </w:r>
      <w:bookmarkEnd w:id="40"/>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lastRenderedPageBreak/>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41" w:name="_Toc107483418"/>
      <w:r>
        <w:rPr>
          <w:rStyle w:val="CharSectno"/>
        </w:rPr>
        <w:t>23</w:t>
      </w:r>
      <w:r>
        <w:t>.</w:t>
      </w:r>
      <w:r>
        <w:tab/>
        <w:t>Powers may be exercised while review is in progress</w:t>
      </w:r>
      <w:bookmarkEnd w:id="41"/>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lastRenderedPageBreak/>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42" w:name="_Toc100304300"/>
      <w:bookmarkStart w:id="43" w:name="_Toc100304541"/>
      <w:bookmarkStart w:id="44" w:name="_Toc100563596"/>
      <w:bookmarkStart w:id="45" w:name="_Toc107312530"/>
      <w:bookmarkStart w:id="46" w:name="_Toc107483419"/>
      <w:r>
        <w:rPr>
          <w:rStyle w:val="CharPartNo"/>
        </w:rPr>
        <w:lastRenderedPageBreak/>
        <w:t>Part 4</w:t>
      </w:r>
      <w:r>
        <w:rPr>
          <w:rStyle w:val="CharDivNo"/>
        </w:rPr>
        <w:t> </w:t>
      </w:r>
      <w:r>
        <w:t>—</w:t>
      </w:r>
      <w:r>
        <w:rPr>
          <w:rStyle w:val="CharDivText"/>
        </w:rPr>
        <w:t> </w:t>
      </w:r>
      <w:r>
        <w:rPr>
          <w:rStyle w:val="CharPartText"/>
        </w:rPr>
        <w:t>Carrying out preventative detention orders</w:t>
      </w:r>
      <w:bookmarkEnd w:id="42"/>
      <w:bookmarkEnd w:id="43"/>
      <w:bookmarkEnd w:id="44"/>
      <w:bookmarkEnd w:id="45"/>
      <w:bookmarkEnd w:id="46"/>
    </w:p>
    <w:p>
      <w:pPr>
        <w:pStyle w:val="Heading5"/>
      </w:pPr>
      <w:bookmarkStart w:id="47" w:name="_Toc107483420"/>
      <w:r>
        <w:rPr>
          <w:rStyle w:val="CharSectno"/>
        </w:rPr>
        <w:t>24</w:t>
      </w:r>
      <w:r>
        <w:t>.</w:t>
      </w:r>
      <w:r>
        <w:tab/>
        <w:t>Power to detain person under preventative detention order</w:t>
      </w:r>
      <w:bookmarkEnd w:id="47"/>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lastRenderedPageBreak/>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48" w:name="_Toc107483421"/>
      <w:r>
        <w:rPr>
          <w:rStyle w:val="CharSectno"/>
        </w:rPr>
        <w:t>25</w:t>
      </w:r>
      <w:r>
        <w:t>.</w:t>
      </w:r>
      <w:r>
        <w:tab/>
        <w:t>Endorsement of order with date and time person taken into custody or detained</w:t>
      </w:r>
      <w:bookmarkEnd w:id="48"/>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49" w:name="_Toc107483422"/>
      <w:r>
        <w:rPr>
          <w:rStyle w:val="CharSectno"/>
        </w:rPr>
        <w:t>26</w:t>
      </w:r>
      <w:r>
        <w:t>.</w:t>
      </w:r>
      <w:r>
        <w:tab/>
        <w:t>Exercising powers, general matters</w:t>
      </w:r>
      <w:bookmarkEnd w:id="49"/>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lastRenderedPageBreak/>
        <w:tab/>
        <w:t>(4)</w:t>
      </w:r>
      <w:r>
        <w:tab/>
        <w:t>Subsections (2) and (3) do not affect the operation of the</w:t>
      </w:r>
      <w:r>
        <w:rPr>
          <w:i/>
        </w:rPr>
        <w:t xml:space="preserve"> Criminal Investigation (Identifying People) Act 2002</w:t>
      </w:r>
      <w:r>
        <w:t xml:space="preserve"> section 16.</w:t>
      </w:r>
    </w:p>
    <w:p>
      <w:pPr>
        <w:pStyle w:val="Heading5"/>
      </w:pPr>
      <w:bookmarkStart w:id="50" w:name="_Toc107483423"/>
      <w:r>
        <w:rPr>
          <w:rStyle w:val="CharSectno"/>
        </w:rPr>
        <w:t>27</w:t>
      </w:r>
      <w:r>
        <w:t>.</w:t>
      </w:r>
      <w:r>
        <w:tab/>
        <w:t>Personal details of certain people may be obtained</w:t>
      </w:r>
      <w:bookmarkEnd w:id="5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51" w:name="_Toc107483424"/>
      <w:r>
        <w:rPr>
          <w:rStyle w:val="CharSectno"/>
        </w:rPr>
        <w:t>28</w:t>
      </w:r>
      <w:r>
        <w:t>.</w:t>
      </w:r>
      <w:r>
        <w:tab/>
        <w:t>Power to enter places</w:t>
      </w:r>
      <w:bookmarkEnd w:id="51"/>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w:t>
      </w:r>
      <w:r>
        <w:lastRenderedPageBreak/>
        <w:t xml:space="preserve">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52" w:name="_Toc107483425"/>
      <w:r>
        <w:rPr>
          <w:rStyle w:val="CharSectno"/>
        </w:rPr>
        <w:t>29</w:t>
      </w:r>
      <w:r>
        <w:t>.</w:t>
      </w:r>
      <w:r>
        <w:tab/>
        <w:t>Use of force</w:t>
      </w:r>
      <w:bookmarkEnd w:id="52"/>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53" w:name="_Toc107483426"/>
      <w:r>
        <w:rPr>
          <w:rStyle w:val="CharSectno"/>
        </w:rPr>
        <w:t>30</w:t>
      </w:r>
      <w:r>
        <w:t>.</w:t>
      </w:r>
      <w:r>
        <w:tab/>
        <w:t>Power to search people</w:t>
      </w:r>
      <w:bookmarkEnd w:id="53"/>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lastRenderedPageBreak/>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54" w:name="_Toc107483427"/>
      <w:r>
        <w:rPr>
          <w:rStyle w:val="CharSectno"/>
        </w:rPr>
        <w:t>31</w:t>
      </w:r>
      <w:r>
        <w:t>.</w:t>
      </w:r>
      <w:r>
        <w:tab/>
        <w:t xml:space="preserve">Warrant under Part III Division 3 of the </w:t>
      </w:r>
      <w:r>
        <w:rPr>
          <w:i/>
        </w:rPr>
        <w:t>Australian Security Intelligence Organisation Act 1979</w:t>
      </w:r>
      <w:bookmarkEnd w:id="54"/>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 xml:space="preserve">Without limiting subsection (2), the police officer may, under section 32, release the person from detention under the </w:t>
      </w:r>
      <w:r>
        <w:lastRenderedPageBreak/>
        <w:t>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55" w:name="_Toc107483428"/>
      <w:r>
        <w:rPr>
          <w:rStyle w:val="CharSectno"/>
        </w:rPr>
        <w:t>32</w:t>
      </w:r>
      <w:r>
        <w:t>.</w:t>
      </w:r>
      <w:r>
        <w:tab/>
        <w:t>Release of person from preventative detention</w:t>
      </w:r>
      <w:bookmarkEnd w:id="55"/>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lastRenderedPageBreak/>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 xml:space="preserve">a person released under subsection (1) from detention under a preventative detention order may again be taken into custody and kept in detention under the order at any </w:t>
      </w:r>
      <w:r>
        <w:lastRenderedPageBreak/>
        <w:t>time while the order remains in force in relation to the person.</w:t>
      </w:r>
    </w:p>
    <w:p>
      <w:pPr>
        <w:pStyle w:val="Footnotesection"/>
      </w:pPr>
      <w:r>
        <w:tab/>
        <w:t>[Section 32 amended: No. 1 of 2008 s. 5.]</w:t>
      </w:r>
    </w:p>
    <w:p>
      <w:pPr>
        <w:pStyle w:val="Heading5"/>
      </w:pPr>
      <w:bookmarkStart w:id="56" w:name="_Toc107483429"/>
      <w:r>
        <w:rPr>
          <w:rStyle w:val="CharSectno"/>
        </w:rPr>
        <w:t>33</w:t>
      </w:r>
      <w:r>
        <w:t>.</w:t>
      </w:r>
      <w:r>
        <w:tab/>
        <w:t>Arrangement for person to be in detention in a prison or detention centre</w:t>
      </w:r>
      <w:bookmarkEnd w:id="56"/>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 xml:space="preserve">the preventative detention order is taken to order the person to be detained in the institution and authorise the </w:t>
      </w:r>
      <w:r>
        <w:lastRenderedPageBreak/>
        <w:t>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lastRenderedPageBreak/>
        <w:tab/>
      </w:r>
      <w:r>
        <w:tab/>
        <w:t>as if they conferred entitlements on the person.</w:t>
      </w:r>
    </w:p>
    <w:p>
      <w:pPr>
        <w:pStyle w:val="Footnotesection"/>
      </w:pPr>
      <w:r>
        <w:tab/>
        <w:t>[Section 33 amended: No. 23 of 2019 s. 7.]</w:t>
      </w:r>
    </w:p>
    <w:p>
      <w:pPr>
        <w:pStyle w:val="Heading5"/>
      </w:pPr>
      <w:bookmarkStart w:id="57" w:name="_Toc107483430"/>
      <w:r>
        <w:rPr>
          <w:rStyle w:val="CharSectno"/>
        </w:rPr>
        <w:t>34</w:t>
      </w:r>
      <w:r>
        <w:t>.</w:t>
      </w:r>
      <w:r>
        <w:tab/>
        <w:t>Inspector of Custodial Services to be notified of detention</w:t>
      </w:r>
      <w:bookmarkEnd w:id="57"/>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58" w:name="_Toc100304312"/>
      <w:bookmarkStart w:id="59" w:name="_Toc100304553"/>
      <w:bookmarkStart w:id="60" w:name="_Toc100563608"/>
      <w:bookmarkStart w:id="61" w:name="_Toc107312542"/>
      <w:bookmarkStart w:id="62" w:name="_Toc107483431"/>
      <w:r>
        <w:rPr>
          <w:rStyle w:val="CharPartNo"/>
        </w:rPr>
        <w:lastRenderedPageBreak/>
        <w:t>Part 5</w:t>
      </w:r>
      <w:r>
        <w:rPr>
          <w:rStyle w:val="CharDivNo"/>
        </w:rPr>
        <w:t> </w:t>
      </w:r>
      <w:r>
        <w:t>—</w:t>
      </w:r>
      <w:r>
        <w:rPr>
          <w:rStyle w:val="CharDivText"/>
        </w:rPr>
        <w:t> </w:t>
      </w:r>
      <w:r>
        <w:rPr>
          <w:rStyle w:val="CharPartText"/>
        </w:rPr>
        <w:t>Informing person detained about preventative detention order</w:t>
      </w:r>
      <w:bookmarkEnd w:id="58"/>
      <w:bookmarkEnd w:id="59"/>
      <w:bookmarkEnd w:id="60"/>
      <w:bookmarkEnd w:id="61"/>
      <w:bookmarkEnd w:id="62"/>
    </w:p>
    <w:p>
      <w:pPr>
        <w:pStyle w:val="Heading5"/>
      </w:pPr>
      <w:bookmarkStart w:id="63" w:name="_Toc107483432"/>
      <w:r>
        <w:rPr>
          <w:rStyle w:val="CharSectno"/>
        </w:rPr>
        <w:t>35</w:t>
      </w:r>
      <w:r>
        <w:t>.</w:t>
      </w:r>
      <w:r>
        <w:tab/>
        <w:t>Effect of preventative detention order to be explained to person detained</w:t>
      </w:r>
      <w:bookmarkEnd w:id="63"/>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lastRenderedPageBreak/>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64" w:name="_Toc107483433"/>
      <w:r>
        <w:rPr>
          <w:rStyle w:val="CharSectno"/>
        </w:rPr>
        <w:lastRenderedPageBreak/>
        <w:t>36</w:t>
      </w:r>
      <w:r>
        <w:t>.</w:t>
      </w:r>
      <w:r>
        <w:tab/>
        <w:t>Compliance with duties to inform</w:t>
      </w:r>
      <w:bookmarkEnd w:id="64"/>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65" w:name="_Toc107483434"/>
      <w:r>
        <w:rPr>
          <w:rStyle w:val="CharSectno"/>
        </w:rPr>
        <w:t>37</w:t>
      </w:r>
      <w:r>
        <w:t>.</w:t>
      </w:r>
      <w:r>
        <w:tab/>
        <w:t>Copy of preventative detention order and summary of grounds</w:t>
      </w:r>
      <w:bookmarkEnd w:id="6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lastRenderedPageBreak/>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lastRenderedPageBreak/>
        <w:tab/>
        <w:t>(10)</w:t>
      </w:r>
      <w:r>
        <w:tab/>
        <w:t>The lawfulness of a person’s detention under a preventative detention order is not affected by a failure to comply with subsection (1), (5) or (9).</w:t>
      </w:r>
    </w:p>
    <w:p>
      <w:pPr>
        <w:pStyle w:val="Heading2"/>
      </w:pPr>
      <w:bookmarkStart w:id="66" w:name="_Toc100304316"/>
      <w:bookmarkStart w:id="67" w:name="_Toc100304557"/>
      <w:bookmarkStart w:id="68" w:name="_Toc100563612"/>
      <w:bookmarkStart w:id="69" w:name="_Toc107312546"/>
      <w:bookmarkStart w:id="70" w:name="_Toc107483435"/>
      <w:r>
        <w:rPr>
          <w:rStyle w:val="CharPartNo"/>
        </w:rPr>
        <w:lastRenderedPageBreak/>
        <w:t>Part 6</w:t>
      </w:r>
      <w:r>
        <w:rPr>
          <w:rStyle w:val="CharDivNo"/>
        </w:rPr>
        <w:t> </w:t>
      </w:r>
      <w:r>
        <w:t>—</w:t>
      </w:r>
      <w:r>
        <w:rPr>
          <w:rStyle w:val="CharDivText"/>
        </w:rPr>
        <w:t> </w:t>
      </w:r>
      <w:r>
        <w:rPr>
          <w:rStyle w:val="CharPartText"/>
        </w:rPr>
        <w:t>Treatment of person in detention</w:t>
      </w:r>
      <w:bookmarkEnd w:id="66"/>
      <w:bookmarkEnd w:id="67"/>
      <w:bookmarkEnd w:id="68"/>
      <w:bookmarkEnd w:id="69"/>
      <w:bookmarkEnd w:id="70"/>
    </w:p>
    <w:p>
      <w:pPr>
        <w:pStyle w:val="Heading5"/>
      </w:pPr>
      <w:bookmarkStart w:id="71" w:name="_Toc107483436"/>
      <w:r>
        <w:rPr>
          <w:rStyle w:val="CharSectno"/>
        </w:rPr>
        <w:t>38</w:t>
      </w:r>
      <w:r>
        <w:t>.</w:t>
      </w:r>
      <w:r>
        <w:tab/>
        <w:t>Application of Part</w:t>
      </w:r>
      <w:bookmarkEnd w:id="71"/>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72" w:name="_Toc107483437"/>
      <w:r>
        <w:rPr>
          <w:rStyle w:val="CharSectno"/>
        </w:rPr>
        <w:t>39</w:t>
      </w:r>
      <w:r>
        <w:t>.</w:t>
      </w:r>
      <w:r>
        <w:tab/>
        <w:t>Humane treatment of detainee</w:t>
      </w:r>
      <w:bookmarkEnd w:id="72"/>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73" w:name="_Toc107483438"/>
      <w:r>
        <w:rPr>
          <w:rStyle w:val="CharSectno"/>
        </w:rPr>
        <w:lastRenderedPageBreak/>
        <w:t>40</w:t>
      </w:r>
      <w:r>
        <w:t>.</w:t>
      </w:r>
      <w:r>
        <w:tab/>
        <w:t>Restriction on contact with other people</w:t>
      </w:r>
      <w:bookmarkEnd w:id="73"/>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74" w:name="_Toc107483439"/>
      <w:r>
        <w:rPr>
          <w:rStyle w:val="CharSectno"/>
        </w:rPr>
        <w:t>41</w:t>
      </w:r>
      <w:r>
        <w:t>.</w:t>
      </w:r>
      <w:r>
        <w:tab/>
        <w:t>Contacting family members and home or work associates</w:t>
      </w:r>
      <w:bookmarkEnd w:id="74"/>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lastRenderedPageBreak/>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75" w:name="_Toc107483440"/>
      <w:r>
        <w:rPr>
          <w:rStyle w:val="CharSectno"/>
        </w:rPr>
        <w:t>42</w:t>
      </w:r>
      <w:r>
        <w:t>.</w:t>
      </w:r>
      <w:r>
        <w:tab/>
        <w:t>Contacting proper authorities to make complaints, allegations of serious misconduct and representations</w:t>
      </w:r>
      <w:bookmarkEnd w:id="75"/>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lastRenderedPageBreak/>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76" w:name="_Toc107483441"/>
      <w:r>
        <w:rPr>
          <w:rStyle w:val="CharSectno"/>
        </w:rPr>
        <w:t>43</w:t>
      </w:r>
      <w:r>
        <w:t>.</w:t>
      </w:r>
      <w:r>
        <w:tab/>
        <w:t>Contacting lawyer</w:t>
      </w:r>
      <w:bookmarkEnd w:id="76"/>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 xml:space="preserve">arranging for the lawyer to make representations to the Inspector of Custodial Services that are in connection </w:t>
      </w:r>
      <w:r>
        <w:lastRenderedPageBreak/>
        <w:t>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77" w:name="_Toc107483442"/>
      <w:r>
        <w:rPr>
          <w:rStyle w:val="CharSectno"/>
        </w:rPr>
        <w:lastRenderedPageBreak/>
        <w:t>43A</w:t>
      </w:r>
      <w:r>
        <w:t>.</w:t>
      </w:r>
      <w:r>
        <w:tab/>
        <w:t>Contact with approved religious or spiritual adviser</w:t>
      </w:r>
      <w:bookmarkEnd w:id="77"/>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78" w:name="_Toc107483443"/>
      <w:r>
        <w:rPr>
          <w:rStyle w:val="CharSectno"/>
        </w:rPr>
        <w:lastRenderedPageBreak/>
        <w:t>44</w:t>
      </w:r>
      <w:r>
        <w:t>.</w:t>
      </w:r>
      <w:r>
        <w:tab/>
        <w:t>Monitoring contact with family members, home or work associates, lawyer or approved religious or spiritual adviser</w:t>
      </w:r>
      <w:bookmarkEnd w:id="78"/>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 xml:space="preserve">arrange for the services of an appropriate interpreter to be provided if it is reasonably practicable to do so during </w:t>
      </w:r>
      <w:r>
        <w:lastRenderedPageBreak/>
        <w:t>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79" w:name="_Toc107483444"/>
      <w:r>
        <w:rPr>
          <w:rStyle w:val="CharSectno"/>
        </w:rPr>
        <w:t>45</w:t>
      </w:r>
      <w:r>
        <w:t>.</w:t>
      </w:r>
      <w:r>
        <w:tab/>
        <w:t>Special contact rules for people under 18 or incapable of managing their own affairs</w:t>
      </w:r>
      <w:bookmarkEnd w:id="79"/>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lastRenderedPageBreak/>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lastRenderedPageBreak/>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lastRenderedPageBreak/>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w:t>
      </w:r>
      <w:r>
        <w:lastRenderedPageBreak/>
        <w:t xml:space="preserve">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80" w:name="_Toc107483445"/>
      <w:r>
        <w:rPr>
          <w:rStyle w:val="CharSectno"/>
        </w:rPr>
        <w:t>46</w:t>
      </w:r>
      <w:r>
        <w:t>.</w:t>
      </w:r>
      <w:r>
        <w:tab/>
        <w:t>Disclosure offences</w:t>
      </w:r>
      <w:bookmarkEnd w:id="8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lastRenderedPageBreak/>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w:t>
      </w:r>
      <w:r>
        <w:lastRenderedPageBreak/>
        <w:t xml:space="preserve">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lastRenderedPageBreak/>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lastRenderedPageBreak/>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keepNext/>
        <w:spacing w:before="120"/>
      </w:pPr>
      <w:r>
        <w:lastRenderedPageBreak/>
        <w:tab/>
        <w:t>(9)</w:t>
      </w:r>
      <w:r>
        <w:tab/>
        <w:t xml:space="preserve">If — </w:t>
      </w:r>
    </w:p>
    <w:p>
      <w:pPr>
        <w:pStyle w:val="Indenta"/>
        <w:keepNext/>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81" w:name="_Toc107483446"/>
      <w:r>
        <w:rPr>
          <w:rStyle w:val="CharSectno"/>
        </w:rPr>
        <w:t>47</w:t>
      </w:r>
      <w:r>
        <w:t>.</w:t>
      </w:r>
      <w:r>
        <w:tab/>
        <w:t>Detainee not to be questioned while in detention</w:t>
      </w:r>
      <w:bookmarkEnd w:id="81"/>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82" w:name="_Toc107483447"/>
      <w:r>
        <w:rPr>
          <w:rStyle w:val="CharSectno"/>
        </w:rPr>
        <w:lastRenderedPageBreak/>
        <w:t>48</w:t>
      </w:r>
      <w:r>
        <w:t>.</w:t>
      </w:r>
      <w:r>
        <w:tab/>
        <w:t>Taking identification material</w:t>
      </w:r>
      <w:bookmarkEnd w:id="82"/>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keepNext/>
      </w:pPr>
      <w:r>
        <w:lastRenderedPageBreak/>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lastRenderedPageBreak/>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83" w:name="_Toc107483448"/>
      <w:r>
        <w:rPr>
          <w:rStyle w:val="CharSectno"/>
        </w:rPr>
        <w:t>49</w:t>
      </w:r>
      <w:r>
        <w:t>.</w:t>
      </w:r>
      <w:r>
        <w:tab/>
        <w:t>Use of identification material</w:t>
      </w:r>
      <w:bookmarkEnd w:id="83"/>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lastRenderedPageBreak/>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pPr>
      <w:r>
        <w:tab/>
        <w:t>[Section 49 amended: No. 23 of 2019 s. 16.]</w:t>
      </w:r>
    </w:p>
    <w:p>
      <w:pPr>
        <w:pStyle w:val="Heading5"/>
      </w:pPr>
      <w:bookmarkStart w:id="84" w:name="_Toc107483449"/>
      <w:r>
        <w:rPr>
          <w:rStyle w:val="CharSectno"/>
        </w:rPr>
        <w:t>50</w:t>
      </w:r>
      <w:r>
        <w:t>.</w:t>
      </w:r>
      <w:r>
        <w:tab/>
        <w:t>Offences of contravening safeguards</w:t>
      </w:r>
      <w:bookmarkEnd w:id="84"/>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85" w:name="_Toc100304331"/>
      <w:bookmarkStart w:id="86" w:name="_Toc100304572"/>
      <w:bookmarkStart w:id="87" w:name="_Toc100563627"/>
      <w:bookmarkStart w:id="88" w:name="_Toc107312561"/>
      <w:bookmarkStart w:id="89" w:name="_Toc107483450"/>
      <w:r>
        <w:rPr>
          <w:rStyle w:val="CharPartNo"/>
        </w:rPr>
        <w:lastRenderedPageBreak/>
        <w:t>Part 7</w:t>
      </w:r>
      <w:r>
        <w:rPr>
          <w:rStyle w:val="CharDivNo"/>
        </w:rPr>
        <w:t> </w:t>
      </w:r>
      <w:r>
        <w:t>—</w:t>
      </w:r>
      <w:r>
        <w:rPr>
          <w:rStyle w:val="CharDivText"/>
        </w:rPr>
        <w:t> </w:t>
      </w:r>
      <w:r>
        <w:rPr>
          <w:rStyle w:val="CharPartText"/>
        </w:rPr>
        <w:t>Miscellaneous</w:t>
      </w:r>
      <w:bookmarkEnd w:id="85"/>
      <w:bookmarkEnd w:id="86"/>
      <w:bookmarkEnd w:id="87"/>
      <w:bookmarkEnd w:id="88"/>
      <w:bookmarkEnd w:id="89"/>
    </w:p>
    <w:p>
      <w:pPr>
        <w:pStyle w:val="Heading5"/>
      </w:pPr>
      <w:bookmarkStart w:id="90" w:name="_Toc107483451"/>
      <w:r>
        <w:rPr>
          <w:rStyle w:val="CharSectno"/>
        </w:rPr>
        <w:t>51</w:t>
      </w:r>
      <w:r>
        <w:t>.</w:t>
      </w:r>
      <w:r>
        <w:tab/>
        <w:t>Commissioner’s functions may be performed by others</w:t>
      </w:r>
      <w:bookmarkEnd w:id="90"/>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91" w:name="_Toc107483452"/>
      <w:r>
        <w:rPr>
          <w:rStyle w:val="CharSectno"/>
        </w:rPr>
        <w:t>52</w:t>
      </w:r>
      <w:r>
        <w:t>.</w:t>
      </w:r>
      <w:r>
        <w:tab/>
        <w:t>Nature of functions of Magistrate</w:t>
      </w:r>
      <w:bookmarkEnd w:id="91"/>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lastRenderedPageBreak/>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92" w:name="_Toc107483453"/>
      <w:r>
        <w:rPr>
          <w:rStyle w:val="CharSectno"/>
        </w:rPr>
        <w:t>53</w:t>
      </w:r>
      <w:r>
        <w:t>.</w:t>
      </w:r>
      <w:r>
        <w:tab/>
        <w:t>Restrictions on publicity about proceedings in Supreme Court</w:t>
      </w:r>
      <w:bookmarkEnd w:id="92"/>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93" w:name="_Toc107483454"/>
      <w:r>
        <w:rPr>
          <w:rStyle w:val="CharSectno"/>
        </w:rPr>
        <w:t>54</w:t>
      </w:r>
      <w:r>
        <w:t>.</w:t>
      </w:r>
      <w:r>
        <w:tab/>
        <w:t>Quarterly report about preventative detention orders</w:t>
      </w:r>
      <w:bookmarkEnd w:id="93"/>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lastRenderedPageBreak/>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94" w:name="_Toc107483455"/>
      <w:r>
        <w:rPr>
          <w:rStyle w:val="CharSectno"/>
        </w:rPr>
        <w:t>55</w:t>
      </w:r>
      <w:r>
        <w:t>.</w:t>
      </w:r>
      <w:r>
        <w:tab/>
        <w:t>Powers of others not affected</w:t>
      </w:r>
      <w:bookmarkEnd w:id="94"/>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w:t>
      </w:r>
      <w:r>
        <w:lastRenderedPageBreak/>
        <w:t>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p>
    <w:p>
      <w:pPr>
        <w:pStyle w:val="Heading5"/>
      </w:pPr>
      <w:bookmarkStart w:id="95" w:name="_Toc107483456"/>
      <w:r>
        <w:rPr>
          <w:rStyle w:val="CharSectno"/>
        </w:rPr>
        <w:t>56</w:t>
      </w:r>
      <w:r>
        <w:t>.</w:t>
      </w:r>
      <w:r>
        <w:tab/>
        <w:t>Law relating to legal professional privilege not affected</w:t>
      </w:r>
      <w:bookmarkEnd w:id="95"/>
    </w:p>
    <w:p>
      <w:pPr>
        <w:pStyle w:val="Subsection"/>
      </w:pPr>
      <w:r>
        <w:tab/>
      </w:r>
      <w:r>
        <w:tab/>
        <w:t>To avoid doubt, this Act does not affect the law relating to legal professional privilege.</w:t>
      </w:r>
    </w:p>
    <w:p>
      <w:pPr>
        <w:pStyle w:val="Heading5"/>
      </w:pPr>
      <w:bookmarkStart w:id="96" w:name="_Toc107483457"/>
      <w:r>
        <w:rPr>
          <w:rStyle w:val="CharSectno"/>
        </w:rPr>
        <w:t>57</w:t>
      </w:r>
      <w:r>
        <w:t>.</w:t>
      </w:r>
      <w:r>
        <w:tab/>
        <w:t>Legal proceedings in relation to preventative detention orders</w:t>
      </w:r>
      <w:bookmarkEnd w:id="9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lastRenderedPageBreak/>
        <w:tab/>
        <w:t>(4)</w:t>
      </w:r>
      <w:r>
        <w:tab/>
        <w:t>If the Supreme Court makes a determination under subsection (3), the State is liable to pay the compensation determined by the Court.</w:t>
      </w:r>
    </w:p>
    <w:p>
      <w:pPr>
        <w:pStyle w:val="Heading5"/>
      </w:pPr>
      <w:bookmarkStart w:id="97" w:name="_Toc107483458"/>
      <w:r>
        <w:rPr>
          <w:rStyle w:val="CharSectno"/>
        </w:rPr>
        <w:t>58</w:t>
      </w:r>
      <w:r>
        <w:t>.</w:t>
      </w:r>
      <w:r>
        <w:tab/>
        <w:t>Regulations</w:t>
      </w:r>
      <w:bookmarkEnd w:id="9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8" w:name="_Toc107483459"/>
      <w:r>
        <w:rPr>
          <w:rStyle w:val="CharSectno"/>
        </w:rPr>
        <w:t>59</w:t>
      </w:r>
      <w:r>
        <w:t>.</w:t>
      </w:r>
      <w:r>
        <w:tab/>
        <w:t>Review of Act</w:t>
      </w:r>
      <w:bookmarkEnd w:id="98"/>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99" w:name="_Toc107483460"/>
      <w:r>
        <w:rPr>
          <w:rStyle w:val="CharSectno"/>
        </w:rPr>
        <w:t>60</w:t>
      </w:r>
      <w:r>
        <w:t>.</w:t>
      </w:r>
      <w:r>
        <w:tab/>
        <w:t>Expiry of orders and power to make them</w:t>
      </w:r>
      <w:bookmarkEnd w:id="99"/>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lastRenderedPageBreak/>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0" w:name="_Toc100304342"/>
      <w:bookmarkStart w:id="101" w:name="_Toc100304583"/>
      <w:bookmarkStart w:id="102" w:name="_Toc100563638"/>
      <w:bookmarkStart w:id="103" w:name="_Toc107312572"/>
      <w:bookmarkStart w:id="104" w:name="_Toc107483461"/>
      <w:r>
        <w:rPr>
          <w:rStyle w:val="CharSchNo"/>
        </w:rPr>
        <w:lastRenderedPageBreak/>
        <w:t>Schedule 1</w:t>
      </w:r>
      <w:r>
        <w:t> — </w:t>
      </w:r>
      <w:r>
        <w:rPr>
          <w:rStyle w:val="CharSchText"/>
        </w:rPr>
        <w:t>Ancillary provisions about exercising powers</w:t>
      </w:r>
      <w:bookmarkEnd w:id="100"/>
      <w:bookmarkEnd w:id="101"/>
      <w:bookmarkEnd w:id="102"/>
      <w:bookmarkEnd w:id="103"/>
      <w:bookmarkEnd w:id="104"/>
    </w:p>
    <w:p>
      <w:pPr>
        <w:pStyle w:val="yShoulderClause"/>
      </w:pPr>
      <w:r>
        <w:t>[s. 26(1), 48(5)]</w:t>
      </w:r>
    </w:p>
    <w:p>
      <w:pPr>
        <w:pStyle w:val="yHeading5"/>
      </w:pPr>
      <w:bookmarkStart w:id="105" w:name="_Toc107483462"/>
      <w:r>
        <w:rPr>
          <w:rStyle w:val="CharSClsNo"/>
        </w:rPr>
        <w:t>1</w:t>
      </w:r>
      <w:r>
        <w:t>.</w:t>
      </w:r>
      <w:r>
        <w:tab/>
        <w:t>When powers may be exercised</w:t>
      </w:r>
      <w:bookmarkEnd w:id="105"/>
    </w:p>
    <w:p>
      <w:pPr>
        <w:pStyle w:val="ySubsection"/>
      </w:pPr>
      <w:r>
        <w:tab/>
      </w:r>
      <w:r>
        <w:tab/>
        <w:t>A power in this Act may be exercised at any time of the day or night, unless it is expressly provided otherwise.</w:t>
      </w:r>
    </w:p>
    <w:p>
      <w:pPr>
        <w:pStyle w:val="yHeading5"/>
      </w:pPr>
      <w:bookmarkStart w:id="106" w:name="_Toc107483463"/>
      <w:r>
        <w:rPr>
          <w:rStyle w:val="CharSClsNo"/>
        </w:rPr>
        <w:t>2</w:t>
      </w:r>
      <w:r>
        <w:t>.</w:t>
      </w:r>
      <w:r>
        <w:tab/>
        <w:t>Assistance to exercise powers</w:t>
      </w:r>
      <w:bookmarkEnd w:id="106"/>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07" w:name="_Toc107483464"/>
      <w:r>
        <w:rPr>
          <w:rStyle w:val="CharSClsNo"/>
        </w:rPr>
        <w:t>3</w:t>
      </w:r>
      <w:r>
        <w:t>.</w:t>
      </w:r>
      <w:r>
        <w:tab/>
        <w:t>Use of force when exercising powers</w:t>
      </w:r>
      <w:bookmarkEnd w:id="107"/>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lastRenderedPageBreak/>
        <w:tab/>
        <w:t>(3)</w:t>
      </w:r>
      <w:r>
        <w:tab/>
        <w:t>To the extent of any inconsistency between this clause and section 29, section 29 prevails.</w:t>
      </w:r>
    </w:p>
    <w:p>
      <w:pPr>
        <w:pStyle w:val="yHeading5"/>
      </w:pPr>
      <w:bookmarkStart w:id="108" w:name="_Toc107483465"/>
      <w:r>
        <w:rPr>
          <w:rStyle w:val="CharSClsNo"/>
        </w:rPr>
        <w:t>4</w:t>
      </w:r>
      <w:r>
        <w:t>.</w:t>
      </w:r>
      <w:r>
        <w:tab/>
        <w:t>Areas may be cordoned off</w:t>
      </w:r>
      <w:bookmarkEnd w:id="108"/>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lastRenderedPageBreak/>
        <w:tab/>
        <w:t>Penalty: a fine of $12 000 and imprisonment for 12 months.</w:t>
      </w:r>
    </w:p>
    <w:p>
      <w:pPr>
        <w:pStyle w:val="yHeading5"/>
      </w:pPr>
      <w:bookmarkStart w:id="109" w:name="_Toc107483466"/>
      <w:r>
        <w:rPr>
          <w:rStyle w:val="CharSClsNo"/>
        </w:rPr>
        <w:t>5</w:t>
      </w:r>
      <w:r>
        <w:t>.</w:t>
      </w:r>
      <w:r>
        <w:tab/>
        <w:t>Returning seized things</w:t>
      </w:r>
      <w:bookmarkEnd w:id="109"/>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1" w:name="_Toc100304348"/>
      <w:bookmarkStart w:id="112" w:name="_Toc100304589"/>
      <w:bookmarkStart w:id="113" w:name="_Toc100563644"/>
      <w:bookmarkStart w:id="114" w:name="_Toc107312578"/>
      <w:bookmarkStart w:id="115" w:name="_Toc107483467"/>
      <w:r>
        <w:rPr>
          <w:rStyle w:val="CharSchNo"/>
        </w:rPr>
        <w:lastRenderedPageBreak/>
        <w:t>Schedule 2</w:t>
      </w:r>
      <w:r>
        <w:t> — </w:t>
      </w:r>
      <w:r>
        <w:rPr>
          <w:rStyle w:val="CharSchText"/>
        </w:rPr>
        <w:t>Searching people</w:t>
      </w:r>
      <w:bookmarkEnd w:id="111"/>
      <w:bookmarkEnd w:id="112"/>
      <w:bookmarkEnd w:id="113"/>
      <w:bookmarkEnd w:id="114"/>
      <w:bookmarkEnd w:id="115"/>
    </w:p>
    <w:p>
      <w:pPr>
        <w:pStyle w:val="yShoulderClause"/>
      </w:pPr>
      <w:r>
        <w:t>[s. 30(2)]</w:t>
      </w:r>
    </w:p>
    <w:p>
      <w:pPr>
        <w:pStyle w:val="yHeading3"/>
      </w:pPr>
      <w:bookmarkStart w:id="116" w:name="_Toc100304349"/>
      <w:bookmarkStart w:id="117" w:name="_Toc100304590"/>
      <w:bookmarkStart w:id="118" w:name="_Toc100563645"/>
      <w:bookmarkStart w:id="119" w:name="_Toc107312579"/>
      <w:bookmarkStart w:id="120" w:name="_Toc107483468"/>
      <w:r>
        <w:rPr>
          <w:rStyle w:val="CharSDivNo"/>
        </w:rPr>
        <w:t>Division 1</w:t>
      </w:r>
      <w:r>
        <w:t> — </w:t>
      </w:r>
      <w:r>
        <w:rPr>
          <w:rStyle w:val="CharSDivText"/>
        </w:rPr>
        <w:t>Preliminary</w:t>
      </w:r>
      <w:bookmarkEnd w:id="116"/>
      <w:bookmarkEnd w:id="117"/>
      <w:bookmarkEnd w:id="118"/>
      <w:bookmarkEnd w:id="119"/>
      <w:bookmarkEnd w:id="120"/>
    </w:p>
    <w:p>
      <w:pPr>
        <w:pStyle w:val="yHeading5"/>
      </w:pPr>
      <w:bookmarkStart w:id="121" w:name="_Toc107483469"/>
      <w:r>
        <w:rPr>
          <w:rStyle w:val="CharSClsNo"/>
        </w:rPr>
        <w:t>1</w:t>
      </w:r>
      <w:r>
        <w:t>.</w:t>
      </w:r>
      <w:r>
        <w:tab/>
        <w:t>Terms used in this Schedule</w:t>
      </w:r>
      <w:bookmarkEnd w:id="121"/>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22" w:name="_Toc107483470"/>
      <w:r>
        <w:rPr>
          <w:rStyle w:val="CharSClsNo"/>
        </w:rPr>
        <w:t>2</w:t>
      </w:r>
      <w:r>
        <w:t>.</w:t>
      </w:r>
      <w:r>
        <w:tab/>
        <w:t>Basic search</w:t>
      </w:r>
      <w:bookmarkEnd w:id="122"/>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23" w:name="_Toc107483471"/>
      <w:r>
        <w:rPr>
          <w:rStyle w:val="CharSClsNo"/>
        </w:rPr>
        <w:t>3</w:t>
      </w:r>
      <w:r>
        <w:t>.</w:t>
      </w:r>
      <w:r>
        <w:tab/>
        <w:t>Strip search</w:t>
      </w:r>
      <w:bookmarkEnd w:id="123"/>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lastRenderedPageBreak/>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24" w:name="_Toc107483472"/>
      <w:r>
        <w:rPr>
          <w:rStyle w:val="CharSClsNo"/>
        </w:rPr>
        <w:t>4</w:t>
      </w:r>
      <w:r>
        <w:t>.</w:t>
      </w:r>
      <w:r>
        <w:tab/>
        <w:t>Ascertaining gender of person</w:t>
      </w:r>
      <w:bookmarkEnd w:id="12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25" w:name="_Toc107483473"/>
      <w:r>
        <w:rPr>
          <w:rStyle w:val="CharSClsNo"/>
        </w:rPr>
        <w:t>5</w:t>
      </w:r>
      <w:r>
        <w:t>.</w:t>
      </w:r>
      <w:r>
        <w:tab/>
        <w:t>Powers to assist doing searches</w:t>
      </w:r>
      <w:bookmarkEnd w:id="12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26" w:name="_Toc100304355"/>
      <w:bookmarkStart w:id="127" w:name="_Toc100304596"/>
      <w:bookmarkStart w:id="128" w:name="_Toc100563651"/>
      <w:bookmarkStart w:id="129" w:name="_Toc107312585"/>
      <w:bookmarkStart w:id="130" w:name="_Toc107483474"/>
      <w:r>
        <w:rPr>
          <w:rStyle w:val="CharSDivNo"/>
        </w:rPr>
        <w:lastRenderedPageBreak/>
        <w:t>Division 2</w:t>
      </w:r>
      <w:r>
        <w:t> — </w:t>
      </w:r>
      <w:r>
        <w:rPr>
          <w:rStyle w:val="CharSDivText"/>
        </w:rPr>
        <w:t>How searches must be done</w:t>
      </w:r>
      <w:bookmarkEnd w:id="126"/>
      <w:bookmarkEnd w:id="127"/>
      <w:bookmarkEnd w:id="128"/>
      <w:bookmarkEnd w:id="129"/>
      <w:bookmarkEnd w:id="130"/>
    </w:p>
    <w:p>
      <w:pPr>
        <w:pStyle w:val="yHeading5"/>
      </w:pPr>
      <w:bookmarkStart w:id="131" w:name="_Toc107483475"/>
      <w:r>
        <w:rPr>
          <w:rStyle w:val="CharSClsNo"/>
        </w:rPr>
        <w:t>6</w:t>
      </w:r>
      <w:r>
        <w:t>.</w:t>
      </w:r>
      <w:r>
        <w:tab/>
        <w:t>Operation of this Division</w:t>
      </w:r>
      <w:bookmarkEnd w:id="131"/>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32" w:name="_Toc107483476"/>
      <w:r>
        <w:rPr>
          <w:rStyle w:val="CharSClsNo"/>
        </w:rPr>
        <w:t>7</w:t>
      </w:r>
      <w:r>
        <w:t>.</w:t>
      </w:r>
      <w:r>
        <w:tab/>
        <w:t>General procedure</w:t>
      </w:r>
      <w:bookmarkEnd w:id="132"/>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lastRenderedPageBreak/>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33" w:name="_Toc107483477"/>
      <w:r>
        <w:rPr>
          <w:rStyle w:val="CharSClsNo"/>
        </w:rPr>
        <w:t>8</w:t>
      </w:r>
      <w:r>
        <w:t>.</w:t>
      </w:r>
      <w:r>
        <w:tab/>
        <w:t>Strip searches of protected people</w:t>
      </w:r>
      <w:bookmarkEnd w:id="13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lastRenderedPageBreak/>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100304600"/>
      <w:bookmarkStart w:id="135" w:name="_Toc100563655"/>
      <w:bookmarkStart w:id="136" w:name="_Toc107312589"/>
      <w:bookmarkStart w:id="137" w:name="_Toc107483478"/>
      <w:bookmarkStart w:id="138" w:name="_Toc100304361"/>
      <w:r>
        <w:lastRenderedPageBreak/>
        <w:t>Notes</w:t>
      </w:r>
      <w:bookmarkEnd w:id="134"/>
      <w:bookmarkEnd w:id="135"/>
      <w:bookmarkEnd w:id="136"/>
      <w:bookmarkEnd w:id="137"/>
    </w:p>
    <w:p>
      <w:pPr>
        <w:pStyle w:val="nStatement"/>
      </w:pPr>
      <w:r>
        <w:t xml:space="preserve">This is a compilation of the </w:t>
      </w:r>
      <w:r>
        <w:rPr>
          <w:i/>
          <w:noProof/>
        </w:rPr>
        <w:t>Terrorism (Preventative Detention) Act 2006</w:t>
      </w:r>
      <w:r>
        <w:t xml:space="preserve"> and includes amendments made by other written laws. For provisions that have come into operation see the compilation table. </w:t>
      </w:r>
    </w:p>
    <w:p>
      <w:pPr>
        <w:pStyle w:val="nHeading3"/>
      </w:pPr>
      <w:bookmarkStart w:id="139" w:name="_Toc107483479"/>
      <w:r>
        <w:t>Compilation table</w:t>
      </w:r>
      <w:bookmarkEnd w:id="1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rPr>
            </w:pPr>
            <w:r>
              <w:rPr>
                <w:i/>
              </w:rPr>
              <w:t>Terrorism (Preventative Detention) Amendment Act 2019</w:t>
            </w:r>
          </w:p>
        </w:tc>
        <w:tc>
          <w:tcPr>
            <w:tcW w:w="1134" w:type="dxa"/>
          </w:tcPr>
          <w:p>
            <w:pPr>
              <w:pStyle w:val="nTable"/>
              <w:spacing w:before="100"/>
              <w:rPr>
                <w:snapToGrid w:val="0"/>
              </w:rPr>
            </w:pPr>
            <w:r>
              <w:rPr>
                <w:snapToGrid w:val="0"/>
              </w:rPr>
              <w:t>23 of 2019</w:t>
            </w:r>
          </w:p>
        </w:tc>
        <w:tc>
          <w:tcPr>
            <w:tcW w:w="1134" w:type="dxa"/>
          </w:tcPr>
          <w:p>
            <w:pPr>
              <w:pStyle w:val="nTable"/>
              <w:spacing w:before="100"/>
            </w:pPr>
            <w:r>
              <w:t>8 Oct 2019</w:t>
            </w:r>
          </w:p>
        </w:tc>
        <w:tc>
          <w:tcPr>
            <w:tcW w:w="2552" w:type="dxa"/>
          </w:tcPr>
          <w:p>
            <w:pPr>
              <w:pStyle w:val="nTable"/>
              <w:spacing w:before="100"/>
              <w:rPr>
                <w:snapToGrid w:val="0"/>
              </w:rPr>
            </w:pPr>
            <w:r>
              <w:rPr>
                <w:snapToGrid w:val="0"/>
              </w:rPr>
              <w:t xml:space="preserve">s. 1 and 2: 8 Oct 2019 (see s. 2(a)); </w:t>
            </w:r>
            <w:r>
              <w:rPr>
                <w:snapToGrid w:val="0"/>
              </w:rPr>
              <w:br/>
              <w:t>Act other than s. 1 and 2: 9 Oct 2019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rPr>
            </w:pPr>
            <w:r>
              <w:rPr>
                <w:i/>
              </w:rPr>
              <w:t>Legal Profession Uniform Law Application Act 2022</w:t>
            </w:r>
            <w:r>
              <w:t xml:space="preserve"> s. 424</w:t>
            </w:r>
          </w:p>
        </w:tc>
        <w:tc>
          <w:tcPr>
            <w:tcW w:w="1134" w:type="dxa"/>
            <w:tcBorders>
              <w:bottom w:val="single" w:sz="4" w:space="0" w:color="auto"/>
            </w:tcBorders>
          </w:tcPr>
          <w:p>
            <w:pPr>
              <w:pStyle w:val="nTable"/>
              <w:spacing w:before="100"/>
              <w:rPr>
                <w:snapToGrid w:val="0"/>
              </w:rPr>
            </w:pPr>
            <w:r>
              <w:t>9 of 2022</w:t>
            </w:r>
          </w:p>
        </w:tc>
        <w:tc>
          <w:tcPr>
            <w:tcW w:w="1134" w:type="dxa"/>
            <w:tcBorders>
              <w:bottom w:val="single" w:sz="4" w:space="0" w:color="auto"/>
            </w:tcBorders>
          </w:tcPr>
          <w:p>
            <w:pPr>
              <w:pStyle w:val="nTable"/>
              <w:spacing w:before="100"/>
            </w:pPr>
            <w:r>
              <w:t>14 Apr 2022</w:t>
            </w:r>
          </w:p>
        </w:tc>
        <w:tc>
          <w:tcPr>
            <w:tcW w:w="2552" w:type="dxa"/>
            <w:tcBorders>
              <w:bottom w:val="single" w:sz="4" w:space="0" w:color="auto"/>
            </w:tcBorders>
          </w:tcPr>
          <w:p>
            <w:pPr>
              <w:pStyle w:val="nTable"/>
              <w:spacing w:before="100"/>
              <w:rPr>
                <w:snapToGrid w:val="0"/>
              </w:rPr>
            </w:pPr>
            <w:r>
              <w:rPr>
                <w:snapToGrid w:val="0"/>
              </w:rPr>
              <w:t>1 Jul 2022 (see s. 2(c) and SL 2022/113 cl. 2)</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41" w:name="_Toc107483480"/>
      <w:bookmarkEnd w:id="138"/>
      <w:r>
        <w:rPr>
          <w:sz w:val="28"/>
        </w:rPr>
        <w:lastRenderedPageBreak/>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adviser</w:t>
      </w:r>
      <w:r>
        <w:tab/>
        <w:t>46(7A)</w:t>
      </w:r>
    </w:p>
    <w:p>
      <w:pPr>
        <w:pStyle w:val="DefinedTerms"/>
      </w:pPr>
      <w:r>
        <w:t>allegation of serious misconduct</w:t>
      </w:r>
      <w:r>
        <w:tab/>
        <w:t>4(1)</w:t>
      </w:r>
    </w:p>
    <w:p>
      <w:pPr>
        <w:pStyle w:val="DefinedTerms"/>
      </w:pPr>
      <w:r>
        <w:t>appropriate person</w:t>
      </w:r>
      <w:r>
        <w:tab/>
        <w:t>48(14)</w:t>
      </w:r>
    </w:p>
    <w:p>
      <w:pPr>
        <w:pStyle w:val="DefinedTerms"/>
      </w:pPr>
      <w:r>
        <w:t>approved religious or spiritual adviser</w:t>
      </w:r>
      <w:r>
        <w:tab/>
        <w:t>4(1)</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criminal intelligence information</w:t>
      </w:r>
      <w:r>
        <w:tab/>
        <w:t>45(15)</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46(2)</w:t>
      </w:r>
    </w:p>
    <w:p>
      <w:pPr>
        <w:pStyle w:val="DefinedTerms"/>
      </w:pPr>
      <w:r>
        <w:t>lock-up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lastRenderedPageBreak/>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and (3)</w:t>
      </w:r>
    </w:p>
    <w:p>
      <w:pPr>
        <w:pStyle w:val="DefinedTerms"/>
      </w:pPr>
      <w:r>
        <w:t>photograph</w:t>
      </w:r>
      <w:r>
        <w:tab/>
        <w:t>4(1)</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2" w:name="DefinedTerms"/>
    <w:bookmarkEnd w:id="1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5536"/>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18673</Words>
  <Characters>90939</Characters>
  <Application>Microsoft Office Word</Application>
  <DocSecurity>0</DocSecurity>
  <Lines>2457</Lines>
  <Paragraphs>1481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2006 - 00-j0-00</dc:title>
  <dc:subject/>
  <dc:creator/>
  <cp:keywords/>
  <dc:description/>
  <cp:lastModifiedBy>Master Repository Process</cp:lastModifiedBy>
  <cp:revision>4</cp:revision>
  <cp:lastPrinted>2006-09-22T07:51:00Z</cp:lastPrinted>
  <dcterms:created xsi:type="dcterms:W3CDTF">2022-06-30T07:14:00Z</dcterms:created>
  <dcterms:modified xsi:type="dcterms:W3CDTF">2022-06-30T07:14:00Z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00-j0-00</vt:lpwstr>
  </property>
  <property fmtid="{D5CDD505-2E9C-101B-9397-08002B2CF9AE}" pid="7" name="CommencementDate">
    <vt:lpwstr>20220701</vt:lpwstr>
  </property>
</Properties>
</file>